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7B16" w14:textId="7B1EAC31" w:rsidR="00E65822" w:rsidRDefault="008F4006" w:rsidP="00280823">
      <w:pPr>
        <w:jc w:val="both"/>
        <w:rPr>
          <w:rFonts w:ascii="Book Antiqua" w:hAnsi="Book Antiqua"/>
          <w:b/>
        </w:rPr>
      </w:pPr>
      <w:r w:rsidRPr="009B6B1F">
        <w:rPr>
          <w:rFonts w:ascii="Book Antiqua" w:hAnsi="Book Antiqua"/>
          <w:b/>
        </w:rPr>
        <w:t>Big data, small law: how gaps in regulation are affecting political campaigning methods</w:t>
      </w:r>
      <w:r w:rsidR="00450ADE" w:rsidRPr="009B6B1F">
        <w:rPr>
          <w:rFonts w:ascii="Book Antiqua" w:hAnsi="Book Antiqua"/>
          <w:b/>
        </w:rPr>
        <w:t xml:space="preserve"> </w:t>
      </w:r>
      <w:r w:rsidR="002728EB" w:rsidRPr="009B6B1F">
        <w:rPr>
          <w:rFonts w:ascii="Book Antiqua" w:hAnsi="Book Antiqua"/>
          <w:b/>
        </w:rPr>
        <w:t>and the need for fundamental reform</w:t>
      </w:r>
      <w:r w:rsidR="00986E2E">
        <w:rPr>
          <w:rFonts w:ascii="Book Antiqua" w:hAnsi="Book Antiqua"/>
          <w:b/>
        </w:rPr>
        <w:t xml:space="preserve"> </w:t>
      </w:r>
    </w:p>
    <w:p w14:paraId="1B70C4CD" w14:textId="0AB1C961" w:rsidR="00E65822" w:rsidRPr="009B6B1F" w:rsidRDefault="008F4006" w:rsidP="00280823">
      <w:pPr>
        <w:jc w:val="both"/>
        <w:rPr>
          <w:rFonts w:ascii="Book Antiqua" w:hAnsi="Book Antiqua"/>
          <w:b/>
        </w:rPr>
      </w:pPr>
      <w:r w:rsidRPr="009B6B1F">
        <w:rPr>
          <w:rFonts w:ascii="Book Antiqua" w:hAnsi="Book Antiqua"/>
          <w:b/>
        </w:rPr>
        <w:t>B</w:t>
      </w:r>
      <w:r w:rsidR="008C70A6">
        <w:rPr>
          <w:rFonts w:ascii="Book Antiqua" w:hAnsi="Book Antiqua"/>
          <w:b/>
        </w:rPr>
        <w:t>ethany</w:t>
      </w:r>
      <w:r w:rsidRPr="009B6B1F">
        <w:rPr>
          <w:rFonts w:ascii="Book Antiqua" w:hAnsi="Book Antiqua"/>
          <w:b/>
        </w:rPr>
        <w:t xml:space="preserve"> Shiner*</w:t>
      </w:r>
    </w:p>
    <w:p w14:paraId="739B6482" w14:textId="0C896009" w:rsidR="00E65822" w:rsidRPr="009B6B1F" w:rsidRDefault="008F4006" w:rsidP="00280823">
      <w:pPr>
        <w:jc w:val="both"/>
        <w:rPr>
          <w:rFonts w:ascii="Book Antiqua" w:hAnsi="Book Antiqua"/>
          <w:i/>
          <w:color w:val="FF0000"/>
        </w:rPr>
      </w:pPr>
      <w:r w:rsidRPr="009B6B1F">
        <w:rPr>
          <w:rFonts w:ascii="Book Antiqua" w:hAnsi="Book Antiqua"/>
          <w:i/>
        </w:rPr>
        <w:t>T</w:t>
      </w:r>
      <w:r w:rsidR="00E958F4" w:rsidRPr="009B6B1F">
        <w:rPr>
          <w:rFonts w:ascii="Book Antiqua" w:hAnsi="Book Antiqua"/>
          <w:i/>
        </w:rPr>
        <w:t>echnological developments, involving big data and data analytics, have enabled political parties and campaign groups</w:t>
      </w:r>
      <w:r w:rsidR="00A06476">
        <w:rPr>
          <w:rFonts w:ascii="Book Antiqua" w:hAnsi="Book Antiqua"/>
          <w:i/>
        </w:rPr>
        <w:t xml:space="preserve"> to believe that they</w:t>
      </w:r>
      <w:r w:rsidR="00E958F4" w:rsidRPr="009B6B1F">
        <w:rPr>
          <w:rFonts w:ascii="Book Antiqua" w:hAnsi="Book Antiqua"/>
          <w:i/>
        </w:rPr>
        <w:t xml:space="preserve"> know or </w:t>
      </w:r>
      <w:r w:rsidR="00A06476">
        <w:rPr>
          <w:rFonts w:ascii="Book Antiqua" w:hAnsi="Book Antiqua"/>
          <w:i/>
        </w:rPr>
        <w:t xml:space="preserve">can </w:t>
      </w:r>
      <w:r w:rsidR="00E958F4" w:rsidRPr="009B6B1F">
        <w:rPr>
          <w:rFonts w:ascii="Book Antiqua" w:hAnsi="Book Antiqua"/>
          <w:i/>
        </w:rPr>
        <w:t xml:space="preserve">accurately predict the political leanings of individual voters. Based on these developments, and coupled with psychological research deepening our understanding of decision making, campaign techniques involving individualised and targeted social media political </w:t>
      </w:r>
      <w:r w:rsidR="001375C0" w:rsidRPr="009B6B1F">
        <w:rPr>
          <w:rFonts w:ascii="Book Antiqua" w:hAnsi="Book Antiqua"/>
          <w:i/>
        </w:rPr>
        <w:t>advertisements</w:t>
      </w:r>
      <w:r w:rsidR="00E958F4" w:rsidRPr="009B6B1F">
        <w:rPr>
          <w:rFonts w:ascii="Book Antiqua" w:hAnsi="Book Antiqua"/>
          <w:i/>
        </w:rPr>
        <w:t xml:space="preserve"> have emerged. </w:t>
      </w:r>
      <w:r w:rsidR="00E958F4" w:rsidRPr="009B6B1F">
        <w:rPr>
          <w:rFonts w:ascii="Book Antiqua" w:hAnsi="Book Antiqua"/>
          <w:i/>
          <w:noProof/>
        </w:rPr>
        <w:t>Whil</w:t>
      </w:r>
      <w:r w:rsidR="00E958F4" w:rsidRPr="009B6B1F">
        <w:rPr>
          <w:rFonts w:ascii="Book Antiqua" w:hAnsi="Book Antiqua"/>
          <w:i/>
        </w:rPr>
        <w:t xml:space="preserve">e </w:t>
      </w:r>
      <w:r w:rsidR="003515AA" w:rsidRPr="009B6B1F">
        <w:rPr>
          <w:rFonts w:ascii="Book Antiqua" w:hAnsi="Book Antiqua"/>
          <w:i/>
        </w:rPr>
        <w:t xml:space="preserve">research </w:t>
      </w:r>
      <w:r w:rsidR="009A3E3B" w:rsidRPr="009B6B1F">
        <w:rPr>
          <w:rFonts w:ascii="Book Antiqua" w:hAnsi="Book Antiqua"/>
          <w:i/>
        </w:rPr>
        <w:t>i</w:t>
      </w:r>
      <w:r w:rsidR="003515AA" w:rsidRPr="009B6B1F">
        <w:rPr>
          <w:rFonts w:ascii="Book Antiqua" w:hAnsi="Book Antiqua"/>
          <w:i/>
        </w:rPr>
        <w:t>s not able to measure what i</w:t>
      </w:r>
      <w:r w:rsidR="00756F17" w:rsidRPr="009B6B1F">
        <w:rPr>
          <w:rFonts w:ascii="Book Antiqua" w:hAnsi="Book Antiqua"/>
          <w:i/>
        </w:rPr>
        <w:t>mpact</w:t>
      </w:r>
      <w:r w:rsidR="001375C0" w:rsidRPr="009B6B1F">
        <w:rPr>
          <w:rFonts w:ascii="Book Antiqua" w:hAnsi="Book Antiqua"/>
          <w:i/>
        </w:rPr>
        <w:t>, if any, these advertisements</w:t>
      </w:r>
      <w:r w:rsidR="003515AA" w:rsidRPr="009B6B1F">
        <w:rPr>
          <w:rFonts w:ascii="Book Antiqua" w:hAnsi="Book Antiqua"/>
          <w:i/>
        </w:rPr>
        <w:t xml:space="preserve"> have </w:t>
      </w:r>
      <w:r w:rsidR="00E958F4" w:rsidRPr="009B6B1F">
        <w:rPr>
          <w:rFonts w:ascii="Book Antiqua" w:hAnsi="Book Antiqua"/>
          <w:i/>
        </w:rPr>
        <w:t xml:space="preserve">there is a concern regarding the capacity of these techniques to influence in a non-transparent way by deceptively using personal data. In addition to protecting personal data, the law assumes that the electorate must maintain a ‘free mind’ and there must be a level playing field between political opponents. The current statutory framework </w:t>
      </w:r>
      <w:r w:rsidR="00E958F4" w:rsidRPr="009B6B1F">
        <w:rPr>
          <w:rFonts w:ascii="Book Antiqua" w:hAnsi="Book Antiqua"/>
          <w:i/>
          <w:noProof/>
        </w:rPr>
        <w:t>is marked</w:t>
      </w:r>
      <w:r w:rsidR="00E958F4" w:rsidRPr="009B6B1F">
        <w:rPr>
          <w:rFonts w:ascii="Book Antiqua" w:hAnsi="Book Antiqua"/>
          <w:i/>
        </w:rPr>
        <w:t xml:space="preserve"> by an overlapping application of the Data Protection Act </w:t>
      </w:r>
      <w:r w:rsidR="008C70A6">
        <w:rPr>
          <w:rFonts w:ascii="Book Antiqua" w:hAnsi="Book Antiqua"/>
          <w:i/>
        </w:rPr>
        <w:t xml:space="preserve">2018, replacing the </w:t>
      </w:r>
      <w:r w:rsidR="00E958F4" w:rsidRPr="009B6B1F">
        <w:rPr>
          <w:rFonts w:ascii="Book Antiqua" w:hAnsi="Book Antiqua"/>
          <w:i/>
        </w:rPr>
        <w:t>1998</w:t>
      </w:r>
      <w:r w:rsidR="008C70A6">
        <w:rPr>
          <w:rFonts w:ascii="Book Antiqua" w:hAnsi="Book Antiqua"/>
          <w:i/>
        </w:rPr>
        <w:t xml:space="preserve"> Act; </w:t>
      </w:r>
      <w:r w:rsidR="00E958F4" w:rsidRPr="009B6B1F">
        <w:rPr>
          <w:rFonts w:ascii="Book Antiqua" w:hAnsi="Book Antiqua"/>
          <w:i/>
        </w:rPr>
        <w:t>the Political Parties, Elections and Referendums Act 2000</w:t>
      </w:r>
      <w:r w:rsidR="008C70A6">
        <w:rPr>
          <w:rFonts w:ascii="Book Antiqua" w:hAnsi="Book Antiqua"/>
          <w:i/>
        </w:rPr>
        <w:t>;</w:t>
      </w:r>
      <w:r w:rsidR="006076FC" w:rsidRPr="009B6B1F">
        <w:rPr>
          <w:rFonts w:ascii="Book Antiqua" w:hAnsi="Book Antiqua"/>
        </w:rPr>
        <w:t xml:space="preserve"> </w:t>
      </w:r>
      <w:r w:rsidR="006076FC" w:rsidRPr="009B6B1F">
        <w:rPr>
          <w:rFonts w:ascii="Book Antiqua" w:hAnsi="Book Antiqua"/>
          <w:i/>
        </w:rPr>
        <w:t>the Repres</w:t>
      </w:r>
      <w:r w:rsidR="008C70A6">
        <w:rPr>
          <w:rFonts w:ascii="Book Antiqua" w:hAnsi="Book Antiqua"/>
          <w:i/>
        </w:rPr>
        <w:t>entation of the People Act 1983;</w:t>
      </w:r>
      <w:r w:rsidR="00E958F4" w:rsidRPr="009B6B1F">
        <w:rPr>
          <w:rFonts w:ascii="Book Antiqua" w:hAnsi="Book Antiqua"/>
          <w:i/>
        </w:rPr>
        <w:t xml:space="preserve"> and</w:t>
      </w:r>
      <w:r w:rsidR="006076FC" w:rsidRPr="009B6B1F">
        <w:rPr>
          <w:rFonts w:ascii="Book Antiqua" w:hAnsi="Book Antiqua"/>
          <w:i/>
        </w:rPr>
        <w:t>,</w:t>
      </w:r>
      <w:r w:rsidR="008C70A6">
        <w:rPr>
          <w:rFonts w:ascii="Book Antiqua" w:hAnsi="Book Antiqua"/>
          <w:i/>
        </w:rPr>
        <w:t xml:space="preserve"> the Communications Act 2005. As the evidence published in relation to several inquiries into these issues indicates, t</w:t>
      </w:r>
      <w:r w:rsidR="00E958F4" w:rsidRPr="009B6B1F">
        <w:rPr>
          <w:rFonts w:ascii="Book Antiqua" w:hAnsi="Book Antiqua"/>
          <w:i/>
        </w:rPr>
        <w:t>he gaps in the way this area is regulated means the law cannot adequately deal with the issues posed by the co</w:t>
      </w:r>
      <w:r w:rsidR="00EA316E" w:rsidRPr="009B6B1F">
        <w:rPr>
          <w:rFonts w:ascii="Book Antiqua" w:hAnsi="Book Antiqua"/>
          <w:i/>
        </w:rPr>
        <w:t>llection and use of</w:t>
      </w:r>
      <w:r w:rsidR="00E958F4" w:rsidRPr="009B6B1F">
        <w:rPr>
          <w:rFonts w:ascii="Book Antiqua" w:hAnsi="Book Antiqua"/>
          <w:i/>
        </w:rPr>
        <w:t xml:space="preserve"> personal data for the design and deployment of targeted social media political campaign </w:t>
      </w:r>
      <w:r w:rsidR="001375C0" w:rsidRPr="009B6B1F">
        <w:rPr>
          <w:rFonts w:ascii="Book Antiqua" w:hAnsi="Book Antiqua"/>
          <w:i/>
        </w:rPr>
        <w:t>advertisements</w:t>
      </w:r>
      <w:r w:rsidR="00E958F4" w:rsidRPr="009B6B1F">
        <w:rPr>
          <w:rFonts w:ascii="Book Antiqua" w:hAnsi="Book Antiqua"/>
          <w:i/>
        </w:rPr>
        <w:t xml:space="preserve">. </w:t>
      </w:r>
      <w:r w:rsidRPr="009B6B1F">
        <w:rPr>
          <w:rFonts w:ascii="Book Antiqua" w:hAnsi="Book Antiqua"/>
          <w:i/>
        </w:rPr>
        <w:t xml:space="preserve">Further, the dependence upon these techniques by political parties and campaign groups mean that the necessary </w:t>
      </w:r>
      <w:r w:rsidR="004B40DA" w:rsidRPr="009B6B1F">
        <w:rPr>
          <w:rFonts w:ascii="Book Antiqua" w:hAnsi="Book Antiqua"/>
          <w:i/>
        </w:rPr>
        <w:t xml:space="preserve">comprehensive </w:t>
      </w:r>
      <w:r w:rsidRPr="009B6B1F">
        <w:rPr>
          <w:rFonts w:ascii="Book Antiqua" w:hAnsi="Book Antiqua"/>
          <w:i/>
        </w:rPr>
        <w:t xml:space="preserve">reforms may never be made. </w:t>
      </w:r>
    </w:p>
    <w:p w14:paraId="3ADD70BE" w14:textId="726D743A" w:rsidR="006864BC" w:rsidRPr="009B6B1F" w:rsidRDefault="008F4006" w:rsidP="00280823">
      <w:pPr>
        <w:jc w:val="both"/>
        <w:rPr>
          <w:rFonts w:ascii="Book Antiqua" w:hAnsi="Book Antiqua"/>
          <w:b/>
        </w:rPr>
      </w:pPr>
      <w:r w:rsidRPr="009B6B1F">
        <w:rPr>
          <w:rFonts w:ascii="Book Antiqua" w:hAnsi="Book Antiqua"/>
          <w:b/>
        </w:rPr>
        <w:t>Introduction</w:t>
      </w:r>
    </w:p>
    <w:p w14:paraId="7533453A" w14:textId="3420B7B8" w:rsidR="00E554AE" w:rsidRPr="009B6B1F" w:rsidRDefault="008F4006" w:rsidP="00280823">
      <w:pPr>
        <w:jc w:val="both"/>
        <w:rPr>
          <w:rFonts w:ascii="Book Antiqua" w:hAnsi="Book Antiqua"/>
        </w:rPr>
      </w:pPr>
      <w:r w:rsidRPr="009B6B1F">
        <w:rPr>
          <w:rFonts w:ascii="Book Antiqua" w:hAnsi="Book Antiqua"/>
        </w:rPr>
        <w:t xml:space="preserve">In several related </w:t>
      </w:r>
      <w:r w:rsidRPr="009B6B1F">
        <w:rPr>
          <w:rFonts w:ascii="Book Antiqua" w:hAnsi="Book Antiqua"/>
          <w:noProof/>
        </w:rPr>
        <w:t>ways</w:t>
      </w:r>
      <w:r w:rsidRPr="009B6B1F">
        <w:rPr>
          <w:rFonts w:ascii="Book Antiqua" w:hAnsi="Book Antiqua"/>
        </w:rPr>
        <w:t xml:space="preserve">, the law attempts to regulate the electoral process and political campaigning </w:t>
      </w:r>
      <w:r w:rsidRPr="009B6B1F">
        <w:rPr>
          <w:rFonts w:ascii="Book Antiqua" w:hAnsi="Book Antiqua"/>
          <w:noProof/>
        </w:rPr>
        <w:t>to ensure</w:t>
      </w:r>
      <w:r w:rsidRPr="009B6B1F">
        <w:rPr>
          <w:rFonts w:ascii="Book Antiqua" w:hAnsi="Book Antiqua"/>
        </w:rPr>
        <w:t xml:space="preserve"> fairness</w:t>
      </w:r>
      <w:r w:rsidR="00C63D01">
        <w:rPr>
          <w:rFonts w:ascii="Book Antiqua" w:hAnsi="Book Antiqua"/>
        </w:rPr>
        <w:t>.</w:t>
      </w:r>
      <w:r w:rsidR="0097291A">
        <w:rPr>
          <w:rStyle w:val="FootnoteReference"/>
          <w:rFonts w:ascii="Book Antiqua" w:hAnsi="Book Antiqua"/>
        </w:rPr>
        <w:footnoteReference w:id="1"/>
      </w:r>
      <w:r w:rsidR="00C63D01">
        <w:rPr>
          <w:rFonts w:ascii="Book Antiqua" w:hAnsi="Book Antiqua"/>
        </w:rPr>
        <w:t xml:space="preserve"> </w:t>
      </w:r>
      <w:r w:rsidR="00C63D01" w:rsidRPr="009366D9">
        <w:rPr>
          <w:rFonts w:ascii="Book Antiqua" w:hAnsi="Book Antiqua"/>
        </w:rPr>
        <w:t>A</w:t>
      </w:r>
      <w:r w:rsidR="00A26152" w:rsidRPr="009366D9">
        <w:rPr>
          <w:rFonts w:ascii="Book Antiqua" w:hAnsi="Book Antiqua"/>
        </w:rPr>
        <w:t>part from offences such as treating,</w:t>
      </w:r>
      <w:r w:rsidR="00A26152" w:rsidRPr="009366D9">
        <w:rPr>
          <w:rStyle w:val="FootnoteReference"/>
          <w:rFonts w:ascii="Book Antiqua" w:hAnsi="Book Antiqua"/>
        </w:rPr>
        <w:footnoteReference w:id="2"/>
      </w:r>
      <w:r w:rsidR="00A26152" w:rsidRPr="009366D9">
        <w:rPr>
          <w:rFonts w:ascii="Book Antiqua" w:hAnsi="Book Antiqua"/>
        </w:rPr>
        <w:t xml:space="preserve"> </w:t>
      </w:r>
      <w:r w:rsidR="00C63D01" w:rsidRPr="009366D9">
        <w:rPr>
          <w:rFonts w:ascii="Book Antiqua" w:hAnsi="Book Antiqua"/>
        </w:rPr>
        <w:t xml:space="preserve"> personation</w:t>
      </w:r>
      <w:r w:rsidR="00CF7CCF" w:rsidRPr="009366D9">
        <w:rPr>
          <w:rFonts w:ascii="Book Antiqua" w:hAnsi="Book Antiqua"/>
        </w:rPr>
        <w:t>,</w:t>
      </w:r>
      <w:r w:rsidR="00CF7CCF" w:rsidRPr="009366D9">
        <w:rPr>
          <w:rStyle w:val="FootnoteReference"/>
          <w:rFonts w:ascii="Book Antiqua" w:hAnsi="Book Antiqua"/>
        </w:rPr>
        <w:footnoteReference w:id="3"/>
      </w:r>
      <w:r w:rsidR="00CF7CCF" w:rsidRPr="009366D9">
        <w:rPr>
          <w:rFonts w:ascii="Book Antiqua" w:hAnsi="Book Antiqua"/>
        </w:rPr>
        <w:t xml:space="preserve"> </w:t>
      </w:r>
      <w:r w:rsidR="00C63D01" w:rsidRPr="009366D9">
        <w:rPr>
          <w:rFonts w:ascii="Book Antiqua" w:hAnsi="Book Antiqua"/>
        </w:rPr>
        <w:t>and those dealing with direct interference with voting</w:t>
      </w:r>
      <w:r w:rsidR="00382311" w:rsidRPr="009366D9">
        <w:rPr>
          <w:rFonts w:ascii="Book Antiqua" w:hAnsi="Book Antiqua"/>
        </w:rPr>
        <w:t>,</w:t>
      </w:r>
      <w:r w:rsidR="00CF7CCF" w:rsidRPr="009366D9">
        <w:rPr>
          <w:rStyle w:val="FootnoteReference"/>
          <w:rFonts w:ascii="Book Antiqua" w:hAnsi="Book Antiqua"/>
        </w:rPr>
        <w:footnoteReference w:id="4"/>
      </w:r>
      <w:r w:rsidR="00C63D01" w:rsidRPr="009366D9">
        <w:rPr>
          <w:rFonts w:ascii="Book Antiqua" w:hAnsi="Book Antiqua"/>
        </w:rPr>
        <w:t xml:space="preserve"> </w:t>
      </w:r>
      <w:r w:rsidR="00A26152" w:rsidRPr="009366D9">
        <w:rPr>
          <w:rFonts w:ascii="Book Antiqua" w:hAnsi="Book Antiqua"/>
        </w:rPr>
        <w:t xml:space="preserve">electoral law </w:t>
      </w:r>
      <w:r w:rsidR="009366D9" w:rsidRPr="009366D9">
        <w:rPr>
          <w:rFonts w:ascii="Book Antiqua" w:hAnsi="Book Antiqua"/>
        </w:rPr>
        <w:t>regulates the electoral process by applying</w:t>
      </w:r>
      <w:r w:rsidR="00382311" w:rsidRPr="009366D9">
        <w:rPr>
          <w:rFonts w:ascii="Book Antiqua" w:hAnsi="Book Antiqua"/>
        </w:rPr>
        <w:t xml:space="preserve"> limits on</w:t>
      </w:r>
      <w:r w:rsidRPr="009366D9">
        <w:rPr>
          <w:rFonts w:ascii="Book Antiqua" w:hAnsi="Book Antiqua"/>
        </w:rPr>
        <w:t xml:space="preserve"> the amount of money that can </w:t>
      </w:r>
      <w:r w:rsidRPr="009366D9">
        <w:rPr>
          <w:rFonts w:ascii="Book Antiqua" w:hAnsi="Book Antiqua"/>
          <w:noProof/>
        </w:rPr>
        <w:t>be spent</w:t>
      </w:r>
      <w:r w:rsidRPr="009366D9">
        <w:rPr>
          <w:rFonts w:ascii="Book Antiqua" w:hAnsi="Book Antiqua"/>
        </w:rPr>
        <w:t xml:space="preserve"> during a r</w:t>
      </w:r>
      <w:r w:rsidR="00A26152" w:rsidRPr="009366D9">
        <w:rPr>
          <w:rFonts w:ascii="Book Antiqua" w:hAnsi="Book Antiqua"/>
        </w:rPr>
        <w:t>eferendum and election campaign.</w:t>
      </w:r>
      <w:r w:rsidRPr="009366D9">
        <w:rPr>
          <w:rStyle w:val="FootnoteReference"/>
          <w:rFonts w:ascii="Book Antiqua" w:hAnsi="Book Antiqua"/>
        </w:rPr>
        <w:footnoteReference w:id="5"/>
      </w:r>
      <w:r w:rsidRPr="009366D9">
        <w:rPr>
          <w:rFonts w:ascii="Book Antiqua" w:hAnsi="Book Antiqua"/>
        </w:rPr>
        <w:t xml:space="preserve"> </w:t>
      </w:r>
      <w:r w:rsidRPr="009B6B1F">
        <w:rPr>
          <w:rFonts w:ascii="Book Antiqua" w:hAnsi="Book Antiqua"/>
        </w:rPr>
        <w:t>The laws governing elections and political advertising assume that the electorate must maintain a ‘free mind’ and bans political advertisements from television and radio broadcasting (but not social media)</w:t>
      </w:r>
      <w:r w:rsidR="000032BE">
        <w:rPr>
          <w:rFonts w:ascii="Book Antiqua" w:hAnsi="Book Antiqua"/>
        </w:rPr>
        <w:t>.</w:t>
      </w:r>
      <w:r w:rsidR="000032BE" w:rsidRPr="009B6B1F">
        <w:rPr>
          <w:rStyle w:val="FootnoteReference"/>
          <w:rFonts w:ascii="Book Antiqua" w:hAnsi="Book Antiqua"/>
        </w:rPr>
        <w:footnoteReference w:id="6"/>
      </w:r>
      <w:r w:rsidR="000032BE">
        <w:rPr>
          <w:rFonts w:ascii="Book Antiqua" w:hAnsi="Book Antiqua"/>
        </w:rPr>
        <w:t xml:space="preserve"> The law provides other measures such as </w:t>
      </w:r>
      <w:r w:rsidR="000032BE" w:rsidRPr="000032BE">
        <w:rPr>
          <w:rFonts w:ascii="Book Antiqua" w:hAnsi="Book Antiqua"/>
        </w:rPr>
        <w:t>preventing over-zealous campaigners from speed-dialling the electorate with automated messages without permission to do so.</w:t>
      </w:r>
      <w:r w:rsidR="000032BE" w:rsidRPr="000032BE">
        <w:rPr>
          <w:rStyle w:val="FootnoteReference"/>
          <w:rFonts w:ascii="Book Antiqua" w:hAnsi="Book Antiqua"/>
        </w:rPr>
        <w:footnoteReference w:id="7"/>
      </w:r>
      <w:r w:rsidRPr="009B6B1F">
        <w:rPr>
          <w:rFonts w:ascii="Book Antiqua" w:hAnsi="Book Antiqua"/>
        </w:rPr>
        <w:t xml:space="preserve"> Data protection laws aim to maintain privacy for individuals online protecting personal data and, more strictly, sensitive personal data which includes political opinions. </w:t>
      </w:r>
      <w:r w:rsidR="00A30261" w:rsidRPr="009B6B1F">
        <w:rPr>
          <w:rFonts w:ascii="Book Antiqua" w:hAnsi="Book Antiqua"/>
        </w:rPr>
        <w:t xml:space="preserve">In combination, these laws are meant to establish limits, boundaries and protections for the democratic process. </w:t>
      </w:r>
      <w:r w:rsidR="00652BB3" w:rsidRPr="009B6B1F">
        <w:rPr>
          <w:rFonts w:ascii="Book Antiqua" w:hAnsi="Book Antiqua"/>
        </w:rPr>
        <w:t>However,</w:t>
      </w:r>
      <w:r w:rsidRPr="009B6B1F">
        <w:rPr>
          <w:rFonts w:ascii="Book Antiqua" w:hAnsi="Book Antiqua"/>
        </w:rPr>
        <w:t xml:space="preserve"> new campaigning techniques reveal</w:t>
      </w:r>
      <w:r w:rsidRPr="009B6B1F">
        <w:rPr>
          <w:rFonts w:ascii="Book Antiqua" w:hAnsi="Book Antiqua"/>
          <w:color w:val="FF0000"/>
        </w:rPr>
        <w:t xml:space="preserve"> </w:t>
      </w:r>
      <w:r w:rsidR="00E3120B">
        <w:rPr>
          <w:rFonts w:ascii="Book Antiqua" w:hAnsi="Book Antiqua"/>
        </w:rPr>
        <w:t>deficiencies in the law's aim</w:t>
      </w:r>
      <w:r w:rsidRPr="009B6B1F">
        <w:rPr>
          <w:rFonts w:ascii="Book Antiqua" w:hAnsi="Book Antiqua"/>
        </w:rPr>
        <w:t xml:space="preserve"> of regulating and limiting the conduct of </w:t>
      </w:r>
      <w:r w:rsidR="001B508C" w:rsidRPr="001B508C">
        <w:rPr>
          <w:rFonts w:ascii="Book Antiqua" w:hAnsi="Book Antiqua"/>
        </w:rPr>
        <w:lastRenderedPageBreak/>
        <w:t>political parties, campaign groups, candidates and elected representatives</w:t>
      </w:r>
      <w:r w:rsidR="001B508C">
        <w:rPr>
          <w:rFonts w:ascii="Book Antiqua" w:hAnsi="Book Antiqua"/>
        </w:rPr>
        <w:t xml:space="preserve"> </w:t>
      </w:r>
      <w:r w:rsidRPr="009B6B1F">
        <w:rPr>
          <w:rFonts w:ascii="Book Antiqua" w:hAnsi="Book Antiqua"/>
        </w:rPr>
        <w:t>during ele</w:t>
      </w:r>
      <w:r w:rsidR="00E71306">
        <w:rPr>
          <w:rFonts w:ascii="Book Antiqua" w:hAnsi="Book Antiqua"/>
        </w:rPr>
        <w:t>ction and referendum campaigns.</w:t>
      </w:r>
    </w:p>
    <w:p w14:paraId="64D9E317" w14:textId="126B7AB5" w:rsidR="00EA316E" w:rsidRPr="009B6B1F" w:rsidRDefault="008F4006" w:rsidP="00280823">
      <w:pPr>
        <w:jc w:val="both"/>
        <w:rPr>
          <w:rFonts w:ascii="Book Antiqua" w:hAnsi="Book Antiqua"/>
        </w:rPr>
      </w:pPr>
      <w:r w:rsidRPr="009B6B1F">
        <w:rPr>
          <w:rFonts w:ascii="Book Antiqua" w:hAnsi="Book Antiqua"/>
        </w:rPr>
        <w:t>Micro-targeting is generally perceived</w:t>
      </w:r>
      <w:r w:rsidR="00190086" w:rsidRPr="009B6B1F">
        <w:rPr>
          <w:rFonts w:ascii="Book Antiqua" w:hAnsi="Book Antiqua"/>
        </w:rPr>
        <w:t xml:space="preserve"> </w:t>
      </w:r>
      <w:r w:rsidRPr="009B6B1F">
        <w:rPr>
          <w:rFonts w:ascii="Book Antiqua" w:hAnsi="Book Antiqua"/>
        </w:rPr>
        <w:t>as a normalised</w:t>
      </w:r>
      <w:r w:rsidR="008C70A6" w:rsidRPr="009B6B1F">
        <w:rPr>
          <w:rStyle w:val="FootnoteReference"/>
          <w:rFonts w:ascii="Book Antiqua" w:hAnsi="Book Antiqua"/>
        </w:rPr>
        <w:footnoteReference w:id="8"/>
      </w:r>
      <w:r w:rsidRPr="009B6B1F">
        <w:rPr>
          <w:rFonts w:ascii="Book Antiqua" w:hAnsi="Book Antiqua"/>
        </w:rPr>
        <w:t xml:space="preserve"> marketing and campaign strategy </w:t>
      </w:r>
      <w:r w:rsidR="00C166B9" w:rsidRPr="009B6B1F">
        <w:rPr>
          <w:rFonts w:ascii="Book Antiqua" w:hAnsi="Book Antiqua"/>
        </w:rPr>
        <w:t>that uses data and demographics to create audience segments</w:t>
      </w:r>
      <w:r w:rsidR="00CC5CF3">
        <w:rPr>
          <w:rFonts w:ascii="Book Antiqua" w:hAnsi="Book Antiqua"/>
        </w:rPr>
        <w:t xml:space="preserve">. </w:t>
      </w:r>
      <w:r w:rsidR="00C166B9" w:rsidRPr="009B6B1F">
        <w:rPr>
          <w:rFonts w:ascii="Book Antiqua" w:hAnsi="Book Antiqua"/>
        </w:rPr>
        <w:t>The data includes</w:t>
      </w:r>
      <w:r w:rsidR="00584185" w:rsidRPr="009B6B1F">
        <w:rPr>
          <w:rFonts w:ascii="Book Antiqua" w:hAnsi="Book Antiqua"/>
        </w:rPr>
        <w:t xml:space="preserve"> </w:t>
      </w:r>
      <w:r w:rsidRPr="009B6B1F">
        <w:rPr>
          <w:rFonts w:ascii="Book Antiqua" w:hAnsi="Book Antiqua"/>
        </w:rPr>
        <w:t>personal information</w:t>
      </w:r>
      <w:r w:rsidR="00186A6E" w:rsidRPr="009B6B1F">
        <w:rPr>
          <w:rFonts w:ascii="Book Antiqua" w:hAnsi="Book Antiqua"/>
        </w:rPr>
        <w:t>,</w:t>
      </w:r>
      <w:r w:rsidRPr="009B6B1F">
        <w:rPr>
          <w:rFonts w:ascii="Book Antiqua" w:hAnsi="Book Antiqua"/>
        </w:rPr>
        <w:t xml:space="preserve"> actual behaviour and textual information about social interactions, conversations,</w:t>
      </w:r>
      <w:r w:rsidR="00584185" w:rsidRPr="009B6B1F">
        <w:rPr>
          <w:rFonts w:ascii="Book Antiqua" w:hAnsi="Book Antiqua"/>
        </w:rPr>
        <w:t xml:space="preserve"> reading and commenting history. This data</w:t>
      </w:r>
      <w:r w:rsidRPr="009B6B1F">
        <w:rPr>
          <w:rFonts w:ascii="Book Antiqua" w:hAnsi="Book Antiqua"/>
        </w:rPr>
        <w:t xml:space="preserve"> is processed and analysed to determine political leanings and personal attributes with such precision </w:t>
      </w:r>
      <w:r w:rsidR="00186A6E" w:rsidRPr="009B6B1F">
        <w:rPr>
          <w:rFonts w:ascii="Book Antiqua" w:hAnsi="Book Antiqua"/>
        </w:rPr>
        <w:t>that even</w:t>
      </w:r>
      <w:r w:rsidR="00584185" w:rsidRPr="009B6B1F">
        <w:rPr>
          <w:rFonts w:ascii="Book Antiqua" w:hAnsi="Book Antiqua"/>
        </w:rPr>
        <w:t xml:space="preserve"> information </w:t>
      </w:r>
      <w:r w:rsidR="00186A6E" w:rsidRPr="009B6B1F">
        <w:rPr>
          <w:rFonts w:ascii="Book Antiqua" w:hAnsi="Book Antiqua"/>
        </w:rPr>
        <w:t>not</w:t>
      </w:r>
      <w:r w:rsidRPr="009B6B1F">
        <w:rPr>
          <w:rFonts w:ascii="Book Antiqua" w:hAnsi="Book Antiqua"/>
        </w:rPr>
        <w:t xml:space="preserve"> </w:t>
      </w:r>
      <w:r w:rsidR="00584185" w:rsidRPr="009B6B1F">
        <w:rPr>
          <w:rFonts w:ascii="Book Antiqua" w:hAnsi="Book Antiqua"/>
        </w:rPr>
        <w:t>explicit</w:t>
      </w:r>
      <w:r w:rsidR="00186A6E" w:rsidRPr="009B6B1F">
        <w:rPr>
          <w:rFonts w:ascii="Book Antiqua" w:hAnsi="Book Antiqua"/>
        </w:rPr>
        <w:t>ly</w:t>
      </w:r>
      <w:r w:rsidR="00584185" w:rsidRPr="009B6B1F">
        <w:rPr>
          <w:rFonts w:ascii="Book Antiqua" w:hAnsi="Book Antiqua"/>
        </w:rPr>
        <w:t xml:space="preserve"> given</w:t>
      </w:r>
      <w:r w:rsidR="00186A6E" w:rsidRPr="009B6B1F">
        <w:rPr>
          <w:rFonts w:ascii="Book Antiqua" w:hAnsi="Book Antiqua"/>
        </w:rPr>
        <w:t xml:space="preserve"> can be established</w:t>
      </w:r>
      <w:r w:rsidRPr="009B6B1F">
        <w:rPr>
          <w:rFonts w:ascii="Book Antiqua" w:hAnsi="Book Antiqua"/>
        </w:rPr>
        <w:t>.</w:t>
      </w:r>
      <w:r w:rsidRPr="009B6B1F">
        <w:rPr>
          <w:rStyle w:val="FootnoteReference"/>
          <w:rFonts w:ascii="Book Antiqua" w:hAnsi="Book Antiqua"/>
        </w:rPr>
        <w:footnoteReference w:id="9"/>
      </w:r>
      <w:r w:rsidR="00397CA2">
        <w:rPr>
          <w:rFonts w:ascii="Book Antiqua" w:hAnsi="Book Antiqua"/>
        </w:rPr>
        <w:t xml:space="preserve"> These insight are</w:t>
      </w:r>
      <w:r w:rsidRPr="009B6B1F">
        <w:rPr>
          <w:rFonts w:ascii="Book Antiqua" w:hAnsi="Book Antiqua"/>
        </w:rPr>
        <w:t xml:space="preserve"> used to</w:t>
      </w:r>
      <w:r w:rsidR="00186A6E" w:rsidRPr="009B6B1F">
        <w:rPr>
          <w:rFonts w:ascii="Book Antiqua" w:hAnsi="Book Antiqua"/>
        </w:rPr>
        <w:t xml:space="preserve"> identify which types of</w:t>
      </w:r>
      <w:r w:rsidRPr="009B6B1F">
        <w:rPr>
          <w:rFonts w:ascii="Book Antiqua" w:hAnsi="Book Antiqua"/>
        </w:rPr>
        <w:t xml:space="preserve"> political campaign advert</w:t>
      </w:r>
      <w:r w:rsidR="00C940D3" w:rsidRPr="009B6B1F">
        <w:rPr>
          <w:rFonts w:ascii="Book Antiqua" w:hAnsi="Book Antiqua"/>
        </w:rPr>
        <w:t>isement</w:t>
      </w:r>
      <w:r w:rsidRPr="009B6B1F">
        <w:rPr>
          <w:rFonts w:ascii="Book Antiqua" w:hAnsi="Book Antiqua"/>
        </w:rPr>
        <w:t xml:space="preserve">s </w:t>
      </w:r>
      <w:r w:rsidR="00584185" w:rsidRPr="009B6B1F">
        <w:rPr>
          <w:rFonts w:ascii="Book Antiqua" w:hAnsi="Book Antiqua"/>
        </w:rPr>
        <w:t xml:space="preserve">should be sent to which </w:t>
      </w:r>
      <w:r w:rsidRPr="009B6B1F">
        <w:rPr>
          <w:rFonts w:ascii="Book Antiqua" w:hAnsi="Book Antiqua"/>
        </w:rPr>
        <w:t>individuals</w:t>
      </w:r>
      <w:r w:rsidR="00C940D3" w:rsidRPr="009B6B1F">
        <w:rPr>
          <w:rFonts w:ascii="Book Antiqua" w:hAnsi="Book Antiqua"/>
        </w:rPr>
        <w:t xml:space="preserve"> over social media. </w:t>
      </w:r>
      <w:r w:rsidRPr="009B6B1F">
        <w:rPr>
          <w:rFonts w:ascii="Book Antiqua" w:hAnsi="Book Antiqua"/>
        </w:rPr>
        <w:t xml:space="preserve">Personality traits can be measured </w:t>
      </w:r>
      <w:r w:rsidR="00057AE8">
        <w:rPr>
          <w:rFonts w:ascii="Book Antiqua" w:hAnsi="Book Antiqua"/>
        </w:rPr>
        <w:t>to inform</w:t>
      </w:r>
      <w:r w:rsidRPr="009B6B1F">
        <w:rPr>
          <w:rFonts w:ascii="Book Antiqua" w:hAnsi="Book Antiqua"/>
        </w:rPr>
        <w:t xml:space="preserve"> tailored emotionalised political advert</w:t>
      </w:r>
      <w:r w:rsidR="00C940D3" w:rsidRPr="009B6B1F">
        <w:rPr>
          <w:rFonts w:ascii="Book Antiqua" w:hAnsi="Book Antiqua"/>
        </w:rPr>
        <w:t>isement</w:t>
      </w:r>
      <w:r w:rsidRPr="009B6B1F">
        <w:rPr>
          <w:rFonts w:ascii="Book Antiqua" w:hAnsi="Book Antiqua"/>
        </w:rPr>
        <w:t>s often described as psychographics.</w:t>
      </w:r>
      <w:r w:rsidRPr="009B6B1F">
        <w:rPr>
          <w:rStyle w:val="FootnoteReference"/>
          <w:rFonts w:ascii="Book Antiqua" w:hAnsi="Book Antiqua"/>
        </w:rPr>
        <w:footnoteReference w:id="10"/>
      </w:r>
      <w:r w:rsidRPr="009B6B1F">
        <w:rPr>
          <w:rFonts w:ascii="Book Antiqua" w:hAnsi="Book Antiqua"/>
        </w:rPr>
        <w:t xml:space="preserve"> However, the individual does not know they have </w:t>
      </w:r>
      <w:r w:rsidRPr="009B6B1F">
        <w:rPr>
          <w:rFonts w:ascii="Book Antiqua" w:hAnsi="Book Antiqua"/>
          <w:noProof/>
        </w:rPr>
        <w:t>been profiled</w:t>
      </w:r>
      <w:r w:rsidRPr="009B6B1F">
        <w:rPr>
          <w:rFonts w:ascii="Book Antiqua" w:hAnsi="Book Antiqua"/>
        </w:rPr>
        <w:t xml:space="preserve"> </w:t>
      </w:r>
      <w:r w:rsidRPr="009B6B1F">
        <w:rPr>
          <w:rFonts w:ascii="Book Antiqua" w:hAnsi="Book Antiqua"/>
          <w:noProof/>
        </w:rPr>
        <w:t>based o</w:t>
      </w:r>
      <w:r w:rsidRPr="009B6B1F">
        <w:rPr>
          <w:rFonts w:ascii="Book Antiqua" w:hAnsi="Book Antiqua"/>
        </w:rPr>
        <w:t xml:space="preserve">n their data or that they have </w:t>
      </w:r>
      <w:r w:rsidRPr="009B6B1F">
        <w:rPr>
          <w:rFonts w:ascii="Book Antiqua" w:hAnsi="Book Antiqua"/>
          <w:noProof/>
        </w:rPr>
        <w:t>been selected</w:t>
      </w:r>
      <w:r w:rsidR="00ED6D56">
        <w:rPr>
          <w:rFonts w:ascii="Book Antiqua" w:hAnsi="Book Antiqua"/>
        </w:rPr>
        <w:t xml:space="preserve"> for targeting.</w:t>
      </w:r>
      <w:r w:rsidRPr="009B6B1F">
        <w:rPr>
          <w:rStyle w:val="FootnoteReference"/>
          <w:rFonts w:ascii="Book Antiqua" w:hAnsi="Book Antiqua"/>
        </w:rPr>
        <w:footnoteReference w:id="11"/>
      </w:r>
      <w:r w:rsidRPr="009B6B1F">
        <w:rPr>
          <w:rFonts w:ascii="Book Antiqua" w:hAnsi="Book Antiqua"/>
        </w:rPr>
        <w:t xml:space="preserve"> </w:t>
      </w:r>
      <w:r w:rsidR="006D354B" w:rsidRPr="009B6B1F">
        <w:rPr>
          <w:rFonts w:ascii="Book Antiqua" w:hAnsi="Book Antiqua"/>
        </w:rPr>
        <w:t>Micro-targeted advertisements are difficult to detect because by using dark advertisements only the sender, the social media platform and the receiver know what has been sent to whom.</w:t>
      </w:r>
      <w:r w:rsidRPr="009B6B1F">
        <w:rPr>
          <w:rStyle w:val="FootnoteReference"/>
          <w:rFonts w:ascii="Book Antiqua" w:hAnsi="Book Antiqua"/>
        </w:rPr>
        <w:footnoteReference w:id="12"/>
      </w:r>
      <w:r w:rsidR="006D354B" w:rsidRPr="009B6B1F">
        <w:rPr>
          <w:rFonts w:ascii="Book Antiqua" w:hAnsi="Book Antiqua"/>
        </w:rPr>
        <w:t xml:space="preserve"> </w:t>
      </w:r>
      <w:r w:rsidRPr="009B6B1F">
        <w:rPr>
          <w:rFonts w:ascii="Book Antiqua" w:hAnsi="Book Antiqua"/>
        </w:rPr>
        <w:t>The supposed aim of this practice is to influence and change voting behaviour for the benefit of the political party or group deploying these techniques.</w:t>
      </w:r>
      <w:r w:rsidRPr="009B6B1F">
        <w:rPr>
          <w:rFonts w:ascii="Book Antiqua" w:hAnsi="Book Antiqua"/>
          <w:vertAlign w:val="superscript"/>
        </w:rPr>
        <w:footnoteReference w:id="13"/>
      </w:r>
      <w:r w:rsidRPr="009B6B1F">
        <w:rPr>
          <w:rFonts w:ascii="Book Antiqua" w:hAnsi="Book Antiqua"/>
        </w:rPr>
        <w:t xml:space="preserve"> </w:t>
      </w:r>
    </w:p>
    <w:p w14:paraId="543801F3" w14:textId="321F95C2" w:rsidR="00EA316E" w:rsidRPr="009B6B1F" w:rsidRDefault="008F4006" w:rsidP="00280823">
      <w:pPr>
        <w:jc w:val="both"/>
        <w:rPr>
          <w:rFonts w:ascii="Book Antiqua" w:hAnsi="Book Antiqua"/>
        </w:rPr>
      </w:pPr>
      <w:r w:rsidRPr="009B6B1F">
        <w:rPr>
          <w:rFonts w:ascii="Book Antiqua" w:hAnsi="Book Antiqua"/>
        </w:rPr>
        <w:t>This paper will use these new campaign techniques to argue that the existing statutory regime</w:t>
      </w:r>
      <w:r w:rsidR="00DD7B4D" w:rsidRPr="009B6B1F">
        <w:rPr>
          <w:rFonts w:ascii="Book Antiqua" w:hAnsi="Book Antiqua"/>
        </w:rPr>
        <w:t xml:space="preserve">, particularly regarding data protection and online </w:t>
      </w:r>
      <w:r w:rsidR="00397CA2">
        <w:rPr>
          <w:rFonts w:ascii="Book Antiqua" w:hAnsi="Book Antiqua"/>
        </w:rPr>
        <w:t xml:space="preserve">direct </w:t>
      </w:r>
      <w:r w:rsidR="00DD7B4D" w:rsidRPr="009B6B1F">
        <w:rPr>
          <w:rFonts w:ascii="Book Antiqua" w:hAnsi="Book Antiqua"/>
        </w:rPr>
        <w:t>marketing techniques,</w:t>
      </w:r>
      <w:r w:rsidRPr="009B6B1F">
        <w:rPr>
          <w:rStyle w:val="FootnoteReference"/>
          <w:rFonts w:ascii="Book Antiqua" w:hAnsi="Book Antiqua"/>
        </w:rPr>
        <w:footnoteReference w:id="14"/>
      </w:r>
      <w:r w:rsidRPr="009B6B1F">
        <w:rPr>
          <w:rFonts w:ascii="Book Antiqua" w:hAnsi="Book Antiqua"/>
        </w:rPr>
        <w:t xml:space="preserve"> cannot adequately and coherently respond to the issues that these methods raise.</w:t>
      </w:r>
      <w:r w:rsidRPr="009B6B1F">
        <w:rPr>
          <w:rStyle w:val="FootnoteReference"/>
          <w:rFonts w:ascii="Book Antiqua" w:hAnsi="Book Antiqua"/>
        </w:rPr>
        <w:footnoteReference w:id="15"/>
      </w:r>
      <w:r w:rsidRPr="009B6B1F">
        <w:rPr>
          <w:rFonts w:ascii="Book Antiqua" w:hAnsi="Book Antiqua"/>
        </w:rPr>
        <w:t xml:space="preserve"> </w:t>
      </w:r>
      <w:r w:rsidR="008F49EB" w:rsidRPr="009B6B1F">
        <w:rPr>
          <w:rFonts w:ascii="Book Antiqua" w:hAnsi="Book Antiqua"/>
        </w:rPr>
        <w:t xml:space="preserve">To examine the potential detrimental effect of micro-targeting and other related online communication techniques this paper </w:t>
      </w:r>
      <w:r w:rsidR="00381534" w:rsidRPr="009B6B1F">
        <w:rPr>
          <w:rFonts w:ascii="Book Antiqua" w:hAnsi="Book Antiqua"/>
        </w:rPr>
        <w:t>refers to legal, scientific and technological scholarship</w:t>
      </w:r>
      <w:r w:rsidR="008F49EB" w:rsidRPr="009B6B1F">
        <w:rPr>
          <w:rFonts w:ascii="Book Antiqua" w:hAnsi="Book Antiqua"/>
        </w:rPr>
        <w:t xml:space="preserve">. </w:t>
      </w:r>
      <w:r w:rsidRPr="009B6B1F">
        <w:rPr>
          <w:rFonts w:ascii="Book Antiqua" w:hAnsi="Book Antiqua"/>
        </w:rPr>
        <w:t>It illustrates how</w:t>
      </w:r>
      <w:r w:rsidR="00C940D3" w:rsidRPr="009B6B1F">
        <w:rPr>
          <w:rFonts w:ascii="Book Antiqua" w:hAnsi="Book Antiqua"/>
        </w:rPr>
        <w:t xml:space="preserve"> </w:t>
      </w:r>
      <w:r w:rsidRPr="009B6B1F">
        <w:rPr>
          <w:rFonts w:ascii="Book Antiqua" w:hAnsi="Book Antiqua"/>
        </w:rPr>
        <w:t xml:space="preserve">the regulatory framework does not fulfil its purpose of maintaining fair, clean and free elections. This is highly problematic, particularly when trust in the democratic process is low and when the integrity of democracy as a system of governance is globally undermined and challenged. </w:t>
      </w:r>
      <w:r w:rsidR="009A3E3B" w:rsidRPr="009B6B1F">
        <w:rPr>
          <w:rFonts w:ascii="Book Antiqua" w:hAnsi="Book Antiqua"/>
        </w:rPr>
        <w:t>Finally</w:t>
      </w:r>
      <w:r w:rsidR="00C11345" w:rsidRPr="009B6B1F">
        <w:rPr>
          <w:rFonts w:ascii="Book Antiqua" w:hAnsi="Book Antiqua"/>
        </w:rPr>
        <w:t>,</w:t>
      </w:r>
      <w:r w:rsidR="009A3E3B" w:rsidRPr="009B6B1F">
        <w:rPr>
          <w:rFonts w:ascii="Book Antiqua" w:hAnsi="Book Antiqua"/>
        </w:rPr>
        <w:t xml:space="preserve"> it critiques recent proposals for reform</w:t>
      </w:r>
      <w:r w:rsidR="00C11345" w:rsidRPr="009B6B1F">
        <w:rPr>
          <w:rFonts w:ascii="Book Antiqua" w:hAnsi="Book Antiqua"/>
        </w:rPr>
        <w:t xml:space="preserve"> that offer piecemeal updates to the existing framework</w:t>
      </w:r>
      <w:r w:rsidR="009A3E3B" w:rsidRPr="009B6B1F">
        <w:rPr>
          <w:rFonts w:ascii="Book Antiqua" w:hAnsi="Book Antiqua"/>
        </w:rPr>
        <w:t>.</w:t>
      </w:r>
    </w:p>
    <w:p w14:paraId="6124355A" w14:textId="4D535AAC" w:rsidR="0016683C" w:rsidRPr="009B6B1F" w:rsidRDefault="008F4006" w:rsidP="00280823">
      <w:pPr>
        <w:jc w:val="both"/>
        <w:rPr>
          <w:rFonts w:ascii="Book Antiqua" w:hAnsi="Book Antiqua"/>
          <w:b/>
          <w:color w:val="FF0000"/>
        </w:rPr>
      </w:pPr>
      <w:r w:rsidRPr="009B6B1F">
        <w:rPr>
          <w:rFonts w:ascii="Book Antiqua" w:hAnsi="Book Antiqua"/>
          <w:b/>
        </w:rPr>
        <w:t xml:space="preserve">Micro-targeting as a form </w:t>
      </w:r>
      <w:r w:rsidR="004D3945" w:rsidRPr="009B6B1F">
        <w:rPr>
          <w:rFonts w:ascii="Book Antiqua" w:hAnsi="Book Antiqua"/>
          <w:b/>
        </w:rPr>
        <w:t xml:space="preserve">of </w:t>
      </w:r>
      <w:r w:rsidRPr="009B6B1F">
        <w:rPr>
          <w:rFonts w:ascii="Book Antiqua" w:hAnsi="Book Antiqua"/>
          <w:b/>
        </w:rPr>
        <w:t>political communication</w:t>
      </w:r>
    </w:p>
    <w:p w14:paraId="2FD8695A" w14:textId="0D0A8AB4" w:rsidR="00160F3C" w:rsidRPr="009B6B1F" w:rsidRDefault="008F4006" w:rsidP="00280823">
      <w:pPr>
        <w:jc w:val="both"/>
        <w:rPr>
          <w:rFonts w:ascii="Book Antiqua" w:hAnsi="Book Antiqua" w:cs="Times New Roman"/>
          <w:color w:val="111111"/>
          <w:shd w:val="clear" w:color="auto" w:fill="FFFFFF"/>
        </w:rPr>
      </w:pPr>
      <w:r w:rsidRPr="009B6B1F">
        <w:rPr>
          <w:rFonts w:ascii="Book Antiqua" w:hAnsi="Book Antiqua"/>
        </w:rPr>
        <w:lastRenderedPageBreak/>
        <w:t>Big data</w:t>
      </w:r>
      <w:r w:rsidR="00756F17" w:rsidRPr="009B6B1F">
        <w:rPr>
          <w:rFonts w:ascii="Book Antiqua" w:hAnsi="Book Antiqua"/>
        </w:rPr>
        <w:t xml:space="preserve"> is</w:t>
      </w:r>
      <w:r w:rsidR="00EA4112" w:rsidRPr="009B6B1F">
        <w:rPr>
          <w:rFonts w:ascii="Book Antiqua" w:hAnsi="Book Antiqua"/>
        </w:rPr>
        <w:t xml:space="preserve"> </w:t>
      </w:r>
      <w:r w:rsidR="00F95E2F" w:rsidRPr="009B6B1F">
        <w:rPr>
          <w:rFonts w:ascii="Book Antiqua" w:hAnsi="Book Antiqua"/>
        </w:rPr>
        <w:t>“</w:t>
      </w:r>
      <w:r w:rsidRPr="009B6B1F">
        <w:rPr>
          <w:rFonts w:ascii="Book Antiqua" w:hAnsi="Book Antiqua"/>
        </w:rPr>
        <w:t>high velocity, complex and variable</w:t>
      </w:r>
      <w:r w:rsidR="00F95E2F" w:rsidRPr="009B6B1F">
        <w:rPr>
          <w:rFonts w:ascii="Book Antiqua" w:hAnsi="Book Antiqua"/>
        </w:rPr>
        <w:t>”</w:t>
      </w:r>
      <w:r w:rsidR="00EA4112" w:rsidRPr="009B6B1F">
        <w:rPr>
          <w:rFonts w:ascii="Book Antiqua" w:hAnsi="Book Antiqua"/>
        </w:rPr>
        <w:t xml:space="preserve"> </w:t>
      </w:r>
      <w:r w:rsidR="00BE74DC" w:rsidRPr="009B6B1F">
        <w:rPr>
          <w:rFonts w:ascii="Book Antiqua" w:hAnsi="Book Antiqua"/>
        </w:rPr>
        <w:t xml:space="preserve">data </w:t>
      </w:r>
      <w:r w:rsidR="00EA4112" w:rsidRPr="009B6B1F">
        <w:rPr>
          <w:rFonts w:ascii="Book Antiqua" w:hAnsi="Book Antiqua"/>
        </w:rPr>
        <w:t>and as such</w:t>
      </w:r>
      <w:r w:rsidRPr="009B6B1F">
        <w:rPr>
          <w:rFonts w:ascii="Book Antiqua" w:hAnsi="Book Antiqua"/>
        </w:rPr>
        <w:t xml:space="preserve"> require</w:t>
      </w:r>
      <w:r w:rsidR="00EA4112" w:rsidRPr="009B6B1F">
        <w:rPr>
          <w:rFonts w:ascii="Book Antiqua" w:hAnsi="Book Antiqua"/>
        </w:rPr>
        <w:t>s</w:t>
      </w:r>
      <w:r w:rsidRPr="009B6B1F">
        <w:rPr>
          <w:rFonts w:ascii="Book Antiqua" w:hAnsi="Book Antiqua"/>
        </w:rPr>
        <w:t xml:space="preserve"> </w:t>
      </w:r>
      <w:r w:rsidR="00EA4112" w:rsidRPr="009B6B1F">
        <w:rPr>
          <w:rFonts w:ascii="Book Antiqua" w:hAnsi="Book Antiqua"/>
        </w:rPr>
        <w:t>sophisticated</w:t>
      </w:r>
      <w:r w:rsidRPr="009B6B1F">
        <w:rPr>
          <w:rFonts w:ascii="Book Antiqua" w:hAnsi="Book Antiqua"/>
        </w:rPr>
        <w:t xml:space="preserve"> technologies to </w:t>
      </w:r>
      <w:r w:rsidR="00EA4112" w:rsidRPr="009B6B1F">
        <w:rPr>
          <w:rFonts w:ascii="Book Antiqua" w:hAnsi="Book Antiqua"/>
        </w:rPr>
        <w:t>capture, store</w:t>
      </w:r>
      <w:r w:rsidRPr="009B6B1F">
        <w:rPr>
          <w:rFonts w:ascii="Book Antiqua" w:hAnsi="Book Antiqua"/>
        </w:rPr>
        <w:t>, distribut</w:t>
      </w:r>
      <w:r w:rsidR="00EA4112" w:rsidRPr="009B6B1F">
        <w:rPr>
          <w:rFonts w:ascii="Book Antiqua" w:hAnsi="Book Antiqua"/>
        </w:rPr>
        <w:t>e</w:t>
      </w:r>
      <w:r w:rsidRPr="009B6B1F">
        <w:rPr>
          <w:rFonts w:ascii="Book Antiqua" w:hAnsi="Book Antiqua"/>
        </w:rPr>
        <w:t>, manage, and analys</w:t>
      </w:r>
      <w:r w:rsidR="00EA4112" w:rsidRPr="009B6B1F">
        <w:rPr>
          <w:rFonts w:ascii="Book Antiqua" w:hAnsi="Book Antiqua"/>
        </w:rPr>
        <w:t>e</w:t>
      </w:r>
      <w:r w:rsidRPr="009B6B1F">
        <w:rPr>
          <w:rFonts w:ascii="Book Antiqua" w:hAnsi="Book Antiqua"/>
        </w:rPr>
        <w:t xml:space="preserve"> </w:t>
      </w:r>
      <w:r w:rsidR="00EA4112" w:rsidRPr="009B6B1F">
        <w:rPr>
          <w:rFonts w:ascii="Book Antiqua" w:hAnsi="Book Antiqua"/>
        </w:rPr>
        <w:t>the information</w:t>
      </w:r>
      <w:r w:rsidR="00756F17" w:rsidRPr="009B6B1F">
        <w:rPr>
          <w:rFonts w:ascii="Book Antiqua" w:hAnsi="Book Antiqua"/>
        </w:rPr>
        <w:t>.</w:t>
      </w:r>
      <w:r w:rsidRPr="009B6B1F">
        <w:rPr>
          <w:rStyle w:val="FootnoteReference"/>
          <w:rFonts w:ascii="Book Antiqua" w:hAnsi="Book Antiqua"/>
        </w:rPr>
        <w:footnoteReference w:id="16"/>
      </w:r>
      <w:r w:rsidRPr="009B6B1F">
        <w:rPr>
          <w:rFonts w:ascii="Book Antiqua" w:hAnsi="Book Antiqua"/>
        </w:rPr>
        <w:t xml:space="preserve"> </w:t>
      </w:r>
      <w:r w:rsidR="00756F17" w:rsidRPr="009B6B1F">
        <w:rPr>
          <w:rFonts w:ascii="Book Antiqua" w:hAnsi="Book Antiqua"/>
        </w:rPr>
        <w:t xml:space="preserve">The data set </w:t>
      </w:r>
      <w:r w:rsidRPr="009B6B1F">
        <w:rPr>
          <w:rFonts w:ascii="Book Antiqua" w:hAnsi="Book Antiqua"/>
        </w:rPr>
        <w:t xml:space="preserve">is </w:t>
      </w:r>
      <w:r w:rsidR="00EA4112" w:rsidRPr="009B6B1F">
        <w:rPr>
          <w:rFonts w:ascii="Book Antiqua" w:hAnsi="Book Antiqua"/>
        </w:rPr>
        <w:t>too</w:t>
      </w:r>
      <w:r w:rsidRPr="009B6B1F">
        <w:rPr>
          <w:rFonts w:ascii="Book Antiqua" w:hAnsi="Book Antiqua"/>
        </w:rPr>
        <w:t xml:space="preserve"> enormous </w:t>
      </w:r>
      <w:r w:rsidR="00EA4112" w:rsidRPr="009B6B1F">
        <w:rPr>
          <w:rFonts w:ascii="Book Antiqua" w:hAnsi="Book Antiqua"/>
        </w:rPr>
        <w:t>to</w:t>
      </w:r>
      <w:r w:rsidRPr="009B6B1F">
        <w:rPr>
          <w:rFonts w:ascii="Book Antiqua" w:hAnsi="Book Antiqua"/>
        </w:rPr>
        <w:t xml:space="preserve"> be efficient</w:t>
      </w:r>
      <w:r w:rsidR="00EA4112" w:rsidRPr="009B6B1F">
        <w:rPr>
          <w:rFonts w:ascii="Book Antiqua" w:hAnsi="Book Antiqua"/>
        </w:rPr>
        <w:t>ly processed manually by humans</w:t>
      </w:r>
      <w:r w:rsidR="001375C0" w:rsidRPr="009B6B1F">
        <w:rPr>
          <w:rFonts w:ascii="Book Antiqua" w:hAnsi="Book Antiqua"/>
        </w:rPr>
        <w:t xml:space="preserve">, </w:t>
      </w:r>
      <w:r w:rsidR="00EA4112" w:rsidRPr="009B6B1F">
        <w:rPr>
          <w:rFonts w:ascii="Book Antiqua" w:hAnsi="Book Antiqua"/>
        </w:rPr>
        <w:t>so</w:t>
      </w:r>
      <w:r w:rsidRPr="009B6B1F">
        <w:rPr>
          <w:rFonts w:ascii="Book Antiqua" w:hAnsi="Book Antiqua"/>
        </w:rPr>
        <w:t xml:space="preserve"> algorithms analyse the information to reveal trends, patterns and correlations</w:t>
      </w:r>
      <w:r w:rsidR="00EA4112" w:rsidRPr="009B6B1F">
        <w:rPr>
          <w:rFonts w:ascii="Book Antiqua" w:hAnsi="Book Antiqua"/>
        </w:rPr>
        <w:t>.</w:t>
      </w:r>
      <w:r w:rsidRPr="009B6B1F">
        <w:rPr>
          <w:rStyle w:val="FootnoteReference"/>
          <w:rFonts w:ascii="Book Antiqua" w:hAnsi="Book Antiqua"/>
        </w:rPr>
        <w:footnoteReference w:id="17"/>
      </w:r>
      <w:r w:rsidR="00EA4112" w:rsidRPr="009B6B1F">
        <w:rPr>
          <w:rFonts w:ascii="Book Antiqua" w:hAnsi="Book Antiqua"/>
        </w:rPr>
        <w:t xml:space="preserve"> It is this process that</w:t>
      </w:r>
      <w:r w:rsidRPr="009B6B1F">
        <w:rPr>
          <w:rFonts w:ascii="Book Antiqua" w:hAnsi="Book Antiqua"/>
        </w:rPr>
        <w:t xml:space="preserve"> </w:t>
      </w:r>
      <w:r w:rsidR="00EA4112" w:rsidRPr="009B6B1F">
        <w:rPr>
          <w:rFonts w:ascii="Book Antiqua" w:hAnsi="Book Antiqua"/>
        </w:rPr>
        <w:t>enables algorithms to make</w:t>
      </w:r>
      <w:r w:rsidRPr="009B6B1F">
        <w:rPr>
          <w:rFonts w:ascii="Book Antiqua" w:hAnsi="Book Antiqua"/>
        </w:rPr>
        <w:t xml:space="preserve"> predictions or gain insights that</w:t>
      </w:r>
      <w:r w:rsidR="00902D1A" w:rsidRPr="009B6B1F">
        <w:rPr>
          <w:rFonts w:ascii="Book Antiqua" w:hAnsi="Book Antiqua"/>
        </w:rPr>
        <w:t xml:space="preserve"> are not otherwise made explicit</w:t>
      </w:r>
      <w:r w:rsidRPr="009B6B1F">
        <w:rPr>
          <w:rFonts w:ascii="Book Antiqua" w:hAnsi="Book Antiqua"/>
        </w:rPr>
        <w:t>.</w:t>
      </w:r>
      <w:r w:rsidRPr="009B6B1F">
        <w:rPr>
          <w:rStyle w:val="FootnoteReference"/>
          <w:rFonts w:ascii="Book Antiqua" w:hAnsi="Book Antiqua"/>
        </w:rPr>
        <w:footnoteReference w:id="18"/>
      </w:r>
      <w:r w:rsidRPr="009B6B1F">
        <w:rPr>
          <w:rFonts w:ascii="Book Antiqua" w:hAnsi="Book Antiqua"/>
          <w:color w:val="FF0000"/>
        </w:rPr>
        <w:t xml:space="preserve"> </w:t>
      </w:r>
      <w:r w:rsidR="009A3E3B" w:rsidRPr="009B6B1F">
        <w:rPr>
          <w:rFonts w:ascii="Book Antiqua" w:hAnsi="Book Antiqua"/>
          <w:color w:val="FF0000"/>
        </w:rPr>
        <w:t xml:space="preserve"> </w:t>
      </w:r>
      <w:r w:rsidRPr="009B6B1F">
        <w:rPr>
          <w:rFonts w:ascii="Book Antiqua" w:hAnsi="Book Antiqua" w:cs="Times New Roman"/>
          <w:color w:val="111111"/>
          <w:shd w:val="clear" w:color="auto" w:fill="FFFFFF"/>
        </w:rPr>
        <w:t>Big d</w:t>
      </w:r>
      <w:r w:rsidR="009A3E3B" w:rsidRPr="009B6B1F">
        <w:rPr>
          <w:rFonts w:ascii="Book Antiqua" w:hAnsi="Book Antiqua" w:cs="Times New Roman"/>
          <w:color w:val="111111"/>
          <w:shd w:val="clear" w:color="auto" w:fill="FFFFFF"/>
        </w:rPr>
        <w:t xml:space="preserve">ata </w:t>
      </w:r>
      <w:r w:rsidRPr="009B6B1F">
        <w:rPr>
          <w:rFonts w:ascii="Book Antiqua" w:hAnsi="Book Antiqua" w:cs="Times New Roman"/>
          <w:color w:val="111111"/>
          <w:shd w:val="clear" w:color="auto" w:fill="FFFFFF"/>
        </w:rPr>
        <w:t>can</w:t>
      </w:r>
      <w:r w:rsidR="00F95E2F" w:rsidRPr="009B6B1F">
        <w:rPr>
          <w:rFonts w:ascii="Book Antiqua" w:hAnsi="Book Antiqua" w:cs="Times New Roman"/>
          <w:color w:val="111111"/>
          <w:shd w:val="clear" w:color="auto" w:fill="FFFFFF"/>
        </w:rPr>
        <w:t xml:space="preserve"> turn unseen correlations into “</w:t>
      </w:r>
      <w:r w:rsidRPr="009B6B1F">
        <w:rPr>
          <w:rFonts w:ascii="Book Antiqua" w:hAnsi="Book Antiqua" w:cs="Times New Roman"/>
          <w:color w:val="111111"/>
          <w:shd w:val="clear" w:color="auto" w:fill="FFFFFF"/>
        </w:rPr>
        <w:t>objects of scien</w:t>
      </w:r>
      <w:r w:rsidR="00F95E2F" w:rsidRPr="009B6B1F">
        <w:rPr>
          <w:rFonts w:ascii="Book Antiqua" w:hAnsi="Book Antiqua" w:cs="Times New Roman"/>
          <w:color w:val="111111"/>
          <w:shd w:val="clear" w:color="auto" w:fill="FFFFFF"/>
        </w:rPr>
        <w:t>tific inquiry and manipulation.”</w:t>
      </w:r>
      <w:r w:rsidRPr="009B6B1F">
        <w:rPr>
          <w:rStyle w:val="FootnoteReference"/>
          <w:rFonts w:ascii="Book Antiqua" w:hAnsi="Book Antiqua" w:cs="Times New Roman"/>
          <w:color w:val="111111"/>
          <w:shd w:val="clear" w:color="auto" w:fill="FFFFFF"/>
        </w:rPr>
        <w:footnoteReference w:id="19"/>
      </w:r>
      <w:r w:rsidRPr="009B6B1F">
        <w:rPr>
          <w:rFonts w:ascii="Book Antiqua" w:hAnsi="Book Antiqua" w:cs="Times New Roman"/>
          <w:color w:val="111111"/>
          <w:shd w:val="clear" w:color="auto" w:fill="FFFFFF"/>
        </w:rPr>
        <w:t xml:space="preserve"> As such, techno-sociologists</w:t>
      </w:r>
      <w:r w:rsidR="009A3E3B" w:rsidRPr="009B6B1F">
        <w:rPr>
          <w:rFonts w:ascii="Book Antiqua" w:hAnsi="Book Antiqua" w:cs="Times New Roman"/>
          <w:color w:val="111111"/>
          <w:shd w:val="clear" w:color="auto" w:fill="FFFFFF"/>
        </w:rPr>
        <w:t xml:space="preserve"> urge</w:t>
      </w:r>
      <w:r w:rsidRPr="009B6B1F">
        <w:rPr>
          <w:rFonts w:ascii="Book Antiqua" w:hAnsi="Book Antiqua" w:cs="Times New Roman"/>
          <w:color w:val="111111"/>
          <w:shd w:val="clear" w:color="auto" w:fill="FFFFFF"/>
        </w:rPr>
        <w:t xml:space="preserve"> that big data needs to be regarded as a political process engaging issues of transparency, power and surveillance – particularly because it is a t</w:t>
      </w:r>
      <w:r w:rsidR="00F95E2F" w:rsidRPr="009B6B1F">
        <w:rPr>
          <w:rFonts w:ascii="Book Antiqua" w:hAnsi="Book Antiqua" w:cs="Times New Roman"/>
          <w:color w:val="111111"/>
          <w:shd w:val="clear" w:color="auto" w:fill="FFFFFF"/>
        </w:rPr>
        <w:t>ool possessing the capacity to “engineer consent”</w:t>
      </w:r>
      <w:r w:rsidRPr="009B6B1F">
        <w:rPr>
          <w:rFonts w:ascii="Book Antiqua" w:hAnsi="Book Antiqua" w:cs="Times New Roman"/>
          <w:color w:val="111111"/>
          <w:shd w:val="clear" w:color="auto" w:fill="FFFFFF"/>
        </w:rPr>
        <w:t>.</w:t>
      </w:r>
      <w:r w:rsidRPr="009B6B1F">
        <w:rPr>
          <w:rStyle w:val="FootnoteReference"/>
          <w:rFonts w:ascii="Book Antiqua" w:hAnsi="Book Antiqua" w:cs="Times New Roman"/>
          <w:color w:val="111111"/>
          <w:shd w:val="clear" w:color="auto" w:fill="FFFFFF"/>
        </w:rPr>
        <w:footnoteReference w:id="20"/>
      </w:r>
      <w:r w:rsidRPr="009B6B1F">
        <w:rPr>
          <w:rFonts w:ascii="Book Antiqua" w:hAnsi="Book Antiqua" w:cs="Times New Roman"/>
          <w:color w:val="111111"/>
          <w:shd w:val="clear" w:color="auto" w:fill="FFFFFF"/>
        </w:rPr>
        <w:t xml:space="preserve"> </w:t>
      </w:r>
      <w:r w:rsidR="00F95E2F" w:rsidRPr="009B6B1F">
        <w:rPr>
          <w:rFonts w:ascii="Book Antiqua" w:hAnsi="Book Antiqua" w:cs="Times New Roman"/>
          <w:color w:val="111111"/>
          <w:shd w:val="clear" w:color="auto" w:fill="FFFFFF"/>
        </w:rPr>
        <w:t>However, “</w:t>
      </w:r>
      <w:r w:rsidRPr="009B6B1F">
        <w:rPr>
          <w:rFonts w:ascii="Book Antiqua" w:hAnsi="Book Antiqua" w:cs="Times New Roman"/>
          <w:color w:val="111111"/>
          <w:shd w:val="clear" w:color="auto" w:fill="FFFFFF"/>
        </w:rPr>
        <w:t>predicting attributes is much easier tha</w:t>
      </w:r>
      <w:r w:rsidR="00F95E2F" w:rsidRPr="009B6B1F">
        <w:rPr>
          <w:rFonts w:ascii="Book Antiqua" w:hAnsi="Book Antiqua" w:cs="Times New Roman"/>
          <w:color w:val="111111"/>
          <w:shd w:val="clear" w:color="auto" w:fill="FFFFFF"/>
        </w:rPr>
        <w:t>n persuading people”</w:t>
      </w:r>
      <w:r w:rsidRPr="009B6B1F">
        <w:rPr>
          <w:rFonts w:ascii="Book Antiqua" w:hAnsi="Book Antiqua" w:cs="Times New Roman"/>
          <w:color w:val="111111"/>
          <w:shd w:val="clear" w:color="auto" w:fill="FFFFFF"/>
        </w:rPr>
        <w:t xml:space="preserve"> and the idea that changing someone's opinion merely requires evaluating traits like openness or p</w:t>
      </w:r>
      <w:r w:rsidR="009A3E3B" w:rsidRPr="009B6B1F">
        <w:rPr>
          <w:rFonts w:ascii="Book Antiqua" w:hAnsi="Book Antiqua" w:cs="Times New Roman"/>
          <w:color w:val="111111"/>
          <w:shd w:val="clear" w:color="auto" w:fill="FFFFFF"/>
        </w:rPr>
        <w:t>olitical attitude is not proven.</w:t>
      </w:r>
      <w:r w:rsidRPr="009B6B1F">
        <w:rPr>
          <w:rStyle w:val="FootnoteReference"/>
          <w:rFonts w:ascii="Book Antiqua" w:hAnsi="Book Antiqua" w:cs="Times New Roman"/>
          <w:color w:val="111111"/>
          <w:shd w:val="clear" w:color="auto" w:fill="FFFFFF"/>
        </w:rPr>
        <w:footnoteReference w:id="21"/>
      </w:r>
    </w:p>
    <w:p w14:paraId="3E251F18" w14:textId="00C10647" w:rsidR="00F95E2F" w:rsidRPr="009B6B1F" w:rsidRDefault="000469E5" w:rsidP="00280823">
      <w:pPr>
        <w:jc w:val="both"/>
        <w:rPr>
          <w:rFonts w:ascii="Book Antiqua" w:hAnsi="Book Antiqua"/>
        </w:rPr>
      </w:pPr>
      <w:r>
        <w:rPr>
          <w:rFonts w:ascii="Book Antiqua" w:hAnsi="Book Antiqua" w:cs="Times New Roman"/>
          <w:shd w:val="clear" w:color="auto" w:fill="FFFFFF"/>
        </w:rPr>
        <w:t>D</w:t>
      </w:r>
      <w:r w:rsidR="008F4006" w:rsidRPr="009B6B1F">
        <w:rPr>
          <w:rFonts w:ascii="Book Antiqua" w:hAnsi="Book Antiqua" w:cs="Times New Roman"/>
          <w:shd w:val="clear" w:color="auto" w:fill="FFFFFF"/>
        </w:rPr>
        <w:t>a</w:t>
      </w:r>
      <w:r w:rsidR="002A6A51" w:rsidRPr="009B6B1F">
        <w:rPr>
          <w:rFonts w:ascii="Book Antiqua" w:hAnsi="Book Antiqua" w:cs="Times New Roman"/>
          <w:shd w:val="clear" w:color="auto" w:fill="FFFFFF"/>
        </w:rPr>
        <w:t xml:space="preserve">ta from </w:t>
      </w:r>
      <w:r w:rsidR="00AD339A">
        <w:rPr>
          <w:rFonts w:ascii="Book Antiqua" w:hAnsi="Book Antiqua" w:cs="Times New Roman"/>
          <w:shd w:val="clear" w:color="auto" w:fill="FFFFFF"/>
        </w:rPr>
        <w:t xml:space="preserve">credit reference agencies, </w:t>
      </w:r>
      <w:r w:rsidR="002A6A51" w:rsidRPr="009B6B1F">
        <w:rPr>
          <w:rFonts w:ascii="Book Antiqua" w:hAnsi="Book Antiqua" w:cs="Times New Roman"/>
          <w:shd w:val="clear" w:color="auto" w:fill="FFFFFF"/>
        </w:rPr>
        <w:t xml:space="preserve">insurance </w:t>
      </w:r>
      <w:r w:rsidR="007760B6" w:rsidRPr="009B6B1F">
        <w:rPr>
          <w:rFonts w:ascii="Book Antiqua" w:hAnsi="Book Antiqua" w:cs="Times New Roman"/>
          <w:shd w:val="clear" w:color="auto" w:fill="FFFFFF"/>
        </w:rPr>
        <w:t>companies or comparison websites</w:t>
      </w:r>
      <w:r>
        <w:rPr>
          <w:rFonts w:ascii="Book Antiqua" w:hAnsi="Book Antiqua" w:cs="Times New Roman"/>
          <w:shd w:val="clear" w:color="auto" w:fill="FFFFFF"/>
        </w:rPr>
        <w:t>, for example,</w:t>
      </w:r>
      <w:r w:rsidR="00EA4112" w:rsidRPr="009B6B1F">
        <w:rPr>
          <w:rFonts w:ascii="Book Antiqua" w:hAnsi="Book Antiqua" w:cs="Times New Roman"/>
          <w:shd w:val="clear" w:color="auto" w:fill="FFFFFF"/>
        </w:rPr>
        <w:t xml:space="preserve"> </w:t>
      </w:r>
      <w:r w:rsidR="0082233B" w:rsidRPr="009B6B1F">
        <w:rPr>
          <w:rFonts w:ascii="Book Antiqua" w:hAnsi="Book Antiqua" w:cs="Times New Roman"/>
          <w:shd w:val="clear" w:color="auto" w:fill="FFFFFF"/>
        </w:rPr>
        <w:t xml:space="preserve">can be bought legally from data analytics firms </w:t>
      </w:r>
      <w:r w:rsidR="009A3E3B" w:rsidRPr="009B6B1F">
        <w:rPr>
          <w:rFonts w:ascii="Book Antiqua" w:hAnsi="Book Antiqua" w:cs="Times New Roman"/>
          <w:shd w:val="clear" w:color="auto" w:fill="FFFFFF"/>
        </w:rPr>
        <w:t>and</w:t>
      </w:r>
      <w:r w:rsidR="0082233B" w:rsidRPr="009B6B1F">
        <w:rPr>
          <w:rFonts w:ascii="Book Antiqua" w:hAnsi="Book Antiqua" w:cs="Times New Roman"/>
          <w:shd w:val="clear" w:color="auto" w:fill="FFFFFF"/>
        </w:rPr>
        <w:t xml:space="preserve"> data brokers</w:t>
      </w:r>
      <w:r w:rsidR="007760B6" w:rsidRPr="009B6B1F">
        <w:rPr>
          <w:rFonts w:ascii="Book Antiqua" w:hAnsi="Book Antiqua" w:cs="Times New Roman"/>
          <w:shd w:val="clear" w:color="auto" w:fill="FFFFFF"/>
        </w:rPr>
        <w:t>.</w:t>
      </w:r>
      <w:r w:rsidR="008F4006" w:rsidRPr="009B6B1F">
        <w:rPr>
          <w:rStyle w:val="FootnoteReference"/>
          <w:rFonts w:ascii="Book Antiqua" w:hAnsi="Book Antiqua" w:cs="Times New Roman"/>
          <w:shd w:val="clear" w:color="auto" w:fill="FFFFFF"/>
        </w:rPr>
        <w:footnoteReference w:id="22"/>
      </w:r>
      <w:r w:rsidR="007760B6" w:rsidRPr="009B6B1F">
        <w:rPr>
          <w:rFonts w:ascii="Book Antiqua" w:hAnsi="Book Antiqua" w:cs="Times New Roman"/>
          <w:shd w:val="clear" w:color="auto" w:fill="FFFFFF"/>
        </w:rPr>
        <w:t xml:space="preserve"> </w:t>
      </w:r>
      <w:r w:rsidR="00160F3C" w:rsidRPr="009B6B1F">
        <w:rPr>
          <w:rFonts w:ascii="Book Antiqua" w:hAnsi="Book Antiqua" w:cs="Times New Roman"/>
          <w:shd w:val="clear" w:color="auto" w:fill="FFFFFF"/>
        </w:rPr>
        <w:t xml:space="preserve">The </w:t>
      </w:r>
      <w:r w:rsidR="002728EB" w:rsidRPr="009B6B1F">
        <w:rPr>
          <w:rFonts w:ascii="Book Antiqua" w:hAnsi="Book Antiqua" w:cs="Times New Roman"/>
          <w:shd w:val="clear" w:color="auto" w:fill="FFFFFF"/>
        </w:rPr>
        <w:t>electoral r</w:t>
      </w:r>
      <w:r w:rsidR="00160F3C" w:rsidRPr="009B6B1F">
        <w:rPr>
          <w:rFonts w:ascii="Book Antiqua" w:hAnsi="Book Antiqua" w:cs="Times New Roman"/>
          <w:shd w:val="clear" w:color="auto" w:fill="FFFFFF"/>
        </w:rPr>
        <w:t xml:space="preserve">egister can be </w:t>
      </w:r>
      <w:r w:rsidR="00160F3C" w:rsidRPr="009B6B1F">
        <w:rPr>
          <w:rFonts w:ascii="Book Antiqua" w:hAnsi="Book Antiqua"/>
        </w:rPr>
        <w:t>sold, in prescribed circumstances, to credit reference agencies</w:t>
      </w:r>
      <w:r w:rsidR="008F4006" w:rsidRPr="009B6B1F">
        <w:rPr>
          <w:rStyle w:val="FootnoteReference"/>
          <w:rFonts w:ascii="Book Antiqua" w:hAnsi="Book Antiqua"/>
        </w:rPr>
        <w:footnoteReference w:id="23"/>
      </w:r>
      <w:r w:rsidR="00160F3C" w:rsidRPr="009B6B1F">
        <w:rPr>
          <w:rFonts w:ascii="Book Antiqua" w:hAnsi="Book Antiqua"/>
        </w:rPr>
        <w:t xml:space="preserve"> </w:t>
      </w:r>
      <w:r w:rsidR="009A3E3B" w:rsidRPr="009B6B1F">
        <w:rPr>
          <w:rFonts w:ascii="Book Antiqua" w:hAnsi="Book Antiqua"/>
        </w:rPr>
        <w:t>and c</w:t>
      </w:r>
      <w:r w:rsidR="00160F3C" w:rsidRPr="009B6B1F">
        <w:rPr>
          <w:rFonts w:ascii="Book Antiqua" w:hAnsi="Book Antiqua"/>
        </w:rPr>
        <w:t xml:space="preserve">ommercial interests can buy an edited version of the </w:t>
      </w:r>
      <w:r w:rsidR="002728EB" w:rsidRPr="009B6B1F">
        <w:rPr>
          <w:rFonts w:ascii="Book Antiqua" w:hAnsi="Book Antiqua"/>
        </w:rPr>
        <w:t>r</w:t>
      </w:r>
      <w:r w:rsidR="00160F3C" w:rsidRPr="009B6B1F">
        <w:rPr>
          <w:rFonts w:ascii="Book Antiqua" w:hAnsi="Book Antiqua"/>
        </w:rPr>
        <w:t xml:space="preserve">egister </w:t>
      </w:r>
      <w:r w:rsidR="009A3E3B" w:rsidRPr="009B6B1F">
        <w:rPr>
          <w:rFonts w:ascii="Book Antiqua" w:hAnsi="Book Antiqua"/>
        </w:rPr>
        <w:t>excluding</w:t>
      </w:r>
      <w:r w:rsidR="00160F3C" w:rsidRPr="009B6B1F">
        <w:rPr>
          <w:rFonts w:ascii="Book Antiqua" w:hAnsi="Book Antiqua"/>
        </w:rPr>
        <w:t xml:space="preserve"> those who </w:t>
      </w:r>
      <w:r w:rsidR="009A3E3B" w:rsidRPr="009B6B1F">
        <w:rPr>
          <w:rFonts w:ascii="Book Antiqua" w:hAnsi="Book Antiqua"/>
        </w:rPr>
        <w:t>object to</w:t>
      </w:r>
      <w:r w:rsidR="00160F3C" w:rsidRPr="009B6B1F">
        <w:rPr>
          <w:rFonts w:ascii="Book Antiqua" w:hAnsi="Book Antiqua"/>
        </w:rPr>
        <w:t xml:space="preserve"> their details </w:t>
      </w:r>
      <w:r w:rsidR="009A3E3B" w:rsidRPr="009B6B1F">
        <w:rPr>
          <w:rFonts w:ascii="Book Antiqua" w:hAnsi="Book Antiqua"/>
        </w:rPr>
        <w:t>being</w:t>
      </w:r>
      <w:r w:rsidR="00160F3C" w:rsidRPr="009B6B1F">
        <w:rPr>
          <w:rFonts w:ascii="Book Antiqua" w:hAnsi="Book Antiqua"/>
        </w:rPr>
        <w:t xml:space="preserve"> sold to third parties.</w:t>
      </w:r>
      <w:r w:rsidR="008F4006" w:rsidRPr="009B6B1F">
        <w:rPr>
          <w:rStyle w:val="FootnoteReference"/>
          <w:rFonts w:ascii="Book Antiqua" w:hAnsi="Book Antiqua"/>
        </w:rPr>
        <w:footnoteReference w:id="24"/>
      </w:r>
      <w:r w:rsidR="00160F3C" w:rsidRPr="009B6B1F">
        <w:rPr>
          <w:rFonts w:ascii="Book Antiqua" w:hAnsi="Book Antiqua"/>
        </w:rPr>
        <w:t xml:space="preserve"> </w:t>
      </w:r>
      <w:r w:rsidR="002E7342">
        <w:rPr>
          <w:rFonts w:ascii="Book Antiqua" w:hAnsi="Book Antiqua"/>
        </w:rPr>
        <w:t>Tracking c</w:t>
      </w:r>
      <w:r w:rsidR="00A62183" w:rsidRPr="009B6B1F">
        <w:rPr>
          <w:rFonts w:ascii="Book Antiqua" w:hAnsi="Book Antiqua"/>
        </w:rPr>
        <w:t>ookies</w:t>
      </w:r>
      <w:r w:rsidR="008F4006" w:rsidRPr="009B6B1F">
        <w:rPr>
          <w:rStyle w:val="FootnoteReference"/>
          <w:rFonts w:ascii="Book Antiqua" w:hAnsi="Book Antiqua"/>
        </w:rPr>
        <w:footnoteReference w:id="25"/>
      </w:r>
      <w:r w:rsidR="00A62183" w:rsidRPr="009B6B1F">
        <w:rPr>
          <w:rFonts w:ascii="Book Antiqua" w:hAnsi="Book Antiqua"/>
        </w:rPr>
        <w:t xml:space="preserve"> </w:t>
      </w:r>
      <w:r w:rsidR="002E7342">
        <w:rPr>
          <w:rFonts w:ascii="Book Antiqua" w:hAnsi="Book Antiqua" w:cs="Times New Roman"/>
          <w:shd w:val="clear" w:color="auto" w:fill="FFFFFF"/>
        </w:rPr>
        <w:t>follow</w:t>
      </w:r>
      <w:r w:rsidR="0082233B" w:rsidRPr="009B6B1F">
        <w:rPr>
          <w:rFonts w:ascii="Book Antiqua" w:hAnsi="Book Antiqua" w:cs="Times New Roman"/>
          <w:shd w:val="clear" w:color="auto" w:fill="FFFFFF"/>
        </w:rPr>
        <w:t xml:space="preserve"> consumers online</w:t>
      </w:r>
      <w:r w:rsidR="007760B6" w:rsidRPr="009B6B1F">
        <w:rPr>
          <w:rFonts w:ascii="Book Antiqua" w:hAnsi="Book Antiqua" w:cs="Times New Roman"/>
          <w:shd w:val="clear" w:color="auto" w:fill="FFFFFF"/>
        </w:rPr>
        <w:t xml:space="preserve"> </w:t>
      </w:r>
      <w:r w:rsidR="00905681" w:rsidRPr="009B6B1F">
        <w:rPr>
          <w:rFonts w:ascii="Book Antiqua" w:hAnsi="Book Antiqua" w:cs="Times New Roman"/>
          <w:shd w:val="clear" w:color="auto" w:fill="FFFFFF"/>
        </w:rPr>
        <w:t>capturing</w:t>
      </w:r>
      <w:r w:rsidR="007760B6" w:rsidRPr="009B6B1F">
        <w:rPr>
          <w:rFonts w:ascii="Book Antiqua" w:hAnsi="Book Antiqua" w:cs="Times New Roman"/>
          <w:shd w:val="clear" w:color="auto" w:fill="FFFFFF"/>
        </w:rPr>
        <w:t xml:space="preserve"> individuals</w:t>
      </w:r>
      <w:r w:rsidR="00A62183" w:rsidRPr="009B6B1F">
        <w:rPr>
          <w:rFonts w:ascii="Book Antiqua" w:hAnsi="Book Antiqua" w:cs="Times New Roman"/>
          <w:shd w:val="clear" w:color="auto" w:fill="FFFFFF"/>
        </w:rPr>
        <w:t>’</w:t>
      </w:r>
      <w:r w:rsidR="007760B6" w:rsidRPr="009B6B1F">
        <w:rPr>
          <w:rFonts w:ascii="Book Antiqua" w:hAnsi="Book Antiqua" w:cs="Times New Roman"/>
          <w:shd w:val="clear" w:color="auto" w:fill="FFFFFF"/>
        </w:rPr>
        <w:t xml:space="preserve"> digital movements </w:t>
      </w:r>
      <w:r w:rsidR="00905681" w:rsidRPr="009B6B1F">
        <w:rPr>
          <w:rFonts w:ascii="Book Antiqua" w:hAnsi="Book Antiqua" w:cs="Times New Roman"/>
          <w:shd w:val="clear" w:color="auto" w:fill="FFFFFF"/>
        </w:rPr>
        <w:t>for</w:t>
      </w:r>
      <w:r w:rsidR="002E55F8" w:rsidRPr="009B6B1F">
        <w:rPr>
          <w:rFonts w:ascii="Book Antiqua" w:hAnsi="Book Antiqua" w:cs="Times New Roman"/>
          <w:shd w:val="clear" w:color="auto" w:fill="FFFFFF"/>
        </w:rPr>
        <w:t xml:space="preserve"> analy</w:t>
      </w:r>
      <w:r w:rsidR="00905681" w:rsidRPr="009B6B1F">
        <w:rPr>
          <w:rFonts w:ascii="Book Antiqua" w:hAnsi="Book Antiqua" w:cs="Times New Roman"/>
          <w:shd w:val="clear" w:color="auto" w:fill="FFFFFF"/>
        </w:rPr>
        <w:t>sis</w:t>
      </w:r>
      <w:r w:rsidR="008F4006" w:rsidRPr="009B6B1F">
        <w:rPr>
          <w:rStyle w:val="FootnoteReference"/>
          <w:rFonts w:ascii="Book Antiqua" w:hAnsi="Book Antiqua" w:cs="Times New Roman"/>
          <w:shd w:val="clear" w:color="auto" w:fill="FFFFFF"/>
        </w:rPr>
        <w:footnoteReference w:id="26"/>
      </w:r>
      <w:r w:rsidR="007760B6" w:rsidRPr="009B6B1F">
        <w:rPr>
          <w:rFonts w:ascii="Book Antiqua" w:hAnsi="Book Antiqua" w:cs="Times New Roman"/>
          <w:shd w:val="clear" w:color="auto" w:fill="FFFFFF"/>
        </w:rPr>
        <w:t xml:space="preserve"> </w:t>
      </w:r>
      <w:r w:rsidR="00905681" w:rsidRPr="009B6B1F">
        <w:rPr>
          <w:rFonts w:ascii="Book Antiqua" w:hAnsi="Book Antiqua"/>
        </w:rPr>
        <w:t>which</w:t>
      </w:r>
      <w:r w:rsidR="002E55F8" w:rsidRPr="009B6B1F">
        <w:rPr>
          <w:rFonts w:ascii="Book Antiqua" w:hAnsi="Book Antiqua"/>
        </w:rPr>
        <w:t xml:space="preserve"> can be broadly described as political profiling</w:t>
      </w:r>
      <w:r w:rsidR="0097291A">
        <w:rPr>
          <w:rFonts w:ascii="Book Antiqua" w:hAnsi="Book Antiqua"/>
        </w:rPr>
        <w:t>.</w:t>
      </w:r>
      <w:r w:rsidR="002E55F8" w:rsidRPr="009B6B1F">
        <w:rPr>
          <w:rFonts w:ascii="Book Antiqua" w:hAnsi="Book Antiqua"/>
        </w:rPr>
        <w:t xml:space="preserve"> </w:t>
      </w:r>
      <w:r w:rsidR="0097291A">
        <w:rPr>
          <w:rFonts w:ascii="Book Antiqua" w:hAnsi="Book Antiqua"/>
        </w:rPr>
        <w:t>This</w:t>
      </w:r>
      <w:r w:rsidR="002E55F8" w:rsidRPr="009B6B1F">
        <w:rPr>
          <w:rFonts w:ascii="Book Antiqua" w:hAnsi="Book Antiqua"/>
        </w:rPr>
        <w:t xml:space="preserve"> falls within the General Data Protection Regulations (GDPR) </w:t>
      </w:r>
      <w:r w:rsidR="001C475C" w:rsidRPr="009B6B1F">
        <w:rPr>
          <w:rFonts w:ascii="Book Antiqua" w:hAnsi="Book Antiqua"/>
        </w:rPr>
        <w:t xml:space="preserve">new </w:t>
      </w:r>
      <w:r w:rsidR="002E55F8" w:rsidRPr="009B6B1F">
        <w:rPr>
          <w:rFonts w:ascii="Book Antiqua" w:hAnsi="Book Antiqua"/>
        </w:rPr>
        <w:lastRenderedPageBreak/>
        <w:t>definition of profiling</w:t>
      </w:r>
      <w:r w:rsidR="001577B9" w:rsidRPr="009B6B1F">
        <w:rPr>
          <w:rFonts w:ascii="Book Antiqua" w:hAnsi="Book Antiqua"/>
        </w:rPr>
        <w:t xml:space="preserve"> </w:t>
      </w:r>
      <w:r w:rsidR="0057373B" w:rsidRPr="009B6B1F">
        <w:rPr>
          <w:rFonts w:ascii="Book Antiqua" w:hAnsi="Book Antiqua"/>
        </w:rPr>
        <w:t xml:space="preserve">which </w:t>
      </w:r>
      <w:r w:rsidR="008F4006" w:rsidRPr="009B6B1F">
        <w:rPr>
          <w:rFonts w:ascii="Book Antiqua" w:hAnsi="Book Antiqua"/>
        </w:rPr>
        <w:t xml:space="preserve">considers that to establish whether </w:t>
      </w:r>
      <w:r w:rsidR="002E55F8" w:rsidRPr="009B6B1F">
        <w:rPr>
          <w:rFonts w:ascii="Book Antiqua" w:hAnsi="Book Antiqua"/>
        </w:rPr>
        <w:t>a processing activity</w:t>
      </w:r>
      <w:r w:rsidR="00C51C80">
        <w:rPr>
          <w:rStyle w:val="FootnoteReference"/>
          <w:rFonts w:ascii="Book Antiqua" w:hAnsi="Book Antiqua"/>
        </w:rPr>
        <w:footnoteReference w:id="27"/>
      </w:r>
      <w:r w:rsidR="002E55F8" w:rsidRPr="009B6B1F">
        <w:rPr>
          <w:rFonts w:ascii="Book Antiqua" w:hAnsi="Book Antiqua"/>
        </w:rPr>
        <w:t xml:space="preserve"> can be </w:t>
      </w:r>
      <w:r w:rsidR="008F4006" w:rsidRPr="009B6B1F">
        <w:rPr>
          <w:rFonts w:ascii="Book Antiqua" w:hAnsi="Book Antiqua"/>
        </w:rPr>
        <w:t>deemed</w:t>
      </w:r>
      <w:r w:rsidR="002E55F8" w:rsidRPr="009B6B1F">
        <w:rPr>
          <w:rFonts w:ascii="Book Antiqua" w:hAnsi="Book Antiqua"/>
        </w:rPr>
        <w:t xml:space="preserve"> to monitor the behaviour of data subjects, it should </w:t>
      </w:r>
      <w:r w:rsidR="008F4006" w:rsidRPr="009B6B1F">
        <w:rPr>
          <w:rFonts w:ascii="Book Antiqua" w:hAnsi="Book Antiqua"/>
        </w:rPr>
        <w:t>determine</w:t>
      </w:r>
      <w:r w:rsidR="002E55F8" w:rsidRPr="009B6B1F">
        <w:rPr>
          <w:rFonts w:ascii="Book Antiqua" w:hAnsi="Book Antiqua"/>
        </w:rPr>
        <w:t xml:space="preserve"> whether </w:t>
      </w:r>
    </w:p>
    <w:p w14:paraId="4AA5A51D" w14:textId="11826082" w:rsidR="00523337" w:rsidRDefault="008F4006" w:rsidP="00280823">
      <w:pPr>
        <w:ind w:left="720"/>
        <w:jc w:val="both"/>
        <w:rPr>
          <w:rFonts w:ascii="Book Antiqua" w:hAnsi="Book Antiqua"/>
        </w:rPr>
      </w:pPr>
      <w:r w:rsidRPr="009B6B1F">
        <w:rPr>
          <w:rFonts w:ascii="Book Antiqua" w:hAnsi="Book Antiqua"/>
        </w:rPr>
        <w:t>“natural persons</w:t>
      </w:r>
      <w:r w:rsidR="002E55F8" w:rsidRPr="009B6B1F">
        <w:rPr>
          <w:rFonts w:ascii="Book Antiqua" w:hAnsi="Book Antiqua"/>
        </w:rPr>
        <w:t xml:space="preserve"> are tracked on the internet including potential subsequent use of personal data processing techniques which consist of profiling a natural person, particularly in order to take decisions concerning her or him or for analysing or predicting her or his personal prefer</w:t>
      </w:r>
      <w:r w:rsidRPr="009B6B1F">
        <w:rPr>
          <w:rFonts w:ascii="Book Antiqua" w:hAnsi="Book Antiqua"/>
        </w:rPr>
        <w:t>ences, behaviours and attitudes”</w:t>
      </w:r>
      <w:r w:rsidR="002E55F8" w:rsidRPr="009B6B1F">
        <w:rPr>
          <w:rFonts w:ascii="Book Antiqua" w:hAnsi="Book Antiqua"/>
        </w:rPr>
        <w:t>.</w:t>
      </w:r>
      <w:r w:rsidR="002E7342" w:rsidRPr="002E7342">
        <w:rPr>
          <w:rStyle w:val="FootnoteReference"/>
          <w:rFonts w:ascii="Book Antiqua" w:hAnsi="Book Antiqua"/>
        </w:rPr>
        <w:t xml:space="preserve"> </w:t>
      </w:r>
      <w:r w:rsidR="002E7342" w:rsidRPr="009B6B1F">
        <w:rPr>
          <w:rStyle w:val="FootnoteReference"/>
          <w:rFonts w:ascii="Book Antiqua" w:hAnsi="Book Antiqua"/>
        </w:rPr>
        <w:footnoteReference w:id="28"/>
      </w:r>
      <w:r w:rsidR="003C14CA" w:rsidRPr="009B6B1F">
        <w:rPr>
          <w:rFonts w:ascii="Book Antiqua" w:hAnsi="Book Antiqua"/>
        </w:rPr>
        <w:t xml:space="preserve"> </w:t>
      </w:r>
    </w:p>
    <w:p w14:paraId="57163BB7" w14:textId="555CCF08" w:rsidR="00216B80" w:rsidRPr="009B6B1F" w:rsidRDefault="00C05600" w:rsidP="00280823">
      <w:pPr>
        <w:spacing w:before="240" w:line="276" w:lineRule="auto"/>
        <w:jc w:val="both"/>
        <w:rPr>
          <w:rFonts w:ascii="Book Antiqua" w:hAnsi="Book Antiqua"/>
        </w:rPr>
      </w:pPr>
      <w:r>
        <w:rPr>
          <w:rFonts w:ascii="Book Antiqua" w:hAnsi="Book Antiqua"/>
        </w:rPr>
        <w:t>R</w:t>
      </w:r>
      <w:r w:rsidR="008F4006" w:rsidRPr="009B6B1F">
        <w:rPr>
          <w:rFonts w:ascii="Book Antiqua" w:hAnsi="Book Antiqua"/>
        </w:rPr>
        <w:t xml:space="preserve">egardless of whether the profiling of individuals to establish personality traits and political sympathies </w:t>
      </w:r>
      <w:r w:rsidR="008356DA" w:rsidRPr="009B6B1F">
        <w:rPr>
          <w:rFonts w:ascii="Book Antiqua" w:hAnsi="Book Antiqua"/>
        </w:rPr>
        <w:t>for micro-targeting</w:t>
      </w:r>
      <w:r w:rsidR="008F4006" w:rsidRPr="009B6B1F">
        <w:rPr>
          <w:rFonts w:ascii="Book Antiqua" w:hAnsi="Book Antiqua"/>
        </w:rPr>
        <w:t xml:space="preserve"> does influence political views and real-world behaviour (voting), the intention is to do so, and this corrupts political communication.</w:t>
      </w:r>
      <w:r w:rsidR="008F4006" w:rsidRPr="009B6B1F">
        <w:rPr>
          <w:rStyle w:val="FootnoteReference"/>
          <w:rFonts w:ascii="Book Antiqua" w:hAnsi="Book Antiqua"/>
        </w:rPr>
        <w:footnoteReference w:id="29"/>
      </w:r>
      <w:r w:rsidR="008F4006" w:rsidRPr="009B6B1F">
        <w:rPr>
          <w:rFonts w:ascii="Book Antiqua" w:hAnsi="Book Antiqua"/>
        </w:rPr>
        <w:t xml:space="preserve"> The use of half-truths, bias, selective history and misleading information </w:t>
      </w:r>
      <w:r w:rsidR="002E7342">
        <w:rPr>
          <w:rFonts w:ascii="Book Antiqua" w:hAnsi="Book Antiqua"/>
        </w:rPr>
        <w:t>is not a new phenomenon</w:t>
      </w:r>
      <w:r w:rsidR="008F4006" w:rsidRPr="009B6B1F">
        <w:rPr>
          <w:rFonts w:ascii="Book Antiqua" w:hAnsi="Book Antiqua"/>
        </w:rPr>
        <w:t>. What is new is that these communicati</w:t>
      </w:r>
      <w:r w:rsidR="00F95E2F" w:rsidRPr="009B6B1F">
        <w:rPr>
          <w:rFonts w:ascii="Book Antiqua" w:hAnsi="Book Antiqua"/>
        </w:rPr>
        <w:t>ons are much more precise, and “knowing”</w:t>
      </w:r>
      <w:r w:rsidR="008F4006" w:rsidRPr="009B6B1F">
        <w:rPr>
          <w:rStyle w:val="FootnoteReference"/>
          <w:rFonts w:ascii="Book Antiqua" w:hAnsi="Book Antiqua"/>
        </w:rPr>
        <w:footnoteReference w:id="30"/>
      </w:r>
      <w:r w:rsidR="008F4006" w:rsidRPr="009B6B1F">
        <w:rPr>
          <w:rFonts w:ascii="Book Antiqua" w:hAnsi="Book Antiqua"/>
        </w:rPr>
        <w:t xml:space="preserve"> and as such raise questions about individual privacy, agency and, potentially, thought.</w:t>
      </w:r>
      <w:r w:rsidR="008F4006" w:rsidRPr="009B6B1F">
        <w:rPr>
          <w:rStyle w:val="FootnoteReference"/>
          <w:rFonts w:ascii="Book Antiqua" w:hAnsi="Book Antiqua"/>
        </w:rPr>
        <w:footnoteReference w:id="31"/>
      </w:r>
      <w:r w:rsidR="008F4006" w:rsidRPr="009B6B1F">
        <w:rPr>
          <w:rFonts w:ascii="Book Antiqua" w:hAnsi="Book Antiqua"/>
        </w:rPr>
        <w:t xml:space="preserve"> Traditional advertising methods </w:t>
      </w:r>
      <w:r w:rsidR="005C23D4" w:rsidRPr="009B6B1F">
        <w:rPr>
          <w:rFonts w:ascii="Book Antiqua" w:hAnsi="Book Antiqua"/>
        </w:rPr>
        <w:t>have been</w:t>
      </w:r>
      <w:r w:rsidR="008F4006" w:rsidRPr="009B6B1F">
        <w:rPr>
          <w:rFonts w:ascii="Book Antiqua" w:hAnsi="Book Antiqua"/>
        </w:rPr>
        <w:t xml:space="preserve"> discarded because they ar</w:t>
      </w:r>
      <w:r w:rsidR="00F95E2F" w:rsidRPr="009B6B1F">
        <w:rPr>
          <w:rFonts w:ascii="Book Antiqua" w:hAnsi="Book Antiqua"/>
        </w:rPr>
        <w:t>e “</w:t>
      </w:r>
      <w:r w:rsidR="008F4006" w:rsidRPr="009B6B1F">
        <w:rPr>
          <w:rFonts w:ascii="Book Antiqua" w:hAnsi="Book Antiqua"/>
        </w:rPr>
        <w:t>incapable of affecting the type of mass opinion shi</w:t>
      </w:r>
      <w:r w:rsidR="00F95E2F" w:rsidRPr="009B6B1F">
        <w:rPr>
          <w:rFonts w:ascii="Book Antiqua" w:hAnsi="Book Antiqua"/>
        </w:rPr>
        <w:t>fts necessary for social change”</w:t>
      </w:r>
      <w:r w:rsidR="008F4006" w:rsidRPr="009B6B1F">
        <w:rPr>
          <w:rFonts w:ascii="Book Antiqua" w:hAnsi="Book Antiqua"/>
        </w:rPr>
        <w:t>.</w:t>
      </w:r>
      <w:r w:rsidR="008F4006" w:rsidRPr="009B6B1F">
        <w:rPr>
          <w:rStyle w:val="FootnoteReference"/>
          <w:rFonts w:ascii="Book Antiqua" w:hAnsi="Book Antiqua"/>
        </w:rPr>
        <w:footnoteReference w:id="32"/>
      </w:r>
      <w:r w:rsidR="008F4006" w:rsidRPr="009B6B1F">
        <w:rPr>
          <w:rFonts w:ascii="Book Antiqua" w:hAnsi="Book Antiqua"/>
        </w:rPr>
        <w:t xml:space="preserve"> </w:t>
      </w:r>
      <w:r w:rsidR="002349FE" w:rsidRPr="009B6B1F">
        <w:rPr>
          <w:rFonts w:ascii="Book Antiqua" w:hAnsi="Book Antiqua"/>
        </w:rPr>
        <w:t xml:space="preserve">As data analytics can extrapolate meaning from textual and semantic data such as </w:t>
      </w:r>
      <w:r w:rsidR="00E3120B">
        <w:rPr>
          <w:rFonts w:ascii="Book Antiqua" w:hAnsi="Book Antiqua"/>
        </w:rPr>
        <w:t xml:space="preserve">social network feeds and emails </w:t>
      </w:r>
      <w:r w:rsidR="002349FE" w:rsidRPr="009B6B1F">
        <w:rPr>
          <w:rFonts w:ascii="Book Antiqua" w:hAnsi="Book Antiqua"/>
        </w:rPr>
        <w:t xml:space="preserve">to </w:t>
      </w:r>
      <w:r w:rsidR="0097291A" w:rsidRPr="009B6B1F">
        <w:rPr>
          <w:rFonts w:ascii="Book Antiqua" w:hAnsi="Book Antiqua"/>
        </w:rPr>
        <w:t>deduce</w:t>
      </w:r>
      <w:r w:rsidR="002349FE" w:rsidRPr="009B6B1F">
        <w:rPr>
          <w:rFonts w:ascii="Book Antiqua" w:hAnsi="Book Antiqua"/>
        </w:rPr>
        <w:t xml:space="preserve"> individuals' opinions about current affairs, other people and events, a detailed and in-depth understanding </w:t>
      </w:r>
      <w:r w:rsidR="002349FE" w:rsidRPr="009B6B1F">
        <w:rPr>
          <w:rFonts w:ascii="Book Antiqua" w:hAnsi="Book Antiqua"/>
          <w:noProof/>
        </w:rPr>
        <w:t>can be gained</w:t>
      </w:r>
      <w:r w:rsidR="002349FE" w:rsidRPr="009B6B1F">
        <w:rPr>
          <w:rFonts w:ascii="Book Antiqua" w:hAnsi="Book Antiqua"/>
        </w:rPr>
        <w:t>.</w:t>
      </w:r>
      <w:r w:rsidR="008F4006" w:rsidRPr="009B6B1F">
        <w:rPr>
          <w:rStyle w:val="FootnoteReference"/>
          <w:rFonts w:ascii="Book Antiqua" w:hAnsi="Book Antiqua"/>
        </w:rPr>
        <w:footnoteReference w:id="33"/>
      </w:r>
      <w:r w:rsidR="002349FE" w:rsidRPr="009B6B1F">
        <w:rPr>
          <w:rFonts w:ascii="Book Antiqua" w:hAnsi="Book Antiqua"/>
        </w:rPr>
        <w:t xml:space="preserve"> Some accounts suggest that digital strategy firms are deploying tests to detect emotional attachments and values to produce political messages engineered to maximise emotional and psychological impact.</w:t>
      </w:r>
      <w:r w:rsidR="008F4006" w:rsidRPr="009B6B1F">
        <w:rPr>
          <w:rStyle w:val="FootnoteReference"/>
          <w:rFonts w:ascii="Book Antiqua" w:hAnsi="Book Antiqua"/>
        </w:rPr>
        <w:footnoteReference w:id="34"/>
      </w:r>
      <w:r w:rsidR="002349FE" w:rsidRPr="009B6B1F">
        <w:rPr>
          <w:rFonts w:ascii="Book Antiqua" w:hAnsi="Book Antiqua"/>
        </w:rPr>
        <w:t xml:space="preserve"> As Emotion Artif</w:t>
      </w:r>
      <w:r w:rsidR="00E24437">
        <w:rPr>
          <w:rFonts w:ascii="Book Antiqua" w:hAnsi="Book Antiqua"/>
        </w:rPr>
        <w:t>icial Intelligence is developed</w:t>
      </w:r>
      <w:r w:rsidR="002349FE" w:rsidRPr="009B6B1F">
        <w:rPr>
          <w:rFonts w:ascii="Book Antiqua" w:hAnsi="Book Antiqua"/>
        </w:rPr>
        <w:t xml:space="preserve"> this is possible and raises more concerns about how the law can preserve political agency.</w:t>
      </w:r>
      <w:r w:rsidR="008F4006" w:rsidRPr="009B6B1F">
        <w:rPr>
          <w:rStyle w:val="FootnoteReference"/>
          <w:rFonts w:ascii="Book Antiqua" w:hAnsi="Book Antiqua"/>
        </w:rPr>
        <w:footnoteReference w:id="35"/>
      </w:r>
      <w:r w:rsidR="002349FE" w:rsidRPr="009B6B1F">
        <w:rPr>
          <w:rFonts w:ascii="Book Antiqua" w:hAnsi="Book Antiqua"/>
        </w:rPr>
        <w:t xml:space="preserve"> </w:t>
      </w:r>
      <w:r w:rsidR="00D60AFF" w:rsidRPr="009B6B1F">
        <w:rPr>
          <w:rFonts w:ascii="Book Antiqua" w:hAnsi="Book Antiqua"/>
        </w:rPr>
        <w:t xml:space="preserve">On the horizon lie technologies </w:t>
      </w:r>
      <w:r w:rsidR="00190086" w:rsidRPr="009B6B1F">
        <w:rPr>
          <w:rFonts w:ascii="Book Antiqua" w:hAnsi="Book Antiqua"/>
        </w:rPr>
        <w:t>that can detect individuals’ emotional states through data surveillance and pro</w:t>
      </w:r>
      <w:r w:rsidR="00397CA2">
        <w:rPr>
          <w:rFonts w:ascii="Book Antiqua" w:hAnsi="Book Antiqua"/>
        </w:rPr>
        <w:t>mote</w:t>
      </w:r>
      <w:r w:rsidR="00190086" w:rsidRPr="009B6B1F">
        <w:rPr>
          <w:rFonts w:ascii="Book Antiqua" w:hAnsi="Book Antiqua"/>
        </w:rPr>
        <w:t xml:space="preserve"> large-scale behaviour change </w:t>
      </w:r>
      <w:r w:rsidR="00190086" w:rsidRPr="009B6B1F">
        <w:rPr>
          <w:rFonts w:ascii="Book Antiqua" w:hAnsi="Book Antiqua"/>
        </w:rPr>
        <w:lastRenderedPageBreak/>
        <w:t>interventions through smart-phone prompts</w:t>
      </w:r>
      <w:r w:rsidR="008F4006" w:rsidRPr="009B6B1F">
        <w:rPr>
          <w:rStyle w:val="FootnoteReference"/>
          <w:rFonts w:ascii="Book Antiqua" w:hAnsi="Book Antiqua"/>
        </w:rPr>
        <w:footnoteReference w:id="36"/>
      </w:r>
      <w:r w:rsidR="00190086" w:rsidRPr="009B6B1F">
        <w:rPr>
          <w:rFonts w:ascii="Book Antiqua" w:hAnsi="Book Antiqua"/>
        </w:rPr>
        <w:t xml:space="preserve"> and can even read and respond to thoughts.</w:t>
      </w:r>
      <w:r w:rsidR="008F4006" w:rsidRPr="009B6B1F">
        <w:rPr>
          <w:rStyle w:val="FootnoteReference"/>
          <w:rFonts w:ascii="Book Antiqua" w:hAnsi="Book Antiqua"/>
        </w:rPr>
        <w:footnoteReference w:id="37"/>
      </w:r>
      <w:r w:rsidR="00190086" w:rsidRPr="009B6B1F">
        <w:rPr>
          <w:rFonts w:ascii="Book Antiqua" w:hAnsi="Book Antiqua"/>
        </w:rPr>
        <w:t xml:space="preserve"> </w:t>
      </w:r>
      <w:r w:rsidR="00E3120B">
        <w:rPr>
          <w:rFonts w:ascii="Book Antiqua" w:hAnsi="Book Antiqua"/>
        </w:rPr>
        <w:t>Experts warn that it</w:t>
      </w:r>
      <w:r w:rsidR="002E7342" w:rsidRPr="009B6B1F">
        <w:rPr>
          <w:rFonts w:ascii="Book Antiqua" w:hAnsi="Book Antiqua"/>
        </w:rPr>
        <w:t xml:space="preserve"> will be increasingly possible to stage “attacks” based on the analysis of human behaviours, emotions, and beliefs based on available data.</w:t>
      </w:r>
      <w:r w:rsidR="002E7342" w:rsidRPr="009B6B1F">
        <w:rPr>
          <w:rStyle w:val="FootnoteReference"/>
          <w:rFonts w:ascii="Book Antiqua" w:hAnsi="Book Antiqua"/>
        </w:rPr>
        <w:footnoteReference w:id="38"/>
      </w:r>
      <w:r w:rsidR="002E7342" w:rsidRPr="009B6B1F">
        <w:rPr>
          <w:rFonts w:ascii="Book Antiqua" w:hAnsi="Book Antiqua"/>
        </w:rPr>
        <w:t xml:space="preserve"> </w:t>
      </w:r>
      <w:r w:rsidR="00190086" w:rsidRPr="009B6B1F">
        <w:rPr>
          <w:rFonts w:ascii="Book Antiqua" w:hAnsi="Book Antiqua"/>
        </w:rPr>
        <w:t xml:space="preserve">Technology already possesses the </w:t>
      </w:r>
      <w:r w:rsidR="00D60AFF" w:rsidRPr="009B6B1F">
        <w:rPr>
          <w:rFonts w:ascii="Book Antiqua" w:hAnsi="Book Antiqua"/>
        </w:rPr>
        <w:t xml:space="preserve">ability to manipulate </w:t>
      </w:r>
      <w:r w:rsidR="008F4006" w:rsidRPr="009B6B1F">
        <w:rPr>
          <w:rFonts w:ascii="Book Antiqua" w:hAnsi="Book Antiqua"/>
        </w:rPr>
        <w:t>information</w:t>
      </w:r>
      <w:r w:rsidR="00190086" w:rsidRPr="009B6B1F">
        <w:rPr>
          <w:rFonts w:ascii="Book Antiqua" w:hAnsi="Book Antiqua"/>
        </w:rPr>
        <w:t xml:space="preserve">. </w:t>
      </w:r>
      <w:r w:rsidR="008F4006" w:rsidRPr="009B6B1F">
        <w:rPr>
          <w:rFonts w:ascii="Book Antiqua" w:hAnsi="Book Antiqua"/>
        </w:rPr>
        <w:t>Deep</w:t>
      </w:r>
      <w:r w:rsidR="00B8326E" w:rsidRPr="009B6B1F">
        <w:rPr>
          <w:rFonts w:ascii="Book Antiqua" w:hAnsi="Book Antiqua"/>
        </w:rPr>
        <w:t xml:space="preserve"> </w:t>
      </w:r>
      <w:r w:rsidR="008F4006" w:rsidRPr="009B6B1F">
        <w:rPr>
          <w:rFonts w:ascii="Book Antiqua" w:hAnsi="Book Antiqua"/>
        </w:rPr>
        <w:t xml:space="preserve">fakes are realistic (and often undetectable) digital manipulation of sound, images, or video to impersonate someone or make it appear that a person did something that they did not. </w:t>
      </w:r>
      <w:r w:rsidR="007B21C3" w:rsidRPr="009B6B1F">
        <w:rPr>
          <w:rFonts w:ascii="Book Antiqua" w:hAnsi="Book Antiqua"/>
        </w:rPr>
        <w:t>The problem of foreign interference</w:t>
      </w:r>
      <w:r w:rsidR="00E24437">
        <w:rPr>
          <w:rFonts w:ascii="Book Antiqua" w:hAnsi="Book Antiqua"/>
        </w:rPr>
        <w:t>, as alleged in relation to the 2016 US presidential election and the 2016 UK-EU  referendum,</w:t>
      </w:r>
      <w:r w:rsidR="007B21C3" w:rsidRPr="009B6B1F">
        <w:rPr>
          <w:rFonts w:ascii="Book Antiqua" w:hAnsi="Book Antiqua"/>
        </w:rPr>
        <w:t xml:space="preserve"> </w:t>
      </w:r>
      <w:r w:rsidR="00E24437">
        <w:rPr>
          <w:rFonts w:ascii="Book Antiqua" w:hAnsi="Book Antiqua"/>
        </w:rPr>
        <w:t>could</w:t>
      </w:r>
      <w:r w:rsidR="007B21C3" w:rsidRPr="009B6B1F">
        <w:rPr>
          <w:rFonts w:ascii="Book Antiqua" w:hAnsi="Book Antiqua"/>
        </w:rPr>
        <w:t xml:space="preserve"> worse</w:t>
      </w:r>
      <w:r w:rsidR="008F4006" w:rsidRPr="009B6B1F">
        <w:rPr>
          <w:rFonts w:ascii="Book Antiqua" w:hAnsi="Book Antiqua"/>
        </w:rPr>
        <w:t>n</w:t>
      </w:r>
      <w:r w:rsidR="007B21C3" w:rsidRPr="009B6B1F">
        <w:rPr>
          <w:rFonts w:ascii="Book Antiqua" w:hAnsi="Book Antiqua"/>
        </w:rPr>
        <w:t xml:space="preserve"> as technology becomes more sophisticated</w:t>
      </w:r>
      <w:r w:rsidR="002E7342">
        <w:rPr>
          <w:rFonts w:ascii="Book Antiqua" w:hAnsi="Book Antiqua"/>
        </w:rPr>
        <w:t xml:space="preserve"> and can ‘distort reality’.</w:t>
      </w:r>
      <w:r w:rsidR="009A56F1" w:rsidRPr="009B6B1F">
        <w:rPr>
          <w:rFonts w:ascii="Book Antiqua" w:hAnsi="Book Antiqua"/>
        </w:rPr>
        <w:t xml:space="preserve"> The potential for social harm (not just from malign states)</w:t>
      </w:r>
      <w:r w:rsidR="00A5591C" w:rsidRPr="009B6B1F">
        <w:rPr>
          <w:rFonts w:ascii="Book Antiqua" w:hAnsi="Book Antiqua"/>
        </w:rPr>
        <w:t xml:space="preserve"> may </w:t>
      </w:r>
      <w:r w:rsidR="009A56F1" w:rsidRPr="009B6B1F">
        <w:rPr>
          <w:rFonts w:ascii="Book Antiqua" w:hAnsi="Book Antiqua"/>
        </w:rPr>
        <w:t xml:space="preserve">further </w:t>
      </w:r>
      <w:r w:rsidR="00A5591C" w:rsidRPr="009B6B1F">
        <w:rPr>
          <w:rFonts w:ascii="Book Antiqua" w:hAnsi="Book Antiqua"/>
        </w:rPr>
        <w:t>ero</w:t>
      </w:r>
      <w:r w:rsidR="009A56F1" w:rsidRPr="009B6B1F">
        <w:rPr>
          <w:rFonts w:ascii="Book Antiqua" w:hAnsi="Book Antiqua"/>
        </w:rPr>
        <w:t>de</w:t>
      </w:r>
      <w:r w:rsidR="00A5591C" w:rsidRPr="009B6B1F">
        <w:rPr>
          <w:rFonts w:ascii="Book Antiqua" w:hAnsi="Book Antiqua"/>
        </w:rPr>
        <w:t xml:space="preserve"> trust in information</w:t>
      </w:r>
      <w:r w:rsidR="009A56F1" w:rsidRPr="009B6B1F">
        <w:rPr>
          <w:rFonts w:ascii="Book Antiqua" w:hAnsi="Book Antiqua"/>
        </w:rPr>
        <w:t>,</w:t>
      </w:r>
      <w:r w:rsidR="00A5591C" w:rsidRPr="009B6B1F">
        <w:rPr>
          <w:rFonts w:ascii="Book Antiqua" w:hAnsi="Book Antiqua"/>
        </w:rPr>
        <w:t xml:space="preserve"> </w:t>
      </w:r>
      <w:r w:rsidR="009A56F1" w:rsidRPr="009B6B1F">
        <w:rPr>
          <w:rFonts w:ascii="Book Antiqua" w:hAnsi="Book Antiqua"/>
        </w:rPr>
        <w:t xml:space="preserve">distort democratic discourse, manipulate elections, erode confidence in significant public and private institutions all of </w:t>
      </w:r>
      <w:r w:rsidR="00A5591C" w:rsidRPr="009B6B1F">
        <w:rPr>
          <w:rFonts w:ascii="Book Antiqua" w:hAnsi="Book Antiqua"/>
        </w:rPr>
        <w:t xml:space="preserve">which </w:t>
      </w:r>
      <w:r w:rsidR="009A56F1" w:rsidRPr="009B6B1F">
        <w:rPr>
          <w:rFonts w:ascii="Book Antiqua" w:hAnsi="Book Antiqua"/>
        </w:rPr>
        <w:t>challenge</w:t>
      </w:r>
      <w:r w:rsidR="00D1211E">
        <w:rPr>
          <w:rFonts w:ascii="Book Antiqua" w:hAnsi="Book Antiqua"/>
        </w:rPr>
        <w:t xml:space="preserve"> stable and</w:t>
      </w:r>
      <w:r w:rsidR="00A5591C" w:rsidRPr="009B6B1F">
        <w:rPr>
          <w:rFonts w:ascii="Book Antiqua" w:hAnsi="Book Antiqua"/>
        </w:rPr>
        <w:t xml:space="preserve"> democratic governance</w:t>
      </w:r>
      <w:r w:rsidR="000F13EE" w:rsidRPr="009B6B1F">
        <w:rPr>
          <w:rFonts w:ascii="Book Antiqua" w:hAnsi="Book Antiqua"/>
        </w:rPr>
        <w:t>.</w:t>
      </w:r>
      <w:r w:rsidR="008F4006" w:rsidRPr="009B6B1F">
        <w:rPr>
          <w:rStyle w:val="FootnoteReference"/>
          <w:rFonts w:ascii="Book Antiqua" w:hAnsi="Book Antiqua"/>
        </w:rPr>
        <w:footnoteReference w:id="39"/>
      </w:r>
      <w:r w:rsidR="00A5591C" w:rsidRPr="009B6B1F">
        <w:rPr>
          <w:rFonts w:ascii="Book Antiqua" w:hAnsi="Book Antiqua"/>
        </w:rPr>
        <w:t xml:space="preserve"> </w:t>
      </w:r>
      <w:r w:rsidR="00B8326E" w:rsidRPr="009B6B1F">
        <w:rPr>
          <w:rFonts w:ascii="Book Antiqua" w:hAnsi="Book Antiqua"/>
        </w:rPr>
        <w:t>Combine that with the exponential increase in data sets</w:t>
      </w:r>
      <w:r w:rsidR="008F4006" w:rsidRPr="009B6B1F">
        <w:rPr>
          <w:rFonts w:ascii="Book Antiqua" w:hAnsi="Book Antiqua"/>
          <w:vertAlign w:val="superscript"/>
        </w:rPr>
        <w:footnoteReference w:id="40"/>
      </w:r>
      <w:r w:rsidR="00B8326E" w:rsidRPr="009B6B1F">
        <w:rPr>
          <w:rFonts w:ascii="Book Antiqua" w:hAnsi="Book Antiqua"/>
        </w:rPr>
        <w:t xml:space="preserve"> and the growing sophistication of big data analytics, th</w:t>
      </w:r>
      <w:r w:rsidR="00F95E2F" w:rsidRPr="009B6B1F">
        <w:rPr>
          <w:rFonts w:ascii="Book Antiqua" w:hAnsi="Book Antiqua"/>
        </w:rPr>
        <w:t>ere are grounds for an “ethical pause”</w:t>
      </w:r>
      <w:r w:rsidR="008F4006" w:rsidRPr="009B6B1F">
        <w:rPr>
          <w:rFonts w:ascii="Book Antiqua" w:hAnsi="Book Antiqua"/>
          <w:vertAlign w:val="superscript"/>
        </w:rPr>
        <w:footnoteReference w:id="41"/>
      </w:r>
      <w:r w:rsidR="00B8326E" w:rsidRPr="009B6B1F">
        <w:rPr>
          <w:rFonts w:ascii="Book Antiqua" w:hAnsi="Book Antiqua"/>
        </w:rPr>
        <w:t xml:space="preserve"> in the use of data in politics – but would a regulatory halt</w:t>
      </w:r>
      <w:r w:rsidR="0057373B" w:rsidRPr="009B6B1F">
        <w:rPr>
          <w:rFonts w:ascii="Book Antiqua" w:hAnsi="Book Antiqua"/>
        </w:rPr>
        <w:t>, or overhaul,</w:t>
      </w:r>
      <w:r w:rsidR="00B8326E" w:rsidRPr="009B6B1F">
        <w:rPr>
          <w:rFonts w:ascii="Book Antiqua" w:hAnsi="Book Antiqua"/>
        </w:rPr>
        <w:t xml:space="preserve"> be more appropriate? That another election or referendum campaign coul</w:t>
      </w:r>
      <w:r w:rsidR="002728EB" w:rsidRPr="009B6B1F">
        <w:rPr>
          <w:rFonts w:ascii="Book Antiqua" w:hAnsi="Book Antiqua"/>
        </w:rPr>
        <w:t>d run without the comprehensive</w:t>
      </w:r>
      <w:r w:rsidR="00B8326E" w:rsidRPr="009B6B1F">
        <w:rPr>
          <w:rFonts w:ascii="Book Antiqua" w:hAnsi="Book Antiqua"/>
        </w:rPr>
        <w:t xml:space="preserve"> root to branch reforms necessary is looking increasingly likely as suggested amendments to the system amount to a couple of tweaks </w:t>
      </w:r>
      <w:r w:rsidR="002728EB" w:rsidRPr="009B6B1F">
        <w:rPr>
          <w:rFonts w:ascii="Book Antiqua" w:hAnsi="Book Antiqua"/>
        </w:rPr>
        <w:t xml:space="preserve">that </w:t>
      </w:r>
      <w:r w:rsidR="00386667" w:rsidRPr="009B6B1F">
        <w:rPr>
          <w:rFonts w:ascii="Book Antiqua" w:hAnsi="Book Antiqua"/>
        </w:rPr>
        <w:t>will not address the problems within the system as a whole</w:t>
      </w:r>
      <w:r w:rsidR="002728EB" w:rsidRPr="009B6B1F">
        <w:rPr>
          <w:rFonts w:ascii="Book Antiqua" w:hAnsi="Book Antiqua"/>
        </w:rPr>
        <w:t>.</w:t>
      </w:r>
      <w:r w:rsidR="005804BD" w:rsidRPr="009B6B1F">
        <w:rPr>
          <w:rFonts w:ascii="Book Antiqua" w:hAnsi="Book Antiqua"/>
        </w:rPr>
        <w:t xml:space="preserve"> </w:t>
      </w:r>
    </w:p>
    <w:p w14:paraId="157D27F5" w14:textId="1324FB0F" w:rsidR="00BD7006" w:rsidRDefault="008F4006" w:rsidP="00280823">
      <w:pPr>
        <w:jc w:val="both"/>
        <w:rPr>
          <w:rFonts w:ascii="Book Antiqua" w:hAnsi="Book Antiqua"/>
          <w:b/>
        </w:rPr>
      </w:pPr>
      <w:r w:rsidRPr="009B6B1F">
        <w:rPr>
          <w:rFonts w:ascii="Book Antiqua" w:hAnsi="Book Antiqua"/>
          <w:b/>
        </w:rPr>
        <w:t>The applicable legal framework</w:t>
      </w:r>
    </w:p>
    <w:p w14:paraId="2E9312E0" w14:textId="77777777" w:rsidR="008629E8" w:rsidRPr="009B6B1F" w:rsidRDefault="008629E8" w:rsidP="00280823">
      <w:pPr>
        <w:spacing w:line="276" w:lineRule="auto"/>
        <w:jc w:val="both"/>
        <w:rPr>
          <w:rFonts w:ascii="Book Antiqua" w:hAnsi="Book Antiqua"/>
          <w:i/>
        </w:rPr>
      </w:pPr>
      <w:r w:rsidRPr="00FF1237">
        <w:rPr>
          <w:rFonts w:ascii="Book Antiqua" w:hAnsi="Book Antiqua"/>
          <w:i/>
        </w:rPr>
        <w:t>Data Protection</w:t>
      </w:r>
      <w:r>
        <w:rPr>
          <w:rFonts w:ascii="Book Antiqua" w:hAnsi="Book Antiqua"/>
          <w:i/>
        </w:rPr>
        <w:t xml:space="preserve"> </w:t>
      </w:r>
    </w:p>
    <w:p w14:paraId="64A98453" w14:textId="5D2A50C2" w:rsidR="003552BB" w:rsidRDefault="003552BB" w:rsidP="00280823">
      <w:pPr>
        <w:jc w:val="both"/>
        <w:rPr>
          <w:rFonts w:ascii="Book Antiqua" w:hAnsi="Book Antiqua"/>
        </w:rPr>
      </w:pPr>
      <w:r w:rsidRPr="009B6B1F">
        <w:rPr>
          <w:rFonts w:ascii="Book Antiqua" w:hAnsi="Book Antiqua"/>
        </w:rPr>
        <w:t>During an unfolding scandal around the use of data for political purposes in the US presidential election and the UK-EU referendum</w:t>
      </w:r>
      <w:r>
        <w:rPr>
          <w:rFonts w:ascii="Book Antiqua" w:hAnsi="Book Antiqua"/>
        </w:rPr>
        <w:t xml:space="preserve"> both in 2016</w:t>
      </w:r>
      <w:r w:rsidRPr="009B6B1F">
        <w:rPr>
          <w:rFonts w:ascii="Book Antiqua" w:hAnsi="Book Antiqua"/>
        </w:rPr>
        <w:t>, Facebook revealed that 87 million people had their profile information accessed by Cambridge Analytica, a data analyst and strategic communication firm.</w:t>
      </w:r>
      <w:r w:rsidRPr="009B6B1F">
        <w:rPr>
          <w:rFonts w:ascii="Book Antiqua" w:hAnsi="Book Antiqua"/>
          <w:vertAlign w:val="superscript"/>
        </w:rPr>
        <w:footnoteReference w:id="42"/>
      </w:r>
      <w:r w:rsidRPr="009B6B1F">
        <w:rPr>
          <w:rFonts w:ascii="Book Antiqua" w:hAnsi="Book Antiqua"/>
          <w:vertAlign w:val="superscript"/>
        </w:rPr>
        <w:t xml:space="preserve"> </w:t>
      </w:r>
      <w:r w:rsidRPr="009B6B1F">
        <w:rPr>
          <w:rFonts w:ascii="Book Antiqua" w:hAnsi="Book Antiqua"/>
        </w:rPr>
        <w:t>Data from these profiles, including private messages,</w:t>
      </w:r>
      <w:r w:rsidRPr="009B6B1F">
        <w:rPr>
          <w:rFonts w:ascii="Book Antiqua" w:hAnsi="Book Antiqua"/>
          <w:vertAlign w:val="superscript"/>
        </w:rPr>
        <w:footnoteReference w:id="43"/>
      </w:r>
      <w:r w:rsidRPr="009B6B1F">
        <w:rPr>
          <w:rFonts w:ascii="Book Antiqua" w:hAnsi="Book Antiqua"/>
        </w:rPr>
        <w:t xml:space="preserve"> was used to refine micro-targeting and other covert political campaigning techniques. </w:t>
      </w:r>
      <w:r>
        <w:rPr>
          <w:rFonts w:ascii="Book Antiqua" w:hAnsi="Book Antiqua"/>
        </w:rPr>
        <w:t xml:space="preserve"> </w:t>
      </w:r>
      <w:r>
        <w:rPr>
          <w:rFonts w:ascii="Book Antiqua" w:hAnsi="Book Antiqua"/>
        </w:rPr>
        <w:lastRenderedPageBreak/>
        <w:t>I</w:t>
      </w:r>
      <w:r w:rsidRPr="009B6B1F">
        <w:rPr>
          <w:rFonts w:ascii="Book Antiqua" w:hAnsi="Book Antiqua"/>
        </w:rPr>
        <w:t>nvestigations</w:t>
      </w:r>
      <w:r w:rsidRPr="009B6B1F">
        <w:rPr>
          <w:rStyle w:val="FootnoteReference"/>
          <w:rFonts w:ascii="Book Antiqua" w:hAnsi="Book Antiqua"/>
        </w:rPr>
        <w:footnoteReference w:id="44"/>
      </w:r>
      <w:r w:rsidRPr="009B6B1F">
        <w:rPr>
          <w:rFonts w:ascii="Book Antiqua" w:hAnsi="Book Antiqua"/>
        </w:rPr>
        <w:t xml:space="preserve"> are determining to what extent individuals in the UK were micro-targeted based on deceit</w:t>
      </w:r>
      <w:r>
        <w:rPr>
          <w:rFonts w:ascii="Book Antiqua" w:hAnsi="Book Antiqua"/>
        </w:rPr>
        <w:t xml:space="preserve">fully or covertly gathered data. </w:t>
      </w:r>
      <w:r w:rsidRPr="009237BC">
        <w:rPr>
          <w:rFonts w:ascii="Book Antiqua" w:hAnsi="Book Antiqua"/>
        </w:rPr>
        <w:t>It is not the specific technique of micro-targeting</w:t>
      </w:r>
      <w:r>
        <w:rPr>
          <w:rFonts w:ascii="Book Antiqua" w:hAnsi="Book Antiqua"/>
        </w:rPr>
        <w:t xml:space="preserve"> </w:t>
      </w:r>
      <w:r w:rsidRPr="009237BC">
        <w:rPr>
          <w:rFonts w:ascii="Book Antiqua" w:hAnsi="Book Antiqua"/>
        </w:rPr>
        <w:t xml:space="preserve">that is unlawful rather the way in which the data is handled, who is it shared with and what data subjects are told, or not told, when they first </w:t>
      </w:r>
      <w:r>
        <w:rPr>
          <w:rFonts w:ascii="Book Antiqua" w:hAnsi="Book Antiqua"/>
        </w:rPr>
        <w:t xml:space="preserve">grant </w:t>
      </w:r>
      <w:r w:rsidRPr="009237BC">
        <w:rPr>
          <w:rFonts w:ascii="Book Antiqua" w:hAnsi="Book Antiqua"/>
        </w:rPr>
        <w:t xml:space="preserve">access to their data. </w:t>
      </w:r>
      <w:r w:rsidR="00397CA2">
        <w:rPr>
          <w:rFonts w:ascii="Book Antiqua" w:hAnsi="Book Antiqua"/>
        </w:rPr>
        <w:t>The ICO has investigated allegations of data misuse and have confirmed that s</w:t>
      </w:r>
      <w:r w:rsidRPr="009237BC">
        <w:rPr>
          <w:rFonts w:ascii="Book Antiqua" w:hAnsi="Book Antiqua"/>
        </w:rPr>
        <w:t>ocial media platforms, data brokers and political campaign groups engaged in data misuse during the UK-EU referendum</w:t>
      </w:r>
      <w:r>
        <w:rPr>
          <w:rFonts w:ascii="Book Antiqua" w:hAnsi="Book Antiqua"/>
        </w:rPr>
        <w:t xml:space="preserve"> campaign</w:t>
      </w:r>
      <w:r w:rsidRPr="009237BC">
        <w:rPr>
          <w:rFonts w:ascii="Book Antiqua" w:hAnsi="Book Antiqua"/>
        </w:rPr>
        <w:t xml:space="preserve">. </w:t>
      </w:r>
      <w:r>
        <w:rPr>
          <w:rFonts w:ascii="Book Antiqua" w:hAnsi="Book Antiqua"/>
        </w:rPr>
        <w:t>Furthermore, the ICO identified</w:t>
      </w:r>
      <w:r w:rsidRPr="009B6B1F">
        <w:rPr>
          <w:rFonts w:ascii="Book Antiqua" w:hAnsi="Book Antiqua"/>
        </w:rPr>
        <w:t xml:space="preserve"> ongoing risks and concerns arising from the </w:t>
      </w:r>
      <w:r>
        <w:rPr>
          <w:rFonts w:ascii="Book Antiqua" w:hAnsi="Book Antiqua"/>
        </w:rPr>
        <w:t xml:space="preserve">use of personal data by political parties specifically in relation to the </w:t>
      </w:r>
      <w:r w:rsidRPr="009B6B1F">
        <w:rPr>
          <w:rFonts w:ascii="Book Antiqua" w:hAnsi="Book Antiqua"/>
        </w:rPr>
        <w:t xml:space="preserve">purchasing of marketing lists and lifestyle information from data brokers without sufficient due diligence, a lack of fair processing, the use of third-party data analytics companies with insufficient checks around consent, and the provision of members contacts lists to social media companies. </w:t>
      </w:r>
      <w:r>
        <w:rPr>
          <w:rFonts w:ascii="Book Antiqua" w:hAnsi="Book Antiqua"/>
        </w:rPr>
        <w:t>Indeed, eleven political parties were sent warning letters requiring action and Assessment Notices for audits by the ICO although regulatory action was also taken against Facebook and a data broker.</w:t>
      </w:r>
      <w:r>
        <w:rPr>
          <w:rStyle w:val="FootnoteReference"/>
          <w:rFonts w:ascii="Book Antiqua" w:hAnsi="Book Antiqua"/>
        </w:rPr>
        <w:footnoteReference w:id="45"/>
      </w:r>
      <w:r>
        <w:rPr>
          <w:rFonts w:ascii="Book Antiqua" w:hAnsi="Book Antiqua"/>
        </w:rPr>
        <w:t xml:space="preserve"> </w:t>
      </w:r>
    </w:p>
    <w:p w14:paraId="564646FB" w14:textId="1E362F30" w:rsidR="003552BB" w:rsidRDefault="003552BB" w:rsidP="00280823">
      <w:pPr>
        <w:spacing w:before="240" w:line="276" w:lineRule="auto"/>
        <w:jc w:val="both"/>
        <w:rPr>
          <w:rFonts w:ascii="Book Antiqua" w:hAnsi="Book Antiqua"/>
        </w:rPr>
      </w:pPr>
      <w:r w:rsidRPr="009B6B1F">
        <w:rPr>
          <w:rFonts w:ascii="Book Antiqua" w:hAnsi="Book Antiqua"/>
        </w:rPr>
        <w:t>The GDPR, implemented by the D</w:t>
      </w:r>
      <w:r>
        <w:rPr>
          <w:rFonts w:ascii="Book Antiqua" w:hAnsi="Book Antiqua"/>
        </w:rPr>
        <w:t xml:space="preserve">ata </w:t>
      </w:r>
      <w:r w:rsidRPr="009B6B1F">
        <w:rPr>
          <w:rFonts w:ascii="Book Antiqua" w:hAnsi="Book Antiqua"/>
        </w:rPr>
        <w:t>P</w:t>
      </w:r>
      <w:r>
        <w:rPr>
          <w:rFonts w:ascii="Book Antiqua" w:hAnsi="Book Antiqua"/>
        </w:rPr>
        <w:t xml:space="preserve">rotection </w:t>
      </w:r>
      <w:r w:rsidRPr="009B6B1F">
        <w:rPr>
          <w:rFonts w:ascii="Book Antiqua" w:hAnsi="Book Antiqua"/>
        </w:rPr>
        <w:t>A</w:t>
      </w:r>
      <w:r>
        <w:rPr>
          <w:rFonts w:ascii="Book Antiqua" w:hAnsi="Book Antiqua"/>
        </w:rPr>
        <w:t>ct (DPA)</w:t>
      </w:r>
      <w:r w:rsidR="0007668A">
        <w:rPr>
          <w:rFonts w:ascii="Book Antiqua" w:hAnsi="Book Antiqua"/>
        </w:rPr>
        <w:t xml:space="preserve"> 2018 which </w:t>
      </w:r>
      <w:r w:rsidRPr="009B6B1F">
        <w:rPr>
          <w:rFonts w:ascii="Book Antiqua" w:hAnsi="Book Antiqua"/>
        </w:rPr>
        <w:t xml:space="preserve">replaced the 1998 Act, does not have retrospective effect. As such the DPA 1998 applies to the allegations of misuse of personal data for political purposes that occurred before May 2018, when the GDPR came into direct effect. </w:t>
      </w:r>
      <w:r>
        <w:rPr>
          <w:rFonts w:ascii="Book Antiqua" w:hAnsi="Book Antiqua"/>
        </w:rPr>
        <w:t>P</w:t>
      </w:r>
      <w:r w:rsidRPr="009B6B1F">
        <w:rPr>
          <w:rFonts w:ascii="Book Antiqua" w:hAnsi="Book Antiqua"/>
        </w:rPr>
        <w:t>rofiling</w:t>
      </w:r>
      <w:r>
        <w:rPr>
          <w:rFonts w:ascii="Book Antiqua" w:hAnsi="Book Antiqua"/>
        </w:rPr>
        <w:t xml:space="preserve"> and</w:t>
      </w:r>
      <w:r w:rsidRPr="009B6B1F">
        <w:rPr>
          <w:rFonts w:ascii="Book Antiqua" w:hAnsi="Book Antiqua"/>
        </w:rPr>
        <w:t xml:space="preserve"> the use of big data </w:t>
      </w:r>
      <w:r>
        <w:rPr>
          <w:rFonts w:ascii="Book Antiqua" w:hAnsi="Book Antiqua"/>
        </w:rPr>
        <w:t>is not unlawful</w:t>
      </w:r>
      <w:r w:rsidRPr="009B6B1F">
        <w:rPr>
          <w:rFonts w:ascii="Book Antiqua" w:hAnsi="Book Antiqua"/>
        </w:rPr>
        <w:t xml:space="preserve"> but requirements under the DPA 1998</w:t>
      </w:r>
      <w:r>
        <w:rPr>
          <w:rFonts w:ascii="Book Antiqua" w:hAnsi="Book Antiqua"/>
        </w:rPr>
        <w:t>,</w:t>
      </w:r>
      <w:r w:rsidRPr="009B6B1F">
        <w:rPr>
          <w:rFonts w:ascii="Book Antiqua" w:hAnsi="Book Antiqua"/>
        </w:rPr>
        <w:t xml:space="preserve"> </w:t>
      </w:r>
      <w:r>
        <w:rPr>
          <w:rFonts w:ascii="Book Antiqua" w:hAnsi="Book Antiqua"/>
        </w:rPr>
        <w:t xml:space="preserve">and now the DPA 2018, </w:t>
      </w:r>
      <w:r w:rsidRPr="009B6B1F">
        <w:rPr>
          <w:rFonts w:ascii="Book Antiqua" w:hAnsi="Book Antiqua"/>
        </w:rPr>
        <w:t>must be met.</w:t>
      </w:r>
      <w:r w:rsidRPr="00D53BC2">
        <w:rPr>
          <w:rFonts w:ascii="Book Antiqua" w:hAnsi="Book Antiqua"/>
        </w:rPr>
        <w:t xml:space="preserve"> </w:t>
      </w:r>
      <w:r>
        <w:rPr>
          <w:rFonts w:ascii="Book Antiqua" w:hAnsi="Book Antiqua"/>
        </w:rPr>
        <w:t>There are two categories of data: personal data; and, sensitive personal data (which includes p</w:t>
      </w:r>
      <w:r w:rsidRPr="009B6B1F">
        <w:rPr>
          <w:rFonts w:ascii="Book Antiqua" w:hAnsi="Book Antiqua"/>
        </w:rPr>
        <w:t>olitical opinions</w:t>
      </w:r>
      <w:r>
        <w:rPr>
          <w:rFonts w:ascii="Book Antiqua" w:hAnsi="Book Antiqua"/>
        </w:rPr>
        <w:t>)</w:t>
      </w:r>
      <w:r w:rsidRPr="008F4F5A">
        <w:rPr>
          <w:rFonts w:ascii="Book Antiqua" w:hAnsi="Book Antiqua"/>
        </w:rPr>
        <w:t>.</w:t>
      </w:r>
      <w:r w:rsidR="00346C90">
        <w:rPr>
          <w:rStyle w:val="FootnoteReference"/>
          <w:rFonts w:ascii="Book Antiqua" w:hAnsi="Book Antiqua"/>
        </w:rPr>
        <w:footnoteReference w:id="46"/>
      </w:r>
      <w:r w:rsidRPr="008F4F5A">
        <w:rPr>
          <w:rStyle w:val="FootnoteReference"/>
          <w:rFonts w:ascii="Book Antiqua" w:hAnsi="Book Antiqua"/>
        </w:rPr>
        <w:t xml:space="preserve"> </w:t>
      </w:r>
      <w:r w:rsidRPr="008F4F5A">
        <w:rPr>
          <w:rFonts w:ascii="Book Antiqua" w:hAnsi="Book Antiqua"/>
        </w:rPr>
        <w:t xml:space="preserve">There are also different uses of data in politics such as processing personal data for </w:t>
      </w:r>
      <w:r>
        <w:rPr>
          <w:rFonts w:ascii="Book Antiqua" w:hAnsi="Book Antiqua"/>
        </w:rPr>
        <w:t xml:space="preserve">general </w:t>
      </w:r>
      <w:r w:rsidRPr="008F4F5A">
        <w:rPr>
          <w:rFonts w:ascii="Book Antiqua" w:hAnsi="Book Antiqua"/>
        </w:rPr>
        <w:t>promotional purposes and processing personal data to reveal political opinions for micro-targeting.</w:t>
      </w:r>
      <w:r w:rsidRPr="008F4F5A">
        <w:rPr>
          <w:rStyle w:val="FootnoteReference"/>
          <w:rFonts w:ascii="Book Antiqua" w:hAnsi="Book Antiqua"/>
        </w:rPr>
        <w:footnoteReference w:id="47"/>
      </w:r>
      <w:r w:rsidRPr="009B6B1F">
        <w:rPr>
          <w:rFonts w:ascii="Book Antiqua" w:hAnsi="Book Antiqua"/>
        </w:rPr>
        <w:t xml:space="preserve"> </w:t>
      </w:r>
      <w:r>
        <w:rPr>
          <w:rFonts w:ascii="Book Antiqua" w:hAnsi="Book Antiqua"/>
        </w:rPr>
        <w:t xml:space="preserve">To </w:t>
      </w:r>
      <w:r w:rsidRPr="009B6B1F">
        <w:rPr>
          <w:rFonts w:ascii="Book Antiqua" w:hAnsi="Book Antiqua"/>
        </w:rPr>
        <w:t>lawfully and fairly process</w:t>
      </w:r>
      <w:r>
        <w:rPr>
          <w:rFonts w:ascii="Book Antiqua" w:hAnsi="Book Antiqua"/>
        </w:rPr>
        <w:t xml:space="preserve"> both types of data,</w:t>
      </w:r>
      <w:r w:rsidRPr="009B6B1F">
        <w:rPr>
          <w:rFonts w:ascii="Book Antiqua" w:hAnsi="Book Antiqua"/>
        </w:rPr>
        <w:t xml:space="preserve"> at least one of the </w:t>
      </w:r>
      <w:r>
        <w:rPr>
          <w:rFonts w:ascii="Book Antiqua" w:hAnsi="Book Antiqua"/>
        </w:rPr>
        <w:t xml:space="preserve">general </w:t>
      </w:r>
      <w:r w:rsidR="009B0017">
        <w:rPr>
          <w:rFonts w:ascii="Book Antiqua" w:hAnsi="Book Antiqua"/>
        </w:rPr>
        <w:t>conditions</w:t>
      </w:r>
      <w:r w:rsidRPr="009B6B1F">
        <w:rPr>
          <w:rFonts w:ascii="Book Antiqua" w:hAnsi="Book Antiqua"/>
        </w:rPr>
        <w:t xml:space="preserve"> set out in schedule </w:t>
      </w:r>
      <w:r>
        <w:rPr>
          <w:rFonts w:ascii="Book Antiqua" w:hAnsi="Book Antiqua"/>
        </w:rPr>
        <w:t xml:space="preserve">2 DPA 1998 and now article 6 of the GDPR must be met. To process sensitive personal data at least one of the </w:t>
      </w:r>
      <w:r w:rsidR="009B0017">
        <w:rPr>
          <w:rFonts w:ascii="Book Antiqua" w:hAnsi="Book Antiqua"/>
        </w:rPr>
        <w:t>conditions</w:t>
      </w:r>
      <w:r>
        <w:rPr>
          <w:rFonts w:ascii="Book Antiqua" w:hAnsi="Book Antiqua"/>
        </w:rPr>
        <w:t xml:space="preserve"> previously set out in schedule </w:t>
      </w:r>
      <w:r w:rsidRPr="009B6B1F">
        <w:rPr>
          <w:rFonts w:ascii="Book Antiqua" w:hAnsi="Book Antiqua"/>
        </w:rPr>
        <w:t>3 DPA 1998</w:t>
      </w:r>
      <w:r>
        <w:rPr>
          <w:rFonts w:ascii="Book Antiqua" w:hAnsi="Book Antiqua"/>
        </w:rPr>
        <w:t xml:space="preserve"> and now article 9 GDPR </w:t>
      </w:r>
      <w:r w:rsidRPr="00F24EDD">
        <w:rPr>
          <w:rFonts w:ascii="Book Antiqua" w:hAnsi="Book Antiqua"/>
        </w:rPr>
        <w:t xml:space="preserve">and </w:t>
      </w:r>
      <w:r w:rsidR="009B0017">
        <w:rPr>
          <w:rFonts w:ascii="Book Antiqua" w:hAnsi="Book Antiqua"/>
          <w:color w:val="000000"/>
          <w:shd w:val="clear" w:color="auto" w:fill="FFFFFF"/>
        </w:rPr>
        <w:t>s</w:t>
      </w:r>
      <w:r w:rsidRPr="00F24EDD">
        <w:rPr>
          <w:rFonts w:ascii="Book Antiqua" w:hAnsi="Book Antiqua"/>
          <w:color w:val="000000"/>
          <w:shd w:val="clear" w:color="auto" w:fill="FFFFFF"/>
        </w:rPr>
        <w:t xml:space="preserve">chedule 1 </w:t>
      </w:r>
      <w:r w:rsidR="009B0017">
        <w:rPr>
          <w:rFonts w:ascii="Book Antiqua" w:hAnsi="Book Antiqua"/>
          <w:color w:val="000000"/>
          <w:shd w:val="clear" w:color="auto" w:fill="FFFFFF"/>
        </w:rPr>
        <w:t>p</w:t>
      </w:r>
      <w:r w:rsidRPr="00F24EDD">
        <w:rPr>
          <w:rFonts w:ascii="Book Antiqua" w:hAnsi="Book Antiqua"/>
          <w:color w:val="000000"/>
          <w:shd w:val="clear" w:color="auto" w:fill="FFFFFF"/>
        </w:rPr>
        <w:t xml:space="preserve">art 2 DPA 2018 </w:t>
      </w:r>
      <w:r>
        <w:rPr>
          <w:rFonts w:ascii="Book Antiqua" w:hAnsi="Book Antiqua"/>
          <w:color w:val="000000"/>
          <w:shd w:val="clear" w:color="auto" w:fill="FFFFFF"/>
        </w:rPr>
        <w:t>must also be met</w:t>
      </w:r>
      <w:r w:rsidRPr="009B6B1F">
        <w:rPr>
          <w:rFonts w:ascii="Book Antiqua" w:hAnsi="Book Antiqua"/>
        </w:rPr>
        <w:t>.</w:t>
      </w:r>
      <w:r w:rsidR="00335974">
        <w:rPr>
          <w:rFonts w:ascii="Book Antiqua" w:hAnsi="Book Antiqua"/>
        </w:rPr>
        <w:t xml:space="preserve"> </w:t>
      </w:r>
    </w:p>
    <w:p w14:paraId="611DFB6D" w14:textId="6AC97627" w:rsidR="003552BB" w:rsidRDefault="003552BB" w:rsidP="00280823">
      <w:pPr>
        <w:spacing w:before="240" w:line="276" w:lineRule="auto"/>
        <w:jc w:val="both"/>
        <w:rPr>
          <w:rFonts w:ascii="Book Antiqua" w:hAnsi="Book Antiqua"/>
        </w:rPr>
      </w:pPr>
      <w:r>
        <w:rPr>
          <w:rFonts w:ascii="Book Antiqua" w:hAnsi="Book Antiqua"/>
        </w:rPr>
        <w:t>When</w:t>
      </w:r>
      <w:r w:rsidRPr="0004148B">
        <w:rPr>
          <w:rFonts w:ascii="Book Antiqua" w:hAnsi="Book Antiqua"/>
        </w:rPr>
        <w:t xml:space="preserve"> determining whether personal</w:t>
      </w:r>
      <w:r>
        <w:rPr>
          <w:rFonts w:ascii="Book Antiqua" w:hAnsi="Book Antiqua"/>
        </w:rPr>
        <w:t xml:space="preserve"> </w:t>
      </w:r>
      <w:r w:rsidRPr="0004148B">
        <w:rPr>
          <w:rFonts w:ascii="Book Antiqua" w:hAnsi="Book Antiqua"/>
        </w:rPr>
        <w:t xml:space="preserve">data </w:t>
      </w:r>
      <w:r>
        <w:rPr>
          <w:rFonts w:ascii="Book Antiqua" w:hAnsi="Book Antiqua"/>
        </w:rPr>
        <w:t>is</w:t>
      </w:r>
      <w:r w:rsidRPr="0004148B">
        <w:rPr>
          <w:rFonts w:ascii="Book Antiqua" w:hAnsi="Book Antiqua"/>
        </w:rPr>
        <w:t xml:space="preserve"> processed fairly</w:t>
      </w:r>
      <w:r>
        <w:rPr>
          <w:rFonts w:ascii="Book Antiqua" w:hAnsi="Book Antiqua"/>
        </w:rPr>
        <w:t xml:space="preserve"> and lawfully</w:t>
      </w:r>
      <w:r w:rsidRPr="0004148B">
        <w:rPr>
          <w:rFonts w:ascii="Book Antiqua" w:hAnsi="Book Antiqua"/>
        </w:rPr>
        <w:t xml:space="preserve">, </w:t>
      </w:r>
      <w:r w:rsidR="0007668A">
        <w:rPr>
          <w:rFonts w:ascii="Book Antiqua" w:hAnsi="Book Antiqua"/>
        </w:rPr>
        <w:t>it must be considered</w:t>
      </w:r>
      <w:r>
        <w:rPr>
          <w:rFonts w:ascii="Book Antiqua" w:hAnsi="Book Antiqua"/>
        </w:rPr>
        <w:t xml:space="preserve"> </w:t>
      </w:r>
      <w:r w:rsidRPr="0004148B">
        <w:rPr>
          <w:rFonts w:ascii="Book Antiqua" w:hAnsi="Book Antiqua"/>
        </w:rPr>
        <w:t xml:space="preserve">whether any person from whom </w:t>
      </w:r>
      <w:r>
        <w:rPr>
          <w:rFonts w:ascii="Book Antiqua" w:hAnsi="Book Antiqua"/>
        </w:rPr>
        <w:t>the data was obtained wa</w:t>
      </w:r>
      <w:r w:rsidRPr="0004148B">
        <w:rPr>
          <w:rFonts w:ascii="Book Antiqua" w:hAnsi="Book Antiqua"/>
        </w:rPr>
        <w:t>s deceived or misled as to the purpose</w:t>
      </w:r>
      <w:r w:rsidR="00397CA2">
        <w:rPr>
          <w:rFonts w:ascii="Book Antiqua" w:hAnsi="Book Antiqua"/>
        </w:rPr>
        <w:t>(s)</w:t>
      </w:r>
      <w:r w:rsidRPr="0004148B">
        <w:rPr>
          <w:rFonts w:ascii="Book Antiqua" w:hAnsi="Book Antiqua"/>
        </w:rPr>
        <w:t xml:space="preserve"> for which </w:t>
      </w:r>
      <w:r w:rsidR="0007668A">
        <w:rPr>
          <w:rFonts w:ascii="Book Antiqua" w:hAnsi="Book Antiqua"/>
        </w:rPr>
        <w:t>the data is</w:t>
      </w:r>
      <w:r>
        <w:rPr>
          <w:rFonts w:ascii="Book Antiqua" w:hAnsi="Book Antiqua"/>
        </w:rPr>
        <w:t xml:space="preserve"> </w:t>
      </w:r>
      <w:r w:rsidRPr="0004148B">
        <w:rPr>
          <w:rFonts w:ascii="Book Antiqua" w:hAnsi="Book Antiqua"/>
        </w:rPr>
        <w:t>to be processed.</w:t>
      </w:r>
      <w:r>
        <w:rPr>
          <w:rStyle w:val="FootnoteReference"/>
          <w:rFonts w:ascii="Book Antiqua" w:hAnsi="Book Antiqua"/>
        </w:rPr>
        <w:footnoteReference w:id="48"/>
      </w:r>
      <w:r>
        <w:rPr>
          <w:rFonts w:ascii="Book Antiqua" w:hAnsi="Book Antiqua"/>
        </w:rPr>
        <w:t xml:space="preserve"> </w:t>
      </w:r>
      <w:r w:rsidRPr="00CB3036">
        <w:rPr>
          <w:rFonts w:ascii="Book Antiqua" w:hAnsi="Book Antiqua"/>
        </w:rPr>
        <w:t>Fairness</w:t>
      </w:r>
      <w:r w:rsidRPr="00A16516">
        <w:rPr>
          <w:rFonts w:ascii="Book Antiqua" w:hAnsi="Book Antiqua"/>
        </w:rPr>
        <w:t xml:space="preserve"> and transparency are fundamentally linked in the data protection regime.</w:t>
      </w:r>
      <w:r>
        <w:rPr>
          <w:rFonts w:ascii="Book Antiqua" w:hAnsi="Book Antiqua"/>
          <w:color w:val="FF0000"/>
        </w:rPr>
        <w:t xml:space="preserve"> </w:t>
      </w:r>
      <w:r>
        <w:rPr>
          <w:rFonts w:ascii="Book Antiqua" w:hAnsi="Book Antiqua"/>
        </w:rPr>
        <w:t>U</w:t>
      </w:r>
      <w:r w:rsidRPr="00556332">
        <w:rPr>
          <w:rFonts w:ascii="Book Antiqua" w:hAnsi="Book Antiqua"/>
        </w:rPr>
        <w:t>nfairness can</w:t>
      </w:r>
      <w:r w:rsidRPr="00556332">
        <w:rPr>
          <w:rFonts w:ascii="Book Antiqua" w:eastAsia="Times New Roman" w:hAnsi="Book Antiqua" w:cs="Times New Roman"/>
          <w:color w:val="333333"/>
          <w:lang w:eastAsia="en-GB"/>
        </w:rPr>
        <w:t xml:space="preserve"> </w:t>
      </w:r>
      <w:r w:rsidRPr="00556332">
        <w:rPr>
          <w:rFonts w:ascii="Book Antiqua" w:hAnsi="Book Antiqua"/>
        </w:rPr>
        <w:t>most starkly be seen when there is a disconnect between the initial cause for data collection or data provision and the subsequent use of that data.</w:t>
      </w:r>
      <w:r w:rsidRPr="000540C9">
        <w:rPr>
          <w:rFonts w:ascii="Book Antiqua" w:hAnsi="Book Antiqua"/>
        </w:rPr>
        <w:t xml:space="preserve"> </w:t>
      </w:r>
      <w:r w:rsidRPr="00556332">
        <w:rPr>
          <w:rFonts w:ascii="Book Antiqua" w:hAnsi="Book Antiqua"/>
        </w:rPr>
        <w:t>Individuals submit details online for various purposes, but the clincher is the deceptive retention and evaluation of personal information, including political views, for direct marketing.</w:t>
      </w:r>
      <w:r w:rsidRPr="00556332">
        <w:rPr>
          <w:rStyle w:val="FootnoteReference"/>
          <w:rFonts w:ascii="Book Antiqua" w:hAnsi="Book Antiqua"/>
        </w:rPr>
        <w:footnoteReference w:id="49"/>
      </w:r>
      <w:r w:rsidRPr="00556332">
        <w:rPr>
          <w:rFonts w:ascii="Book Antiqua" w:hAnsi="Book Antiqua"/>
        </w:rPr>
        <w:t xml:space="preserve"> One particular technique </w:t>
      </w:r>
      <w:r>
        <w:rPr>
          <w:rFonts w:ascii="Book Antiqua" w:hAnsi="Book Antiqua"/>
        </w:rPr>
        <w:t>used</w:t>
      </w:r>
      <w:r w:rsidRPr="00556332">
        <w:rPr>
          <w:rFonts w:ascii="Book Antiqua" w:hAnsi="Book Antiqua"/>
        </w:rPr>
        <w:t xml:space="preserve"> </w:t>
      </w:r>
      <w:r>
        <w:rPr>
          <w:rFonts w:ascii="Book Antiqua" w:hAnsi="Book Antiqua"/>
        </w:rPr>
        <w:t>before</w:t>
      </w:r>
      <w:r w:rsidRPr="00556332">
        <w:rPr>
          <w:rFonts w:ascii="Book Antiqua" w:hAnsi="Book Antiqua"/>
        </w:rPr>
        <w:t xml:space="preserve"> the UK-EU referendum vote was the gathering up of data through smartphone applications which targeted the users’ </w:t>
      </w:r>
      <w:r w:rsidRPr="00556332">
        <w:rPr>
          <w:rFonts w:ascii="Book Antiqua" w:hAnsi="Book Antiqua"/>
        </w:rPr>
        <w:lastRenderedPageBreak/>
        <w:t>contacts lists or Facebook friends’ accounts.</w:t>
      </w:r>
      <w:r w:rsidRPr="00556332">
        <w:rPr>
          <w:rStyle w:val="FootnoteReference"/>
          <w:rFonts w:ascii="Book Antiqua" w:hAnsi="Book Antiqua"/>
        </w:rPr>
        <w:footnoteReference w:id="50"/>
      </w:r>
      <w:r w:rsidRPr="00556332">
        <w:rPr>
          <w:rFonts w:ascii="Book Antiqua" w:hAnsi="Book Antiqua"/>
        </w:rPr>
        <w:t xml:space="preserve"> </w:t>
      </w:r>
      <w:r>
        <w:rPr>
          <w:rFonts w:ascii="Book Antiqua" w:hAnsi="Book Antiqua"/>
        </w:rPr>
        <w:t>Not only is this not transparent and unfair but the necessary c</w:t>
      </w:r>
      <w:r w:rsidRPr="00556332">
        <w:rPr>
          <w:rFonts w:ascii="Book Antiqua" w:hAnsi="Book Antiqua"/>
        </w:rPr>
        <w:t>onsent for processing personal data is unlikely to be found because the consent is obtained from the user of the smartphone application rather than the people in their contacts list or their Facebook friends who remain unaware that their data is being accessed. Proactively, and in future, Data Protection Impact Assessments should highlight any potential privacy risks and points at which consent must be sought and notifications delivered.</w:t>
      </w:r>
      <w:r>
        <w:rPr>
          <w:rFonts w:ascii="Book Antiqua" w:hAnsi="Book Antiqua"/>
        </w:rPr>
        <w:t xml:space="preserve"> </w:t>
      </w:r>
      <w:r w:rsidRPr="00B70F17">
        <w:rPr>
          <w:rFonts w:ascii="Book Antiqua" w:hAnsi="Book Antiqua"/>
        </w:rPr>
        <w:t>Another requirement is that data should be obtained only for one or more specified and lawful purposes and be processed compatibly with those purposes only</w:t>
      </w:r>
      <w:r w:rsidRPr="00CB3036">
        <w:rPr>
          <w:rFonts w:ascii="Book Antiqua" w:hAnsi="Book Antiqua"/>
        </w:rPr>
        <w:t>.</w:t>
      </w:r>
      <w:r>
        <w:rPr>
          <w:rStyle w:val="FootnoteReference"/>
          <w:rFonts w:ascii="Book Antiqua" w:hAnsi="Book Antiqua"/>
        </w:rPr>
        <w:footnoteReference w:id="51"/>
      </w:r>
      <w:r>
        <w:rPr>
          <w:rFonts w:ascii="Book Antiqua" w:hAnsi="Book Antiqua"/>
        </w:rPr>
        <w:t xml:space="preserve"> </w:t>
      </w:r>
      <w:r w:rsidR="00397CA2">
        <w:rPr>
          <w:rFonts w:ascii="Book Antiqua" w:hAnsi="Book Antiqua"/>
        </w:rPr>
        <w:t>To illustrate</w:t>
      </w:r>
      <w:r>
        <w:rPr>
          <w:rFonts w:ascii="Book Antiqua" w:hAnsi="Book Antiqua"/>
        </w:rPr>
        <w:t>, the passing of personal data from an insurance company to a political group for political campaigning purposes is not in keeping with this requirement.</w:t>
      </w:r>
      <w:r>
        <w:rPr>
          <w:rStyle w:val="FootnoteReference"/>
          <w:rFonts w:ascii="Book Antiqua" w:hAnsi="Book Antiqua"/>
        </w:rPr>
        <w:footnoteReference w:id="52"/>
      </w:r>
      <w:r>
        <w:rPr>
          <w:rFonts w:ascii="Book Antiqua" w:hAnsi="Book Antiqua"/>
        </w:rPr>
        <w:t xml:space="preserve">  </w:t>
      </w:r>
    </w:p>
    <w:p w14:paraId="5643622F" w14:textId="03B2B1D7" w:rsidR="003552BB" w:rsidRDefault="003552BB" w:rsidP="00280823">
      <w:pPr>
        <w:spacing w:before="240" w:line="276" w:lineRule="auto"/>
        <w:jc w:val="both"/>
        <w:rPr>
          <w:rFonts w:ascii="Book Antiqua" w:hAnsi="Book Antiqua"/>
        </w:rPr>
      </w:pPr>
      <w:r>
        <w:rPr>
          <w:rFonts w:ascii="Book Antiqua" w:hAnsi="Book Antiqua"/>
        </w:rPr>
        <w:t xml:space="preserve">Personal data may be used for promotional purposes in order to campaign and effectively communicate ahead of an election or referendum. </w:t>
      </w:r>
      <w:r w:rsidRPr="009B6B1F">
        <w:rPr>
          <w:rFonts w:ascii="Book Antiqua" w:hAnsi="Book Antiqua"/>
        </w:rPr>
        <w:t>Section 8(e)</w:t>
      </w:r>
      <w:r w:rsidRPr="009B6B1F">
        <w:rPr>
          <w:rStyle w:val="FootnoteReference"/>
          <w:rFonts w:ascii="Book Antiqua" w:hAnsi="Book Antiqua"/>
        </w:rPr>
        <w:footnoteReference w:id="53"/>
      </w:r>
      <w:r w:rsidRPr="009B6B1F">
        <w:rPr>
          <w:rFonts w:ascii="Book Antiqua" w:hAnsi="Book Antiqua"/>
        </w:rPr>
        <w:t xml:space="preserve"> provid</w:t>
      </w:r>
      <w:r>
        <w:rPr>
          <w:rFonts w:ascii="Book Antiqua" w:hAnsi="Book Antiqua"/>
        </w:rPr>
        <w:t>es a lawful basis for the processing of</w:t>
      </w:r>
      <w:r w:rsidRPr="00C07070">
        <w:rPr>
          <w:rFonts w:ascii="Book Antiqua" w:hAnsi="Book Antiqua"/>
          <w:color w:val="FF0000"/>
        </w:rPr>
        <w:t xml:space="preserve"> </w:t>
      </w:r>
      <w:r w:rsidRPr="009B6B1F">
        <w:rPr>
          <w:rFonts w:ascii="Book Antiqua" w:hAnsi="Book Antiqua"/>
        </w:rPr>
        <w:t>personal data</w:t>
      </w:r>
      <w:r w:rsidRPr="00382E1D">
        <w:t xml:space="preserve"> </w:t>
      </w:r>
      <w:r>
        <w:rPr>
          <w:rFonts w:ascii="Book Antiqua" w:hAnsi="Book Antiqua"/>
        </w:rPr>
        <w:t>“</w:t>
      </w:r>
      <w:r w:rsidRPr="00382E1D">
        <w:rPr>
          <w:rFonts w:ascii="Book Antiqua" w:hAnsi="Book Antiqua"/>
        </w:rPr>
        <w:t>that is necessary for the performance of a task</w:t>
      </w:r>
      <w:r>
        <w:rPr>
          <w:rFonts w:ascii="Book Antiqua" w:hAnsi="Book Antiqua"/>
        </w:rPr>
        <w:t xml:space="preserve"> </w:t>
      </w:r>
      <w:r w:rsidRPr="00382E1D">
        <w:rPr>
          <w:rFonts w:ascii="Book Antiqua" w:hAnsi="Book Antiqua"/>
        </w:rPr>
        <w:t>carried out in the public interest</w:t>
      </w:r>
      <w:r>
        <w:rPr>
          <w:rFonts w:ascii="Book Antiqua" w:hAnsi="Book Antiqua"/>
        </w:rPr>
        <w:t>”</w:t>
      </w:r>
      <w:r w:rsidRPr="00382E1D">
        <w:rPr>
          <w:rFonts w:ascii="Book Antiqua" w:hAnsi="Book Antiqua"/>
        </w:rPr>
        <w:t xml:space="preserve"> </w:t>
      </w:r>
      <w:r>
        <w:rPr>
          <w:rFonts w:ascii="Book Antiqua" w:hAnsi="Book Antiqua"/>
        </w:rPr>
        <w:t>including</w:t>
      </w:r>
      <w:r w:rsidRPr="009B6B1F">
        <w:rPr>
          <w:rFonts w:ascii="Book Antiqua" w:hAnsi="Book Antiqua"/>
        </w:rPr>
        <w:t xml:space="preserve"> “an activity that supports or promotes democratic engagement” </w:t>
      </w:r>
      <w:r>
        <w:rPr>
          <w:rFonts w:ascii="Book Antiqua" w:hAnsi="Book Antiqua"/>
        </w:rPr>
        <w:t>such as</w:t>
      </w:r>
      <w:r w:rsidRPr="009B6B1F">
        <w:rPr>
          <w:rFonts w:ascii="Book Antiqua" w:hAnsi="Book Antiqua"/>
        </w:rPr>
        <w:t xml:space="preserve"> communicating with electors, campaigning activities, and opinion gathering inside and outside election periods.</w:t>
      </w:r>
      <w:r w:rsidRPr="009B6B1F">
        <w:rPr>
          <w:rStyle w:val="FootnoteReference"/>
          <w:rFonts w:ascii="Book Antiqua" w:hAnsi="Book Antiqua"/>
        </w:rPr>
        <w:footnoteReference w:id="54"/>
      </w:r>
      <w:r w:rsidRPr="009B6B1F">
        <w:rPr>
          <w:rFonts w:ascii="Book Antiqua" w:hAnsi="Book Antiqua"/>
        </w:rPr>
        <w:t xml:space="preserve"> Although this</w:t>
      </w:r>
      <w:r w:rsidRPr="00D83AC2">
        <w:rPr>
          <w:rFonts w:ascii="Book Antiqua" w:hAnsi="Book Antiqua"/>
        </w:rPr>
        <w:t xml:space="preserve"> basis </w:t>
      </w:r>
      <w:r w:rsidRPr="009B6B1F">
        <w:rPr>
          <w:rFonts w:ascii="Book Antiqua" w:hAnsi="Book Antiqua"/>
        </w:rPr>
        <w:t xml:space="preserve">will still be subject to the </w:t>
      </w:r>
      <w:r w:rsidR="00397CA2">
        <w:rPr>
          <w:rFonts w:ascii="Book Antiqua" w:hAnsi="Book Antiqua"/>
        </w:rPr>
        <w:t xml:space="preserve">GDPR </w:t>
      </w:r>
      <w:r w:rsidRPr="009B6B1F">
        <w:rPr>
          <w:rFonts w:ascii="Book Antiqua" w:hAnsi="Book Antiqua"/>
        </w:rPr>
        <w:t xml:space="preserve">six </w:t>
      </w:r>
      <w:r w:rsidR="00397CA2">
        <w:rPr>
          <w:rFonts w:ascii="Book Antiqua" w:hAnsi="Book Antiqua"/>
        </w:rPr>
        <w:t xml:space="preserve">data protection </w:t>
      </w:r>
      <w:r w:rsidRPr="009B6B1F">
        <w:rPr>
          <w:rFonts w:ascii="Book Antiqua" w:hAnsi="Book Antiqua"/>
        </w:rPr>
        <w:t xml:space="preserve">principles including lawful, fair and transparent processing, purpose minimisation and accountability, the ICO warned that there was no need for this additional and </w:t>
      </w:r>
      <w:r w:rsidRPr="002C3CC4">
        <w:rPr>
          <w:rFonts w:ascii="Book Antiqua" w:hAnsi="Book Antiqua"/>
        </w:rPr>
        <w:t>broad provision</w:t>
      </w:r>
      <w:r w:rsidRPr="009B6B1F">
        <w:rPr>
          <w:rStyle w:val="FootnoteReference"/>
          <w:rFonts w:ascii="Book Antiqua" w:hAnsi="Book Antiqua"/>
        </w:rPr>
        <w:footnoteReference w:id="55"/>
      </w:r>
      <w:r w:rsidRPr="009B6B1F">
        <w:rPr>
          <w:rFonts w:ascii="Book Antiqua" w:hAnsi="Book Antiqua"/>
        </w:rPr>
        <w:t xml:space="preserve"> because the consent</w:t>
      </w:r>
      <w:r>
        <w:rPr>
          <w:rStyle w:val="FootnoteReference"/>
          <w:rFonts w:ascii="Book Antiqua" w:hAnsi="Book Antiqua"/>
        </w:rPr>
        <w:footnoteReference w:id="56"/>
      </w:r>
      <w:r w:rsidRPr="009B6B1F">
        <w:rPr>
          <w:rFonts w:ascii="Book Antiqua" w:hAnsi="Book Antiqua"/>
        </w:rPr>
        <w:t xml:space="preserve"> or</w:t>
      </w:r>
      <w:r>
        <w:rPr>
          <w:rFonts w:ascii="Book Antiqua" w:hAnsi="Book Antiqua"/>
        </w:rPr>
        <w:t xml:space="preserve"> the</w:t>
      </w:r>
      <w:r w:rsidRPr="009B6B1F">
        <w:rPr>
          <w:rFonts w:ascii="Book Antiqua" w:hAnsi="Book Antiqua"/>
        </w:rPr>
        <w:t xml:space="preserve"> legitimate interests</w:t>
      </w:r>
      <w:r>
        <w:rPr>
          <w:rStyle w:val="FootnoteReference"/>
          <w:rFonts w:ascii="Book Antiqua" w:hAnsi="Book Antiqua"/>
        </w:rPr>
        <w:footnoteReference w:id="57"/>
      </w:r>
      <w:r w:rsidRPr="009B6B1F">
        <w:rPr>
          <w:rFonts w:ascii="Book Antiqua" w:hAnsi="Book Antiqua"/>
        </w:rPr>
        <w:t xml:space="preserve"> legal bases under article 6 GDPR are more appropriate justifications for processing personal data. The legitimate interest basis enables a balancing test between whether the legitimate interests are overridden by the interests or fundamental rights and freedoms of the data subject. This is an important test to ensure that organisations do not use a broad legal basis to legitimise </w:t>
      </w:r>
      <w:r>
        <w:rPr>
          <w:rFonts w:ascii="Book Antiqua" w:hAnsi="Book Antiqua"/>
        </w:rPr>
        <w:t xml:space="preserve">opaque </w:t>
      </w:r>
      <w:r w:rsidRPr="009B6B1F">
        <w:rPr>
          <w:rFonts w:ascii="Book Antiqua" w:hAnsi="Book Antiqua"/>
        </w:rPr>
        <w:t xml:space="preserve">micro-targeting and the other campaigning techniques the ICO was investigating at the time </w:t>
      </w:r>
      <w:r>
        <w:rPr>
          <w:rFonts w:ascii="Book Antiqua" w:hAnsi="Book Antiqua"/>
        </w:rPr>
        <w:t xml:space="preserve">section 8(e) </w:t>
      </w:r>
      <w:r w:rsidRPr="009B6B1F">
        <w:rPr>
          <w:rFonts w:ascii="Book Antiqua" w:hAnsi="Book Antiqua"/>
        </w:rPr>
        <w:t xml:space="preserve">was inserted into the Bill. </w:t>
      </w:r>
      <w:r>
        <w:rPr>
          <w:rFonts w:ascii="Book Antiqua" w:hAnsi="Book Antiqua"/>
        </w:rPr>
        <w:t xml:space="preserve">During the ICO’s investigation, it was made clear that political parties and campaign groups pay private organisations to process data and the democratic engagement basis does not apply to them. Also, this basis does not get around the additional provisions applicable to sensitive personal data. </w:t>
      </w:r>
    </w:p>
    <w:p w14:paraId="627D3E00" w14:textId="4F6B8571" w:rsidR="003552BB" w:rsidRDefault="003552BB" w:rsidP="00280823">
      <w:pPr>
        <w:autoSpaceDE w:val="0"/>
        <w:autoSpaceDN w:val="0"/>
        <w:adjustRightInd w:val="0"/>
        <w:spacing w:after="0" w:line="276" w:lineRule="auto"/>
        <w:jc w:val="both"/>
        <w:rPr>
          <w:rFonts w:ascii="Book Antiqua" w:hAnsi="Book Antiqua"/>
        </w:rPr>
      </w:pPr>
      <w:r>
        <w:rPr>
          <w:rFonts w:ascii="Book Antiqua" w:hAnsi="Book Antiqua"/>
        </w:rPr>
        <w:t>S</w:t>
      </w:r>
      <w:r w:rsidRPr="004E2D74">
        <w:rPr>
          <w:rFonts w:ascii="Book Antiqua" w:hAnsi="Book Antiqua"/>
        </w:rPr>
        <w:t xml:space="preserve">ensitive personal data </w:t>
      </w:r>
      <w:r w:rsidRPr="00060988">
        <w:rPr>
          <w:rFonts w:ascii="Book Antiqua" w:hAnsi="Book Antiqua"/>
        </w:rPr>
        <w:t>may</w:t>
      </w:r>
      <w:r>
        <w:rPr>
          <w:rFonts w:ascii="Book Antiqua" w:hAnsi="Book Antiqua"/>
        </w:rPr>
        <w:t xml:space="preserve"> </w:t>
      </w:r>
      <w:r w:rsidR="00397CA2">
        <w:rPr>
          <w:rFonts w:ascii="Book Antiqua" w:hAnsi="Book Antiqua"/>
        </w:rPr>
        <w:t xml:space="preserve">also </w:t>
      </w:r>
      <w:r w:rsidRPr="00060988">
        <w:rPr>
          <w:rFonts w:ascii="Book Antiqua" w:hAnsi="Book Antiqua"/>
        </w:rPr>
        <w:t>be used for</w:t>
      </w:r>
      <w:r>
        <w:rPr>
          <w:rFonts w:ascii="Book Antiqua" w:hAnsi="Book Antiqua"/>
        </w:rPr>
        <w:t xml:space="preserve"> political</w:t>
      </w:r>
      <w:r w:rsidRPr="00060988">
        <w:rPr>
          <w:rFonts w:ascii="Book Antiqua" w:hAnsi="Book Antiqua"/>
        </w:rPr>
        <w:t xml:space="preserve"> promotional purposes </w:t>
      </w:r>
      <w:r w:rsidR="003D7008">
        <w:rPr>
          <w:rFonts w:ascii="Book Antiqua" w:hAnsi="Book Antiqua"/>
        </w:rPr>
        <w:t>but it</w:t>
      </w:r>
      <w:r w:rsidRPr="009B6B1F">
        <w:rPr>
          <w:rFonts w:ascii="Book Antiqua" w:hAnsi="Book Antiqua"/>
        </w:rPr>
        <w:t xml:space="preserve"> cannot be processed unless one or more of the </w:t>
      </w:r>
      <w:r>
        <w:rPr>
          <w:rFonts w:ascii="Book Antiqua" w:hAnsi="Book Antiqua"/>
        </w:rPr>
        <w:t xml:space="preserve">applicable </w:t>
      </w:r>
      <w:r w:rsidRPr="009B6B1F">
        <w:rPr>
          <w:rFonts w:ascii="Book Antiqua" w:hAnsi="Book Antiqua"/>
        </w:rPr>
        <w:t>conditions</w:t>
      </w:r>
      <w:r>
        <w:rPr>
          <w:rFonts w:ascii="Book Antiqua" w:hAnsi="Book Antiqua"/>
        </w:rPr>
        <w:t xml:space="preserve"> are met </w:t>
      </w:r>
      <w:r w:rsidR="00397CA2">
        <w:rPr>
          <w:rFonts w:ascii="Book Antiqua" w:hAnsi="Book Antiqua"/>
        </w:rPr>
        <w:t>including</w:t>
      </w:r>
      <w:r>
        <w:rPr>
          <w:rFonts w:ascii="Book Antiqua" w:hAnsi="Book Antiqua"/>
        </w:rPr>
        <w:t xml:space="preserve"> that </w:t>
      </w:r>
      <w:r w:rsidR="00397CA2">
        <w:rPr>
          <w:rFonts w:ascii="Book Antiqua" w:hAnsi="Book Antiqua"/>
        </w:rPr>
        <w:t xml:space="preserve">the data </w:t>
      </w:r>
      <w:r w:rsidR="00397CA2">
        <w:rPr>
          <w:rFonts w:ascii="Book Antiqua" w:hAnsi="Book Antiqua"/>
        </w:rPr>
        <w:lastRenderedPageBreak/>
        <w:t>subject has given explicit consent</w:t>
      </w:r>
      <w:r w:rsidR="003D7008">
        <w:rPr>
          <w:rFonts w:ascii="Book Antiqua" w:hAnsi="Book Antiqua"/>
        </w:rPr>
        <w:t>;</w:t>
      </w:r>
      <w:r>
        <w:rPr>
          <w:rStyle w:val="FootnoteReference"/>
          <w:rFonts w:ascii="Book Antiqua" w:hAnsi="Book Antiqua"/>
        </w:rPr>
        <w:footnoteReference w:id="58"/>
      </w:r>
      <w:r w:rsidRPr="006B657B">
        <w:rPr>
          <w:rFonts w:ascii="Book Antiqua" w:hAnsi="Book Antiqua"/>
        </w:rPr>
        <w:t xml:space="preserve"> and</w:t>
      </w:r>
      <w:r w:rsidRPr="00D81C87">
        <w:rPr>
          <w:rFonts w:ascii="Book Antiqua" w:hAnsi="Book Antiqua"/>
        </w:rPr>
        <w:t xml:space="preserve">, </w:t>
      </w:r>
      <w:r>
        <w:rPr>
          <w:rFonts w:ascii="Book Antiqua" w:hAnsi="Book Antiqua"/>
        </w:rPr>
        <w:t xml:space="preserve">the </w:t>
      </w:r>
      <w:r w:rsidRPr="001B1CA4">
        <w:rPr>
          <w:rFonts w:ascii="Book Antiqua" w:hAnsi="Book Antiqua"/>
        </w:rPr>
        <w:t xml:space="preserve">processing is carried out by </w:t>
      </w:r>
      <w:r>
        <w:rPr>
          <w:rFonts w:ascii="Book Antiqua" w:hAnsi="Book Antiqua"/>
        </w:rPr>
        <w:t xml:space="preserve">a </w:t>
      </w:r>
      <w:r w:rsidRPr="001B1CA4">
        <w:rPr>
          <w:rFonts w:ascii="Book Antiqua" w:hAnsi="Book Antiqua"/>
        </w:rPr>
        <w:t>registered</w:t>
      </w:r>
      <w:r>
        <w:rPr>
          <w:rStyle w:val="FootnoteReference"/>
          <w:rFonts w:ascii="Book Antiqua" w:hAnsi="Book Antiqua"/>
        </w:rPr>
        <w:footnoteReference w:id="59"/>
      </w:r>
      <w:r w:rsidRPr="001B1CA4">
        <w:rPr>
          <w:rFonts w:ascii="Book Antiqua" w:hAnsi="Book Antiqua"/>
        </w:rPr>
        <w:t xml:space="preserve"> person or organisation </w:t>
      </w:r>
      <w:r>
        <w:rPr>
          <w:rFonts w:ascii="Book Antiqua" w:hAnsi="Book Antiqua"/>
        </w:rPr>
        <w:t xml:space="preserve">and is necessary for the purpose of that person’s or organisation’s </w:t>
      </w:r>
      <w:r w:rsidRPr="001B1CA4">
        <w:rPr>
          <w:rFonts w:ascii="Book Antiqua" w:hAnsi="Book Antiqua"/>
        </w:rPr>
        <w:t xml:space="preserve">“political </w:t>
      </w:r>
      <w:r w:rsidRPr="00042FA2">
        <w:rPr>
          <w:rFonts w:ascii="Book Antiqua" w:hAnsi="Book Antiqua"/>
        </w:rPr>
        <w:t>activities”</w:t>
      </w:r>
      <w:r w:rsidRPr="00042FA2">
        <w:rPr>
          <w:rStyle w:val="FootnoteReference"/>
          <w:rFonts w:ascii="Book Antiqua" w:hAnsi="Book Antiqua"/>
        </w:rPr>
        <w:footnoteReference w:id="60"/>
      </w:r>
      <w:r w:rsidRPr="00042FA2">
        <w:rPr>
          <w:rFonts w:ascii="Book Antiqua" w:hAnsi="Book Antiqua"/>
        </w:rPr>
        <w:t xml:space="preserve"> including campaigning, fund-raising, political surveys and case-work.</w:t>
      </w:r>
      <w:r w:rsidRPr="00042FA2">
        <w:rPr>
          <w:rStyle w:val="FootnoteReference"/>
          <w:rFonts w:ascii="Book Antiqua" w:hAnsi="Book Antiqua"/>
        </w:rPr>
        <w:footnoteReference w:id="61"/>
      </w:r>
      <w:r>
        <w:rPr>
          <w:rFonts w:ascii="Book Antiqua" w:hAnsi="Book Antiqua"/>
        </w:rPr>
        <w:t xml:space="preserve"> A</w:t>
      </w:r>
      <w:r w:rsidRPr="00042FA2">
        <w:rPr>
          <w:rFonts w:ascii="Book Antiqua" w:hAnsi="Book Antiqua"/>
        </w:rPr>
        <w:t>lthough, the processing of sensitive personal data without consent is generally prohibited by the GDPR,</w:t>
      </w:r>
      <w:r w:rsidRPr="00042FA2">
        <w:rPr>
          <w:rStyle w:val="FootnoteReference"/>
          <w:rFonts w:ascii="Book Antiqua" w:hAnsi="Book Antiqua"/>
        </w:rPr>
        <w:footnoteReference w:id="62"/>
      </w:r>
      <w:r w:rsidRPr="00042FA2">
        <w:rPr>
          <w:rFonts w:ascii="Book Antiqua" w:hAnsi="Book Antiqua"/>
        </w:rPr>
        <w:t xml:space="preserve"> as it is democra</w:t>
      </w:r>
      <w:r>
        <w:rPr>
          <w:rFonts w:ascii="Book Antiqua" w:hAnsi="Book Antiqua"/>
        </w:rPr>
        <w:t xml:space="preserve">tically desirable </w:t>
      </w:r>
      <w:r w:rsidRPr="00A2539F">
        <w:rPr>
          <w:rFonts w:ascii="Book Antiqua" w:hAnsi="Book Antiqua"/>
        </w:rPr>
        <w:t>for political parties, campaign groups, candidates and elected representatives to communicate with the electorate the data protection regime establishes some circumstances in which processing</w:t>
      </w:r>
      <w:r w:rsidRPr="00042FA2">
        <w:rPr>
          <w:rFonts w:ascii="Book Antiqua" w:hAnsi="Book Antiqua"/>
        </w:rPr>
        <w:t xml:space="preserve"> of sensitive data can be allowed</w:t>
      </w:r>
      <w:r w:rsidR="00C070FE">
        <w:rPr>
          <w:rFonts w:ascii="Book Antiqua" w:hAnsi="Book Antiqua"/>
        </w:rPr>
        <w:t xml:space="preserve"> for reasons of public interest</w:t>
      </w:r>
      <w:r w:rsidRPr="00042FA2">
        <w:rPr>
          <w:rFonts w:ascii="Book Antiqua" w:hAnsi="Book Antiqua"/>
        </w:rPr>
        <w:t>.</w:t>
      </w:r>
      <w:r w:rsidRPr="00042FA2">
        <w:rPr>
          <w:rStyle w:val="FootnoteReference"/>
          <w:rFonts w:ascii="Book Antiqua" w:hAnsi="Book Antiqua"/>
        </w:rPr>
        <w:footnoteReference w:id="63"/>
      </w:r>
      <w:r w:rsidRPr="00042FA2">
        <w:rPr>
          <w:rFonts w:ascii="Book Antiqua" w:hAnsi="Book Antiqua"/>
        </w:rPr>
        <w:t xml:space="preserve"> Sensitive </w:t>
      </w:r>
      <w:r w:rsidRPr="006B657B">
        <w:rPr>
          <w:rFonts w:ascii="Book Antiqua" w:hAnsi="Book Antiqua"/>
        </w:rPr>
        <w:t>personal data may be processed</w:t>
      </w:r>
      <w:r>
        <w:rPr>
          <w:rFonts w:ascii="Book Antiqua" w:hAnsi="Book Antiqua"/>
        </w:rPr>
        <w:t>, without consent,</w:t>
      </w:r>
      <w:r w:rsidRPr="006B657B">
        <w:rPr>
          <w:rFonts w:ascii="Book Antiqua" w:hAnsi="Book Antiqua"/>
        </w:rPr>
        <w:t xml:space="preserve"> </w:t>
      </w:r>
      <w:r>
        <w:rPr>
          <w:rFonts w:ascii="Book Antiqua" w:hAnsi="Book Antiqua"/>
        </w:rPr>
        <w:t xml:space="preserve">in limited circumstances </w:t>
      </w:r>
      <w:r w:rsidRPr="006B657B">
        <w:rPr>
          <w:rFonts w:ascii="Book Antiqua" w:hAnsi="Book Antiqua"/>
        </w:rPr>
        <w:t>by registered political candidates, political parties</w:t>
      </w:r>
      <w:r w:rsidRPr="006B657B">
        <w:rPr>
          <w:rStyle w:val="FootnoteReference"/>
          <w:rFonts w:ascii="Book Antiqua" w:hAnsi="Book Antiqua"/>
        </w:rPr>
        <w:footnoteReference w:id="64"/>
      </w:r>
      <w:r w:rsidRPr="006B657B">
        <w:rPr>
          <w:rFonts w:ascii="Book Antiqua" w:hAnsi="Book Antiqua"/>
        </w:rPr>
        <w:t xml:space="preserve"> and by elected members,</w:t>
      </w:r>
      <w:r w:rsidRPr="006B657B">
        <w:rPr>
          <w:rStyle w:val="FootnoteReference"/>
          <w:rFonts w:ascii="Book Antiqua" w:hAnsi="Book Antiqua"/>
        </w:rPr>
        <w:footnoteReference w:id="65"/>
      </w:r>
      <w:r w:rsidRPr="006B657B">
        <w:rPr>
          <w:rFonts w:ascii="Book Antiqua" w:hAnsi="Book Antiqua"/>
        </w:rPr>
        <w:t xml:space="preserve"> who are, by way of example, entitled</w:t>
      </w:r>
      <w:r>
        <w:rPr>
          <w:rFonts w:ascii="Book Antiqua" w:hAnsi="Book Antiqua"/>
        </w:rPr>
        <w:t xml:space="preserve"> to access the </w:t>
      </w:r>
      <w:r w:rsidRPr="00F12EB0">
        <w:rPr>
          <w:rFonts w:ascii="Book Antiqua" w:hAnsi="Book Antiqua"/>
        </w:rPr>
        <w:t>full electoral register and the marked register</w:t>
      </w:r>
      <w:r w:rsidRPr="006B657B">
        <w:rPr>
          <w:rFonts w:ascii="Book Antiqua" w:hAnsi="Book Antiqua"/>
        </w:rPr>
        <w:t xml:space="preserve"> which identifies who has voted in previous elections and referendums.</w:t>
      </w:r>
      <w:r w:rsidRPr="006B657B">
        <w:rPr>
          <w:rStyle w:val="FootnoteReference"/>
          <w:rFonts w:ascii="Book Antiqua" w:hAnsi="Book Antiqua"/>
        </w:rPr>
        <w:footnoteReference w:id="66"/>
      </w:r>
      <w:r w:rsidRPr="006B657B">
        <w:rPr>
          <w:rFonts w:ascii="Book Antiqua" w:hAnsi="Book Antiqua"/>
        </w:rPr>
        <w:t xml:space="preserve"> </w:t>
      </w:r>
      <w:r w:rsidR="00397CA2">
        <w:rPr>
          <w:rFonts w:ascii="Book Antiqua" w:hAnsi="Book Antiqua"/>
        </w:rPr>
        <w:t>Outside of these limited circumstances, consent becomes a necessary condition.</w:t>
      </w:r>
      <w:r w:rsidR="00335974">
        <w:rPr>
          <w:rFonts w:ascii="Book Antiqua" w:hAnsi="Book Antiqua"/>
        </w:rPr>
        <w:t xml:space="preserve"> However,</w:t>
      </w:r>
      <w:r w:rsidR="00335974" w:rsidRPr="00E53680">
        <w:rPr>
          <w:rFonts w:ascii="Book Antiqua" w:hAnsi="Book Antiqua"/>
        </w:rPr>
        <w:t xml:space="preserve"> the GDPR </w:t>
      </w:r>
      <w:r w:rsidR="00335974">
        <w:rPr>
          <w:rFonts w:ascii="Book Antiqua" w:hAnsi="Book Antiqua"/>
        </w:rPr>
        <w:t>principles of</w:t>
      </w:r>
      <w:r w:rsidR="00335974" w:rsidRPr="00E53680">
        <w:rPr>
          <w:rFonts w:ascii="Book Antiqua" w:hAnsi="Book Antiqua"/>
        </w:rPr>
        <w:t xml:space="preserve"> purpose limitation</w:t>
      </w:r>
      <w:r w:rsidR="00335974">
        <w:rPr>
          <w:rFonts w:ascii="Book Antiqua" w:hAnsi="Book Antiqua"/>
        </w:rPr>
        <w:t>;</w:t>
      </w:r>
      <w:r w:rsidR="00335974" w:rsidRPr="00E53680">
        <w:rPr>
          <w:rFonts w:ascii="Book Antiqua" w:hAnsi="Book Antiqua"/>
        </w:rPr>
        <w:t xml:space="preserve"> data minimisation</w:t>
      </w:r>
      <w:r w:rsidR="00335974">
        <w:rPr>
          <w:rFonts w:ascii="Book Antiqua" w:hAnsi="Book Antiqua"/>
        </w:rPr>
        <w:t>;</w:t>
      </w:r>
      <w:r w:rsidR="00335974" w:rsidRPr="00E53680">
        <w:rPr>
          <w:rFonts w:ascii="Book Antiqua" w:hAnsi="Book Antiqua"/>
        </w:rPr>
        <w:t xml:space="preserve"> data accuracy</w:t>
      </w:r>
      <w:r w:rsidR="00335974">
        <w:rPr>
          <w:rFonts w:ascii="Book Antiqua" w:hAnsi="Book Antiqua"/>
        </w:rPr>
        <w:t xml:space="preserve">; and </w:t>
      </w:r>
      <w:r w:rsidR="00335974" w:rsidRPr="00E53680">
        <w:rPr>
          <w:rFonts w:ascii="Book Antiqua" w:hAnsi="Book Antiqua"/>
        </w:rPr>
        <w:t xml:space="preserve">lawfulness, transparency and fairness apply irrespective of the consent of the data subject. </w:t>
      </w:r>
      <w:r w:rsidRPr="00D16B00">
        <w:rPr>
          <w:rFonts w:ascii="Book Antiqua" w:hAnsi="Book Antiqua"/>
        </w:rPr>
        <w:t xml:space="preserve">Consent under the GDPR is defined as </w:t>
      </w:r>
    </w:p>
    <w:p w14:paraId="0D46402E" w14:textId="77777777" w:rsidR="00397CA2" w:rsidRDefault="00397CA2" w:rsidP="00280823">
      <w:pPr>
        <w:autoSpaceDE w:val="0"/>
        <w:autoSpaceDN w:val="0"/>
        <w:adjustRightInd w:val="0"/>
        <w:spacing w:after="0" w:line="276" w:lineRule="auto"/>
        <w:jc w:val="both"/>
        <w:rPr>
          <w:rFonts w:ascii="Book Antiqua" w:hAnsi="Book Antiqua"/>
        </w:rPr>
      </w:pPr>
    </w:p>
    <w:p w14:paraId="79C06887" w14:textId="77777777" w:rsidR="003552BB" w:rsidRDefault="003552BB" w:rsidP="00280823">
      <w:pPr>
        <w:ind w:left="720"/>
        <w:jc w:val="both"/>
        <w:rPr>
          <w:rFonts w:ascii="Book Antiqua" w:hAnsi="Book Antiqua"/>
        </w:rPr>
      </w:pPr>
      <w:r w:rsidRPr="00D16B00">
        <w:rPr>
          <w:rFonts w:ascii="Book Antiqua" w:hAnsi="Book Antiqua"/>
        </w:rPr>
        <w:t>“any freely given, specific, informed and unambiguous indication of the data subject's wishes by which he or she, by a statement or by a clear affirmative action, signifies agreement to the processing of personal data relating to him or her”.</w:t>
      </w:r>
      <w:r w:rsidRPr="00D16B00">
        <w:rPr>
          <w:rStyle w:val="FootnoteReference"/>
          <w:rFonts w:ascii="Book Antiqua" w:hAnsi="Book Antiqua"/>
        </w:rPr>
        <w:footnoteReference w:id="67"/>
      </w:r>
      <w:r w:rsidRPr="00D16B00">
        <w:rPr>
          <w:rFonts w:ascii="Book Antiqua" w:hAnsi="Book Antiqua"/>
        </w:rPr>
        <w:t xml:space="preserve"> </w:t>
      </w:r>
    </w:p>
    <w:p w14:paraId="6576FDC6" w14:textId="77777777" w:rsidR="003552BB" w:rsidRPr="00ED6E57" w:rsidRDefault="003552BB" w:rsidP="00280823">
      <w:pPr>
        <w:jc w:val="both"/>
        <w:rPr>
          <w:rFonts w:ascii="Book Antiqua" w:hAnsi="Book Antiqua"/>
        </w:rPr>
      </w:pPr>
      <w:r w:rsidRPr="00D16B00">
        <w:rPr>
          <w:rFonts w:ascii="Book Antiqua" w:hAnsi="Book Antiqua"/>
        </w:rPr>
        <w:t xml:space="preserve">The </w:t>
      </w:r>
      <w:r>
        <w:rPr>
          <w:rFonts w:ascii="Book Antiqua" w:hAnsi="Book Antiqua"/>
        </w:rPr>
        <w:t xml:space="preserve">required </w:t>
      </w:r>
      <w:r w:rsidRPr="00D16B00">
        <w:rPr>
          <w:rFonts w:ascii="Book Antiqua" w:hAnsi="Book Antiqua"/>
        </w:rPr>
        <w:t>conditions for consent are set out in</w:t>
      </w:r>
      <w:r>
        <w:rPr>
          <w:rFonts w:ascii="Book Antiqua" w:hAnsi="Book Antiqua"/>
        </w:rPr>
        <w:t xml:space="preserve"> four subsections to</w:t>
      </w:r>
      <w:r w:rsidRPr="00D16B00">
        <w:rPr>
          <w:rFonts w:ascii="Book Antiqua" w:hAnsi="Book Antiqua"/>
        </w:rPr>
        <w:t xml:space="preserve"> article 7 </w:t>
      </w:r>
      <w:r>
        <w:rPr>
          <w:rFonts w:ascii="Book Antiqua" w:hAnsi="Book Antiqua"/>
        </w:rPr>
        <w:t xml:space="preserve">GDPR and contain specific provisions on: the data controller being able to demonstrate consent; the prominence and clarity of requests for consent in an easily accessible form; an easy right to withdraw consent at any time; and, freely given consent when a contract, including a service provision, is conditional on consent although not being necessary for the performance of that contract. </w:t>
      </w:r>
      <w:r w:rsidRPr="009B6B1F">
        <w:rPr>
          <w:rFonts w:ascii="Book Antiqua" w:hAnsi="Book Antiqua"/>
        </w:rPr>
        <w:t xml:space="preserve">Explicit consent, one of the conditions for lawful processing of sensitive personal data, </w:t>
      </w:r>
      <w:r w:rsidRPr="00ED6E57">
        <w:rPr>
          <w:rFonts w:ascii="Book Antiqua" w:hAnsi="Book Antiqua"/>
        </w:rPr>
        <w:t>cannot be implied and amounts to consent that was freely given; was specific and informed;</w:t>
      </w:r>
      <w:r w:rsidRPr="00ED6E57">
        <w:rPr>
          <w:rStyle w:val="FootnoteReference"/>
          <w:rFonts w:ascii="Book Antiqua" w:hAnsi="Book Antiqua"/>
        </w:rPr>
        <w:footnoteReference w:id="68"/>
      </w:r>
      <w:r w:rsidRPr="00ED6E57">
        <w:rPr>
          <w:rFonts w:ascii="Book Antiqua" w:hAnsi="Book Antiqua"/>
        </w:rPr>
        <w:t xml:space="preserve"> there was a level of transparency about what type of data would be collected; it was clear what the data will be used for and who it will be shared with;</w:t>
      </w:r>
      <w:r>
        <w:rPr>
          <w:rStyle w:val="FootnoteReference"/>
          <w:rFonts w:ascii="Book Antiqua" w:hAnsi="Book Antiqua"/>
        </w:rPr>
        <w:footnoteReference w:id="69"/>
      </w:r>
      <w:r w:rsidRPr="009B6B1F">
        <w:rPr>
          <w:rFonts w:ascii="Book Antiqua" w:hAnsi="Book Antiqua"/>
        </w:rPr>
        <w:t xml:space="preserve"> and, details about how an individual may exercise their right to object or withdraw consent were provided</w:t>
      </w:r>
      <w:r w:rsidRPr="00BB2653">
        <w:rPr>
          <w:rFonts w:ascii="Book Antiqua" w:hAnsi="Book Antiqua"/>
        </w:rPr>
        <w:t>.</w:t>
      </w:r>
      <w:r w:rsidRPr="00BB2653">
        <w:rPr>
          <w:sz w:val="23"/>
          <w:szCs w:val="23"/>
        </w:rPr>
        <w:t xml:space="preserve"> </w:t>
      </w:r>
    </w:p>
    <w:p w14:paraId="20F28327" w14:textId="33F7233C" w:rsidR="003552BB" w:rsidRDefault="003552BB" w:rsidP="00280823">
      <w:pPr>
        <w:autoSpaceDE w:val="0"/>
        <w:autoSpaceDN w:val="0"/>
        <w:adjustRightInd w:val="0"/>
        <w:spacing w:after="0" w:line="276" w:lineRule="auto"/>
        <w:jc w:val="both"/>
        <w:rPr>
          <w:rFonts w:ascii="Book Antiqua" w:hAnsi="Book Antiqua"/>
          <w:i/>
        </w:rPr>
      </w:pPr>
      <w:r>
        <w:rPr>
          <w:rFonts w:ascii="Book Antiqua" w:hAnsi="Book Antiqua"/>
        </w:rPr>
        <w:t xml:space="preserve">It is clear from the ICO investigation that third-parties have become privy to vast amounts of personal data for political purposes </w:t>
      </w:r>
      <w:r w:rsidRPr="008B1022">
        <w:rPr>
          <w:rFonts w:ascii="Book Antiqua" w:hAnsi="Book Antiqua"/>
        </w:rPr>
        <w:t xml:space="preserve">and as such there must be a lawful basis for the processing and the processing must rely on the one the additional conditions necessary for the processing of sensitive personal data. </w:t>
      </w:r>
      <w:r w:rsidRPr="009B6B1F">
        <w:rPr>
          <w:rFonts w:ascii="Book Antiqua" w:hAnsi="Book Antiqua"/>
        </w:rPr>
        <w:t>Although data can be lawfully bought from data brokers</w:t>
      </w:r>
      <w:r>
        <w:rPr>
          <w:rFonts w:ascii="Book Antiqua" w:hAnsi="Book Antiqua"/>
        </w:rPr>
        <w:t xml:space="preserve"> for </w:t>
      </w:r>
      <w:r>
        <w:rPr>
          <w:rFonts w:ascii="Book Antiqua" w:hAnsi="Book Antiqua"/>
        </w:rPr>
        <w:lastRenderedPageBreak/>
        <w:t>secondary use</w:t>
      </w:r>
      <w:r w:rsidRPr="009B6B1F">
        <w:rPr>
          <w:rFonts w:ascii="Book Antiqua" w:hAnsi="Book Antiqua"/>
        </w:rPr>
        <w:t>, valid consent for the sharing of p</w:t>
      </w:r>
      <w:r w:rsidR="00397CA2">
        <w:rPr>
          <w:rFonts w:ascii="Book Antiqua" w:hAnsi="Book Antiqua"/>
        </w:rPr>
        <w:t>ersonal data with third-</w:t>
      </w:r>
      <w:r>
        <w:rPr>
          <w:rFonts w:ascii="Book Antiqua" w:hAnsi="Book Antiqua"/>
        </w:rPr>
        <w:t>parties must be obtained. U</w:t>
      </w:r>
      <w:r w:rsidR="00397CA2">
        <w:rPr>
          <w:rFonts w:ascii="Book Antiqua" w:hAnsi="Book Antiqua"/>
        </w:rPr>
        <w:t>nder the GDPR those third-</w:t>
      </w:r>
      <w:r w:rsidRPr="009B6B1F">
        <w:rPr>
          <w:rFonts w:ascii="Book Antiqua" w:hAnsi="Book Antiqua"/>
        </w:rPr>
        <w:t xml:space="preserve">parties will not be able to rely on assurances that consent was validly obtained </w:t>
      </w:r>
      <w:r>
        <w:rPr>
          <w:rFonts w:ascii="Book Antiqua" w:hAnsi="Book Antiqua"/>
        </w:rPr>
        <w:t xml:space="preserve">by the data broker </w:t>
      </w:r>
      <w:r w:rsidRPr="009B6B1F">
        <w:rPr>
          <w:rFonts w:ascii="Book Antiqua" w:hAnsi="Book Antiqua"/>
        </w:rPr>
        <w:t>and will have to e</w:t>
      </w:r>
      <w:r>
        <w:rPr>
          <w:rFonts w:ascii="Book Antiqua" w:hAnsi="Book Antiqua"/>
        </w:rPr>
        <w:t>xercise their own due diligence.</w:t>
      </w:r>
      <w:r w:rsidRPr="00736F98">
        <w:rPr>
          <w:rFonts w:ascii="Book Antiqua" w:hAnsi="Book Antiqua"/>
          <w:vertAlign w:val="superscript"/>
        </w:rPr>
        <w:t xml:space="preserve"> </w:t>
      </w:r>
      <w:r w:rsidRPr="009B6B1F">
        <w:rPr>
          <w:rFonts w:ascii="Book Antiqua" w:hAnsi="Book Antiqua"/>
          <w:vertAlign w:val="superscript"/>
        </w:rPr>
        <w:footnoteReference w:id="70"/>
      </w:r>
      <w:r w:rsidRPr="009B6B1F">
        <w:rPr>
          <w:rFonts w:ascii="Book Antiqua" w:hAnsi="Book Antiqua"/>
        </w:rPr>
        <w:t xml:space="preserve"> The ICO’s investigation into the use of data in politics found evidence of political parties </w:t>
      </w:r>
      <w:r w:rsidRPr="00256842">
        <w:rPr>
          <w:rFonts w:ascii="Book Antiqua" w:hAnsi="Book Antiqua"/>
        </w:rPr>
        <w:t>purchasing datasets</w:t>
      </w:r>
      <w:r w:rsidRPr="009B6B1F">
        <w:rPr>
          <w:rFonts w:ascii="Book Antiqua" w:hAnsi="Book Antiqua"/>
        </w:rPr>
        <w:t xml:space="preserve"> from data brokers that had not obtained valid consent for the data to be used for political purposes.</w:t>
      </w:r>
      <w:r w:rsidRPr="009B6B1F">
        <w:rPr>
          <w:rStyle w:val="FootnoteReference"/>
          <w:rFonts w:ascii="Book Antiqua" w:hAnsi="Book Antiqua"/>
        </w:rPr>
        <w:footnoteReference w:id="71"/>
      </w:r>
      <w:r w:rsidRPr="009B6B1F">
        <w:rPr>
          <w:rFonts w:ascii="Book Antiqua" w:hAnsi="Book Antiqua"/>
        </w:rPr>
        <w:t xml:space="preserve"> </w:t>
      </w:r>
      <w:r w:rsidRPr="009B6B1F">
        <w:rPr>
          <w:rFonts w:ascii="Book Antiqua" w:hAnsi="Book Antiqua" w:cs="Times New Roman"/>
          <w:shd w:val="clear" w:color="auto" w:fill="FFFFFF"/>
        </w:rPr>
        <w:t xml:space="preserve">The transfer </w:t>
      </w:r>
      <w:r>
        <w:rPr>
          <w:rFonts w:ascii="Book Antiqua" w:hAnsi="Book Antiqua" w:cs="Times New Roman"/>
          <w:shd w:val="clear" w:color="auto" w:fill="FFFFFF"/>
        </w:rPr>
        <w:t>of</w:t>
      </w:r>
      <w:r w:rsidRPr="009B6B1F">
        <w:rPr>
          <w:rFonts w:ascii="Book Antiqua" w:hAnsi="Book Antiqua" w:cs="Times New Roman"/>
          <w:shd w:val="clear" w:color="auto" w:fill="FFFFFF"/>
        </w:rPr>
        <w:t xml:space="preserve"> data to a political party or group, without the consent or knowledge of </w:t>
      </w:r>
      <w:r>
        <w:rPr>
          <w:rFonts w:ascii="Book Antiqua" w:hAnsi="Book Antiqua" w:cs="Times New Roman"/>
          <w:shd w:val="clear" w:color="auto" w:fill="FFFFFF"/>
        </w:rPr>
        <w:t>data subjects</w:t>
      </w:r>
      <w:r w:rsidRPr="009B6B1F">
        <w:rPr>
          <w:rFonts w:ascii="Book Antiqua" w:hAnsi="Book Antiqua" w:cs="Times New Roman"/>
          <w:shd w:val="clear" w:color="auto" w:fill="FFFFFF"/>
        </w:rPr>
        <w:t xml:space="preserve">, gives rise to potential causes of action for misuse of personal information and </w:t>
      </w:r>
      <w:r>
        <w:rPr>
          <w:rFonts w:ascii="Book Antiqua" w:hAnsi="Book Antiqua" w:cs="Times New Roman"/>
          <w:shd w:val="clear" w:color="auto" w:fill="FFFFFF"/>
        </w:rPr>
        <w:t xml:space="preserve">for failure to lawfully and fairly process data and failure to </w:t>
      </w:r>
      <w:r w:rsidRPr="008B1022">
        <w:rPr>
          <w:rFonts w:ascii="Book Antiqua" w:hAnsi="Book Antiqua" w:cs="Times New Roman"/>
          <w:shd w:val="clear" w:color="auto" w:fill="FFFFFF"/>
        </w:rPr>
        <w:t xml:space="preserve">obtain </w:t>
      </w:r>
      <w:r>
        <w:rPr>
          <w:rFonts w:ascii="Book Antiqua" w:hAnsi="Book Antiqua" w:cs="Times New Roman"/>
          <w:shd w:val="clear" w:color="auto" w:fill="FFFFFF"/>
        </w:rPr>
        <w:t>data</w:t>
      </w:r>
      <w:r w:rsidR="00B70F17">
        <w:rPr>
          <w:rFonts w:ascii="Book Antiqua" w:hAnsi="Book Antiqua" w:cs="Times New Roman"/>
          <w:shd w:val="clear" w:color="auto" w:fill="FFFFFF"/>
        </w:rPr>
        <w:t xml:space="preserve"> only</w:t>
      </w:r>
      <w:r>
        <w:rPr>
          <w:rFonts w:ascii="Book Antiqua" w:hAnsi="Book Antiqua" w:cs="Times New Roman"/>
          <w:shd w:val="clear" w:color="auto" w:fill="FFFFFF"/>
        </w:rPr>
        <w:t xml:space="preserve"> for specified and lawful </w:t>
      </w:r>
      <w:r w:rsidRPr="00B70F17">
        <w:rPr>
          <w:rFonts w:ascii="Book Antiqua" w:hAnsi="Book Antiqua" w:cs="Times New Roman"/>
          <w:shd w:val="clear" w:color="auto" w:fill="FFFFFF"/>
        </w:rPr>
        <w:t>purposes</w:t>
      </w:r>
      <w:r w:rsidR="00B70F17" w:rsidRPr="00B70F17">
        <w:rPr>
          <w:rFonts w:ascii="Book Antiqua" w:hAnsi="Book Antiqua" w:cs="Times New Roman"/>
          <w:shd w:val="clear" w:color="auto" w:fill="FFFFFF"/>
        </w:rPr>
        <w:t xml:space="preserve"> </w:t>
      </w:r>
      <w:r w:rsidR="00B70F17" w:rsidRPr="00B70F17">
        <w:rPr>
          <w:rFonts w:ascii="Book Antiqua" w:hAnsi="Book Antiqua"/>
        </w:rPr>
        <w:t>and be processed compatibly with those purposes.</w:t>
      </w:r>
    </w:p>
    <w:p w14:paraId="129E2A11" w14:textId="77777777" w:rsidR="003552BB" w:rsidRPr="009C5356" w:rsidRDefault="003552BB" w:rsidP="00280823">
      <w:pPr>
        <w:autoSpaceDE w:val="0"/>
        <w:autoSpaceDN w:val="0"/>
        <w:adjustRightInd w:val="0"/>
        <w:spacing w:after="0" w:line="276" w:lineRule="auto"/>
        <w:jc w:val="both"/>
        <w:rPr>
          <w:rFonts w:ascii="Book Antiqua" w:hAnsi="Book Antiqua"/>
        </w:rPr>
      </w:pPr>
    </w:p>
    <w:p w14:paraId="0CC019C3" w14:textId="5391BC37" w:rsidR="008629E8" w:rsidRPr="003552BB" w:rsidRDefault="003552BB" w:rsidP="00280823">
      <w:pPr>
        <w:spacing w:line="276" w:lineRule="auto"/>
        <w:jc w:val="both"/>
        <w:rPr>
          <w:rFonts w:ascii="Book Antiqua" w:hAnsi="Book Antiqua"/>
        </w:rPr>
      </w:pPr>
      <w:r>
        <w:rPr>
          <w:rFonts w:ascii="Book Antiqua" w:hAnsi="Book Antiqua"/>
        </w:rPr>
        <w:t>Although, t</w:t>
      </w:r>
      <w:r w:rsidRPr="009B6B1F">
        <w:rPr>
          <w:rFonts w:ascii="Book Antiqua" w:hAnsi="Book Antiqua"/>
        </w:rPr>
        <w:t>he GDPR introduces a higher standard of consent to processing personal data</w:t>
      </w:r>
      <w:r w:rsidRPr="009B6B1F">
        <w:rPr>
          <w:rStyle w:val="FootnoteReference"/>
          <w:rFonts w:ascii="Book Antiqua" w:hAnsi="Book Antiqua"/>
        </w:rPr>
        <w:footnoteReference w:id="72"/>
      </w:r>
      <w:r w:rsidRPr="009B6B1F">
        <w:rPr>
          <w:rFonts w:ascii="Book Antiqua" w:hAnsi="Book Antiqua"/>
        </w:rPr>
        <w:t xml:space="preserve"> there remain issues around the process of giving consent. </w:t>
      </w:r>
      <w:r w:rsidRPr="00A660A3">
        <w:rPr>
          <w:rFonts w:ascii="Book Antiqua" w:hAnsi="Book Antiqua"/>
        </w:rPr>
        <w:t>Consent for data collection is granted to data controllers, like Facebook or political parties, who pass it onto data processors such as data analytics compan</w:t>
      </w:r>
      <w:hyperlink r:id="rId8" w:history="1">
        <w:r w:rsidRPr="00A660A3">
          <w:rPr>
            <w:rFonts w:ascii="Book Antiqua" w:hAnsi="Book Antiqua"/>
          </w:rPr>
          <w:t>ies</w:t>
        </w:r>
      </w:hyperlink>
      <w:r w:rsidRPr="00A660A3">
        <w:rPr>
          <w:rFonts w:ascii="Book Antiqua" w:hAnsi="Book Antiqua"/>
        </w:rPr>
        <w:t xml:space="preserve">, for secondary use. Consent is often on condition </w:t>
      </w:r>
      <w:r>
        <w:rPr>
          <w:rFonts w:ascii="Book Antiqua" w:hAnsi="Book Antiqua"/>
        </w:rPr>
        <w:t xml:space="preserve">of </w:t>
      </w:r>
      <w:r w:rsidRPr="00A660A3">
        <w:rPr>
          <w:rFonts w:ascii="Book Antiqua" w:hAnsi="Book Antiqua"/>
        </w:rPr>
        <w:t>the provision of services and cannot be withdrawn whilst still accessing those services</w:t>
      </w:r>
      <w:r>
        <w:rPr>
          <w:rFonts w:ascii="Book Antiqua" w:hAnsi="Book Antiqua"/>
        </w:rPr>
        <w:t>. Therefore, even when</w:t>
      </w:r>
      <w:r w:rsidRPr="009B6B1F">
        <w:rPr>
          <w:rFonts w:ascii="Book Antiqua" w:hAnsi="Book Antiqua"/>
        </w:rPr>
        <w:t xml:space="preserve"> consent is given, it may not be adequate to satisfy the</w:t>
      </w:r>
      <w:r>
        <w:rPr>
          <w:rFonts w:ascii="Book Antiqua" w:hAnsi="Book Antiqua"/>
        </w:rPr>
        <w:t xml:space="preserve"> </w:t>
      </w:r>
      <w:r w:rsidRPr="00A660A3">
        <w:rPr>
          <w:rFonts w:ascii="Book Antiqua" w:hAnsi="Book Antiqua"/>
        </w:rPr>
        <w:t>freely given</w:t>
      </w:r>
      <w:r w:rsidRPr="009B6B1F">
        <w:rPr>
          <w:rFonts w:ascii="Book Antiqua" w:hAnsi="Book Antiqua"/>
        </w:rPr>
        <w:t xml:space="preserve"> </w:t>
      </w:r>
      <w:r>
        <w:rPr>
          <w:rFonts w:ascii="Book Antiqua" w:hAnsi="Book Antiqua"/>
        </w:rPr>
        <w:t xml:space="preserve">element of consent </w:t>
      </w:r>
      <w:r w:rsidRPr="009B6B1F">
        <w:rPr>
          <w:rFonts w:ascii="Book Antiqua" w:hAnsi="Book Antiqua"/>
        </w:rPr>
        <w:t xml:space="preserve">if the individual had no real choice about giving it, such as when having to agree with terms and conditions to set up a Facebook account. </w:t>
      </w:r>
      <w:r>
        <w:rPr>
          <w:rFonts w:ascii="Book Antiqua" w:hAnsi="Book Antiqua"/>
        </w:rPr>
        <w:t>Before the GDPR ca</w:t>
      </w:r>
      <w:r w:rsidRPr="009B6B1F">
        <w:rPr>
          <w:rFonts w:ascii="Book Antiqua" w:hAnsi="Book Antiqua"/>
        </w:rPr>
        <w:t>m</w:t>
      </w:r>
      <w:r>
        <w:rPr>
          <w:rFonts w:ascii="Book Antiqua" w:hAnsi="Book Antiqua"/>
        </w:rPr>
        <w:t>e</w:t>
      </w:r>
      <w:r w:rsidRPr="009B6B1F">
        <w:rPr>
          <w:rFonts w:ascii="Book Antiqua" w:hAnsi="Book Antiqua"/>
        </w:rPr>
        <w:t xml:space="preserve"> into force companies sent automated privacy policy emails to individuals seeking opt-in consent which in practice repeat or worsen the same consent problems that existed before the GDPR because explicitly consenting to terms and conditions free companies from certain requirements within the GDPR.  This is particularly problematic when company terms of service and privacy policies are thousands of words long, and consent is presented as </w:t>
      </w:r>
      <w:r>
        <w:rPr>
          <w:rFonts w:ascii="Book Antiqua" w:hAnsi="Book Antiqua"/>
        </w:rPr>
        <w:t>‘take-it-or-leave-</w:t>
      </w:r>
      <w:r w:rsidRPr="009B6B1F">
        <w:rPr>
          <w:rFonts w:ascii="Book Antiqua" w:hAnsi="Book Antiqua"/>
        </w:rPr>
        <w:t>it’ – a pushing tactic subjected to a legal challenge arising hours after the GDPR took effect.</w:t>
      </w:r>
      <w:r w:rsidRPr="009B6B1F">
        <w:rPr>
          <w:rStyle w:val="FootnoteReference"/>
          <w:rFonts w:ascii="Book Antiqua" w:hAnsi="Book Antiqua"/>
        </w:rPr>
        <w:footnoteReference w:id="73"/>
      </w:r>
      <w:r w:rsidRPr="009B6B1F">
        <w:rPr>
          <w:rFonts w:ascii="Book Antiqua" w:hAnsi="Book Antiqua"/>
        </w:rPr>
        <w:t xml:space="preserve"> Research has noted that since the GDPR came into force, Facebook, Google and Microsoft have resorted to using a series of techniques to discourage or nudge users away from setting more robust privacy settings which have the effect of users unwittingly accepting, through an “illusion of control”</w:t>
      </w:r>
      <w:r>
        <w:rPr>
          <w:rFonts w:ascii="Book Antiqua" w:hAnsi="Book Antiqua"/>
        </w:rPr>
        <w:t>,</w:t>
      </w:r>
      <w:r w:rsidRPr="009B6B1F">
        <w:rPr>
          <w:rFonts w:ascii="Book Antiqua" w:hAnsi="Book Antiqua"/>
        </w:rPr>
        <w:t xml:space="preserve"> more expansive privacy settings which enable intrusive data collection</w:t>
      </w:r>
      <w:r w:rsidRPr="009B6B1F">
        <w:rPr>
          <w:rFonts w:ascii="Book Antiqua" w:hAnsi="Book Antiqua" w:cs="Times New Roman"/>
        </w:rPr>
        <w:t>.</w:t>
      </w:r>
      <w:r w:rsidRPr="009B6B1F">
        <w:rPr>
          <w:rStyle w:val="FootnoteReference"/>
          <w:rFonts w:ascii="Book Antiqua" w:hAnsi="Book Antiqua" w:cs="Times New Roman"/>
        </w:rPr>
        <w:footnoteReference w:id="74"/>
      </w:r>
      <w:r w:rsidRPr="009B6B1F">
        <w:rPr>
          <w:rFonts w:ascii="Book Antiqua" w:hAnsi="Book Antiqua" w:cs="Times New Roman"/>
        </w:rPr>
        <w:t xml:space="preserve"> Due to the element of deception and manipulation, these techniques do not appear to be in accordance with </w:t>
      </w:r>
      <w:r w:rsidRPr="009B6B1F">
        <w:rPr>
          <w:rFonts w:ascii="Book Antiqua" w:hAnsi="Book Antiqua"/>
        </w:rPr>
        <w:t>GD</w:t>
      </w:r>
      <w:r>
        <w:rPr>
          <w:rFonts w:ascii="Book Antiqua" w:hAnsi="Book Antiqua"/>
        </w:rPr>
        <w:t>PR</w:t>
      </w:r>
      <w:r w:rsidRPr="009B6B1F">
        <w:rPr>
          <w:rFonts w:ascii="Book Antiqua" w:hAnsi="Book Antiqua" w:cs="Times New Roman"/>
        </w:rPr>
        <w:t xml:space="preserve"> data protection principle</w:t>
      </w:r>
      <w:r w:rsidRPr="009B6B1F">
        <w:rPr>
          <w:rFonts w:ascii="Book Antiqua" w:hAnsi="Book Antiqua"/>
        </w:rPr>
        <w:t xml:space="preserve">s </w:t>
      </w:r>
      <w:r>
        <w:rPr>
          <w:rFonts w:ascii="Book Antiqua" w:hAnsi="Book Antiqua"/>
        </w:rPr>
        <w:t xml:space="preserve">such as informed and freely </w:t>
      </w:r>
      <w:r w:rsidRPr="009B6B1F">
        <w:rPr>
          <w:rFonts w:ascii="Book Antiqua" w:hAnsi="Book Antiqua"/>
        </w:rPr>
        <w:t xml:space="preserve">given consent, data protection by design and data protection by default. </w:t>
      </w:r>
    </w:p>
    <w:p w14:paraId="6341A0D5" w14:textId="2C694366" w:rsidR="000D2044" w:rsidRPr="009B6B1F" w:rsidRDefault="008F4006" w:rsidP="00280823">
      <w:pPr>
        <w:jc w:val="both"/>
        <w:rPr>
          <w:rFonts w:ascii="Book Antiqua" w:hAnsi="Book Antiqua"/>
          <w:i/>
        </w:rPr>
      </w:pPr>
      <w:r w:rsidRPr="009B6B1F">
        <w:rPr>
          <w:rFonts w:ascii="Book Antiqua" w:hAnsi="Book Antiqua"/>
          <w:i/>
        </w:rPr>
        <w:t>Online campaign material</w:t>
      </w:r>
    </w:p>
    <w:p w14:paraId="1468C349" w14:textId="4A136D3D" w:rsidR="00BD3075" w:rsidRPr="009B6B1F" w:rsidRDefault="00C459D8" w:rsidP="00280823">
      <w:pPr>
        <w:jc w:val="both"/>
        <w:rPr>
          <w:rFonts w:ascii="Book Antiqua" w:hAnsi="Book Antiqua"/>
        </w:rPr>
      </w:pPr>
      <w:r>
        <w:rPr>
          <w:rFonts w:ascii="Book Antiqua" w:hAnsi="Book Antiqua"/>
        </w:rPr>
        <w:t xml:space="preserve">Online campaigning engages data protection regulations, electoral law and regulations on direct marketing. </w:t>
      </w:r>
      <w:r w:rsidR="008F4006" w:rsidRPr="009B6B1F">
        <w:rPr>
          <w:rFonts w:ascii="Book Antiqua" w:hAnsi="Book Antiqua"/>
        </w:rPr>
        <w:t xml:space="preserve">Political parties and groups are investing in micro-targeting by channelling </w:t>
      </w:r>
      <w:r w:rsidR="008F4006" w:rsidRPr="009B6B1F">
        <w:rPr>
          <w:rFonts w:ascii="Book Antiqua" w:hAnsi="Book Antiqua"/>
        </w:rPr>
        <w:lastRenderedPageBreak/>
        <w:t>significant portions of their campaign funding into data analytics and social media advertising</w:t>
      </w:r>
      <w:r w:rsidR="001B508C">
        <w:rPr>
          <w:rFonts w:ascii="Book Antiqua" w:hAnsi="Book Antiqua"/>
        </w:rPr>
        <w:t xml:space="preserve"> to try and ensure they get the most votes. </w:t>
      </w:r>
      <w:r w:rsidR="001B508C" w:rsidRPr="009B6B1F">
        <w:rPr>
          <w:rFonts w:ascii="Book Antiqua" w:hAnsi="Book Antiqua"/>
        </w:rPr>
        <w:t>Smaller sections of undecided and persuadable voters are particularly valuable</w:t>
      </w:r>
      <w:r w:rsidR="001B508C">
        <w:rPr>
          <w:rFonts w:ascii="Book Antiqua" w:hAnsi="Book Antiqua"/>
        </w:rPr>
        <w:t xml:space="preserve"> as they can swing the outcome of a vote</w:t>
      </w:r>
      <w:r w:rsidR="008F4006" w:rsidRPr="009B6B1F">
        <w:rPr>
          <w:rFonts w:ascii="Book Antiqua" w:hAnsi="Book Antiqua"/>
        </w:rPr>
        <w:t xml:space="preserve">. </w:t>
      </w:r>
      <w:r w:rsidR="00402A4A" w:rsidRPr="009B6B1F">
        <w:rPr>
          <w:rFonts w:ascii="Book Antiqua" w:hAnsi="Book Antiqua"/>
        </w:rPr>
        <w:t>Political parties spent £3.2 million</w:t>
      </w:r>
      <w:r w:rsidR="000E6BA9" w:rsidRPr="009B6B1F">
        <w:rPr>
          <w:rFonts w:ascii="Book Antiqua" w:hAnsi="Book Antiqua"/>
        </w:rPr>
        <w:t>, of £40 million,</w:t>
      </w:r>
      <w:r w:rsidR="00402A4A" w:rsidRPr="009B6B1F">
        <w:rPr>
          <w:rFonts w:ascii="Book Antiqua" w:hAnsi="Book Antiqua"/>
        </w:rPr>
        <w:t xml:space="preserve"> on direct Facebook advertising during the 2017 general election, up from </w:t>
      </w:r>
      <w:r w:rsidR="002D25D8" w:rsidRPr="009B6B1F">
        <w:rPr>
          <w:rFonts w:ascii="Book Antiqua" w:hAnsi="Book Antiqua"/>
        </w:rPr>
        <w:t>£1.2</w:t>
      </w:r>
      <w:r w:rsidR="00402A4A" w:rsidRPr="009B6B1F">
        <w:rPr>
          <w:rFonts w:ascii="Book Antiqua" w:hAnsi="Book Antiqua"/>
        </w:rPr>
        <w:t xml:space="preserve"> million during the 2015 general election.</w:t>
      </w:r>
      <w:r w:rsidR="008F4006" w:rsidRPr="009B6B1F">
        <w:rPr>
          <w:rStyle w:val="FootnoteReference"/>
          <w:rFonts w:ascii="Book Antiqua" w:hAnsi="Book Antiqua"/>
        </w:rPr>
        <w:footnoteReference w:id="75"/>
      </w:r>
      <w:r w:rsidR="00402A4A" w:rsidRPr="009B6B1F">
        <w:rPr>
          <w:rFonts w:ascii="Book Antiqua" w:hAnsi="Book Antiqua"/>
        </w:rPr>
        <w:t xml:space="preserve"> </w:t>
      </w:r>
      <w:r w:rsidR="0061530F" w:rsidRPr="009B6B1F">
        <w:rPr>
          <w:rFonts w:ascii="Book Antiqua" w:hAnsi="Book Antiqua"/>
        </w:rPr>
        <w:t>During the UK-EU referendum, the</w:t>
      </w:r>
      <w:r w:rsidR="008F4006" w:rsidRPr="009B6B1F">
        <w:rPr>
          <w:rFonts w:ascii="Book Antiqua" w:hAnsi="Book Antiqua"/>
        </w:rPr>
        <w:t xml:space="preserve"> Vote Leave campaign sent one billion digital </w:t>
      </w:r>
      <w:r w:rsidR="001375C0" w:rsidRPr="009B6B1F">
        <w:rPr>
          <w:rFonts w:ascii="Book Antiqua" w:hAnsi="Book Antiqua"/>
        </w:rPr>
        <w:t>advertisements</w:t>
      </w:r>
      <w:r w:rsidR="008F4006" w:rsidRPr="009B6B1F">
        <w:rPr>
          <w:rFonts w:ascii="Book Antiqua" w:hAnsi="Book Antiqua"/>
        </w:rPr>
        <w:t xml:space="preserve"> </w:t>
      </w:r>
      <w:r w:rsidR="00170649" w:rsidRPr="009B6B1F">
        <w:rPr>
          <w:rFonts w:ascii="Book Antiqua" w:hAnsi="Book Antiqua"/>
        </w:rPr>
        <w:t>during a ten</w:t>
      </w:r>
      <w:r w:rsidR="008F4006" w:rsidRPr="009B6B1F">
        <w:rPr>
          <w:rFonts w:ascii="Book Antiqua" w:hAnsi="Book Antiqua"/>
        </w:rPr>
        <w:t>-week campaign period</w:t>
      </w:r>
      <w:r w:rsidR="00AC3F15">
        <w:rPr>
          <w:rFonts w:ascii="Book Antiqua" w:hAnsi="Book Antiqua"/>
        </w:rPr>
        <w:t>,</w:t>
      </w:r>
      <w:r w:rsidR="008F4006" w:rsidRPr="009B6B1F">
        <w:rPr>
          <w:rFonts w:ascii="Book Antiqua" w:hAnsi="Book Antiqua"/>
        </w:rPr>
        <w:t xml:space="preserve"> </w:t>
      </w:r>
      <w:r w:rsidR="0061530F" w:rsidRPr="009B6B1F">
        <w:rPr>
          <w:rFonts w:ascii="Book Antiqua" w:hAnsi="Book Antiqua"/>
        </w:rPr>
        <w:t>particularly before</w:t>
      </w:r>
      <w:r w:rsidR="008F4006" w:rsidRPr="009B6B1F">
        <w:rPr>
          <w:rFonts w:ascii="Book Antiqua" w:hAnsi="Book Antiqua"/>
        </w:rPr>
        <w:t xml:space="preserve"> the closing dates to register for postal voting and the last ten days before the vote</w:t>
      </w:r>
      <w:r w:rsidR="00A115CF">
        <w:rPr>
          <w:rFonts w:ascii="Book Antiqua" w:hAnsi="Book Antiqua"/>
        </w:rPr>
        <w:t>, accounting for 98 per cent</w:t>
      </w:r>
      <w:r w:rsidR="005B09F9" w:rsidRPr="009B6B1F">
        <w:rPr>
          <w:rFonts w:ascii="Book Antiqua" w:hAnsi="Book Antiqua"/>
        </w:rPr>
        <w:t xml:space="preserve"> of its budget.</w:t>
      </w:r>
      <w:r w:rsidR="008F4006" w:rsidRPr="009B6B1F">
        <w:rPr>
          <w:rStyle w:val="FootnoteReference"/>
          <w:rFonts w:ascii="Book Antiqua" w:hAnsi="Book Antiqua"/>
        </w:rPr>
        <w:footnoteReference w:id="76"/>
      </w:r>
      <w:r w:rsidR="008F4006" w:rsidRPr="009B6B1F">
        <w:rPr>
          <w:rFonts w:ascii="Book Antiqua" w:hAnsi="Book Antiqua"/>
        </w:rPr>
        <w:t xml:space="preserve"> Although the Remain campaign had substantial political resources, the Leave campaigners were tactical in encouraging people to vote, so the exact influence of varying campaign tactics remains unclear.</w:t>
      </w:r>
      <w:r w:rsidR="008F4006" w:rsidRPr="009B6B1F">
        <w:rPr>
          <w:rStyle w:val="FootnoteReference"/>
          <w:rFonts w:ascii="Book Antiqua" w:hAnsi="Book Antiqua"/>
        </w:rPr>
        <w:footnoteReference w:id="77"/>
      </w:r>
      <w:r w:rsidR="004C52F8">
        <w:rPr>
          <w:rFonts w:ascii="Book Antiqua" w:hAnsi="Book Antiqua"/>
        </w:rPr>
        <w:t xml:space="preserve"> </w:t>
      </w:r>
    </w:p>
    <w:p w14:paraId="3F6B60CB" w14:textId="60AB21A1" w:rsidR="0087305F" w:rsidRPr="009B6B1F" w:rsidRDefault="008F4006" w:rsidP="00280823">
      <w:pPr>
        <w:jc w:val="both"/>
        <w:rPr>
          <w:rFonts w:ascii="Book Antiqua" w:hAnsi="Book Antiqua"/>
        </w:rPr>
      </w:pPr>
      <w:r w:rsidRPr="009B6B1F">
        <w:rPr>
          <w:rFonts w:ascii="Book Antiqua" w:hAnsi="Book Antiqua"/>
        </w:rPr>
        <w:t>Techniques that profile potential voters for targeting and the adoption of computerised databases containing personal data have been used in the UK at least since 2004</w:t>
      </w:r>
      <w:r w:rsidR="00AC3F15">
        <w:rPr>
          <w:rFonts w:ascii="Book Antiqua" w:hAnsi="Book Antiqua"/>
        </w:rPr>
        <w:t>. Ahead of the 2005 general election,</w:t>
      </w:r>
      <w:r w:rsidRPr="009B6B1F">
        <w:rPr>
          <w:rFonts w:ascii="Book Antiqua" w:hAnsi="Book Antiqua"/>
        </w:rPr>
        <w:t xml:space="preserve"> the Conservatives</w:t>
      </w:r>
      <w:r w:rsidRPr="009B6B1F">
        <w:rPr>
          <w:rStyle w:val="FootnoteReference"/>
          <w:rFonts w:ascii="Book Antiqua" w:hAnsi="Book Antiqua"/>
        </w:rPr>
        <w:footnoteReference w:id="78"/>
      </w:r>
      <w:r w:rsidR="00C85260" w:rsidRPr="009B6B1F">
        <w:rPr>
          <w:rFonts w:ascii="Book Antiqua" w:hAnsi="Book Antiqua"/>
        </w:rPr>
        <w:t xml:space="preserve"> </w:t>
      </w:r>
      <w:r w:rsidR="00CE5E27" w:rsidRPr="009B6B1F">
        <w:rPr>
          <w:rFonts w:ascii="Book Antiqua" w:hAnsi="Book Antiqua"/>
        </w:rPr>
        <w:t>used</w:t>
      </w:r>
      <w:r w:rsidRPr="009B6B1F">
        <w:rPr>
          <w:rFonts w:ascii="Book Antiqua" w:hAnsi="Book Antiqua"/>
        </w:rPr>
        <w:t xml:space="preserve"> the Voter Vault </w:t>
      </w:r>
      <w:r w:rsidR="00C85260" w:rsidRPr="009B6B1F">
        <w:rPr>
          <w:rFonts w:ascii="Book Antiqua" w:hAnsi="Book Antiqua"/>
        </w:rPr>
        <w:t xml:space="preserve">which combined demographic data with surveys from voters to create a model that identified people for targeting depending </w:t>
      </w:r>
      <w:r w:rsidR="00AD1084" w:rsidRPr="009B6B1F">
        <w:rPr>
          <w:rFonts w:ascii="Book Antiqua" w:hAnsi="Book Antiqua"/>
        </w:rPr>
        <w:t xml:space="preserve">on: whether </w:t>
      </w:r>
      <w:r w:rsidRPr="009B6B1F">
        <w:rPr>
          <w:rFonts w:ascii="Book Antiqua" w:hAnsi="Book Antiqua"/>
        </w:rPr>
        <w:t>they lived</w:t>
      </w:r>
      <w:r w:rsidR="00AD1084" w:rsidRPr="009B6B1F">
        <w:rPr>
          <w:rFonts w:ascii="Book Antiqua" w:hAnsi="Book Antiqua"/>
        </w:rPr>
        <w:t xml:space="preserve"> in swing seats;</w:t>
      </w:r>
      <w:r w:rsidRPr="009B6B1F">
        <w:rPr>
          <w:rFonts w:ascii="Book Antiqua" w:hAnsi="Book Antiqua"/>
        </w:rPr>
        <w:t xml:space="preserve"> they possessed 'conservative traits</w:t>
      </w:r>
      <w:r w:rsidR="00AD1084" w:rsidRPr="009B6B1F">
        <w:rPr>
          <w:rFonts w:ascii="Book Antiqua" w:hAnsi="Book Antiqua"/>
        </w:rPr>
        <w:t>';</w:t>
      </w:r>
      <w:r w:rsidRPr="009B6B1F">
        <w:rPr>
          <w:rFonts w:ascii="Book Antiqua" w:hAnsi="Book Antiqua"/>
        </w:rPr>
        <w:t xml:space="preserve"> and, they did not vote Conservative in the previous election.</w:t>
      </w:r>
      <w:r w:rsidRPr="009B6B1F">
        <w:rPr>
          <w:rStyle w:val="FootnoteReference"/>
          <w:rFonts w:ascii="Book Antiqua" w:hAnsi="Book Antiqua"/>
        </w:rPr>
        <w:footnoteReference w:id="79"/>
      </w:r>
      <w:r w:rsidR="00AD1084" w:rsidRPr="009B6B1F">
        <w:rPr>
          <w:rFonts w:ascii="Book Antiqua" w:hAnsi="Book Antiqua"/>
        </w:rPr>
        <w:t xml:space="preserve"> </w:t>
      </w:r>
      <w:r w:rsidRPr="009B6B1F">
        <w:rPr>
          <w:rFonts w:ascii="Book Antiqua" w:hAnsi="Book Antiqua"/>
        </w:rPr>
        <w:t>This methodology</w:t>
      </w:r>
      <w:r w:rsidRPr="009B6B1F">
        <w:rPr>
          <w:rFonts w:ascii="Book Antiqua" w:hAnsi="Book Antiqua"/>
          <w:color w:val="FF0000"/>
        </w:rPr>
        <w:t xml:space="preserve"> </w:t>
      </w:r>
      <w:r w:rsidRPr="009B6B1F">
        <w:rPr>
          <w:rFonts w:ascii="Book Antiqua" w:hAnsi="Book Antiqua"/>
        </w:rPr>
        <w:t xml:space="preserve">has been </w:t>
      </w:r>
      <w:r w:rsidR="00AC3F15">
        <w:rPr>
          <w:rFonts w:ascii="Book Antiqua" w:hAnsi="Book Antiqua"/>
        </w:rPr>
        <w:t xml:space="preserve">intensified. </w:t>
      </w:r>
      <w:r w:rsidR="003C016F" w:rsidRPr="003C016F">
        <w:rPr>
          <w:rFonts w:ascii="Book Antiqua" w:hAnsi="Book Antiqua"/>
        </w:rPr>
        <w:t>During the UK-EU referendum both</w:t>
      </w:r>
      <w:r w:rsidR="003C016F" w:rsidRPr="009B6B1F">
        <w:rPr>
          <w:rFonts w:ascii="Book Antiqua" w:hAnsi="Book Antiqua"/>
        </w:rPr>
        <w:t xml:space="preserve"> the official Leave and Remain campaigns </w:t>
      </w:r>
      <w:r w:rsidR="00BD0E39">
        <w:rPr>
          <w:rFonts w:ascii="Book Antiqua" w:hAnsi="Book Antiqua"/>
        </w:rPr>
        <w:t>used third-party campaigning platforms that match political parties’ databases with social media data</w:t>
      </w:r>
      <w:r w:rsidR="003C016F" w:rsidRPr="009B6B1F">
        <w:rPr>
          <w:rFonts w:ascii="Book Antiqua" w:hAnsi="Book Antiqua"/>
        </w:rPr>
        <w:t xml:space="preserve">. The Leave campaigns Voter Intention Collection System, </w:t>
      </w:r>
      <w:r w:rsidR="003C016F" w:rsidRPr="009B6B1F">
        <w:rPr>
          <w:rFonts w:ascii="Book Antiqua" w:hAnsi="Book Antiqua"/>
          <w:noProof/>
        </w:rPr>
        <w:t>and</w:t>
      </w:r>
      <w:r w:rsidR="003C016F" w:rsidRPr="009B6B1F">
        <w:rPr>
          <w:rFonts w:ascii="Book Antiqua" w:hAnsi="Book Antiqua"/>
        </w:rPr>
        <w:t xml:space="preserve"> the Remain campaigns NationBuilder </w:t>
      </w:r>
      <w:r w:rsidR="003C016F" w:rsidRPr="009B6B1F">
        <w:rPr>
          <w:rFonts w:ascii="Book Antiqua" w:hAnsi="Book Antiqua"/>
          <w:noProof/>
        </w:rPr>
        <w:t>were</w:t>
      </w:r>
      <w:r w:rsidR="003C016F" w:rsidRPr="009B6B1F">
        <w:rPr>
          <w:rFonts w:ascii="Book Antiqua" w:hAnsi="Book Antiqua"/>
        </w:rPr>
        <w:t xml:space="preserve"> able to assign each voter with scores based on how likely they were to vote and which way</w:t>
      </w:r>
      <w:r w:rsidR="003C016F" w:rsidRPr="003C016F">
        <w:rPr>
          <w:rFonts w:ascii="Book Antiqua" w:hAnsi="Book Antiqua"/>
        </w:rPr>
        <w:t>.</w:t>
      </w:r>
      <w:r w:rsidR="003C016F" w:rsidRPr="003C016F">
        <w:rPr>
          <w:rStyle w:val="FootnoteReference"/>
          <w:rFonts w:ascii="Book Antiqua" w:hAnsi="Book Antiqua"/>
        </w:rPr>
        <w:footnoteReference w:id="80"/>
      </w:r>
      <w:r w:rsidR="003C016F" w:rsidRPr="003C016F">
        <w:rPr>
          <w:rFonts w:ascii="Book Antiqua" w:hAnsi="Book Antiqua"/>
        </w:rPr>
        <w:t xml:space="preserve"> </w:t>
      </w:r>
      <w:r w:rsidR="00357DEA">
        <w:rPr>
          <w:rFonts w:ascii="Book Antiqua" w:hAnsi="Book Antiqua"/>
        </w:rPr>
        <w:t>S</w:t>
      </w:r>
      <w:r w:rsidR="00FC23AF" w:rsidRPr="003C016F">
        <w:rPr>
          <w:rFonts w:ascii="Book Antiqua" w:hAnsi="Book Antiqua"/>
        </w:rPr>
        <w:t>mart mobile phone</w:t>
      </w:r>
      <w:r w:rsidRPr="003C016F">
        <w:rPr>
          <w:rFonts w:ascii="Book Antiqua" w:hAnsi="Book Antiqua"/>
        </w:rPr>
        <w:t xml:space="preserve"> applications used for campaigning during the UK-EU referendum access</w:t>
      </w:r>
      <w:r w:rsidR="00E6626D" w:rsidRPr="003C016F">
        <w:rPr>
          <w:rFonts w:ascii="Book Antiqua" w:hAnsi="Book Antiqua"/>
        </w:rPr>
        <w:t>ed</w:t>
      </w:r>
      <w:r w:rsidRPr="003C016F">
        <w:rPr>
          <w:rFonts w:ascii="Book Antiqua" w:hAnsi="Book Antiqua"/>
        </w:rPr>
        <w:t xml:space="preserve"> the data of app</w:t>
      </w:r>
      <w:r w:rsidR="00C85260" w:rsidRPr="003C016F">
        <w:rPr>
          <w:rFonts w:ascii="Book Antiqua" w:hAnsi="Book Antiqua"/>
        </w:rPr>
        <w:t>lication</w:t>
      </w:r>
      <w:r w:rsidRPr="003C016F">
        <w:rPr>
          <w:rFonts w:ascii="Book Antiqua" w:hAnsi="Book Antiqua"/>
        </w:rPr>
        <w:t xml:space="preserve"> users</w:t>
      </w:r>
      <w:r w:rsidR="00A91F3B" w:rsidRPr="003C016F">
        <w:rPr>
          <w:rFonts w:ascii="Book Antiqua" w:hAnsi="Book Antiqua"/>
        </w:rPr>
        <w:t>’</w:t>
      </w:r>
      <w:r w:rsidR="00357DEA">
        <w:rPr>
          <w:rFonts w:ascii="Book Antiqua" w:hAnsi="Book Antiqua"/>
        </w:rPr>
        <w:t xml:space="preserve"> contacts</w:t>
      </w:r>
      <w:r w:rsidRPr="003C016F">
        <w:rPr>
          <w:rStyle w:val="FootnoteReference"/>
          <w:rFonts w:ascii="Book Antiqua" w:hAnsi="Book Antiqua"/>
        </w:rPr>
        <w:footnoteReference w:id="81"/>
      </w:r>
      <w:r w:rsidR="00F716B3" w:rsidRPr="003C016F">
        <w:rPr>
          <w:rFonts w:ascii="Book Antiqua" w:hAnsi="Book Antiqua"/>
        </w:rPr>
        <w:t xml:space="preserve"> </w:t>
      </w:r>
      <w:r w:rsidR="00357DEA">
        <w:rPr>
          <w:rFonts w:ascii="Book Antiqua" w:hAnsi="Book Antiqua"/>
        </w:rPr>
        <w:t>to analyse the data of t</w:t>
      </w:r>
      <w:r w:rsidR="00F716B3" w:rsidRPr="003C016F">
        <w:rPr>
          <w:rFonts w:ascii="Book Antiqua" w:hAnsi="Book Antiqua"/>
        </w:rPr>
        <w:t>he</w:t>
      </w:r>
      <w:r w:rsidRPr="003C016F">
        <w:rPr>
          <w:rFonts w:ascii="Book Antiqua" w:hAnsi="Book Antiqua"/>
        </w:rPr>
        <w:t xml:space="preserve"> </w:t>
      </w:r>
      <w:r w:rsidR="00F716B3" w:rsidRPr="003C016F">
        <w:rPr>
          <w:rFonts w:ascii="Book Antiqua" w:hAnsi="Book Antiqua"/>
        </w:rPr>
        <w:t>non-consenting</w:t>
      </w:r>
      <w:r w:rsidRPr="003C016F">
        <w:rPr>
          <w:rFonts w:ascii="Book Antiqua" w:hAnsi="Book Antiqua"/>
        </w:rPr>
        <w:t xml:space="preserve"> users’ data to assess their political sympa</w:t>
      </w:r>
      <w:r w:rsidR="00E6626D" w:rsidRPr="003C016F">
        <w:rPr>
          <w:rFonts w:ascii="Book Antiqua" w:hAnsi="Book Antiqua"/>
        </w:rPr>
        <w:t xml:space="preserve">thies </w:t>
      </w:r>
      <w:r w:rsidR="00E3120B" w:rsidRPr="003C016F">
        <w:rPr>
          <w:rFonts w:ascii="Book Antiqua" w:hAnsi="Book Antiqua"/>
        </w:rPr>
        <w:t xml:space="preserve">before </w:t>
      </w:r>
      <w:r w:rsidR="00357DEA">
        <w:rPr>
          <w:rFonts w:ascii="Book Antiqua" w:hAnsi="Book Antiqua"/>
        </w:rPr>
        <w:t>sending them</w:t>
      </w:r>
      <w:r w:rsidR="00E3120B" w:rsidRPr="003C016F">
        <w:rPr>
          <w:rFonts w:ascii="Book Antiqua" w:hAnsi="Book Antiqua"/>
        </w:rPr>
        <w:t xml:space="preserve"> </w:t>
      </w:r>
      <w:r w:rsidRPr="003C016F">
        <w:rPr>
          <w:rFonts w:ascii="Book Antiqua" w:hAnsi="Book Antiqua"/>
        </w:rPr>
        <w:t xml:space="preserve">messages crafted to speak to issues predicted to </w:t>
      </w:r>
      <w:r w:rsidR="00E6626D" w:rsidRPr="003C016F">
        <w:rPr>
          <w:rFonts w:ascii="Book Antiqua" w:hAnsi="Book Antiqua"/>
        </w:rPr>
        <w:t xml:space="preserve">have </w:t>
      </w:r>
      <w:r w:rsidRPr="003C016F">
        <w:rPr>
          <w:rFonts w:ascii="Book Antiqua" w:hAnsi="Book Antiqua"/>
        </w:rPr>
        <w:t>be</w:t>
      </w:r>
      <w:r w:rsidR="00E6626D" w:rsidRPr="003C016F">
        <w:rPr>
          <w:rFonts w:ascii="Book Antiqua" w:hAnsi="Book Antiqua"/>
        </w:rPr>
        <w:t>en</w:t>
      </w:r>
      <w:r w:rsidRPr="003C016F">
        <w:rPr>
          <w:rFonts w:ascii="Book Antiqua" w:hAnsi="Book Antiqua"/>
        </w:rPr>
        <w:t xml:space="preserve"> at the forefront of their minds when deciding how to vote.</w:t>
      </w:r>
      <w:r w:rsidRPr="003C016F">
        <w:rPr>
          <w:rStyle w:val="FootnoteReference"/>
          <w:rFonts w:ascii="Book Antiqua" w:hAnsi="Book Antiqua"/>
        </w:rPr>
        <w:footnoteReference w:id="82"/>
      </w:r>
      <w:r w:rsidR="003C016F">
        <w:rPr>
          <w:rFonts w:ascii="Book Antiqua" w:hAnsi="Book Antiqua"/>
        </w:rPr>
        <w:t xml:space="preserve"> </w:t>
      </w:r>
    </w:p>
    <w:p w14:paraId="4BD6B1D8" w14:textId="7539B4B8" w:rsidR="00317D97" w:rsidRDefault="008F4006" w:rsidP="00280823">
      <w:pPr>
        <w:spacing w:line="276" w:lineRule="auto"/>
        <w:jc w:val="both"/>
        <w:rPr>
          <w:rFonts w:ascii="Book Antiqua" w:hAnsi="Book Antiqua"/>
        </w:rPr>
      </w:pPr>
      <w:r w:rsidRPr="009B6B1F">
        <w:rPr>
          <w:rFonts w:ascii="Book Antiqua" w:hAnsi="Book Antiqua"/>
        </w:rPr>
        <w:lastRenderedPageBreak/>
        <w:t xml:space="preserve">Social media exposes the rules on political advertising to be inconsistent and inadequate in meeting the stated aim of controlling political advertising. Paid political campaign </w:t>
      </w:r>
      <w:r w:rsidR="001375C0" w:rsidRPr="009B6B1F">
        <w:rPr>
          <w:rFonts w:ascii="Book Antiqua" w:hAnsi="Book Antiqua"/>
        </w:rPr>
        <w:t>advertisements</w:t>
      </w:r>
      <w:r w:rsidRPr="009B6B1F">
        <w:rPr>
          <w:rFonts w:ascii="Book Antiqua" w:hAnsi="Book Antiqua"/>
        </w:rPr>
        <w:t xml:space="preserve"> are banned from television and radio broadcast, but party broadcasts are allowed because they are not classed as advertising.</w:t>
      </w:r>
      <w:r w:rsidRPr="009B6B1F">
        <w:rPr>
          <w:rStyle w:val="FootnoteReference"/>
          <w:rFonts w:ascii="Book Antiqua" w:hAnsi="Book Antiqua"/>
        </w:rPr>
        <w:footnoteReference w:id="83"/>
      </w:r>
      <w:r w:rsidRPr="009B6B1F">
        <w:rPr>
          <w:rFonts w:ascii="Book Antiqua" w:hAnsi="Book Antiqua"/>
        </w:rPr>
        <w:t xml:space="preserve"> Political advertisements sent to individual voters on social media, however, are unregulated because </w:t>
      </w:r>
      <w:r w:rsidR="00FC23AF" w:rsidRPr="009B6B1F">
        <w:rPr>
          <w:rFonts w:ascii="Book Antiqua" w:hAnsi="Book Antiqua"/>
        </w:rPr>
        <w:t xml:space="preserve">all </w:t>
      </w:r>
      <w:r w:rsidRPr="009B6B1F">
        <w:rPr>
          <w:rFonts w:ascii="Book Antiqua" w:hAnsi="Book Antiqua"/>
        </w:rPr>
        <w:t xml:space="preserve">non-broadcasting political advertising was specifically excluded from regulatory oversight under the </w:t>
      </w:r>
      <w:hyperlink r:id="rId9" w:history="1">
        <w:r w:rsidRPr="009B6B1F">
          <w:rPr>
            <w:rFonts w:ascii="Book Antiqua" w:hAnsi="Book Antiqua"/>
          </w:rPr>
          <w:t>Communications Act 2003</w:t>
        </w:r>
      </w:hyperlink>
      <w:r w:rsidR="00A250CD" w:rsidRPr="009B6B1F">
        <w:rPr>
          <w:rFonts w:ascii="Book Antiqua" w:hAnsi="Book Antiqua"/>
        </w:rPr>
        <w:t>.</w:t>
      </w:r>
      <w:r w:rsidRPr="009B6B1F">
        <w:rPr>
          <w:rFonts w:ascii="Book Antiqua" w:hAnsi="Book Antiqua"/>
        </w:rPr>
        <w:t xml:space="preserve"> </w:t>
      </w:r>
      <w:r w:rsidR="00F716B3" w:rsidRPr="009B6B1F">
        <w:rPr>
          <w:rFonts w:ascii="Book Antiqua" w:hAnsi="Book Antiqua"/>
        </w:rPr>
        <w:t>N</w:t>
      </w:r>
      <w:r w:rsidR="0050107B" w:rsidRPr="009B6B1F">
        <w:rPr>
          <w:rFonts w:ascii="Book Antiqua" w:hAnsi="Book Antiqua"/>
        </w:rPr>
        <w:t xml:space="preserve">on-broadcast political advertising was subject to the </w:t>
      </w:r>
      <w:r w:rsidR="00821933" w:rsidRPr="009B6B1F">
        <w:rPr>
          <w:rFonts w:ascii="Book Antiqua" w:hAnsi="Book Antiqua"/>
        </w:rPr>
        <w:t xml:space="preserve">Advertising </w:t>
      </w:r>
      <w:r w:rsidR="0050107B" w:rsidRPr="009B6B1F">
        <w:rPr>
          <w:rFonts w:ascii="Book Antiqua" w:hAnsi="Book Antiqua"/>
        </w:rPr>
        <w:t xml:space="preserve">Code </w:t>
      </w:r>
      <w:r w:rsidR="00120792" w:rsidRPr="009B6B1F">
        <w:rPr>
          <w:rFonts w:ascii="Book Antiqua" w:hAnsi="Book Antiqua"/>
        </w:rPr>
        <w:t>which was underpinned by the principle</w:t>
      </w:r>
      <w:r w:rsidR="0050107B" w:rsidRPr="009B6B1F">
        <w:rPr>
          <w:rFonts w:ascii="Book Antiqua" w:hAnsi="Book Antiqua"/>
        </w:rPr>
        <w:t xml:space="preserve"> that all </w:t>
      </w:r>
      <w:r w:rsidR="001375C0" w:rsidRPr="009B6B1F">
        <w:rPr>
          <w:rFonts w:ascii="Book Antiqua" w:hAnsi="Book Antiqua"/>
        </w:rPr>
        <w:t>advertisements</w:t>
      </w:r>
      <w:r w:rsidR="0050107B" w:rsidRPr="009B6B1F">
        <w:rPr>
          <w:rFonts w:ascii="Book Antiqua" w:hAnsi="Book Antiqua"/>
        </w:rPr>
        <w:t xml:space="preserve"> should be legal, decent, honest and truthful, and prepared with a sense of responsibility to consumers and society.</w:t>
      </w:r>
      <w:r w:rsidRPr="009B6B1F">
        <w:rPr>
          <w:rStyle w:val="FootnoteReference"/>
          <w:rFonts w:ascii="Book Antiqua" w:hAnsi="Book Antiqua"/>
        </w:rPr>
        <w:footnoteReference w:id="84"/>
      </w:r>
      <w:r w:rsidR="0050107B" w:rsidRPr="009B6B1F">
        <w:rPr>
          <w:rFonts w:ascii="Book Antiqua" w:hAnsi="Book Antiqua"/>
        </w:rPr>
        <w:t xml:space="preserve">  </w:t>
      </w:r>
      <w:r w:rsidR="00F716B3" w:rsidRPr="009B6B1F">
        <w:rPr>
          <w:rFonts w:ascii="Book Antiqua" w:hAnsi="Book Antiqua"/>
        </w:rPr>
        <w:t>Although, the Neill Committ</w:t>
      </w:r>
      <w:r w:rsidR="00E3120B">
        <w:rPr>
          <w:rFonts w:ascii="Book Antiqua" w:hAnsi="Book Antiqua"/>
        </w:rPr>
        <w:t>ee on Standards in Public Life</w:t>
      </w:r>
      <w:r w:rsidR="00F716B3" w:rsidRPr="009B6B1F">
        <w:rPr>
          <w:rFonts w:ascii="Book Antiqua" w:hAnsi="Book Antiqua"/>
        </w:rPr>
        <w:t xml:space="preserve"> recommended that a code of best practice should apply to political advertising in the non-broadcast media,</w:t>
      </w:r>
      <w:r w:rsidRPr="009B6B1F">
        <w:rPr>
          <w:rStyle w:val="FootnoteReference"/>
          <w:rFonts w:ascii="Book Antiqua" w:hAnsi="Book Antiqua"/>
        </w:rPr>
        <w:footnoteReference w:id="85"/>
      </w:r>
      <w:r w:rsidR="00F716B3" w:rsidRPr="009B6B1F">
        <w:rPr>
          <w:rFonts w:ascii="Book Antiqua" w:hAnsi="Book Antiqua"/>
        </w:rPr>
        <w:t xml:space="preserve"> in 1999 the</w:t>
      </w:r>
      <w:r w:rsidR="00821933" w:rsidRPr="009B6B1F">
        <w:rPr>
          <w:rFonts w:ascii="Book Antiqua" w:hAnsi="Book Antiqua"/>
        </w:rPr>
        <w:t xml:space="preserve"> Committee of Advertising Practice (that writes the Advertising Code) excluded political advertising from regulatory oversight </w:t>
      </w:r>
      <w:r w:rsidRPr="009B6B1F">
        <w:rPr>
          <w:rFonts w:ascii="Book Antiqua" w:hAnsi="Book Antiqua"/>
        </w:rPr>
        <w:t>for fear that investigations, likely concluded after</w:t>
      </w:r>
      <w:r w:rsidR="00F716B3" w:rsidRPr="009B6B1F">
        <w:rPr>
          <w:rFonts w:ascii="Book Antiqua" w:hAnsi="Book Antiqua"/>
        </w:rPr>
        <w:t xml:space="preserve"> election</w:t>
      </w:r>
      <w:r w:rsidRPr="009B6B1F">
        <w:rPr>
          <w:rFonts w:ascii="Book Antiqua" w:hAnsi="Book Antiqua"/>
        </w:rPr>
        <w:t xml:space="preserve"> results are announced, cou</w:t>
      </w:r>
      <w:r w:rsidR="00E6626D">
        <w:rPr>
          <w:rFonts w:ascii="Book Antiqua" w:hAnsi="Book Antiqua"/>
        </w:rPr>
        <w:t>ld create political instability;</w:t>
      </w:r>
      <w:r w:rsidR="00846BD2" w:rsidRPr="009B6B1F">
        <w:rPr>
          <w:rFonts w:ascii="Book Antiqua" w:hAnsi="Book Antiqua"/>
        </w:rPr>
        <w:t xml:space="preserve"> </w:t>
      </w:r>
      <w:r w:rsidRPr="009B6B1F">
        <w:rPr>
          <w:rFonts w:ascii="Book Antiqua" w:hAnsi="Book Antiqua"/>
        </w:rPr>
        <w:t>conc</w:t>
      </w:r>
      <w:r w:rsidR="001A0C17" w:rsidRPr="009B6B1F">
        <w:rPr>
          <w:rFonts w:ascii="Book Antiqua" w:hAnsi="Book Antiqua"/>
        </w:rPr>
        <w:t>erns around the application of a</w:t>
      </w:r>
      <w:r w:rsidRPr="009B6B1F">
        <w:rPr>
          <w:rFonts w:ascii="Book Antiqua" w:hAnsi="Book Antiqua"/>
        </w:rPr>
        <w:t>rticle 10 ECHR</w:t>
      </w:r>
      <w:r w:rsidR="00E6626D">
        <w:rPr>
          <w:rFonts w:ascii="Book Antiqua" w:hAnsi="Book Antiqua"/>
        </w:rPr>
        <w:t>;</w:t>
      </w:r>
      <w:r w:rsidR="00846BD2" w:rsidRPr="009B6B1F">
        <w:rPr>
          <w:rFonts w:ascii="Book Antiqua" w:hAnsi="Book Antiqua"/>
        </w:rPr>
        <w:t xml:space="preserve"> and</w:t>
      </w:r>
      <w:r w:rsidR="00E6626D">
        <w:rPr>
          <w:rFonts w:ascii="Book Antiqua" w:hAnsi="Book Antiqua"/>
        </w:rPr>
        <w:t>,</w:t>
      </w:r>
      <w:r w:rsidR="00846BD2" w:rsidRPr="009B6B1F">
        <w:rPr>
          <w:rFonts w:ascii="Book Antiqua" w:hAnsi="Book Antiqua"/>
        </w:rPr>
        <w:t xml:space="preserve"> political </w:t>
      </w:r>
      <w:r w:rsidR="00E6626D">
        <w:rPr>
          <w:rFonts w:ascii="Book Antiqua" w:hAnsi="Book Antiqua"/>
        </w:rPr>
        <w:t>disagreement</w:t>
      </w:r>
      <w:r w:rsidR="00821933" w:rsidRPr="009B6B1F">
        <w:rPr>
          <w:rFonts w:ascii="Book Antiqua" w:hAnsi="Book Antiqua"/>
        </w:rPr>
        <w:t>.</w:t>
      </w:r>
      <w:r w:rsidRPr="009B6B1F">
        <w:rPr>
          <w:rStyle w:val="FootnoteReference"/>
          <w:rFonts w:ascii="Book Antiqua" w:hAnsi="Book Antiqua"/>
        </w:rPr>
        <w:footnoteReference w:id="86"/>
      </w:r>
      <w:r w:rsidR="00A220B6" w:rsidRPr="009B6B1F">
        <w:rPr>
          <w:rFonts w:ascii="Book Antiqua" w:hAnsi="Book Antiqua"/>
        </w:rPr>
        <w:t xml:space="preserve"> </w:t>
      </w:r>
      <w:r w:rsidRPr="009B6B1F">
        <w:rPr>
          <w:rFonts w:ascii="Book Antiqua" w:hAnsi="Book Antiqua"/>
        </w:rPr>
        <w:t xml:space="preserve">In 2004, the Electoral Commission considered a legal framework for political </w:t>
      </w:r>
      <w:r w:rsidR="001375C0" w:rsidRPr="009B6B1F">
        <w:rPr>
          <w:rFonts w:ascii="Book Antiqua" w:hAnsi="Book Antiqua"/>
        </w:rPr>
        <w:t>advertisements</w:t>
      </w:r>
      <w:r w:rsidRPr="009B6B1F">
        <w:rPr>
          <w:rFonts w:ascii="Book Antiqua" w:hAnsi="Book Antiqua"/>
        </w:rPr>
        <w:t xml:space="preserve"> but cautioned that the argument for a statutory co</w:t>
      </w:r>
      <w:r w:rsidR="005156E2" w:rsidRPr="009B6B1F">
        <w:rPr>
          <w:rFonts w:ascii="Book Antiqua" w:hAnsi="Book Antiqua"/>
        </w:rPr>
        <w:t>de on political advertising is “unsustainable”</w:t>
      </w:r>
      <w:r w:rsidRPr="009B6B1F">
        <w:rPr>
          <w:rFonts w:ascii="Book Antiqua" w:hAnsi="Book Antiqua"/>
        </w:rPr>
        <w:t xml:space="preserve"> because such regulation would </w:t>
      </w:r>
      <w:r w:rsidR="00693B50">
        <w:rPr>
          <w:rFonts w:ascii="Book Antiqua" w:hAnsi="Book Antiqua"/>
        </w:rPr>
        <w:t xml:space="preserve">be </w:t>
      </w:r>
      <w:r w:rsidRPr="009B6B1F">
        <w:rPr>
          <w:rFonts w:ascii="Book Antiqua" w:hAnsi="Book Antiqua"/>
        </w:rPr>
        <w:t xml:space="preserve">inconsistent with </w:t>
      </w:r>
      <w:r w:rsidR="00693B50" w:rsidRPr="009B6B1F">
        <w:rPr>
          <w:rFonts w:ascii="Book Antiqua" w:hAnsi="Book Antiqua"/>
        </w:rPr>
        <w:t xml:space="preserve">other non-broadcasting advertising </w:t>
      </w:r>
      <w:r w:rsidRPr="009B6B1F">
        <w:rPr>
          <w:rFonts w:ascii="Book Antiqua" w:hAnsi="Book Antiqua"/>
        </w:rPr>
        <w:t>regulation and because of the protections afforded to free speech.</w:t>
      </w:r>
      <w:r w:rsidRPr="009B6B1F">
        <w:rPr>
          <w:rStyle w:val="FootnoteReference"/>
          <w:rFonts w:ascii="Book Antiqua" w:hAnsi="Book Antiqua"/>
        </w:rPr>
        <w:footnoteReference w:id="87"/>
      </w:r>
      <w:r w:rsidRPr="009B6B1F">
        <w:rPr>
          <w:rFonts w:ascii="Book Antiqua" w:hAnsi="Book Antiqua"/>
        </w:rPr>
        <w:t xml:space="preserve"> Even a regulatory code was considered</w:t>
      </w:r>
      <w:r w:rsidR="005156E2" w:rsidRPr="009B6B1F">
        <w:rPr>
          <w:rFonts w:ascii="Book Antiqua" w:hAnsi="Book Antiqua"/>
        </w:rPr>
        <w:t xml:space="preserve"> “</w:t>
      </w:r>
      <w:r w:rsidR="00F716B3" w:rsidRPr="009B6B1F">
        <w:rPr>
          <w:rFonts w:ascii="Book Antiqua" w:hAnsi="Book Antiqua"/>
        </w:rPr>
        <w:t>inappropriate and impractical…</w:t>
      </w:r>
      <w:r w:rsidRPr="009B6B1F">
        <w:rPr>
          <w:rFonts w:ascii="Book Antiqua" w:hAnsi="Book Antiqua"/>
        </w:rPr>
        <w:t>given the often complex and subjec</w:t>
      </w:r>
      <w:r w:rsidR="00F716B3" w:rsidRPr="009B6B1F">
        <w:rPr>
          <w:rFonts w:ascii="Book Antiqua" w:hAnsi="Book Antiqua"/>
        </w:rPr>
        <w:t>t</w:t>
      </w:r>
      <w:r w:rsidR="005156E2" w:rsidRPr="009B6B1F">
        <w:rPr>
          <w:rFonts w:ascii="Book Antiqua" w:hAnsi="Book Antiqua"/>
        </w:rPr>
        <w:t>ive nature of political claims.”</w:t>
      </w:r>
      <w:r w:rsidRPr="009B6B1F">
        <w:rPr>
          <w:rStyle w:val="FootnoteReference"/>
          <w:rFonts w:ascii="Book Antiqua" w:hAnsi="Book Antiqua"/>
        </w:rPr>
        <w:footnoteReference w:id="88"/>
      </w:r>
      <w:r w:rsidR="005804BD" w:rsidRPr="009B6B1F">
        <w:rPr>
          <w:rFonts w:ascii="Book Antiqua" w:hAnsi="Book Antiqua"/>
        </w:rPr>
        <w:t xml:space="preserve"> </w:t>
      </w:r>
      <w:r w:rsidR="00A220B6" w:rsidRPr="009B6B1F">
        <w:rPr>
          <w:rFonts w:ascii="Book Antiqua" w:hAnsi="Book Antiqua"/>
        </w:rPr>
        <w:t xml:space="preserve">This </w:t>
      </w:r>
      <w:r w:rsidR="0050107B" w:rsidRPr="009B6B1F">
        <w:rPr>
          <w:rFonts w:ascii="Book Antiqua" w:hAnsi="Book Antiqua"/>
        </w:rPr>
        <w:t>anomaly</w:t>
      </w:r>
      <w:r w:rsidRPr="009B6B1F">
        <w:rPr>
          <w:rFonts w:ascii="Book Antiqua" w:hAnsi="Book Antiqua"/>
        </w:rPr>
        <w:t xml:space="preserve"> means</w:t>
      </w:r>
      <w:r w:rsidR="0050107B" w:rsidRPr="009B6B1F">
        <w:rPr>
          <w:rFonts w:ascii="Book Antiqua" w:hAnsi="Book Antiqua"/>
        </w:rPr>
        <w:t xml:space="preserve"> that an individual can complain about misleading claims</w:t>
      </w:r>
      <w:r w:rsidR="00CE5E27" w:rsidRPr="009B6B1F">
        <w:rPr>
          <w:rFonts w:ascii="Book Antiqua" w:hAnsi="Book Antiqua"/>
        </w:rPr>
        <w:t xml:space="preserve"> on</w:t>
      </w:r>
      <w:r w:rsidR="00120792" w:rsidRPr="009B6B1F">
        <w:rPr>
          <w:rFonts w:ascii="Book Antiqua" w:hAnsi="Book Antiqua"/>
        </w:rPr>
        <w:t xml:space="preserve"> </w:t>
      </w:r>
      <w:r w:rsidR="00CE5E27" w:rsidRPr="009B6B1F">
        <w:rPr>
          <w:rFonts w:ascii="Book Antiqua" w:hAnsi="Book Antiqua"/>
        </w:rPr>
        <w:t>consumer</w:t>
      </w:r>
      <w:r w:rsidR="00120792" w:rsidRPr="009B6B1F">
        <w:rPr>
          <w:rFonts w:ascii="Book Antiqua" w:hAnsi="Book Antiqua"/>
        </w:rPr>
        <w:t xml:space="preserve"> </w:t>
      </w:r>
      <w:r w:rsidR="0050107B" w:rsidRPr="009B6B1F">
        <w:rPr>
          <w:rFonts w:ascii="Book Antiqua" w:hAnsi="Book Antiqua"/>
        </w:rPr>
        <w:t xml:space="preserve">and </w:t>
      </w:r>
      <w:r w:rsidR="00CE5E27" w:rsidRPr="009B6B1F">
        <w:rPr>
          <w:rFonts w:ascii="Book Antiqua" w:hAnsi="Book Antiqua"/>
        </w:rPr>
        <w:t>departmental</w:t>
      </w:r>
      <w:r w:rsidRPr="009B6B1F">
        <w:rPr>
          <w:rStyle w:val="FootnoteReference"/>
          <w:rFonts w:ascii="Book Antiqua" w:hAnsi="Book Antiqua"/>
        </w:rPr>
        <w:footnoteReference w:id="89"/>
      </w:r>
      <w:r w:rsidR="0050107B" w:rsidRPr="009B6B1F">
        <w:rPr>
          <w:rFonts w:ascii="Book Antiqua" w:hAnsi="Book Antiqua"/>
        </w:rPr>
        <w:t xml:space="preserve"> </w:t>
      </w:r>
      <w:r w:rsidR="001375C0" w:rsidRPr="009B6B1F">
        <w:rPr>
          <w:rFonts w:ascii="Book Antiqua" w:hAnsi="Book Antiqua"/>
        </w:rPr>
        <w:t>advertisements</w:t>
      </w:r>
      <w:r w:rsidR="00120792" w:rsidRPr="009B6B1F">
        <w:rPr>
          <w:rFonts w:ascii="Book Antiqua" w:hAnsi="Book Antiqua"/>
        </w:rPr>
        <w:t xml:space="preserve"> but</w:t>
      </w:r>
      <w:r w:rsidR="0050107B" w:rsidRPr="009B6B1F">
        <w:rPr>
          <w:rFonts w:ascii="Book Antiqua" w:hAnsi="Book Antiqua"/>
        </w:rPr>
        <w:t xml:space="preserve"> </w:t>
      </w:r>
      <w:r w:rsidRPr="009B6B1F">
        <w:rPr>
          <w:rFonts w:ascii="Book Antiqua" w:hAnsi="Book Antiqua"/>
        </w:rPr>
        <w:t xml:space="preserve">political </w:t>
      </w:r>
      <w:r w:rsidR="001375C0" w:rsidRPr="009B6B1F">
        <w:rPr>
          <w:rFonts w:ascii="Book Antiqua" w:hAnsi="Book Antiqua"/>
        </w:rPr>
        <w:t>advertisements</w:t>
      </w:r>
      <w:r w:rsidRPr="009B6B1F">
        <w:rPr>
          <w:rFonts w:ascii="Book Antiqua" w:hAnsi="Book Antiqua"/>
        </w:rPr>
        <w:t xml:space="preserve"> complained of being misleading, harmful or offensive cannot be investigated</w:t>
      </w:r>
      <w:r w:rsidR="0050107B" w:rsidRPr="009B6B1F">
        <w:rPr>
          <w:rFonts w:ascii="Book Antiqua" w:hAnsi="Book Antiqua"/>
        </w:rPr>
        <w:t xml:space="preserve">. </w:t>
      </w:r>
      <w:r w:rsidR="00736ABE" w:rsidRPr="009B6B1F">
        <w:rPr>
          <w:rFonts w:ascii="Book Antiqua" w:hAnsi="Book Antiqua"/>
        </w:rPr>
        <w:t xml:space="preserve">The idea of a Code of Conduct </w:t>
      </w:r>
      <w:r w:rsidR="00CE5E27" w:rsidRPr="009B6B1F">
        <w:rPr>
          <w:rFonts w:ascii="Book Antiqua" w:hAnsi="Book Antiqua"/>
        </w:rPr>
        <w:t xml:space="preserve">to establish minimum standards </w:t>
      </w:r>
      <w:r w:rsidR="00317D97">
        <w:rPr>
          <w:rFonts w:ascii="Book Antiqua" w:hAnsi="Book Antiqua"/>
        </w:rPr>
        <w:t xml:space="preserve">online </w:t>
      </w:r>
      <w:r w:rsidR="00736ABE" w:rsidRPr="009B6B1F">
        <w:rPr>
          <w:rFonts w:ascii="Book Antiqua" w:hAnsi="Book Antiqua"/>
        </w:rPr>
        <w:t>has recently re-emerged in the Committee on Standards in Public Life review of intimidation in public life</w:t>
      </w:r>
      <w:r w:rsidR="00693B50">
        <w:rPr>
          <w:rFonts w:ascii="Book Antiqua" w:hAnsi="Book Antiqua"/>
        </w:rPr>
        <w:t>;</w:t>
      </w:r>
      <w:r w:rsidRPr="009B6B1F">
        <w:rPr>
          <w:rStyle w:val="FootnoteReference"/>
          <w:rFonts w:ascii="Book Antiqua" w:hAnsi="Book Antiqua"/>
        </w:rPr>
        <w:footnoteReference w:id="90"/>
      </w:r>
      <w:r w:rsidR="00736ABE" w:rsidRPr="009B6B1F">
        <w:rPr>
          <w:rFonts w:ascii="Book Antiqua" w:hAnsi="Book Antiqua"/>
        </w:rPr>
        <w:t xml:space="preserve"> the Constitution Society report on data and democracy</w:t>
      </w:r>
      <w:r w:rsidR="00693B50">
        <w:rPr>
          <w:rFonts w:ascii="Book Antiqua" w:hAnsi="Book Antiqua"/>
        </w:rPr>
        <w:t>;</w:t>
      </w:r>
      <w:r w:rsidRPr="009B6B1F">
        <w:rPr>
          <w:rStyle w:val="FootnoteReference"/>
          <w:rFonts w:ascii="Book Antiqua" w:hAnsi="Book Antiqua"/>
        </w:rPr>
        <w:footnoteReference w:id="91"/>
      </w:r>
      <w:r w:rsidR="004E7EEF" w:rsidRPr="009B6B1F">
        <w:rPr>
          <w:rFonts w:ascii="Book Antiqua" w:hAnsi="Book Antiqua"/>
        </w:rPr>
        <w:t xml:space="preserve"> and</w:t>
      </w:r>
      <w:r w:rsidR="00693B50">
        <w:rPr>
          <w:rFonts w:ascii="Book Antiqua" w:hAnsi="Book Antiqua"/>
        </w:rPr>
        <w:t>,</w:t>
      </w:r>
      <w:r w:rsidR="004E7EEF" w:rsidRPr="009B6B1F">
        <w:rPr>
          <w:rFonts w:ascii="Book Antiqua" w:hAnsi="Book Antiqua"/>
        </w:rPr>
        <w:t xml:space="preserve"> the ICO</w:t>
      </w:r>
      <w:r w:rsidR="00693B50">
        <w:rPr>
          <w:rFonts w:ascii="Book Antiqua" w:hAnsi="Book Antiqua"/>
        </w:rPr>
        <w:t>’s report on the use of data in politics</w:t>
      </w:r>
      <w:r w:rsidR="00736ABE" w:rsidRPr="009B6B1F">
        <w:rPr>
          <w:rFonts w:ascii="Book Antiqua" w:hAnsi="Book Antiqua"/>
        </w:rPr>
        <w:t>.</w:t>
      </w:r>
      <w:r w:rsidRPr="009B6B1F">
        <w:rPr>
          <w:rStyle w:val="FootnoteReference"/>
          <w:rFonts w:ascii="Book Antiqua" w:hAnsi="Book Antiqua"/>
        </w:rPr>
        <w:footnoteReference w:id="92"/>
      </w:r>
      <w:r w:rsidR="00693B50">
        <w:rPr>
          <w:rFonts w:ascii="Book Antiqua" w:hAnsi="Book Antiqua"/>
        </w:rPr>
        <w:t xml:space="preserve"> </w:t>
      </w:r>
    </w:p>
    <w:p w14:paraId="2EDA53D9" w14:textId="14AF176E" w:rsidR="00E3120B" w:rsidRDefault="00E3120B" w:rsidP="00280823">
      <w:pPr>
        <w:spacing w:line="276" w:lineRule="auto"/>
        <w:jc w:val="both"/>
        <w:rPr>
          <w:rFonts w:ascii="Book Antiqua" w:hAnsi="Book Antiqua"/>
        </w:rPr>
      </w:pPr>
      <w:r>
        <w:rPr>
          <w:rFonts w:ascii="Book Antiqua" w:hAnsi="Book Antiqua"/>
        </w:rPr>
        <w:lastRenderedPageBreak/>
        <w:t>T</w:t>
      </w:r>
      <w:r w:rsidR="008F4006" w:rsidRPr="009B6B1F">
        <w:rPr>
          <w:rFonts w:ascii="Book Antiqua" w:hAnsi="Book Antiqua"/>
        </w:rPr>
        <w:t xml:space="preserve">he practice of social media political advertising may be caught to a limited extent by </w:t>
      </w:r>
      <w:hyperlink r:id="rId10" w:history="1">
        <w:r w:rsidR="008F4006" w:rsidRPr="009B6B1F">
          <w:rPr>
            <w:rFonts w:ascii="Book Antiqua" w:hAnsi="Book Antiqua"/>
          </w:rPr>
          <w:t>section 11(3) DPA 1998</w:t>
        </w:r>
      </w:hyperlink>
      <w:r w:rsidR="00BC0229" w:rsidRPr="009B6B1F">
        <w:rPr>
          <w:rFonts w:ascii="Book Antiqua" w:hAnsi="Book Antiqua"/>
        </w:rPr>
        <w:t xml:space="preserve"> which provides that</w:t>
      </w:r>
      <w:r w:rsidR="008F4006" w:rsidRPr="009B6B1F">
        <w:rPr>
          <w:rFonts w:ascii="Book Antiqua" w:hAnsi="Book Antiqua"/>
        </w:rPr>
        <w:t xml:space="preserve"> direct marketing include</w:t>
      </w:r>
      <w:r w:rsidR="00E80674">
        <w:rPr>
          <w:rFonts w:ascii="Book Antiqua" w:hAnsi="Book Antiqua"/>
        </w:rPr>
        <w:t>s</w:t>
      </w:r>
      <w:r w:rsidR="008F4006" w:rsidRPr="009B6B1F">
        <w:rPr>
          <w:rFonts w:ascii="Book Antiqua" w:hAnsi="Book Antiqua"/>
        </w:rPr>
        <w:t xml:space="preserve"> political communications directed to an individual.</w:t>
      </w:r>
      <w:r w:rsidR="008F4006" w:rsidRPr="009B6B1F">
        <w:rPr>
          <w:rStyle w:val="FootnoteReference"/>
          <w:rFonts w:ascii="Book Antiqua" w:hAnsi="Book Antiqua"/>
        </w:rPr>
        <w:footnoteReference w:id="93"/>
      </w:r>
      <w:r w:rsidR="008F4006" w:rsidRPr="009B6B1F">
        <w:rPr>
          <w:rFonts w:ascii="Book Antiqua" w:hAnsi="Book Antiqua"/>
        </w:rPr>
        <w:t xml:space="preserve"> </w:t>
      </w:r>
      <w:r w:rsidR="007179AA" w:rsidRPr="009B6B1F">
        <w:rPr>
          <w:rFonts w:ascii="Book Antiqua" w:hAnsi="Book Antiqua"/>
        </w:rPr>
        <w:t>T</w:t>
      </w:r>
      <w:r w:rsidR="008F4006" w:rsidRPr="009B6B1F">
        <w:rPr>
          <w:rFonts w:ascii="Book Antiqua" w:hAnsi="Book Antiqua"/>
        </w:rPr>
        <w:t xml:space="preserve">he political party or group commissioning the marketing must tell people at the point of collection </w:t>
      </w:r>
      <w:r w:rsidR="00BC0229" w:rsidRPr="009B6B1F">
        <w:rPr>
          <w:rFonts w:ascii="Book Antiqua" w:hAnsi="Book Antiqua"/>
        </w:rPr>
        <w:t xml:space="preserve">how their data will be used. </w:t>
      </w:r>
      <w:r w:rsidR="007179AA" w:rsidRPr="000636F9">
        <w:rPr>
          <w:rFonts w:ascii="Book Antiqua" w:hAnsi="Book Antiqua"/>
        </w:rPr>
        <w:t>E</w:t>
      </w:r>
      <w:r w:rsidR="008F4006" w:rsidRPr="000636F9">
        <w:rPr>
          <w:rFonts w:ascii="Book Antiqua" w:hAnsi="Book Antiqua"/>
        </w:rPr>
        <w:t>ven if information is publicly</w:t>
      </w:r>
      <w:r w:rsidR="00BC0229" w:rsidRPr="000636F9">
        <w:rPr>
          <w:rFonts w:ascii="Book Antiqua" w:hAnsi="Book Antiqua"/>
        </w:rPr>
        <w:t xml:space="preserve"> accessible</w:t>
      </w:r>
      <w:r w:rsidR="000636F9" w:rsidRPr="000636F9">
        <w:rPr>
          <w:rFonts w:ascii="Book Antiqua" w:hAnsi="Book Antiqua"/>
        </w:rPr>
        <w:t xml:space="preserve"> as a result of steps taken by the data subject</w:t>
      </w:r>
      <w:r w:rsidR="008F4006" w:rsidRPr="000636F9">
        <w:rPr>
          <w:rFonts w:ascii="Book Antiqua" w:hAnsi="Book Antiqua"/>
        </w:rPr>
        <w:t>, this does not automatically mean that it can be reused for other (political) purposes without providing fair processing information</w:t>
      </w:r>
      <w:r w:rsidR="006D354B" w:rsidRPr="000636F9">
        <w:rPr>
          <w:rFonts w:ascii="Book Antiqua" w:hAnsi="Book Antiqua"/>
        </w:rPr>
        <w:t>.</w:t>
      </w:r>
      <w:r w:rsidR="00BD0E39">
        <w:rPr>
          <w:rFonts w:ascii="Book Antiqua" w:hAnsi="Book Antiqua"/>
        </w:rPr>
        <w:t xml:space="preserve"> </w:t>
      </w:r>
      <w:r w:rsidR="00BD0E39" w:rsidRPr="00E60407">
        <w:rPr>
          <w:rFonts w:ascii="Book Antiqua" w:hAnsi="Book Antiqua"/>
        </w:rPr>
        <w:t xml:space="preserve"> </w:t>
      </w:r>
      <w:r w:rsidR="00ED1565" w:rsidRPr="00E60407">
        <w:rPr>
          <w:rFonts w:ascii="Book Antiqua" w:hAnsi="Book Antiqua"/>
        </w:rPr>
        <w:t>Political parties must provide privacy notices to individuals when data about them has been taken from publicly available sources if they intend to use that data.</w:t>
      </w:r>
      <w:r w:rsidR="00ED1565" w:rsidRPr="00E60407">
        <w:rPr>
          <w:rStyle w:val="FootnoteReference"/>
          <w:rFonts w:ascii="Book Antiqua" w:hAnsi="Book Antiqua"/>
        </w:rPr>
        <w:footnoteReference w:id="94"/>
      </w:r>
      <w:r w:rsidR="00ED1565" w:rsidRPr="00E60407">
        <w:rPr>
          <w:rFonts w:ascii="Book Antiqua" w:hAnsi="Book Antiqua"/>
        </w:rPr>
        <w:t xml:space="preserve"> </w:t>
      </w:r>
      <w:r w:rsidR="00ED1565">
        <w:rPr>
          <w:rFonts w:ascii="Book Antiqua" w:hAnsi="Book Antiqua"/>
        </w:rPr>
        <w:t>In addition, i</w:t>
      </w:r>
      <w:r w:rsidR="00ED1565" w:rsidRPr="00E60407">
        <w:rPr>
          <w:rFonts w:ascii="Book Antiqua" w:hAnsi="Book Antiqua"/>
        </w:rPr>
        <w:t>nformation that is not explicitly offered but revealed after analysis of</w:t>
      </w:r>
      <w:r w:rsidR="00ED1565">
        <w:rPr>
          <w:rFonts w:ascii="Book Antiqua" w:hAnsi="Book Antiqua"/>
        </w:rPr>
        <w:t xml:space="preserve"> public</w:t>
      </w:r>
      <w:r w:rsidR="00ED1565" w:rsidRPr="00E60407">
        <w:rPr>
          <w:rFonts w:ascii="Book Antiqua" w:hAnsi="Book Antiqua"/>
        </w:rPr>
        <w:t xml:space="preserve"> data is still personal data and as such the consent requirements apply. Political parties, however, have been operating on the </w:t>
      </w:r>
      <w:r w:rsidR="00E81495">
        <w:rPr>
          <w:rFonts w:ascii="Book Antiqua" w:hAnsi="Book Antiqua"/>
        </w:rPr>
        <w:t xml:space="preserve">incorrect </w:t>
      </w:r>
      <w:r w:rsidR="00ED1565" w:rsidRPr="00E60407">
        <w:rPr>
          <w:rFonts w:ascii="Book Antiqua" w:hAnsi="Book Antiqua"/>
        </w:rPr>
        <w:t>assumption that inferred information is not personal data.</w:t>
      </w:r>
      <w:r w:rsidR="00ED1565" w:rsidRPr="00E60407">
        <w:rPr>
          <w:rStyle w:val="FootnoteReference"/>
          <w:rFonts w:ascii="Book Antiqua" w:hAnsi="Book Antiqua"/>
        </w:rPr>
        <w:footnoteReference w:id="95"/>
      </w:r>
      <w:r w:rsidR="00ED1565" w:rsidRPr="00E60407">
        <w:rPr>
          <w:rFonts w:ascii="Book Antiqua" w:hAnsi="Book Antiqua"/>
        </w:rPr>
        <w:t xml:space="preserve"> </w:t>
      </w:r>
      <w:r w:rsidR="008F4006" w:rsidRPr="009B6B1F">
        <w:rPr>
          <w:rFonts w:ascii="Book Antiqua" w:hAnsi="Book Antiqua"/>
        </w:rPr>
        <w:t>The DPA 1998</w:t>
      </w:r>
      <w:r w:rsidR="00C04145" w:rsidRPr="007E1C2C">
        <w:rPr>
          <w:rFonts w:ascii="Book Antiqua" w:hAnsi="Book Antiqua"/>
        </w:rPr>
        <w:t>, 2018</w:t>
      </w:r>
      <w:r w:rsidR="008F4006" w:rsidRPr="007E1C2C">
        <w:rPr>
          <w:rFonts w:ascii="Book Antiqua" w:hAnsi="Book Antiqua"/>
        </w:rPr>
        <w:t xml:space="preserve"> and the </w:t>
      </w:r>
      <w:r w:rsidR="001735FD" w:rsidRPr="007E1C2C">
        <w:rPr>
          <w:rFonts w:ascii="Book Antiqua" w:hAnsi="Book Antiqua"/>
        </w:rPr>
        <w:t>PECR</w:t>
      </w:r>
      <w:r w:rsidR="008F4006" w:rsidRPr="007E1C2C">
        <w:rPr>
          <w:rFonts w:ascii="Book Antiqua" w:hAnsi="Book Antiqua"/>
        </w:rPr>
        <w:t xml:space="preserve"> </w:t>
      </w:r>
      <w:r w:rsidR="001735FD" w:rsidRPr="007E1C2C">
        <w:rPr>
          <w:rFonts w:ascii="Book Antiqua" w:hAnsi="Book Antiqua"/>
        </w:rPr>
        <w:t xml:space="preserve">2003 </w:t>
      </w:r>
      <w:r w:rsidR="008F4006" w:rsidRPr="007E1C2C">
        <w:rPr>
          <w:rFonts w:ascii="Book Antiqua" w:hAnsi="Book Antiqua"/>
        </w:rPr>
        <w:t>prohibit</w:t>
      </w:r>
      <w:r w:rsidR="000D2044" w:rsidRPr="007E1C2C">
        <w:rPr>
          <w:rFonts w:ascii="Book Antiqua" w:hAnsi="Book Antiqua"/>
        </w:rPr>
        <w:t xml:space="preserve"> </w:t>
      </w:r>
      <w:r w:rsidR="008F4006" w:rsidRPr="007E1C2C">
        <w:rPr>
          <w:rFonts w:ascii="Book Antiqua" w:hAnsi="Book Antiqua"/>
        </w:rPr>
        <w:t>direct marketing</w:t>
      </w:r>
      <w:r w:rsidR="000D2044" w:rsidRPr="007E1C2C">
        <w:rPr>
          <w:rFonts w:ascii="Book Antiqua" w:hAnsi="Book Antiqua"/>
        </w:rPr>
        <w:t xml:space="preserve"> through automated</w:t>
      </w:r>
      <w:r w:rsidR="000D2044" w:rsidRPr="009B6B1F">
        <w:rPr>
          <w:rFonts w:ascii="Book Antiqua" w:hAnsi="Book Antiqua"/>
        </w:rPr>
        <w:t xml:space="preserve"> telephone calls, fax,</w:t>
      </w:r>
      <w:r w:rsidR="007E1C2C">
        <w:rPr>
          <w:rFonts w:ascii="Book Antiqua" w:hAnsi="Book Antiqua"/>
        </w:rPr>
        <w:t xml:space="preserve"> email, text messages and post, </w:t>
      </w:r>
      <w:r w:rsidR="000D2044" w:rsidRPr="009B6B1F">
        <w:rPr>
          <w:rFonts w:ascii="Book Antiqua" w:hAnsi="Book Antiqua"/>
        </w:rPr>
        <w:t>unless</w:t>
      </w:r>
      <w:r w:rsidR="007E1C2C">
        <w:rPr>
          <w:rFonts w:ascii="Book Antiqua" w:hAnsi="Book Antiqua"/>
        </w:rPr>
        <w:t xml:space="preserve"> the receiver has given consent. No</w:t>
      </w:r>
      <w:r w:rsidR="000D2044" w:rsidRPr="009B6B1F">
        <w:rPr>
          <w:rFonts w:ascii="Book Antiqua" w:hAnsi="Book Antiqua"/>
        </w:rPr>
        <w:t xml:space="preserve"> provision explicitly applies to social media</w:t>
      </w:r>
      <w:r w:rsidR="007E1C2C">
        <w:rPr>
          <w:rFonts w:ascii="Book Antiqua" w:hAnsi="Book Antiqua"/>
        </w:rPr>
        <w:t xml:space="preserve"> direct marketing but the right to object to direct marketing applies</w:t>
      </w:r>
      <w:r w:rsidR="00873D6A" w:rsidRPr="009B6B1F">
        <w:rPr>
          <w:rFonts w:ascii="Book Antiqua" w:hAnsi="Book Antiqua"/>
        </w:rPr>
        <w:t>.</w:t>
      </w:r>
      <w:r w:rsidR="007E1C2C" w:rsidRPr="004C4A92">
        <w:rPr>
          <w:rStyle w:val="FootnoteReference"/>
          <w:rFonts w:ascii="Book Antiqua" w:hAnsi="Book Antiqua"/>
        </w:rPr>
        <w:footnoteReference w:id="96"/>
      </w:r>
    </w:p>
    <w:p w14:paraId="76566D58" w14:textId="14362752" w:rsidR="001C6F2A" w:rsidRDefault="008F4006" w:rsidP="00280823">
      <w:pPr>
        <w:spacing w:line="276" w:lineRule="auto"/>
        <w:jc w:val="both"/>
        <w:rPr>
          <w:rFonts w:ascii="Book Antiqua" w:hAnsi="Book Antiqua"/>
        </w:rPr>
      </w:pPr>
      <w:r w:rsidRPr="009B6B1F">
        <w:rPr>
          <w:rFonts w:ascii="Book Antiqua" w:hAnsi="Book Antiqua"/>
        </w:rPr>
        <w:t>The</w:t>
      </w:r>
      <w:r w:rsidR="00BF6446" w:rsidRPr="009B6B1F">
        <w:rPr>
          <w:rFonts w:ascii="Book Antiqua" w:hAnsi="Book Antiqua"/>
        </w:rPr>
        <w:t xml:space="preserve"> Facebook Custom Audience tool allows advertisers to target selected groups of people with specific advertisements </w:t>
      </w:r>
      <w:r w:rsidR="008D3EF8" w:rsidRPr="009B6B1F">
        <w:rPr>
          <w:rFonts w:ascii="Book Antiqua" w:hAnsi="Book Antiqua"/>
        </w:rPr>
        <w:t>for a fract</w:t>
      </w:r>
      <w:r w:rsidR="00BF6446" w:rsidRPr="009B6B1F">
        <w:rPr>
          <w:rFonts w:ascii="Book Antiqua" w:hAnsi="Book Antiqua"/>
        </w:rPr>
        <w:t>ion of the price of direct mail</w:t>
      </w:r>
      <w:r w:rsidR="00024AA0">
        <w:rPr>
          <w:rFonts w:ascii="Book Antiqua" w:hAnsi="Book Antiqua"/>
        </w:rPr>
        <w:t xml:space="preserve"> </w:t>
      </w:r>
      <w:r w:rsidR="004C4A92">
        <w:rPr>
          <w:rFonts w:ascii="Book Antiqua" w:hAnsi="Book Antiqua"/>
        </w:rPr>
        <w:t xml:space="preserve">by methods such as uploading lists of email addresses, phone numbers and user IDs. </w:t>
      </w:r>
      <w:r w:rsidR="008D3EF8" w:rsidRPr="009B6B1F">
        <w:rPr>
          <w:rFonts w:ascii="Book Antiqua" w:hAnsi="Book Antiqua"/>
        </w:rPr>
        <w:t>When</w:t>
      </w:r>
      <w:r w:rsidR="00024AA0">
        <w:rPr>
          <w:rFonts w:ascii="Book Antiqua" w:hAnsi="Book Antiqua"/>
        </w:rPr>
        <w:t xml:space="preserve"> using the Custom Audience tool</w:t>
      </w:r>
      <w:r w:rsidR="006B210C" w:rsidRPr="009B6B1F">
        <w:rPr>
          <w:rFonts w:ascii="Book Antiqua" w:hAnsi="Book Antiqua"/>
        </w:rPr>
        <w:t xml:space="preserve">, </w:t>
      </w:r>
      <w:r w:rsidR="008D3EF8" w:rsidRPr="009B6B1F">
        <w:rPr>
          <w:rFonts w:ascii="Book Antiqua" w:hAnsi="Book Antiqua"/>
        </w:rPr>
        <w:t xml:space="preserve">political parties </w:t>
      </w:r>
      <w:r w:rsidR="00024AA0">
        <w:rPr>
          <w:rFonts w:ascii="Book Antiqua" w:hAnsi="Book Antiqua"/>
        </w:rPr>
        <w:t>act</w:t>
      </w:r>
      <w:r w:rsidR="008D3EF8" w:rsidRPr="009B6B1F">
        <w:rPr>
          <w:rFonts w:ascii="Book Antiqua" w:hAnsi="Book Antiqua"/>
        </w:rPr>
        <w:t xml:space="preserve"> as data controllers and should conform </w:t>
      </w:r>
      <w:r w:rsidR="00024AA0">
        <w:rPr>
          <w:rFonts w:ascii="Book Antiqua" w:hAnsi="Book Antiqua"/>
        </w:rPr>
        <w:t>to the</w:t>
      </w:r>
      <w:r w:rsidR="008D3EF8" w:rsidRPr="009B6B1F">
        <w:rPr>
          <w:rFonts w:ascii="Book Antiqua" w:hAnsi="Book Antiqua"/>
        </w:rPr>
        <w:t xml:space="preserve"> data processing principles which require transparency of the use of data</w:t>
      </w:r>
      <w:r w:rsidR="007F06B5" w:rsidRPr="009B6B1F">
        <w:rPr>
          <w:rStyle w:val="FootnoteReference"/>
          <w:rFonts w:ascii="Book Antiqua" w:hAnsi="Book Antiqua"/>
        </w:rPr>
        <w:footnoteReference w:id="97"/>
      </w:r>
      <w:r w:rsidR="007F06B5">
        <w:rPr>
          <w:rFonts w:ascii="Book Antiqua" w:hAnsi="Book Antiqua"/>
        </w:rPr>
        <w:t xml:space="preserve"> although they are not required to include information about who is responsible for the production of the material because imprints are only required for printed election material</w:t>
      </w:r>
      <w:r w:rsidR="008D3EF8" w:rsidRPr="009B6B1F">
        <w:rPr>
          <w:rFonts w:ascii="Book Antiqua" w:hAnsi="Book Antiqua"/>
        </w:rPr>
        <w:t>.</w:t>
      </w:r>
      <w:r w:rsidR="007F06B5" w:rsidRPr="009B6B1F">
        <w:rPr>
          <w:rStyle w:val="FootnoteReference"/>
          <w:rFonts w:ascii="Book Antiqua" w:hAnsi="Book Antiqua"/>
        </w:rPr>
        <w:footnoteReference w:id="98"/>
      </w:r>
      <w:r w:rsidR="008D3EF8" w:rsidRPr="009B6B1F">
        <w:rPr>
          <w:rFonts w:ascii="Book Antiqua" w:hAnsi="Book Antiqua"/>
        </w:rPr>
        <w:t xml:space="preserve"> Under the GDPR it </w:t>
      </w:r>
      <w:r w:rsidR="00E3120B">
        <w:rPr>
          <w:rFonts w:ascii="Book Antiqua" w:hAnsi="Book Antiqua"/>
        </w:rPr>
        <w:t>is</w:t>
      </w:r>
      <w:r w:rsidR="008D3EF8" w:rsidRPr="009B6B1F">
        <w:rPr>
          <w:rFonts w:ascii="Book Antiqua" w:hAnsi="Book Antiqua"/>
        </w:rPr>
        <w:t xml:space="preserve"> </w:t>
      </w:r>
      <w:r w:rsidR="006B210C" w:rsidRPr="009B6B1F">
        <w:rPr>
          <w:rFonts w:ascii="Book Antiqua" w:hAnsi="Book Antiqua"/>
        </w:rPr>
        <w:t xml:space="preserve">also </w:t>
      </w:r>
      <w:r w:rsidR="008D3EF8" w:rsidRPr="009B6B1F">
        <w:rPr>
          <w:rFonts w:ascii="Book Antiqua" w:hAnsi="Book Antiqua"/>
        </w:rPr>
        <w:t>necessary to actively provide people with the information in a</w:t>
      </w:r>
      <w:r w:rsidR="004911F8" w:rsidRPr="009B6B1F">
        <w:rPr>
          <w:rFonts w:ascii="Book Antiqua" w:hAnsi="Book Antiqua"/>
        </w:rPr>
        <w:t>n</w:t>
      </w:r>
      <w:r w:rsidR="008D3EF8" w:rsidRPr="009B6B1F">
        <w:rPr>
          <w:rFonts w:ascii="Book Antiqua" w:hAnsi="Book Antiqua"/>
        </w:rPr>
        <w:t xml:space="preserve"> </w:t>
      </w:r>
      <w:r w:rsidR="004911F8" w:rsidRPr="009B6B1F">
        <w:rPr>
          <w:rFonts w:ascii="Book Antiqua" w:hAnsi="Book Antiqua"/>
        </w:rPr>
        <w:t>accessible way</w:t>
      </w:r>
      <w:r w:rsidR="008D3EF8" w:rsidRPr="009B6B1F">
        <w:rPr>
          <w:rFonts w:ascii="Book Antiqua" w:hAnsi="Book Antiqua"/>
        </w:rPr>
        <w:t xml:space="preserve">, meaning putting up a </w:t>
      </w:r>
      <w:r w:rsidR="00E3120B">
        <w:rPr>
          <w:rFonts w:ascii="Book Antiqua" w:hAnsi="Book Antiqua"/>
        </w:rPr>
        <w:t xml:space="preserve">privacy </w:t>
      </w:r>
      <w:r w:rsidR="008D3EF8" w:rsidRPr="009B6B1F">
        <w:rPr>
          <w:rFonts w:ascii="Book Antiqua" w:hAnsi="Book Antiqua"/>
        </w:rPr>
        <w:t xml:space="preserve">notice on a website without </w:t>
      </w:r>
      <w:r w:rsidR="008D3EF8" w:rsidRPr="002C23E1">
        <w:rPr>
          <w:rFonts w:ascii="Book Antiqua" w:hAnsi="Book Antiqua"/>
        </w:rPr>
        <w:t xml:space="preserve">informing individuals it is there will not be satisfactory. The GDPR imposes the need to keep records of consent and strengthens the </w:t>
      </w:r>
      <w:r w:rsidR="00D82990">
        <w:rPr>
          <w:rFonts w:ascii="Book Antiqua" w:hAnsi="Book Antiqua"/>
        </w:rPr>
        <w:t>need to notify</w:t>
      </w:r>
      <w:r w:rsidR="00E602F9" w:rsidRPr="002C23E1">
        <w:rPr>
          <w:rFonts w:ascii="Book Antiqua" w:hAnsi="Book Antiqua"/>
        </w:rPr>
        <w:t xml:space="preserve"> data subjects of</w:t>
      </w:r>
      <w:r w:rsidR="008D3EF8" w:rsidRPr="002C23E1">
        <w:rPr>
          <w:rFonts w:ascii="Book Antiqua" w:hAnsi="Book Antiqua"/>
        </w:rPr>
        <w:t xml:space="preserve"> the collection and use of their personal data</w:t>
      </w:r>
      <w:r w:rsidR="007179AA" w:rsidRPr="002C23E1">
        <w:rPr>
          <w:rFonts w:ascii="Book Antiqua" w:hAnsi="Book Antiqua"/>
        </w:rPr>
        <w:t>, the purpose of data processing and the legitimate interests pursued by the controller or by a third party</w:t>
      </w:r>
      <w:r w:rsidR="008D3EF8" w:rsidRPr="002C23E1">
        <w:rPr>
          <w:rFonts w:ascii="Book Antiqua" w:hAnsi="Book Antiqua"/>
        </w:rPr>
        <w:t>, the retention periods for that personal data, and who it will be shared with</w:t>
      </w:r>
      <w:r w:rsidR="00126F75" w:rsidRPr="002C23E1">
        <w:rPr>
          <w:rFonts w:ascii="Book Antiqua" w:hAnsi="Book Antiqua"/>
        </w:rPr>
        <w:t>.</w:t>
      </w:r>
      <w:r w:rsidRPr="002C23E1">
        <w:rPr>
          <w:rStyle w:val="FootnoteReference"/>
          <w:rFonts w:ascii="Book Antiqua" w:hAnsi="Book Antiqua"/>
        </w:rPr>
        <w:footnoteReference w:id="99"/>
      </w:r>
      <w:r w:rsidR="008D3EF8" w:rsidRPr="009B6B1F">
        <w:rPr>
          <w:rFonts w:ascii="Book Antiqua" w:hAnsi="Book Antiqua"/>
        </w:rPr>
        <w:t xml:space="preserve"> </w:t>
      </w:r>
      <w:r w:rsidR="00236C6D" w:rsidRPr="004C4A92">
        <w:rPr>
          <w:rFonts w:ascii="Book Antiqua" w:hAnsi="Book Antiqua"/>
        </w:rPr>
        <w:t>This creates a more robust context for the right to object</w:t>
      </w:r>
      <w:r w:rsidR="00E74E4B" w:rsidRPr="004C4A92">
        <w:rPr>
          <w:rFonts w:ascii="Book Antiqua" w:hAnsi="Book Antiqua"/>
        </w:rPr>
        <w:t>, which</w:t>
      </w:r>
      <w:r w:rsidR="00D20699" w:rsidRPr="004C4A92">
        <w:rPr>
          <w:rFonts w:ascii="Book Antiqua" w:hAnsi="Book Antiqua"/>
        </w:rPr>
        <w:t xml:space="preserve"> </w:t>
      </w:r>
      <w:r w:rsidR="00236C6D" w:rsidRPr="004C4A92">
        <w:rPr>
          <w:rFonts w:ascii="Book Antiqua" w:hAnsi="Book Antiqua"/>
        </w:rPr>
        <w:t xml:space="preserve">is </w:t>
      </w:r>
      <w:r w:rsidR="004C4A92">
        <w:rPr>
          <w:rFonts w:ascii="Book Antiqua" w:hAnsi="Book Antiqua"/>
        </w:rPr>
        <w:t xml:space="preserve">an </w:t>
      </w:r>
      <w:r w:rsidR="00236C6D" w:rsidRPr="004C4A92">
        <w:rPr>
          <w:rFonts w:ascii="Book Antiqua" w:hAnsi="Book Antiqua"/>
        </w:rPr>
        <w:t xml:space="preserve">absolute </w:t>
      </w:r>
      <w:r w:rsidR="004C4A92">
        <w:rPr>
          <w:rFonts w:ascii="Book Antiqua" w:hAnsi="Book Antiqua"/>
        </w:rPr>
        <w:t xml:space="preserve">right </w:t>
      </w:r>
      <w:r w:rsidR="00236C6D" w:rsidRPr="004C4A92">
        <w:rPr>
          <w:rFonts w:ascii="Book Antiqua" w:hAnsi="Book Antiqua"/>
        </w:rPr>
        <w:t>if processing is for direct marketing purpose</w:t>
      </w:r>
      <w:r w:rsidR="00871D2E">
        <w:rPr>
          <w:rFonts w:ascii="Book Antiqua" w:hAnsi="Book Antiqua"/>
        </w:rPr>
        <w:t>s</w:t>
      </w:r>
      <w:r w:rsidR="004C4A92">
        <w:rPr>
          <w:rFonts w:ascii="Book Antiqua" w:hAnsi="Book Antiqua"/>
        </w:rPr>
        <w:t xml:space="preserve"> which Facebook advertisements</w:t>
      </w:r>
      <w:r w:rsidR="00637A0D">
        <w:rPr>
          <w:rFonts w:ascii="Book Antiqua" w:hAnsi="Book Antiqua"/>
        </w:rPr>
        <w:t xml:space="preserve"> and other electronic </w:t>
      </w:r>
      <w:r w:rsidR="00637A0D" w:rsidRPr="00637A0D">
        <w:rPr>
          <w:rFonts w:ascii="Book Antiqua" w:hAnsi="Book Antiqua"/>
        </w:rPr>
        <w:t>mail</w:t>
      </w:r>
      <w:r w:rsidR="004C4A92" w:rsidRPr="00637A0D">
        <w:rPr>
          <w:rFonts w:ascii="Book Antiqua" w:hAnsi="Book Antiqua"/>
        </w:rPr>
        <w:t xml:space="preserve"> </w:t>
      </w:r>
      <w:r w:rsidR="00637A0D" w:rsidRPr="00637A0D">
        <w:rPr>
          <w:rFonts w:ascii="Book Antiqua" w:hAnsi="Book Antiqua"/>
        </w:rPr>
        <w:t>are</w:t>
      </w:r>
      <w:r w:rsidR="00C553B5" w:rsidRPr="00637A0D">
        <w:rPr>
          <w:rFonts w:ascii="Book Antiqua" w:hAnsi="Book Antiqua"/>
        </w:rPr>
        <w:t>.</w:t>
      </w:r>
      <w:r w:rsidR="00F11A3C">
        <w:rPr>
          <w:rStyle w:val="FootnoteReference"/>
          <w:rFonts w:ascii="Book Antiqua" w:hAnsi="Book Antiqua"/>
        </w:rPr>
        <w:footnoteReference w:id="100"/>
      </w:r>
      <w:r w:rsidR="00C553B5" w:rsidRPr="004C4A92">
        <w:rPr>
          <w:rFonts w:ascii="Book Antiqua" w:hAnsi="Book Antiqua"/>
        </w:rPr>
        <w:t xml:space="preserve"> </w:t>
      </w:r>
    </w:p>
    <w:p w14:paraId="2C141D3E" w14:textId="3FE62F4D" w:rsidR="00A250CD" w:rsidRPr="009B6B1F" w:rsidRDefault="008F4006" w:rsidP="00280823">
      <w:pPr>
        <w:jc w:val="both"/>
        <w:rPr>
          <w:rFonts w:ascii="Book Antiqua" w:hAnsi="Book Antiqua"/>
        </w:rPr>
      </w:pPr>
      <w:r w:rsidRPr="009B6B1F">
        <w:rPr>
          <w:rFonts w:ascii="Book Antiqua" w:hAnsi="Book Antiqua"/>
        </w:rPr>
        <w:t>The</w:t>
      </w:r>
      <w:r w:rsidR="00304867" w:rsidRPr="009B6B1F">
        <w:rPr>
          <w:rFonts w:ascii="Book Antiqua" w:hAnsi="Book Antiqua"/>
        </w:rPr>
        <w:t xml:space="preserve"> core issue raised by this institutionalised form of political communication is much broader than political advertising requirements. This form of communication forces what necessarily must be a public political process into</w:t>
      </w:r>
      <w:r w:rsidR="000A0D78" w:rsidRPr="009B6B1F">
        <w:rPr>
          <w:rFonts w:ascii="Book Antiqua" w:hAnsi="Book Antiqua"/>
        </w:rPr>
        <w:t xml:space="preserve"> </w:t>
      </w:r>
      <w:r w:rsidR="00304867" w:rsidRPr="009B6B1F">
        <w:rPr>
          <w:rFonts w:ascii="Book Antiqua" w:hAnsi="Book Antiqua"/>
        </w:rPr>
        <w:t>p</w:t>
      </w:r>
      <w:r w:rsidR="00A436FB" w:rsidRPr="009B6B1F">
        <w:rPr>
          <w:rFonts w:ascii="Book Antiqua" w:hAnsi="Book Antiqua"/>
        </w:rPr>
        <w:t xml:space="preserve">rivate and inscrutable spheres. </w:t>
      </w:r>
      <w:r w:rsidR="00E958F4" w:rsidRPr="009B6B1F">
        <w:rPr>
          <w:rFonts w:ascii="Book Antiqua" w:hAnsi="Book Antiqua"/>
        </w:rPr>
        <w:t xml:space="preserve">The </w:t>
      </w:r>
      <w:r w:rsidR="00D82990">
        <w:rPr>
          <w:rFonts w:ascii="Book Antiqua" w:hAnsi="Book Antiqua"/>
        </w:rPr>
        <w:t xml:space="preserve">law’s </w:t>
      </w:r>
      <w:r w:rsidR="00E958F4" w:rsidRPr="009B6B1F">
        <w:rPr>
          <w:rFonts w:ascii="Book Antiqua" w:hAnsi="Book Antiqua"/>
        </w:rPr>
        <w:t xml:space="preserve">aim </w:t>
      </w:r>
      <w:r w:rsidR="00D82990">
        <w:rPr>
          <w:rFonts w:ascii="Book Antiqua" w:hAnsi="Book Antiqua"/>
        </w:rPr>
        <w:t>of preserving</w:t>
      </w:r>
      <w:r w:rsidR="00E958F4" w:rsidRPr="009B6B1F">
        <w:rPr>
          <w:rFonts w:ascii="Book Antiqua" w:hAnsi="Book Antiqua"/>
        </w:rPr>
        <w:t xml:space="preserve"> the integrity of the election process through the regulation of certain </w:t>
      </w:r>
      <w:r w:rsidR="00E958F4" w:rsidRPr="009B6B1F">
        <w:rPr>
          <w:rFonts w:ascii="Book Antiqua" w:hAnsi="Book Antiqua"/>
        </w:rPr>
        <w:lastRenderedPageBreak/>
        <w:t xml:space="preserve">practices, like paid party political </w:t>
      </w:r>
      <w:r w:rsidR="001375C0" w:rsidRPr="009B6B1F">
        <w:rPr>
          <w:rFonts w:ascii="Book Antiqua" w:hAnsi="Book Antiqua"/>
        </w:rPr>
        <w:t>advertisements</w:t>
      </w:r>
      <w:r w:rsidR="00E958F4" w:rsidRPr="009B6B1F">
        <w:rPr>
          <w:rFonts w:ascii="Book Antiqua" w:hAnsi="Book Antiqua"/>
        </w:rPr>
        <w:t xml:space="preserve">, is undermined by the ease in which such parties can pay for </w:t>
      </w:r>
      <w:r w:rsidR="001375C0" w:rsidRPr="009B6B1F">
        <w:rPr>
          <w:rFonts w:ascii="Book Antiqua" w:hAnsi="Book Antiqua"/>
        </w:rPr>
        <w:t>advertisements</w:t>
      </w:r>
      <w:r w:rsidR="002F3375" w:rsidRPr="009B6B1F">
        <w:rPr>
          <w:rFonts w:ascii="Book Antiqua" w:hAnsi="Book Antiqua"/>
        </w:rPr>
        <w:t>, and other material,</w:t>
      </w:r>
      <w:r w:rsidR="00E958F4" w:rsidRPr="009B6B1F">
        <w:rPr>
          <w:rFonts w:ascii="Book Antiqua" w:hAnsi="Book Antiqua"/>
        </w:rPr>
        <w:t xml:space="preserve"> to be shared online.</w:t>
      </w:r>
      <w:r w:rsidRPr="009B6B1F">
        <w:rPr>
          <w:rStyle w:val="FootnoteReference"/>
          <w:rFonts w:ascii="Book Antiqua" w:hAnsi="Book Antiqua"/>
        </w:rPr>
        <w:footnoteReference w:id="101"/>
      </w:r>
      <w:r w:rsidR="00E958F4" w:rsidRPr="009B6B1F">
        <w:rPr>
          <w:rFonts w:ascii="Book Antiqua" w:hAnsi="Book Antiqua"/>
        </w:rPr>
        <w:t xml:space="preserve"> </w:t>
      </w:r>
      <w:r w:rsidR="00E32E62">
        <w:rPr>
          <w:rFonts w:ascii="Book Antiqua" w:hAnsi="Book Antiqua"/>
        </w:rPr>
        <w:t>T</w:t>
      </w:r>
      <w:r w:rsidR="007525B3" w:rsidRPr="009B6B1F">
        <w:rPr>
          <w:rFonts w:ascii="Book Antiqua" w:hAnsi="Book Antiqua"/>
        </w:rPr>
        <w:t>hat</w:t>
      </w:r>
      <w:r w:rsidR="00E958F4" w:rsidRPr="009B6B1F">
        <w:rPr>
          <w:rFonts w:ascii="Book Antiqua" w:hAnsi="Book Antiqua"/>
        </w:rPr>
        <w:t xml:space="preserve"> hundreds of varieties of the same advertisement </w:t>
      </w:r>
      <w:r w:rsidR="007525B3" w:rsidRPr="009B6B1F">
        <w:rPr>
          <w:rFonts w:ascii="Book Antiqua" w:hAnsi="Book Antiqua"/>
        </w:rPr>
        <w:t>can be</w:t>
      </w:r>
      <w:r w:rsidR="00E958F4" w:rsidRPr="009B6B1F">
        <w:rPr>
          <w:rFonts w:ascii="Book Antiqua" w:hAnsi="Book Antiqua"/>
        </w:rPr>
        <w:t xml:space="preserve"> </w:t>
      </w:r>
      <w:r w:rsidR="00E32E62">
        <w:rPr>
          <w:rFonts w:ascii="Book Antiqua" w:hAnsi="Book Antiqua"/>
        </w:rPr>
        <w:t xml:space="preserve">monitored for effectiveness in real-time by </w:t>
      </w:r>
      <w:r w:rsidR="007525B3" w:rsidRPr="009B6B1F">
        <w:rPr>
          <w:rFonts w:ascii="Book Antiqua" w:hAnsi="Book Antiqua"/>
        </w:rPr>
        <w:t>sophisticated algorithms and software monitoring to identify the most successful messages in a constant iterative proce</w:t>
      </w:r>
      <w:r w:rsidR="00595B1F" w:rsidRPr="009B6B1F">
        <w:rPr>
          <w:rFonts w:ascii="Book Antiqua" w:hAnsi="Book Antiqua"/>
        </w:rPr>
        <w:t xml:space="preserve">ss </w:t>
      </w:r>
      <w:r w:rsidR="00E32E62">
        <w:rPr>
          <w:rFonts w:ascii="Book Antiqua" w:hAnsi="Book Antiqua"/>
        </w:rPr>
        <w:t>to ensure</w:t>
      </w:r>
      <w:r w:rsidR="00595B1F" w:rsidRPr="009B6B1F">
        <w:rPr>
          <w:rFonts w:ascii="Book Antiqua" w:hAnsi="Book Antiqua"/>
        </w:rPr>
        <w:t xml:space="preserve"> maximum impact</w:t>
      </w:r>
      <w:r w:rsidR="00E32E62">
        <w:rPr>
          <w:rFonts w:ascii="Book Antiqua" w:hAnsi="Book Antiqua"/>
        </w:rPr>
        <w:t>,</w:t>
      </w:r>
      <w:r w:rsidR="00595B1F" w:rsidRPr="009B6B1F">
        <w:rPr>
          <w:rFonts w:ascii="Book Antiqua" w:hAnsi="Book Antiqua"/>
        </w:rPr>
        <w:t xml:space="preserve"> rais</w:t>
      </w:r>
      <w:r w:rsidR="00E32E62">
        <w:rPr>
          <w:rFonts w:ascii="Book Antiqua" w:hAnsi="Book Antiqua"/>
        </w:rPr>
        <w:t>es</w:t>
      </w:r>
      <w:r w:rsidR="00595B1F" w:rsidRPr="009B6B1F">
        <w:rPr>
          <w:rFonts w:ascii="Book Antiqua" w:hAnsi="Book Antiqua"/>
        </w:rPr>
        <w:t xml:space="preserve"> new questions about how to</w:t>
      </w:r>
      <w:r w:rsidR="007525B3" w:rsidRPr="009B6B1F">
        <w:rPr>
          <w:rFonts w:ascii="Book Antiqua" w:hAnsi="Book Antiqua"/>
        </w:rPr>
        <w:t xml:space="preserve"> pr</w:t>
      </w:r>
      <w:r w:rsidR="0030689F" w:rsidRPr="009B6B1F">
        <w:rPr>
          <w:rFonts w:ascii="Book Antiqua" w:hAnsi="Book Antiqua"/>
        </w:rPr>
        <w:t>eserv</w:t>
      </w:r>
      <w:r w:rsidR="00595B1F" w:rsidRPr="009B6B1F">
        <w:rPr>
          <w:rFonts w:ascii="Book Antiqua" w:hAnsi="Book Antiqua"/>
        </w:rPr>
        <w:t xml:space="preserve">e </w:t>
      </w:r>
      <w:r w:rsidR="0030689F" w:rsidRPr="009B6B1F">
        <w:rPr>
          <w:rFonts w:ascii="Book Antiqua" w:hAnsi="Book Antiqua"/>
        </w:rPr>
        <w:t xml:space="preserve">the electorate's ‘free </w:t>
      </w:r>
      <w:r w:rsidR="00F7766F">
        <w:rPr>
          <w:rFonts w:ascii="Book Antiqua" w:hAnsi="Book Antiqua"/>
        </w:rPr>
        <w:t>mind'</w:t>
      </w:r>
      <w:r w:rsidR="007525B3" w:rsidRPr="009B6B1F">
        <w:rPr>
          <w:rFonts w:ascii="Book Antiqua" w:hAnsi="Book Antiqua"/>
        </w:rPr>
        <w:t>.</w:t>
      </w:r>
      <w:r w:rsidRPr="009B6B1F">
        <w:rPr>
          <w:rStyle w:val="FootnoteReference"/>
          <w:rFonts w:ascii="Book Antiqua" w:hAnsi="Book Antiqua"/>
        </w:rPr>
        <w:footnoteReference w:id="102"/>
      </w:r>
      <w:r w:rsidR="007525B3" w:rsidRPr="009B6B1F">
        <w:rPr>
          <w:rFonts w:ascii="Book Antiqua" w:hAnsi="Book Antiqua"/>
        </w:rPr>
        <w:t xml:space="preserve"> </w:t>
      </w:r>
      <w:r w:rsidR="000A0D78" w:rsidRPr="009B6B1F">
        <w:rPr>
          <w:rFonts w:ascii="Book Antiqua" w:hAnsi="Book Antiqua"/>
        </w:rPr>
        <w:t>Further, this fragmented form of tailored political communication erodes at the concept of open, public debate where policies, pledges and politicians are held accountable. Delivering separate messages to separate sections of the electorate</w:t>
      </w:r>
      <w:r w:rsidR="00215B2B" w:rsidRPr="009B6B1F">
        <w:rPr>
          <w:rFonts w:ascii="Book Antiqua" w:hAnsi="Book Antiqua"/>
        </w:rPr>
        <w:t>, free from competing or opposing messages,</w:t>
      </w:r>
      <w:r w:rsidR="000A0D78" w:rsidRPr="009B6B1F">
        <w:rPr>
          <w:rFonts w:ascii="Book Antiqua" w:hAnsi="Book Antiqua"/>
        </w:rPr>
        <w:t xml:space="preserve"> means that contradictory or inconsistent promises can be made to different p</w:t>
      </w:r>
      <w:r w:rsidR="00E359C2">
        <w:rPr>
          <w:rFonts w:ascii="Book Antiqua" w:hAnsi="Book Antiqua"/>
        </w:rPr>
        <w:t xml:space="preserve">eople and a full picture of political intentions and policy positions </w:t>
      </w:r>
      <w:r w:rsidR="000A0D78" w:rsidRPr="009B6B1F">
        <w:rPr>
          <w:rFonts w:ascii="Book Antiqua" w:hAnsi="Book Antiqua"/>
        </w:rPr>
        <w:t xml:space="preserve">is harder to </w:t>
      </w:r>
      <w:r w:rsidR="00E359C2">
        <w:rPr>
          <w:rFonts w:ascii="Book Antiqua" w:hAnsi="Book Antiqua"/>
        </w:rPr>
        <w:t>see and</w:t>
      </w:r>
      <w:r w:rsidR="000A0D78" w:rsidRPr="009B6B1F">
        <w:rPr>
          <w:rFonts w:ascii="Book Antiqua" w:hAnsi="Book Antiqua"/>
        </w:rPr>
        <w:t xml:space="preserve"> scrutinise. This, in turn, lends itself to delivering messages containing only what individual members of the electorate want to hear</w:t>
      </w:r>
      <w:r w:rsidR="00986748" w:rsidRPr="009B6B1F">
        <w:rPr>
          <w:rFonts w:ascii="Book Antiqua" w:hAnsi="Book Antiqua"/>
        </w:rPr>
        <w:t xml:space="preserve"> and facilitates information asymmetry</w:t>
      </w:r>
      <w:r w:rsidR="000A0D78" w:rsidRPr="009B6B1F">
        <w:rPr>
          <w:rFonts w:ascii="Book Antiqua" w:hAnsi="Book Antiqua"/>
        </w:rPr>
        <w:t>.</w:t>
      </w:r>
    </w:p>
    <w:p w14:paraId="540C1D93" w14:textId="77777777" w:rsidR="00107B5C" w:rsidRPr="009B6B1F" w:rsidRDefault="008F4006" w:rsidP="00280823">
      <w:pPr>
        <w:jc w:val="both"/>
        <w:rPr>
          <w:rFonts w:ascii="Book Antiqua" w:hAnsi="Book Antiqua"/>
          <w:b/>
        </w:rPr>
      </w:pPr>
      <w:r w:rsidRPr="009B6B1F">
        <w:rPr>
          <w:rFonts w:ascii="Book Antiqua" w:hAnsi="Book Antiqua"/>
          <w:b/>
        </w:rPr>
        <w:t xml:space="preserve">Reforming digital political communications </w:t>
      </w:r>
    </w:p>
    <w:p w14:paraId="6FD764C5" w14:textId="755E7810" w:rsidR="00107B5C" w:rsidRPr="009B6B1F" w:rsidRDefault="008F4006" w:rsidP="00280823">
      <w:pPr>
        <w:jc w:val="both"/>
        <w:rPr>
          <w:rFonts w:ascii="Book Antiqua" w:hAnsi="Book Antiqua"/>
        </w:rPr>
      </w:pPr>
      <w:r w:rsidRPr="009B6B1F">
        <w:rPr>
          <w:rFonts w:ascii="Book Antiqua" w:hAnsi="Book Antiqua"/>
        </w:rPr>
        <w:t>In response to breaches in el</w:t>
      </w:r>
      <w:r w:rsidR="00D82990">
        <w:rPr>
          <w:rFonts w:ascii="Book Antiqua" w:hAnsi="Book Antiqua"/>
        </w:rPr>
        <w:t>ectoral law and data protection;</w:t>
      </w:r>
      <w:r w:rsidRPr="009B6B1F">
        <w:rPr>
          <w:rFonts w:ascii="Book Antiqua" w:hAnsi="Book Antiqua"/>
        </w:rPr>
        <w:t xml:space="preserve"> the use</w:t>
      </w:r>
      <w:r w:rsidR="00871D2E">
        <w:rPr>
          <w:rFonts w:ascii="Book Antiqua" w:hAnsi="Book Antiqua"/>
        </w:rPr>
        <w:t xml:space="preserve"> of</w:t>
      </w:r>
      <w:r w:rsidRPr="009B6B1F">
        <w:rPr>
          <w:rFonts w:ascii="Book Antiqua" w:hAnsi="Book Antiqua"/>
        </w:rPr>
        <w:t xml:space="preserve"> micro-targeting as a strategic political tool</w:t>
      </w:r>
      <w:r w:rsidR="00D82990">
        <w:rPr>
          <w:rFonts w:ascii="Book Antiqua" w:hAnsi="Book Antiqua"/>
        </w:rPr>
        <w:t>;</w:t>
      </w:r>
      <w:r w:rsidRPr="009B6B1F">
        <w:rPr>
          <w:rFonts w:ascii="Book Antiqua" w:hAnsi="Book Antiqua"/>
        </w:rPr>
        <w:t xml:space="preserve"> and</w:t>
      </w:r>
      <w:r w:rsidR="00D82990">
        <w:rPr>
          <w:rFonts w:ascii="Book Antiqua" w:hAnsi="Book Antiqua"/>
        </w:rPr>
        <w:t>,</w:t>
      </w:r>
      <w:r w:rsidRPr="009B6B1F">
        <w:rPr>
          <w:rFonts w:ascii="Book Antiqua" w:hAnsi="Book Antiqua"/>
        </w:rPr>
        <w:t xml:space="preserve"> the spread of ‘fake news’ (better described as disinformation),</w:t>
      </w:r>
      <w:r w:rsidRPr="009B6B1F">
        <w:rPr>
          <w:rStyle w:val="FootnoteReference"/>
          <w:rFonts w:ascii="Book Antiqua" w:hAnsi="Book Antiqua"/>
        </w:rPr>
        <w:footnoteReference w:id="103"/>
      </w:r>
      <w:r w:rsidRPr="009B6B1F">
        <w:rPr>
          <w:rFonts w:ascii="Book Antiqua" w:hAnsi="Book Antiqua"/>
        </w:rPr>
        <w:t xml:space="preserve"> there have been numerous inquiries, investigations and reports on how to reform the regulatory system and update the law. The current emphasis upon a few bad players (corporate and foreign interests) skews the narrative, for there would be no market for these techniques if politics did not invest in them. There is a general sense of alarm in public discourse around these practices,</w:t>
      </w:r>
      <w:r w:rsidRPr="009B6B1F">
        <w:rPr>
          <w:rStyle w:val="FootnoteReference"/>
          <w:rFonts w:ascii="Book Antiqua" w:hAnsi="Book Antiqua"/>
        </w:rPr>
        <w:footnoteReference w:id="104"/>
      </w:r>
      <w:r w:rsidRPr="009B6B1F">
        <w:rPr>
          <w:rFonts w:ascii="Book Antiqua" w:hAnsi="Book Antiqua"/>
        </w:rPr>
        <w:t xml:space="preserve"> which is not unwarranted but, throughout history new technologies have disrupted traditional forms of social and political communication and the law and society have generally adapted. It remains important to examine these issues not only from</w:t>
      </w:r>
      <w:r w:rsidR="00F7766F">
        <w:rPr>
          <w:rFonts w:ascii="Book Antiqua" w:hAnsi="Book Antiqua"/>
        </w:rPr>
        <w:t xml:space="preserve"> a regulatory perspective but also a </w:t>
      </w:r>
      <w:r w:rsidRPr="009B6B1F">
        <w:rPr>
          <w:rFonts w:ascii="Book Antiqua" w:hAnsi="Book Antiqua"/>
        </w:rPr>
        <w:t xml:space="preserve">broad perspective. The more fundamental issues do not relate to closing regulatory gaps but ensuring the political ecosystem balances out more fairly and imbues democratic principles like </w:t>
      </w:r>
      <w:r w:rsidR="000E2D2A">
        <w:rPr>
          <w:rFonts w:ascii="Book Antiqua" w:hAnsi="Book Antiqua"/>
        </w:rPr>
        <w:t>fairness and</w:t>
      </w:r>
      <w:r w:rsidRPr="009B6B1F">
        <w:rPr>
          <w:rFonts w:ascii="Book Antiqua" w:hAnsi="Book Antiqua"/>
        </w:rPr>
        <w:t xml:space="preserve"> transparency which can help future-proof legal reforms. It seems that the scandal around data misuse for political purposes has served as an illustration of the huge distance between those elected to represent and those being represented - with companies exploiting that gulf for profit. Tweaking the regulatory system will not fix this problem. Focusing on whether, how or why the electorate is influenced misses the opportunity to think about how to make political communication more transparent, more honest, and more respectful of the electorate. Until we tackle this fundamental issue - whether through codes, regulations, or </w:t>
      </w:r>
      <w:hyperlink r:id="rId11" w:history="1">
        <w:r w:rsidRPr="009B6B1F">
          <w:rPr>
            <w:rFonts w:ascii="Book Antiqua" w:hAnsi="Book Antiqua"/>
          </w:rPr>
          <w:t>civil or criminal</w:t>
        </w:r>
      </w:hyperlink>
      <w:r w:rsidRPr="009B6B1F">
        <w:rPr>
          <w:rFonts w:ascii="Book Antiqua" w:hAnsi="Book Antiqua"/>
        </w:rPr>
        <w:t xml:space="preserve"> sanctions – the same campaign practices are likely to continue dominating the relationship the electorate has with its representatives. </w:t>
      </w:r>
      <w:r w:rsidR="00871D2E" w:rsidRPr="00652E21">
        <w:rPr>
          <w:rFonts w:ascii="Book Antiqua" w:hAnsi="Book Antiqua"/>
        </w:rPr>
        <w:t xml:space="preserve">But, the likelihood of the Government, with no clear majority, introducing the required electoral reform legislation in this Parliament is </w:t>
      </w:r>
      <w:r w:rsidR="00871D2E">
        <w:rPr>
          <w:rFonts w:ascii="Book Antiqua" w:hAnsi="Book Antiqua"/>
        </w:rPr>
        <w:t>slim</w:t>
      </w:r>
      <w:r w:rsidR="00871D2E" w:rsidRPr="00652E21">
        <w:rPr>
          <w:rFonts w:ascii="Book Antiqua" w:hAnsi="Book Antiqua"/>
        </w:rPr>
        <w:t>.</w:t>
      </w:r>
    </w:p>
    <w:p w14:paraId="3541C7A3" w14:textId="77777777" w:rsidR="00107B5C" w:rsidRPr="009B6B1F" w:rsidRDefault="008F4006" w:rsidP="00280823">
      <w:pPr>
        <w:jc w:val="both"/>
        <w:rPr>
          <w:rFonts w:ascii="Book Antiqua" w:hAnsi="Book Antiqua"/>
          <w:i/>
        </w:rPr>
      </w:pPr>
      <w:r w:rsidRPr="009B6B1F">
        <w:rPr>
          <w:rFonts w:ascii="Book Antiqua" w:hAnsi="Book Antiqua"/>
          <w:i/>
        </w:rPr>
        <w:lastRenderedPageBreak/>
        <w:t>Review of suggested reforms</w:t>
      </w:r>
    </w:p>
    <w:p w14:paraId="37948B9C" w14:textId="7DDFE67D" w:rsidR="00107B5C" w:rsidRPr="009B6B1F" w:rsidRDefault="008F4006" w:rsidP="00280823">
      <w:pPr>
        <w:jc w:val="both"/>
        <w:rPr>
          <w:rFonts w:ascii="Book Antiqua" w:hAnsi="Book Antiqua"/>
        </w:rPr>
      </w:pPr>
      <w:r w:rsidRPr="009B6B1F">
        <w:rPr>
          <w:rFonts w:ascii="Book Antiqua" w:hAnsi="Book Antiqua"/>
        </w:rPr>
        <w:t xml:space="preserve">The Electoral Commission has recommended a legislative amendment </w:t>
      </w:r>
      <w:r w:rsidR="00AF051A" w:rsidRPr="009B6B1F">
        <w:rPr>
          <w:rFonts w:ascii="Book Antiqua" w:hAnsi="Book Antiqua"/>
        </w:rPr>
        <w:t xml:space="preserve">using powers under s143(6) of the Political Parties, Elections and Referendums Act 2000 </w:t>
      </w:r>
      <w:r w:rsidRPr="009B6B1F">
        <w:rPr>
          <w:rFonts w:ascii="Book Antiqua" w:hAnsi="Book Antiqua"/>
        </w:rPr>
        <w:t>to require imprints on digital campaign material so that individuals know the source of the material and it will assist the tracking of donations and spending.</w:t>
      </w:r>
      <w:r w:rsidRPr="009B6B1F">
        <w:rPr>
          <w:rStyle w:val="FootnoteReference"/>
          <w:rFonts w:ascii="Book Antiqua" w:hAnsi="Book Antiqua"/>
        </w:rPr>
        <w:footnoteReference w:id="105"/>
      </w:r>
      <w:r w:rsidRPr="009B6B1F">
        <w:rPr>
          <w:rFonts w:ascii="Book Antiqua" w:hAnsi="Book Antiqua"/>
        </w:rPr>
        <w:t xml:space="preserve"> Thousands of political adverts, and other material like videos or memes, are disseminated online every day. </w:t>
      </w:r>
      <w:r w:rsidR="00E260D4">
        <w:rPr>
          <w:rFonts w:ascii="Book Antiqua" w:hAnsi="Book Antiqua"/>
        </w:rPr>
        <w:t>How</w:t>
      </w:r>
      <w:r w:rsidRPr="009B6B1F">
        <w:rPr>
          <w:rFonts w:ascii="Book Antiqua" w:hAnsi="Book Antiqua"/>
        </w:rPr>
        <w:t xml:space="preserve"> will this content</w:t>
      </w:r>
      <w:r w:rsidR="00E260D4">
        <w:rPr>
          <w:rFonts w:ascii="Book Antiqua" w:hAnsi="Book Antiqua"/>
        </w:rPr>
        <w:t xml:space="preserve"> be</w:t>
      </w:r>
      <w:r w:rsidRPr="009B6B1F">
        <w:rPr>
          <w:rFonts w:ascii="Book Antiqua" w:hAnsi="Book Antiqua"/>
        </w:rPr>
        <w:t xml:space="preserve"> </w:t>
      </w:r>
      <w:r w:rsidR="00E260D4" w:rsidRPr="009B6B1F">
        <w:rPr>
          <w:rFonts w:ascii="Book Antiqua" w:hAnsi="Book Antiqua"/>
        </w:rPr>
        <w:t>regulate</w:t>
      </w:r>
      <w:r w:rsidR="00E260D4">
        <w:rPr>
          <w:rFonts w:ascii="Book Antiqua" w:hAnsi="Book Antiqua"/>
        </w:rPr>
        <w:t>d</w:t>
      </w:r>
      <w:r w:rsidR="00E260D4" w:rsidRPr="009B6B1F">
        <w:rPr>
          <w:rFonts w:ascii="Book Antiqua" w:hAnsi="Book Antiqua"/>
        </w:rPr>
        <w:t xml:space="preserve"> </w:t>
      </w:r>
      <w:r w:rsidRPr="009B6B1F">
        <w:rPr>
          <w:rFonts w:ascii="Book Antiqua" w:hAnsi="Book Antiqua"/>
        </w:rPr>
        <w:t xml:space="preserve">to ensure political material conforms to the imprint requirement? Facebook will not readily accept this burden which </w:t>
      </w:r>
      <w:r w:rsidR="00E260D4">
        <w:rPr>
          <w:rFonts w:ascii="Book Antiqua" w:hAnsi="Book Antiqua"/>
        </w:rPr>
        <w:t>may</w:t>
      </w:r>
      <w:r w:rsidRPr="009B6B1F">
        <w:rPr>
          <w:rFonts w:ascii="Book Antiqua" w:hAnsi="Book Antiqua"/>
        </w:rPr>
        <w:t xml:space="preserve"> re</w:t>
      </w:r>
      <w:r w:rsidR="00B962F3">
        <w:rPr>
          <w:rFonts w:ascii="Book Antiqua" w:hAnsi="Book Antiqua"/>
        </w:rPr>
        <w:t>quire expensive human moderators to make subjective and contextual judg</w:t>
      </w:r>
      <w:r w:rsidR="00247D0F">
        <w:rPr>
          <w:rFonts w:ascii="Book Antiqua" w:hAnsi="Book Antiqua"/>
        </w:rPr>
        <w:t>e</w:t>
      </w:r>
      <w:r w:rsidR="00B962F3">
        <w:rPr>
          <w:rFonts w:ascii="Book Antiqua" w:hAnsi="Book Antiqua"/>
        </w:rPr>
        <w:t>ments calls</w:t>
      </w:r>
      <w:r w:rsidRPr="009B6B1F">
        <w:rPr>
          <w:rFonts w:ascii="Book Antiqua" w:hAnsi="Book Antiqua"/>
        </w:rPr>
        <w:t>. Also, how will material that does not include an imprint be removed considering that it is not possible to delete all traces of a post, especially if it gets shared a lot? There are ways around the imprint requirement such as paying people to post messages</w:t>
      </w:r>
      <w:r w:rsidR="00B962F3">
        <w:rPr>
          <w:rFonts w:ascii="Book Antiqua" w:hAnsi="Book Antiqua"/>
        </w:rPr>
        <w:t xml:space="preserve"> of support as ordinary users</w:t>
      </w:r>
      <w:r w:rsidRPr="009B6B1F">
        <w:rPr>
          <w:rFonts w:ascii="Book Antiqua" w:hAnsi="Book Antiqua"/>
        </w:rPr>
        <w:t xml:space="preserve"> or </w:t>
      </w:r>
      <w:r w:rsidR="00D82990">
        <w:rPr>
          <w:rFonts w:ascii="Book Antiqua" w:hAnsi="Book Antiqua"/>
        </w:rPr>
        <w:t xml:space="preserve">by relying on the </w:t>
      </w:r>
      <w:r w:rsidRPr="009B6B1F">
        <w:rPr>
          <w:rFonts w:ascii="Book Antiqua" w:hAnsi="Book Antiqua"/>
        </w:rPr>
        <w:t>organic spread</w:t>
      </w:r>
      <w:r w:rsidR="00D82990">
        <w:rPr>
          <w:rFonts w:ascii="Book Antiqua" w:hAnsi="Book Antiqua"/>
        </w:rPr>
        <w:t xml:space="preserve"> of material</w:t>
      </w:r>
      <w:r w:rsidRPr="009B6B1F">
        <w:rPr>
          <w:rFonts w:ascii="Book Antiqua" w:hAnsi="Book Antiqua"/>
        </w:rPr>
        <w:t xml:space="preserve"> on social media without paying for it.</w:t>
      </w:r>
    </w:p>
    <w:p w14:paraId="58BCBFE1" w14:textId="3DEE2D21" w:rsidR="00107B5C" w:rsidRPr="009B6B1F" w:rsidRDefault="008F4006" w:rsidP="00280823">
      <w:pPr>
        <w:jc w:val="both"/>
        <w:rPr>
          <w:rFonts w:ascii="Book Antiqua" w:hAnsi="Book Antiqua"/>
        </w:rPr>
      </w:pPr>
      <w:r w:rsidRPr="009B6B1F">
        <w:rPr>
          <w:rFonts w:ascii="Book Antiqua" w:hAnsi="Book Antiqua"/>
        </w:rPr>
        <w:t>The Electoral Commission's other recommendations amount to a collection of modifications. It repeat</w:t>
      </w:r>
      <w:r w:rsidR="00FF13F8">
        <w:rPr>
          <w:rFonts w:ascii="Book Antiqua" w:hAnsi="Book Antiqua"/>
        </w:rPr>
        <w:t>s</w:t>
      </w:r>
      <w:r w:rsidRPr="009B6B1F">
        <w:rPr>
          <w:rFonts w:ascii="Book Antiqua" w:hAnsi="Book Antiqua"/>
        </w:rPr>
        <w:t xml:space="preserve"> a recommendation </w:t>
      </w:r>
      <w:r w:rsidR="00FF13F8">
        <w:rPr>
          <w:rFonts w:ascii="Book Antiqua" w:hAnsi="Book Antiqua"/>
        </w:rPr>
        <w:t>to</w:t>
      </w:r>
      <w:r w:rsidRPr="009B6B1F">
        <w:rPr>
          <w:rFonts w:ascii="Book Antiqua" w:hAnsi="Book Antiqua"/>
        </w:rPr>
        <w:t xml:space="preserve"> amend schedule 8 of the Political Parties, Elections and Referendums Act 2000 which lists the requirements on spending returns to include a specific category of social media spending (currently reported as ‘advertising’ or ‘unsolicited material to voters’). It calls for more detailed and meaningful invoices for digital activity to close a loophole which enables the much higher national spending limit to be directed locally towards swing seats and key constituencies breaching the lower local spending limits.</w:t>
      </w:r>
      <w:r w:rsidRPr="009B6B1F">
        <w:rPr>
          <w:rStyle w:val="FootnoteReference"/>
          <w:rFonts w:ascii="Book Antiqua" w:hAnsi="Book Antiqua"/>
        </w:rPr>
        <w:footnoteReference w:id="106"/>
      </w:r>
      <w:r w:rsidRPr="009B6B1F">
        <w:rPr>
          <w:rFonts w:ascii="Book Antiqua" w:hAnsi="Book Antiqua"/>
        </w:rPr>
        <w:t xml:space="preserve"> The Commission requested an increase in the fine it can sanction for breaching electoral law; executive clarification on foreign donations and campaign spending; social media action on paid-for political advertisements originating from outside the UK; and, an improvement on the rules and deadlines for reporting spending for scrutiny during or shortly after elections or referendums. The Commission</w:t>
      </w:r>
      <w:r w:rsidRPr="009B6B1F">
        <w:rPr>
          <w:rFonts w:ascii="Book Antiqua" w:hAnsi="Book Antiqua"/>
          <w:i/>
        </w:rPr>
        <w:t xml:space="preserve"> </w:t>
      </w:r>
      <w:r w:rsidRPr="009B6B1F">
        <w:rPr>
          <w:rFonts w:ascii="Book Antiqua" w:hAnsi="Book Antiqua"/>
        </w:rPr>
        <w:t>proposed a socia</w:t>
      </w:r>
      <w:r w:rsidR="00ED0DFD">
        <w:rPr>
          <w:rFonts w:ascii="Book Antiqua" w:hAnsi="Book Antiqua"/>
        </w:rPr>
        <w:t>l media online database of paid-</w:t>
      </w:r>
      <w:r w:rsidRPr="009B6B1F">
        <w:rPr>
          <w:rFonts w:ascii="Book Antiqua" w:hAnsi="Book Antiqua"/>
        </w:rPr>
        <w:t>for political adverts, which social media companies already said they would implement,</w:t>
      </w:r>
      <w:r w:rsidRPr="009B6B1F">
        <w:rPr>
          <w:rStyle w:val="FootnoteReference"/>
          <w:rFonts w:ascii="Book Antiqua" w:hAnsi="Book Antiqua"/>
        </w:rPr>
        <w:footnoteReference w:id="107"/>
      </w:r>
      <w:r w:rsidRPr="009B6B1F">
        <w:rPr>
          <w:rFonts w:ascii="Book Antiqua" w:hAnsi="Book Antiqua"/>
        </w:rPr>
        <w:t xml:space="preserve"> instead of endorsing a more robust idea of creating a central public register of online political advertisements that would not be l</w:t>
      </w:r>
      <w:r w:rsidR="00C256B9">
        <w:rPr>
          <w:rFonts w:ascii="Book Antiqua" w:hAnsi="Book Antiqua"/>
        </w:rPr>
        <w:t>eft to social media companies.</w:t>
      </w:r>
      <w:r w:rsidRPr="009B6B1F">
        <w:rPr>
          <w:rStyle w:val="FootnoteReference"/>
          <w:rFonts w:ascii="Book Antiqua" w:hAnsi="Book Antiqua"/>
        </w:rPr>
        <w:footnoteReference w:id="108"/>
      </w:r>
      <w:r w:rsidRPr="009B6B1F">
        <w:rPr>
          <w:rFonts w:ascii="Book Antiqua" w:hAnsi="Book Antiqua"/>
        </w:rPr>
        <w:t xml:space="preserve"> Considering the rate of micro-targeted advertisements during the UK-EU referendum, there could</w:t>
      </w:r>
      <w:r w:rsidR="00FF13F8">
        <w:rPr>
          <w:rFonts w:ascii="Book Antiqua" w:hAnsi="Book Antiqua"/>
        </w:rPr>
        <w:t xml:space="preserve"> be billions of advertisements </w:t>
      </w:r>
      <w:r w:rsidRPr="009B6B1F">
        <w:rPr>
          <w:rFonts w:ascii="Book Antiqua" w:hAnsi="Book Antiqua"/>
        </w:rPr>
        <w:t>register</w:t>
      </w:r>
      <w:r w:rsidR="00467C09">
        <w:rPr>
          <w:rFonts w:ascii="Book Antiqua" w:hAnsi="Book Antiqua"/>
        </w:rPr>
        <w:t>ed</w:t>
      </w:r>
      <w:r w:rsidRPr="009B6B1F">
        <w:rPr>
          <w:rFonts w:ascii="Book Antiqua" w:hAnsi="Book Antiqua"/>
        </w:rPr>
        <w:t xml:space="preserve">. </w:t>
      </w:r>
    </w:p>
    <w:p w14:paraId="5C19FD45" w14:textId="2AB64F14" w:rsidR="00107B5C" w:rsidRPr="00E32E62" w:rsidRDefault="0081429D" w:rsidP="00280823">
      <w:pPr>
        <w:jc w:val="both"/>
        <w:rPr>
          <w:rFonts w:ascii="Book Antiqua" w:hAnsi="Book Antiqua"/>
          <w:color w:val="FF0000"/>
        </w:rPr>
      </w:pPr>
      <w:r>
        <w:rPr>
          <w:rFonts w:ascii="Book Antiqua" w:hAnsi="Book Antiqua"/>
        </w:rPr>
        <w:t>M</w:t>
      </w:r>
      <w:r w:rsidRPr="00382311">
        <w:rPr>
          <w:rFonts w:ascii="Book Antiqua" w:hAnsi="Book Antiqua"/>
        </w:rPr>
        <w:t>odern election law</w:t>
      </w:r>
      <w:r w:rsidRPr="00382311">
        <w:rPr>
          <w:rStyle w:val="FootnoteReference"/>
          <w:rFonts w:ascii="Book Antiqua" w:hAnsi="Book Antiqua"/>
        </w:rPr>
        <w:footnoteReference w:id="109"/>
      </w:r>
      <w:r w:rsidRPr="00382311">
        <w:rPr>
          <w:rFonts w:ascii="Book Antiqua" w:hAnsi="Book Antiqua"/>
        </w:rPr>
        <w:t xml:space="preserve"> </w:t>
      </w:r>
      <w:r>
        <w:rPr>
          <w:rFonts w:ascii="Book Antiqua" w:hAnsi="Book Antiqua"/>
        </w:rPr>
        <w:t>continues to be founded upon</w:t>
      </w:r>
      <w:r w:rsidRPr="00382311">
        <w:rPr>
          <w:rFonts w:ascii="Book Antiqua" w:hAnsi="Book Antiqua"/>
        </w:rPr>
        <w:t xml:space="preserve"> practices</w:t>
      </w:r>
      <w:r>
        <w:rPr>
          <w:rFonts w:ascii="Book Antiqua" w:hAnsi="Book Antiqua"/>
        </w:rPr>
        <w:t xml:space="preserve"> such as </w:t>
      </w:r>
      <w:r w:rsidRPr="00382311">
        <w:rPr>
          <w:rFonts w:ascii="Book Antiqua" w:hAnsi="Book Antiqua"/>
        </w:rPr>
        <w:t>intimidation, bribery, corruption or coercion that were rife in Britain until the introduction of several Acts of Parliament in the late 19</w:t>
      </w:r>
      <w:r w:rsidRPr="00382311">
        <w:rPr>
          <w:rFonts w:ascii="Book Antiqua" w:hAnsi="Book Antiqua"/>
          <w:vertAlign w:val="superscript"/>
        </w:rPr>
        <w:t>th</w:t>
      </w:r>
      <w:r w:rsidRPr="00382311">
        <w:rPr>
          <w:rFonts w:ascii="Book Antiqua" w:hAnsi="Book Antiqua"/>
        </w:rPr>
        <w:t xml:space="preserve"> Century</w:t>
      </w:r>
      <w:r>
        <w:rPr>
          <w:rFonts w:ascii="Book Antiqua" w:hAnsi="Book Antiqua"/>
        </w:rPr>
        <w:t>.</w:t>
      </w:r>
      <w:r w:rsidRPr="00382311">
        <w:rPr>
          <w:rStyle w:val="FootnoteReference"/>
          <w:rFonts w:ascii="Book Antiqua" w:hAnsi="Book Antiqua"/>
        </w:rPr>
        <w:footnoteReference w:id="110"/>
      </w:r>
      <w:r>
        <w:rPr>
          <w:rFonts w:ascii="Book Antiqua" w:hAnsi="Book Antiqua"/>
        </w:rPr>
        <w:t xml:space="preserve"> </w:t>
      </w:r>
      <w:r w:rsidR="008F4006" w:rsidRPr="00382311">
        <w:rPr>
          <w:rFonts w:ascii="Book Antiqua" w:hAnsi="Book Antiqua"/>
        </w:rPr>
        <w:t xml:space="preserve">Electoral offences are still framed in the language of the </w:t>
      </w:r>
      <w:r w:rsidR="008F4006" w:rsidRPr="00382311">
        <w:rPr>
          <w:rFonts w:ascii="Book Antiqua" w:hAnsi="Book Antiqua"/>
        </w:rPr>
        <w:lastRenderedPageBreak/>
        <w:t>19</w:t>
      </w:r>
      <w:r w:rsidR="008F4006" w:rsidRPr="00382311">
        <w:rPr>
          <w:rFonts w:ascii="Book Antiqua" w:hAnsi="Book Antiqua"/>
          <w:vertAlign w:val="superscript"/>
        </w:rPr>
        <w:t>th</w:t>
      </w:r>
      <w:r w:rsidR="008F4006" w:rsidRPr="00382311">
        <w:rPr>
          <w:rFonts w:ascii="Book Antiqua" w:hAnsi="Book Antiqua"/>
        </w:rPr>
        <w:t xml:space="preserve"> century when votes were bought, elections rigged for favours, and the ballot could be coerced.</w:t>
      </w:r>
      <w:r w:rsidR="008F4006" w:rsidRPr="00382311">
        <w:rPr>
          <w:rStyle w:val="FootnoteReference"/>
          <w:rFonts w:ascii="Book Antiqua" w:hAnsi="Book Antiqua"/>
        </w:rPr>
        <w:footnoteReference w:id="111"/>
      </w:r>
      <w:r w:rsidR="008F4006" w:rsidRPr="00382311">
        <w:rPr>
          <w:rFonts w:ascii="Book Antiqua" w:hAnsi="Book Antiqua"/>
        </w:rPr>
        <w:t xml:space="preserve"> Election law must reflect the reality of contemporary political campaigning, the behaviour of elected representatives, political candidates and parties as well as the way in which people can be coerced or manipulated, which is much more than physical intimidation. A wholesale review must go further than the Law Commissions’ 2016 recommendations for reform which prioritised unifying the pieces of electoral legislation, modernising procedures and processes and </w:t>
      </w:r>
      <w:r w:rsidR="00871D2E" w:rsidRPr="00382311">
        <w:rPr>
          <w:rFonts w:ascii="Book Antiqua" w:hAnsi="Book Antiqua"/>
        </w:rPr>
        <w:t>improving</w:t>
      </w:r>
      <w:r w:rsidR="008F4006" w:rsidRPr="00382311">
        <w:rPr>
          <w:rFonts w:ascii="Book Antiqua" w:hAnsi="Book Antiqua"/>
        </w:rPr>
        <w:t xml:space="preserve"> the way to challenge election outcomes.</w:t>
      </w:r>
      <w:r w:rsidR="008F4006" w:rsidRPr="00382311">
        <w:rPr>
          <w:rStyle w:val="FootnoteReference"/>
          <w:rFonts w:ascii="Book Antiqua" w:hAnsi="Book Antiqua"/>
        </w:rPr>
        <w:footnoteReference w:id="112"/>
      </w:r>
      <w:r w:rsidR="008F4006" w:rsidRPr="00382311">
        <w:rPr>
          <w:rFonts w:ascii="Book Antiqua" w:hAnsi="Book Antiqua"/>
        </w:rPr>
        <w:t xml:space="preserve"> Although these are important reforms</w:t>
      </w:r>
      <w:r w:rsidR="00FF13F8" w:rsidRPr="00382311">
        <w:rPr>
          <w:rFonts w:ascii="Book Antiqua" w:hAnsi="Book Antiqua"/>
        </w:rPr>
        <w:t>, a complete overhaul is needed</w:t>
      </w:r>
      <w:r w:rsidR="00896891">
        <w:rPr>
          <w:rFonts w:ascii="Book Antiqua" w:hAnsi="Book Antiqua"/>
        </w:rPr>
        <w:t xml:space="preserve"> to ensure electoral offences reflect </w:t>
      </w:r>
      <w:r w:rsidR="009366D9">
        <w:rPr>
          <w:rFonts w:ascii="Book Antiqua" w:hAnsi="Book Antiqua"/>
        </w:rPr>
        <w:t xml:space="preserve">the </w:t>
      </w:r>
      <w:r w:rsidR="00896891">
        <w:rPr>
          <w:rFonts w:ascii="Book Antiqua" w:hAnsi="Book Antiqua"/>
        </w:rPr>
        <w:t>21</w:t>
      </w:r>
      <w:r w:rsidR="00896891" w:rsidRPr="00896891">
        <w:rPr>
          <w:rFonts w:ascii="Book Antiqua" w:hAnsi="Book Antiqua"/>
          <w:vertAlign w:val="superscript"/>
        </w:rPr>
        <w:t>st</w:t>
      </w:r>
      <w:r w:rsidR="009366D9">
        <w:rPr>
          <w:rFonts w:ascii="Book Antiqua" w:hAnsi="Book Antiqua"/>
        </w:rPr>
        <w:t xml:space="preserve"> century</w:t>
      </w:r>
      <w:r w:rsidR="00C63D01" w:rsidRPr="00652E21">
        <w:rPr>
          <w:rFonts w:ascii="Book Antiqua" w:hAnsi="Book Antiqua"/>
        </w:rPr>
        <w:t>.</w:t>
      </w:r>
      <w:r w:rsidR="00FF13F8" w:rsidRPr="00652E21">
        <w:rPr>
          <w:rFonts w:ascii="Book Antiqua" w:hAnsi="Book Antiqua"/>
        </w:rPr>
        <w:t xml:space="preserve"> </w:t>
      </w:r>
    </w:p>
    <w:p w14:paraId="261AD465" w14:textId="15FDD02A" w:rsidR="00107B5C" w:rsidRPr="00871D2E" w:rsidRDefault="008F4006" w:rsidP="00280823">
      <w:pPr>
        <w:jc w:val="both"/>
        <w:rPr>
          <w:rFonts w:ascii="Book Antiqua" w:hAnsi="Book Antiqua"/>
        </w:rPr>
      </w:pPr>
      <w:r w:rsidRPr="009B6B1F">
        <w:rPr>
          <w:rFonts w:ascii="Book Antiqua" w:hAnsi="Book Antiqua"/>
        </w:rPr>
        <w:t xml:space="preserve">The </w:t>
      </w:r>
      <w:r w:rsidR="00871D2E" w:rsidRPr="009B6B1F">
        <w:rPr>
          <w:rFonts w:ascii="Book Antiqua" w:hAnsi="Book Antiqua"/>
        </w:rPr>
        <w:t xml:space="preserve">Digital, Culture, Media and Sport Committee’s (DCMSC) </w:t>
      </w:r>
      <w:r w:rsidRPr="009B6B1F">
        <w:rPr>
          <w:rFonts w:ascii="Book Antiqua" w:hAnsi="Book Antiqua"/>
        </w:rPr>
        <w:t>proposed a ban on micro-target</w:t>
      </w:r>
      <w:r w:rsidR="00ED0DFD">
        <w:rPr>
          <w:rFonts w:ascii="Book Antiqua" w:hAnsi="Book Antiqua"/>
        </w:rPr>
        <w:t>ed political advertising through</w:t>
      </w:r>
      <w:r w:rsidRPr="009B6B1F">
        <w:rPr>
          <w:rFonts w:ascii="Book Antiqua" w:hAnsi="Book Antiqua"/>
        </w:rPr>
        <w:t xml:space="preserve"> Facebook 'lookalike audiences' where users have requested not to receive political adverts, and </w:t>
      </w:r>
      <w:r w:rsidRPr="00A2539F">
        <w:rPr>
          <w:rFonts w:ascii="Book Antiqua" w:hAnsi="Book Antiqua"/>
        </w:rPr>
        <w:t>a national minimum limit for the number of voters sent individual political message</w:t>
      </w:r>
      <w:r w:rsidRPr="009B6B1F">
        <w:rPr>
          <w:rFonts w:ascii="Book Antiqua" w:hAnsi="Book Antiqua"/>
        </w:rPr>
        <w:t>s</w:t>
      </w:r>
      <w:r w:rsidR="00ED0DFD">
        <w:rPr>
          <w:rFonts w:ascii="Book Antiqua" w:hAnsi="Book Antiqua"/>
        </w:rPr>
        <w:t xml:space="preserve">. This was </w:t>
      </w:r>
      <w:r w:rsidRPr="009B6B1F">
        <w:rPr>
          <w:rFonts w:ascii="Book Antiqua" w:hAnsi="Book Antiqua"/>
        </w:rPr>
        <w:t xml:space="preserve">a </w:t>
      </w:r>
      <w:r w:rsidRPr="00A2539F">
        <w:rPr>
          <w:rFonts w:ascii="Book Antiqua" w:hAnsi="Book Antiqua"/>
        </w:rPr>
        <w:t>compromise on the</w:t>
      </w:r>
      <w:r w:rsidRPr="009B6B1F">
        <w:rPr>
          <w:rFonts w:ascii="Book Antiqua" w:hAnsi="Book Antiqua"/>
        </w:rPr>
        <w:t xml:space="preserve"> suggestion of a total ban.</w:t>
      </w:r>
      <w:r w:rsidRPr="009B6B1F">
        <w:rPr>
          <w:rStyle w:val="FootnoteReference"/>
          <w:rFonts w:ascii="Book Antiqua" w:hAnsi="Book Antiqua"/>
        </w:rPr>
        <w:footnoteReference w:id="113"/>
      </w:r>
      <w:r w:rsidRPr="009B6B1F">
        <w:rPr>
          <w:rFonts w:ascii="Book Antiqua" w:hAnsi="Book Antiqua"/>
        </w:rPr>
        <w:t xml:space="preserve"> But, should digital political advertisements and micro-targeting be banned entirely? As explained in relation to imprints, there are ways around moderate or partial bans on political digital content and regulations c</w:t>
      </w:r>
      <w:r w:rsidR="00ED0DFD">
        <w:rPr>
          <w:rFonts w:ascii="Book Antiqua" w:hAnsi="Book Antiqua"/>
        </w:rPr>
        <w:t>an quickly become out of date. Yet, a</w:t>
      </w:r>
      <w:r w:rsidRPr="009B6B1F">
        <w:rPr>
          <w:rFonts w:ascii="Book Antiqua" w:hAnsi="Book Antiqua"/>
        </w:rPr>
        <w:t xml:space="preserve"> ban could dampen down political engagement as people would be forced to return to traditional media when every other part of our life is becoming digitalised. The DCMSC also called for the Electoral Commission to establish a code for advertising through social media during election periods </w:t>
      </w:r>
      <w:r w:rsidR="00ED0DFD">
        <w:rPr>
          <w:rFonts w:ascii="Book Antiqua" w:hAnsi="Book Antiqua"/>
        </w:rPr>
        <w:t>and</w:t>
      </w:r>
      <w:r w:rsidRPr="009B6B1F">
        <w:rPr>
          <w:rFonts w:ascii="Book Antiqua" w:hAnsi="Book Antiqua"/>
        </w:rPr>
        <w:t xml:space="preserve"> consider whether social media campaigning should be restricted during the regulated period to registered political organisations or campaigns</w:t>
      </w:r>
      <w:r w:rsidR="00ED0DFD">
        <w:rPr>
          <w:rFonts w:ascii="Book Antiqua" w:hAnsi="Book Antiqua"/>
        </w:rPr>
        <w:t>.</w:t>
      </w:r>
      <w:r w:rsidRPr="009B6B1F">
        <w:rPr>
          <w:rStyle w:val="FootnoteReference"/>
          <w:rFonts w:ascii="Book Antiqua" w:hAnsi="Book Antiqua"/>
        </w:rPr>
        <w:footnoteReference w:id="114"/>
      </w:r>
      <w:r w:rsidRPr="009B6B1F">
        <w:rPr>
          <w:rFonts w:ascii="Book Antiqua" w:hAnsi="Book Antiqua"/>
        </w:rPr>
        <w:t xml:space="preserve"> </w:t>
      </w:r>
      <w:r w:rsidR="00ED0DFD">
        <w:rPr>
          <w:rFonts w:ascii="Book Antiqua" w:hAnsi="Book Antiqua"/>
        </w:rPr>
        <w:t>This</w:t>
      </w:r>
      <w:r w:rsidRPr="009B6B1F">
        <w:rPr>
          <w:rFonts w:ascii="Book Antiqua" w:hAnsi="Book Antiqua"/>
        </w:rPr>
        <w:t xml:space="preserve"> could work in tandem with the suggestion that social media companies and intermediaries work closely with regulators and advise political parties on transparency and accountability wh</w:t>
      </w:r>
      <w:r w:rsidR="00ED0DFD">
        <w:rPr>
          <w:rFonts w:ascii="Book Antiqua" w:hAnsi="Book Antiqua"/>
        </w:rPr>
        <w:t>en using data to target voters o</w:t>
      </w:r>
      <w:r w:rsidR="00871D2E">
        <w:rPr>
          <w:rFonts w:ascii="Book Antiqua" w:hAnsi="Book Antiqua"/>
        </w:rPr>
        <w:t>n those platforms,</w:t>
      </w:r>
      <w:r w:rsidRPr="009B6B1F">
        <w:rPr>
          <w:rStyle w:val="FootnoteReference"/>
          <w:rFonts w:ascii="Book Antiqua" w:hAnsi="Book Antiqua"/>
        </w:rPr>
        <w:footnoteReference w:id="115"/>
      </w:r>
      <w:r w:rsidRPr="009B6B1F">
        <w:rPr>
          <w:rFonts w:ascii="Book Antiqua" w:hAnsi="Book Antiqua"/>
        </w:rPr>
        <w:t xml:space="preserve"> </w:t>
      </w:r>
      <w:r w:rsidR="00871D2E">
        <w:rPr>
          <w:rFonts w:ascii="Book Antiqua" w:hAnsi="Book Antiqua"/>
        </w:rPr>
        <w:t>and that social media companies</w:t>
      </w:r>
      <w:r w:rsidRPr="009B6B1F">
        <w:rPr>
          <w:rFonts w:ascii="Book Antiqua" w:hAnsi="Book Antiqua"/>
        </w:rPr>
        <w:t xml:space="preserve"> improve their policies on campaign material and advertising for elections and referendums in the UK</w:t>
      </w:r>
      <w:r w:rsidR="00F32333">
        <w:rPr>
          <w:rFonts w:ascii="Book Antiqua" w:hAnsi="Book Antiqua"/>
        </w:rPr>
        <w:t>.</w:t>
      </w:r>
      <w:r w:rsidRPr="009B6B1F">
        <w:rPr>
          <w:rFonts w:ascii="Book Antiqua" w:hAnsi="Book Antiqua"/>
        </w:rPr>
        <w:t xml:space="preserve"> </w:t>
      </w:r>
      <w:r w:rsidR="00F32333">
        <w:rPr>
          <w:rFonts w:ascii="Book Antiqua" w:hAnsi="Book Antiqua"/>
        </w:rPr>
        <w:t>S</w:t>
      </w:r>
      <w:r w:rsidRPr="009B6B1F">
        <w:rPr>
          <w:rFonts w:ascii="Book Antiqua" w:hAnsi="Book Antiqua"/>
        </w:rPr>
        <w:t xml:space="preserve">ocial media platforms </w:t>
      </w:r>
      <w:r w:rsidR="00F32333">
        <w:rPr>
          <w:rFonts w:ascii="Book Antiqua" w:hAnsi="Book Antiqua"/>
        </w:rPr>
        <w:t xml:space="preserve">are </w:t>
      </w:r>
      <w:r w:rsidRPr="009B6B1F">
        <w:rPr>
          <w:rFonts w:ascii="Book Antiqua" w:hAnsi="Book Antiqua"/>
        </w:rPr>
        <w:t xml:space="preserve">being urged to introduce transparency features with the ICO and the Electoral Commission being consulted </w:t>
      </w:r>
      <w:r w:rsidR="00F32333">
        <w:rPr>
          <w:rFonts w:ascii="Book Antiqua" w:hAnsi="Book Antiqua"/>
        </w:rPr>
        <w:t xml:space="preserve">on those features </w:t>
      </w:r>
      <w:r w:rsidRPr="009B6B1F">
        <w:rPr>
          <w:rFonts w:ascii="Book Antiqua" w:hAnsi="Book Antiqua"/>
        </w:rPr>
        <w:t>and completing evaluations.</w:t>
      </w:r>
      <w:r w:rsidRPr="009B6B1F">
        <w:rPr>
          <w:rStyle w:val="FootnoteReference"/>
          <w:rFonts w:ascii="Book Antiqua" w:hAnsi="Book Antiqua"/>
        </w:rPr>
        <w:footnoteReference w:id="116"/>
      </w:r>
      <w:r w:rsidRPr="009B6B1F">
        <w:rPr>
          <w:rFonts w:ascii="Book Antiqua" w:hAnsi="Book Antiqua"/>
          <w:i/>
        </w:rPr>
        <w:t xml:space="preserve"> </w:t>
      </w:r>
      <w:r w:rsidRPr="009B6B1F">
        <w:rPr>
          <w:rFonts w:ascii="Book Antiqua" w:hAnsi="Book Antiqua"/>
        </w:rPr>
        <w:t>The DCMSC targets intermediaries</w:t>
      </w:r>
      <w:r w:rsidRPr="009B6B1F">
        <w:rPr>
          <w:rFonts w:ascii="Book Antiqua" w:hAnsi="Book Antiqua"/>
          <w:i/>
        </w:rPr>
        <w:t xml:space="preserve"> </w:t>
      </w:r>
      <w:r w:rsidRPr="009B6B1F">
        <w:rPr>
          <w:rFonts w:ascii="Book Antiqua" w:hAnsi="Book Antiqua"/>
        </w:rPr>
        <w:t>and proposes a new category for technology companies which is neither platform or publisher, but something in between that establishes some liability to act against "harmful and illegal content"</w:t>
      </w:r>
      <w:r w:rsidR="00D82990">
        <w:rPr>
          <w:rFonts w:ascii="Book Antiqua" w:hAnsi="Book Antiqua"/>
        </w:rPr>
        <w:t>.</w:t>
      </w:r>
      <w:r w:rsidRPr="009B6B1F">
        <w:rPr>
          <w:rStyle w:val="FootnoteReference"/>
          <w:rFonts w:ascii="Book Antiqua" w:hAnsi="Book Antiqua"/>
        </w:rPr>
        <w:footnoteReference w:id="117"/>
      </w:r>
      <w:r w:rsidR="00D82990">
        <w:rPr>
          <w:rFonts w:ascii="Book Antiqua" w:hAnsi="Book Antiqua"/>
        </w:rPr>
        <w:t xml:space="preserve"> H</w:t>
      </w:r>
      <w:r w:rsidRPr="009B6B1F">
        <w:rPr>
          <w:rFonts w:ascii="Book Antiqua" w:hAnsi="Book Antiqua"/>
        </w:rPr>
        <w:t>ow intermediaries can monitor this while preserving freedom of speech and not enforcing rules unfairly or in a discriminatory way</w:t>
      </w:r>
      <w:r w:rsidR="00433804">
        <w:rPr>
          <w:rFonts w:ascii="Book Antiqua" w:hAnsi="Book Antiqua"/>
        </w:rPr>
        <w:t xml:space="preserve"> and whether such power should be delegated needs to be given much more consideration by the DCMSC</w:t>
      </w:r>
      <w:r w:rsidRPr="009B6B1F">
        <w:rPr>
          <w:rFonts w:ascii="Book Antiqua" w:hAnsi="Book Antiqua"/>
        </w:rPr>
        <w:t>.</w:t>
      </w:r>
      <w:r w:rsidRPr="009B6B1F">
        <w:rPr>
          <w:rStyle w:val="FootnoteReference"/>
          <w:rFonts w:ascii="Book Antiqua" w:hAnsi="Book Antiqua"/>
        </w:rPr>
        <w:footnoteReference w:id="118"/>
      </w:r>
    </w:p>
    <w:p w14:paraId="6E52FA16" w14:textId="0EB43D1E" w:rsidR="00107B5C" w:rsidRPr="009B6B1F" w:rsidRDefault="008F4006" w:rsidP="00280823">
      <w:pPr>
        <w:jc w:val="both"/>
        <w:rPr>
          <w:rFonts w:ascii="Book Antiqua" w:hAnsi="Book Antiqua"/>
        </w:rPr>
      </w:pPr>
      <w:r w:rsidRPr="009B6B1F">
        <w:rPr>
          <w:rFonts w:ascii="Book Antiqua" w:hAnsi="Book Antiqua"/>
        </w:rPr>
        <w:lastRenderedPageBreak/>
        <w:t xml:space="preserve">Facebook </w:t>
      </w:r>
      <w:r w:rsidR="00433804">
        <w:rPr>
          <w:rFonts w:ascii="Book Antiqua" w:hAnsi="Book Antiqua"/>
        </w:rPr>
        <w:t xml:space="preserve">already </w:t>
      </w:r>
      <w:r w:rsidRPr="009B6B1F">
        <w:rPr>
          <w:rFonts w:ascii="Book Antiqua" w:hAnsi="Book Antiqua"/>
        </w:rPr>
        <w:t>engages in political narrative sharing, information control and emotional manipulation.</w:t>
      </w:r>
      <w:r w:rsidRPr="009B6B1F">
        <w:rPr>
          <w:rStyle w:val="FootnoteReference"/>
          <w:rFonts w:ascii="Book Antiqua" w:hAnsi="Book Antiqua"/>
        </w:rPr>
        <w:footnoteReference w:id="119"/>
      </w:r>
      <w:r w:rsidRPr="009B6B1F">
        <w:rPr>
          <w:rFonts w:ascii="Book Antiqua" w:hAnsi="Book Antiqua"/>
        </w:rPr>
        <w:t xml:space="preserve"> A randomised controlled trial of political mobilisation messages delivered to 61 million Facebook users during the 2010 US congressional elections showed that the Facebook messages “directly influenced political self-expression, information seeking and </w:t>
      </w:r>
      <w:r w:rsidRPr="009B6B1F">
        <w:rPr>
          <w:rFonts w:ascii="Book Antiqua" w:hAnsi="Book Antiqua"/>
          <w:noProof/>
        </w:rPr>
        <w:t>real-world</w:t>
      </w:r>
      <w:r w:rsidRPr="009B6B1F">
        <w:rPr>
          <w:rFonts w:ascii="Book Antiqua" w:hAnsi="Book Antiqua"/>
        </w:rPr>
        <w:t xml:space="preserve"> voting behaviour of millions of people. The messages not only influenced the users who received them but also the users’ friends, and friends of friends”.</w:t>
      </w:r>
      <w:r w:rsidRPr="009B6B1F">
        <w:rPr>
          <w:rStyle w:val="FootnoteReference"/>
          <w:rFonts w:ascii="Book Antiqua" w:hAnsi="Book Antiqua"/>
        </w:rPr>
        <w:footnoteReference w:id="120"/>
      </w:r>
      <w:r w:rsidRPr="009B6B1F">
        <w:rPr>
          <w:rFonts w:ascii="Book Antiqua" w:hAnsi="Book Antiqua"/>
        </w:rPr>
        <w:t xml:space="preserve"> Such digital interventions can be heralded as promoting democratic engagement, especially when perceived as being neutral or civic. However, the same techniques can be used to suppress democratic engagement or shape democratic discourse according to malign or corporate interests. Another example being Facebook's intervention in the campaign on the Irish referendum on the Eighth Amendment when, after public pressure, it blocked advertisements that originated from outside of Ireland. Google blocked all advertisements on its search engine and on YouTube that related to the referendum.</w:t>
      </w:r>
      <w:r w:rsidRPr="009B6B1F">
        <w:rPr>
          <w:rStyle w:val="FootnoteReference"/>
          <w:rFonts w:ascii="Book Antiqua" w:hAnsi="Book Antiqua"/>
        </w:rPr>
        <w:footnoteReference w:id="121"/>
      </w:r>
      <w:r w:rsidR="00C256B9">
        <w:rPr>
          <w:rFonts w:ascii="Book Antiqua" w:hAnsi="Book Antiqua"/>
        </w:rPr>
        <w:t xml:space="preserve"> </w:t>
      </w:r>
      <w:r w:rsidRPr="009B6B1F">
        <w:rPr>
          <w:rFonts w:ascii="Book Antiqua" w:hAnsi="Book Antiqua"/>
        </w:rPr>
        <w:t>Such an intervention is in the gift of intermediaries that at once recognise the influence of foreign advertisements by banning them whilst maintaining that although they are not publishers,</w:t>
      </w:r>
      <w:r w:rsidRPr="009B6B1F">
        <w:rPr>
          <w:rStyle w:val="FootnoteReference"/>
          <w:rFonts w:ascii="Book Antiqua" w:hAnsi="Book Antiqua"/>
        </w:rPr>
        <w:footnoteReference w:id="122"/>
      </w:r>
      <w:r w:rsidRPr="009B6B1F">
        <w:rPr>
          <w:rFonts w:ascii="Book Antiqua" w:hAnsi="Book Antiqua"/>
        </w:rPr>
        <w:t xml:space="preserve"> they are responsible enough to make the right judgement calls as moderator</w:t>
      </w:r>
      <w:r w:rsidR="004D1D55">
        <w:rPr>
          <w:rFonts w:ascii="Book Antiqua" w:hAnsi="Book Antiqua"/>
        </w:rPr>
        <w:t>s</w:t>
      </w:r>
      <w:r w:rsidRPr="009B6B1F">
        <w:rPr>
          <w:rFonts w:ascii="Book Antiqua" w:hAnsi="Book Antiqua"/>
        </w:rPr>
        <w:t xml:space="preserve">. The potential for inconsistency grows if such action becomes the basis for a much broader range of online interventions. This action came late in the campaign cycle and was an unforeseen intervention disadvantaging some campaign groups because it disrupted campaign strategies. Interventions such as this should be predictable, consistent and transparent. Facebook has said it is developing tools to increase transparency in political advertisements which includes a verification process requiring advertisers to be resident in the country holding an election. However, it is straightforward to alter the location as recorded on a Facebook account or </w:t>
      </w:r>
      <w:r w:rsidR="00D82990">
        <w:rPr>
          <w:rFonts w:ascii="Book Antiqua" w:hAnsi="Book Antiqua"/>
        </w:rPr>
        <w:t>to</w:t>
      </w:r>
      <w:r w:rsidRPr="009B6B1F">
        <w:rPr>
          <w:rFonts w:ascii="Book Antiqua" w:hAnsi="Book Antiqua"/>
        </w:rPr>
        <w:t xml:space="preserve"> chang</w:t>
      </w:r>
      <w:r w:rsidR="00D82990">
        <w:rPr>
          <w:rFonts w:ascii="Book Antiqua" w:hAnsi="Book Antiqua"/>
        </w:rPr>
        <w:t>e</w:t>
      </w:r>
      <w:r w:rsidRPr="009B6B1F">
        <w:rPr>
          <w:rFonts w:ascii="Book Antiqua" w:hAnsi="Book Antiqua"/>
        </w:rPr>
        <w:t xml:space="preserve"> the IP address of the device being used to access Facebook or any other online platform. </w:t>
      </w:r>
    </w:p>
    <w:p w14:paraId="0050FE34" w14:textId="57173D94" w:rsidR="00107B5C" w:rsidRPr="009B6B1F" w:rsidRDefault="00344961" w:rsidP="00280823">
      <w:pPr>
        <w:jc w:val="both"/>
        <w:rPr>
          <w:rFonts w:ascii="Book Antiqua" w:hAnsi="Book Antiqua" w:cs="Times New Roman"/>
          <w:color w:val="7030A0"/>
        </w:rPr>
      </w:pPr>
      <w:r>
        <w:rPr>
          <w:rFonts w:ascii="Book Antiqua" w:hAnsi="Book Antiqua" w:cs="Times New Roman"/>
        </w:rPr>
        <w:t>The ICO</w:t>
      </w:r>
      <w:r w:rsidR="008F4006" w:rsidRPr="00EE50F0">
        <w:rPr>
          <w:rFonts w:ascii="Book Antiqua" w:hAnsi="Book Antiqua" w:cs="Times New Roman"/>
        </w:rPr>
        <w:t xml:space="preserve"> </w:t>
      </w:r>
      <w:r w:rsidR="004039E8">
        <w:rPr>
          <w:rFonts w:ascii="Book Antiqua" w:hAnsi="Book Antiqua" w:cs="Times New Roman"/>
        </w:rPr>
        <w:t>call</w:t>
      </w:r>
      <w:r>
        <w:rPr>
          <w:rFonts w:ascii="Book Antiqua" w:hAnsi="Book Antiqua" w:cs="Times New Roman"/>
        </w:rPr>
        <w:t>ed</w:t>
      </w:r>
      <w:r w:rsidR="004039E8">
        <w:rPr>
          <w:rFonts w:ascii="Book Antiqua" w:hAnsi="Book Antiqua" w:cs="Times New Roman"/>
        </w:rPr>
        <w:t xml:space="preserve"> on Government to develop a</w:t>
      </w:r>
      <w:r w:rsidR="008F4006" w:rsidRPr="00EE50F0">
        <w:rPr>
          <w:rFonts w:ascii="Book Antiqua" w:hAnsi="Book Antiqua" w:cs="Times New Roman"/>
        </w:rPr>
        <w:t xml:space="preserve"> statutory Code of Practice for the use of personal information in political campaigns </w:t>
      </w:r>
      <w:r w:rsidR="004039E8">
        <w:rPr>
          <w:rFonts w:ascii="Book Antiqua" w:hAnsi="Book Antiqua" w:cs="Times New Roman"/>
        </w:rPr>
        <w:t xml:space="preserve">which will form part of a </w:t>
      </w:r>
      <w:r w:rsidR="002A0C50">
        <w:rPr>
          <w:rFonts w:ascii="Book Antiqua" w:hAnsi="Book Antiqua"/>
        </w:rPr>
        <w:t>broader legislative vehicle and contain guidance. The ICO seeks to</w:t>
      </w:r>
      <w:r w:rsidR="002A0C50" w:rsidRPr="00EE50F0">
        <w:rPr>
          <w:rFonts w:ascii="Book Antiqua" w:hAnsi="Book Antiqua" w:cs="Times New Roman"/>
        </w:rPr>
        <w:t xml:space="preserve"> </w:t>
      </w:r>
      <w:r w:rsidR="002A0C50">
        <w:rPr>
          <w:rFonts w:ascii="Book Antiqua" w:hAnsi="Book Antiqua" w:cs="Times New Roman"/>
        </w:rPr>
        <w:t>promote</w:t>
      </w:r>
      <w:r w:rsidR="008F4006" w:rsidRPr="00EE50F0">
        <w:rPr>
          <w:rFonts w:ascii="Book Antiqua" w:hAnsi="Book Antiqua" w:cs="Times New Roman"/>
        </w:rPr>
        <w:t xml:space="preserve"> dialogue between the regulators and the Government, and encourages a comprehensive reflection on corporate </w:t>
      </w:r>
      <w:r>
        <w:rPr>
          <w:rFonts w:ascii="Book Antiqua" w:hAnsi="Book Antiqua" w:cs="Times New Roman"/>
        </w:rPr>
        <w:t xml:space="preserve">and political </w:t>
      </w:r>
      <w:r w:rsidR="008F4006" w:rsidRPr="00EE50F0">
        <w:rPr>
          <w:rFonts w:ascii="Book Antiqua" w:hAnsi="Book Antiqua" w:cs="Times New Roman"/>
        </w:rPr>
        <w:t>practices.</w:t>
      </w:r>
      <w:r w:rsidR="00D246D7">
        <w:rPr>
          <w:rStyle w:val="FootnoteReference"/>
          <w:rFonts w:ascii="Book Antiqua" w:hAnsi="Book Antiqua" w:cs="Times New Roman"/>
        </w:rPr>
        <w:footnoteReference w:id="123"/>
      </w:r>
      <w:r w:rsidR="008F4006" w:rsidRPr="00EE50F0">
        <w:rPr>
          <w:rFonts w:ascii="Book Antiqua" w:hAnsi="Book Antiqua" w:cs="Times New Roman"/>
        </w:rPr>
        <w:t xml:space="preserve"> </w:t>
      </w:r>
      <w:r w:rsidR="008F4006" w:rsidRPr="00EE50F0">
        <w:rPr>
          <w:rFonts w:ascii="Book Antiqua" w:hAnsi="Book Antiqua"/>
        </w:rPr>
        <w:t xml:space="preserve">Hopefully, there will be meaningful engagement from the legislative although, elected representatives are captured by these techniques that help disseminate their message, </w:t>
      </w:r>
      <w:r w:rsidR="00871D2E">
        <w:rPr>
          <w:rFonts w:ascii="Book Antiqua" w:hAnsi="Book Antiqua"/>
        </w:rPr>
        <w:t>and maximise their outreach and</w:t>
      </w:r>
      <w:r w:rsidR="008F4006" w:rsidRPr="00EE50F0">
        <w:rPr>
          <w:rFonts w:ascii="Book Antiqua" w:hAnsi="Book Antiqua"/>
        </w:rPr>
        <w:t xml:space="preserve"> vote share. Whether politicians will willingly usher in effective limits of political micro-targeting, and other persuasive campaign techniques, is uncertain. From the perspective of the political establishment, the capacity to effectively persuade is critical to promoting their agenda and reaching out to voters in an increasingly polaris</w:t>
      </w:r>
      <w:r w:rsidR="00FF13F8" w:rsidRPr="00EE50F0">
        <w:rPr>
          <w:rFonts w:ascii="Book Antiqua" w:hAnsi="Book Antiqua"/>
        </w:rPr>
        <w:t>ed and fast-paced political eco</w:t>
      </w:r>
      <w:r w:rsidR="008F4006" w:rsidRPr="00EE50F0">
        <w:rPr>
          <w:rFonts w:ascii="Book Antiqua" w:hAnsi="Book Antiqua"/>
        </w:rPr>
        <w:t xml:space="preserve">system. For the sake of promoting the core principles of open debate, transparency, trust, respect, responsibility and fairness something needs to give. </w:t>
      </w:r>
      <w:r w:rsidR="008F4006" w:rsidRPr="00EE50F0">
        <w:rPr>
          <w:rFonts w:ascii="Book Antiqua" w:hAnsi="Book Antiqua"/>
        </w:rPr>
        <w:lastRenderedPageBreak/>
        <w:t>Reform based only on commercial and individual wrongs neglects to fully embrace these principles and introduce them back into political communication with the electorate.</w:t>
      </w:r>
      <w:r w:rsidR="008F4006" w:rsidRPr="009B6B1F">
        <w:rPr>
          <w:rFonts w:ascii="Book Antiqua" w:hAnsi="Book Antiqua"/>
        </w:rPr>
        <w:t xml:space="preserve"> </w:t>
      </w:r>
      <w:r w:rsidR="00727D75">
        <w:rPr>
          <w:rFonts w:ascii="Book Antiqua" w:hAnsi="Book Antiqua"/>
        </w:rPr>
        <w:t xml:space="preserve">Further, presenting Codes of Practice as </w:t>
      </w:r>
      <w:r w:rsidR="00EE50F0">
        <w:rPr>
          <w:rFonts w:ascii="Book Antiqua" w:hAnsi="Book Antiqua"/>
        </w:rPr>
        <w:t>a solution</w:t>
      </w:r>
      <w:r w:rsidR="00727D75">
        <w:rPr>
          <w:rFonts w:ascii="Book Antiqua" w:hAnsi="Book Antiqua"/>
        </w:rPr>
        <w:t xml:space="preserve"> to the issue is problematic. </w:t>
      </w:r>
      <w:r w:rsidR="00EE50F0">
        <w:rPr>
          <w:rFonts w:ascii="Book Antiqua" w:hAnsi="Book Antiqua"/>
        </w:rPr>
        <w:t xml:space="preserve">Codes of Practice are </w:t>
      </w:r>
      <w:r w:rsidR="00D246D7">
        <w:rPr>
          <w:rFonts w:ascii="Book Antiqua" w:hAnsi="Book Antiqua"/>
        </w:rPr>
        <w:t xml:space="preserve">generally </w:t>
      </w:r>
      <w:r w:rsidR="00EE50F0">
        <w:rPr>
          <w:rFonts w:ascii="Book Antiqua" w:hAnsi="Book Antiqua"/>
        </w:rPr>
        <w:t>non-binding, they cannot impose sanctions and there is no available remedy for breaching the Code of Practice. They are meant to explain the law</w:t>
      </w:r>
      <w:r w:rsidR="00871D2E">
        <w:rPr>
          <w:rFonts w:ascii="Book Antiqua" w:hAnsi="Book Antiqua"/>
        </w:rPr>
        <w:t xml:space="preserve"> while</w:t>
      </w:r>
      <w:r w:rsidR="00D246D7">
        <w:rPr>
          <w:rFonts w:ascii="Book Antiqua" w:hAnsi="Book Antiqua"/>
        </w:rPr>
        <w:t xml:space="preserve"> go</w:t>
      </w:r>
      <w:r w:rsidR="00871D2E">
        <w:rPr>
          <w:rFonts w:ascii="Book Antiqua" w:hAnsi="Book Antiqua"/>
        </w:rPr>
        <w:t>ing</w:t>
      </w:r>
      <w:r w:rsidR="00D246D7">
        <w:rPr>
          <w:rFonts w:ascii="Book Antiqua" w:hAnsi="Book Antiqua"/>
        </w:rPr>
        <w:t xml:space="preserve"> further by laying out ‘good practice’</w:t>
      </w:r>
      <w:r w:rsidR="00EE50F0">
        <w:rPr>
          <w:rFonts w:ascii="Book Antiqua" w:hAnsi="Book Antiqua"/>
        </w:rPr>
        <w:t xml:space="preserve">. </w:t>
      </w:r>
      <w:r>
        <w:rPr>
          <w:rFonts w:ascii="Book Antiqua" w:hAnsi="Book Antiqua"/>
        </w:rPr>
        <w:t xml:space="preserve">As Bob Watt argues, it </w:t>
      </w:r>
      <w:r w:rsidR="00EE50F0" w:rsidRPr="00726541">
        <w:rPr>
          <w:rFonts w:ascii="Book Antiqua" w:hAnsi="Book Antiqua"/>
        </w:rPr>
        <w:t>would be “an unacceptable constitutional departure to allow private parties to agree a species of law between themselves”</w:t>
      </w:r>
      <w:r>
        <w:rPr>
          <w:rFonts w:ascii="Book Antiqua" w:hAnsi="Book Antiqua"/>
        </w:rPr>
        <w:t xml:space="preserve"> which Codes </w:t>
      </w:r>
      <w:r w:rsidRPr="00726541">
        <w:rPr>
          <w:rFonts w:ascii="Book Antiqua" w:hAnsi="Book Antiqua"/>
        </w:rPr>
        <w:t>of Practice settled between political parties and overseen by the Electoral Commission (or any other regulator)</w:t>
      </w:r>
      <w:r>
        <w:rPr>
          <w:rFonts w:ascii="Book Antiqua" w:hAnsi="Book Antiqua"/>
        </w:rPr>
        <w:t xml:space="preserve"> would do</w:t>
      </w:r>
      <w:r w:rsidR="00EE50F0" w:rsidRPr="00726541">
        <w:rPr>
          <w:rFonts w:ascii="Book Antiqua" w:hAnsi="Book Antiqua"/>
        </w:rPr>
        <w:t>.</w:t>
      </w:r>
      <w:r w:rsidR="00EE50F0" w:rsidRPr="00726541">
        <w:rPr>
          <w:rStyle w:val="FootnoteReference"/>
          <w:rFonts w:ascii="Book Antiqua" w:hAnsi="Book Antiqua"/>
        </w:rPr>
        <w:footnoteReference w:id="124"/>
      </w:r>
      <w:r w:rsidR="00EE50F0" w:rsidRPr="00726541">
        <w:rPr>
          <w:rFonts w:ascii="Book Antiqua" w:hAnsi="Book Antiqua"/>
        </w:rPr>
        <w:t xml:space="preserve"> </w:t>
      </w:r>
      <w:r w:rsidR="00D246D7">
        <w:rPr>
          <w:rFonts w:ascii="Book Antiqua" w:hAnsi="Book Antiqua"/>
        </w:rPr>
        <w:t xml:space="preserve">This may be even more concerning when Codes include agreements with corporate </w:t>
      </w:r>
      <w:r w:rsidR="00D3470D">
        <w:rPr>
          <w:rFonts w:ascii="Book Antiqua" w:hAnsi="Book Antiqua"/>
        </w:rPr>
        <w:t>parties</w:t>
      </w:r>
      <w:r w:rsidR="00D246D7">
        <w:rPr>
          <w:rFonts w:ascii="Book Antiqua" w:hAnsi="Book Antiqua"/>
        </w:rPr>
        <w:t xml:space="preserve"> as well. </w:t>
      </w:r>
      <w:r w:rsidR="00726541" w:rsidRPr="00726541">
        <w:rPr>
          <w:rFonts w:ascii="Book Antiqua" w:hAnsi="Book Antiqua"/>
        </w:rPr>
        <w:t>As Watt sta</w:t>
      </w:r>
      <w:r w:rsidR="00D246D7">
        <w:rPr>
          <w:rFonts w:ascii="Book Antiqua" w:hAnsi="Book Antiqua"/>
        </w:rPr>
        <w:t>tes, a Code of Practice is of lo</w:t>
      </w:r>
      <w:r w:rsidR="00726541" w:rsidRPr="00726541">
        <w:rPr>
          <w:rFonts w:ascii="Book Antiqua" w:hAnsi="Book Antiqua"/>
        </w:rPr>
        <w:t>w value, as far as Codes differ from guidance, because “signing-up people not to break the law is nugatory because it is redundant”.</w:t>
      </w:r>
      <w:r w:rsidR="00726541" w:rsidRPr="00726541">
        <w:rPr>
          <w:rStyle w:val="FootnoteReference"/>
          <w:rFonts w:ascii="Book Antiqua" w:hAnsi="Book Antiqua"/>
        </w:rPr>
        <w:footnoteReference w:id="125"/>
      </w:r>
      <w:r w:rsidR="00726541" w:rsidRPr="00726541">
        <w:rPr>
          <w:rFonts w:ascii="Book Antiqua" w:hAnsi="Book Antiqua"/>
        </w:rPr>
        <w:t xml:space="preserve"> Another deeper problem relates to the chilling effect of Codes that can discourage certain behaviours that are not </w:t>
      </w:r>
      <w:r w:rsidR="00613F18">
        <w:rPr>
          <w:rFonts w:ascii="Book Antiqua" w:hAnsi="Book Antiqua"/>
        </w:rPr>
        <w:t>unlawful</w:t>
      </w:r>
      <w:r w:rsidR="00726541" w:rsidRPr="00726541">
        <w:rPr>
          <w:rFonts w:ascii="Book Antiqua" w:hAnsi="Book Antiqua"/>
        </w:rPr>
        <w:t xml:space="preserve"> but are ruled-out of ‘best practice’ codes.</w:t>
      </w:r>
      <w:r w:rsidR="006D6DFF">
        <w:rPr>
          <w:rStyle w:val="FootnoteReference"/>
          <w:rFonts w:ascii="Book Antiqua" w:hAnsi="Book Antiqua"/>
        </w:rPr>
        <w:footnoteReference w:id="126"/>
      </w:r>
      <w:r w:rsidR="00726541" w:rsidRPr="00726541">
        <w:rPr>
          <w:rFonts w:ascii="Book Antiqua" w:hAnsi="Book Antiqua"/>
        </w:rPr>
        <w:t xml:space="preserve"> It is the law that must be obeyed </w:t>
      </w:r>
      <w:r w:rsidR="00D82990">
        <w:rPr>
          <w:rFonts w:ascii="Book Antiqua" w:hAnsi="Book Antiqua"/>
        </w:rPr>
        <w:t>and</w:t>
      </w:r>
      <w:r w:rsidR="00726541" w:rsidRPr="00726541">
        <w:rPr>
          <w:rFonts w:ascii="Book Antiqua" w:hAnsi="Book Antiqua"/>
        </w:rPr>
        <w:t xml:space="preserve"> Codes cannot act as substitutes in the absence of laws. </w:t>
      </w:r>
    </w:p>
    <w:p w14:paraId="3E34CD0F" w14:textId="77777777" w:rsidR="00107B5C" w:rsidRPr="009B6B1F" w:rsidRDefault="008F4006" w:rsidP="00280823">
      <w:pPr>
        <w:jc w:val="both"/>
        <w:rPr>
          <w:rFonts w:ascii="Book Antiqua" w:hAnsi="Book Antiqua"/>
          <w:b/>
        </w:rPr>
      </w:pPr>
      <w:r w:rsidRPr="00724DFF">
        <w:rPr>
          <w:rFonts w:ascii="Book Antiqua" w:hAnsi="Book Antiqua"/>
          <w:b/>
        </w:rPr>
        <w:t>Conclusion</w:t>
      </w:r>
      <w:r w:rsidRPr="009B6B1F">
        <w:rPr>
          <w:rFonts w:ascii="Book Antiqua" w:hAnsi="Book Antiqua"/>
          <w:b/>
        </w:rPr>
        <w:t xml:space="preserve"> </w:t>
      </w:r>
    </w:p>
    <w:p w14:paraId="7B50F1BA" w14:textId="1B6E16C1" w:rsidR="005B6B71" w:rsidRDefault="005B6B71" w:rsidP="00280823">
      <w:pPr>
        <w:jc w:val="both"/>
        <w:rPr>
          <w:rFonts w:ascii="Book Antiqua" w:hAnsi="Book Antiqua"/>
        </w:rPr>
      </w:pPr>
      <w:r w:rsidRPr="009B6B1F">
        <w:rPr>
          <w:rFonts w:ascii="Book Antiqua" w:hAnsi="Book Antiqua"/>
        </w:rPr>
        <w:t xml:space="preserve">It is certain is that a new approach to shaping political discourse and influencing democratic decision-making is emerging. The </w:t>
      </w:r>
      <w:r>
        <w:rPr>
          <w:rFonts w:ascii="Book Antiqua" w:hAnsi="Book Antiqua"/>
        </w:rPr>
        <w:t xml:space="preserve">complex </w:t>
      </w:r>
      <w:r w:rsidRPr="009B6B1F">
        <w:rPr>
          <w:rFonts w:ascii="Book Antiqua" w:hAnsi="Book Antiqua"/>
        </w:rPr>
        <w:t>legal framework is characterised by overlapping, out-dated provisions and a failure to think wholesomely about protecting the democratic process in contemporary circumstances.</w:t>
      </w:r>
      <w:r>
        <w:rPr>
          <w:rFonts w:ascii="Book Antiqua" w:hAnsi="Book Antiqua"/>
        </w:rPr>
        <w:t xml:space="preserve"> Notwithstanding the gaps within the regulatory framework, caution should be exercised when deciding if and how to respond to the issues posed. </w:t>
      </w:r>
      <w:r w:rsidR="00EE6A75">
        <w:rPr>
          <w:rFonts w:ascii="Book Antiqua" w:hAnsi="Book Antiqua"/>
        </w:rPr>
        <w:t xml:space="preserve">Despite the anomaly of </w:t>
      </w:r>
      <w:r w:rsidR="00EE6A75" w:rsidRPr="009B6B1F">
        <w:rPr>
          <w:rFonts w:ascii="Book Antiqua" w:hAnsi="Book Antiqua"/>
        </w:rPr>
        <w:t>political adverti</w:t>
      </w:r>
      <w:r w:rsidR="00EE6A75">
        <w:rPr>
          <w:rFonts w:ascii="Book Antiqua" w:hAnsi="Book Antiqua"/>
        </w:rPr>
        <w:t>sing in the non-broadcast media, t</w:t>
      </w:r>
      <w:r>
        <w:rPr>
          <w:rFonts w:ascii="Book Antiqua" w:hAnsi="Book Antiqua"/>
        </w:rPr>
        <w:t xml:space="preserve">o avoid the danger of introducing restrictive codes or regulations that could affect democratic discourse, the extent to which political communication should be monitored and regulated must be carefully considered. In particular care must be exercised when </w:t>
      </w:r>
      <w:r w:rsidR="005421B3">
        <w:rPr>
          <w:rFonts w:ascii="Book Antiqua" w:hAnsi="Book Antiqua"/>
        </w:rPr>
        <w:t>delegating</w:t>
      </w:r>
      <w:r>
        <w:rPr>
          <w:rFonts w:ascii="Book Antiqua" w:hAnsi="Book Antiqua"/>
        </w:rPr>
        <w:t xml:space="preserve"> the judgement of what can and cannot be communicated online to corporate interests rather than independent regulators.</w:t>
      </w:r>
      <w:r w:rsidR="007A1775">
        <w:rPr>
          <w:rFonts w:ascii="Book Antiqua" w:hAnsi="Book Antiqua"/>
        </w:rPr>
        <w:t xml:space="preserve"> </w:t>
      </w:r>
      <w:r>
        <w:rPr>
          <w:rFonts w:ascii="Book Antiqua" w:hAnsi="Book Antiqua"/>
        </w:rPr>
        <w:t xml:space="preserve"> </w:t>
      </w:r>
    </w:p>
    <w:p w14:paraId="577C2AF3" w14:textId="03E3C576" w:rsidR="00D82990" w:rsidRPr="00D82990" w:rsidRDefault="005B6B71" w:rsidP="00280823">
      <w:pPr>
        <w:jc w:val="both"/>
        <w:rPr>
          <w:rFonts w:ascii="Book Antiqua" w:hAnsi="Book Antiqua" w:cs="MrsEavesXLSerifNarOT"/>
        </w:rPr>
      </w:pPr>
      <w:r>
        <w:rPr>
          <w:rFonts w:ascii="Book Antiqua" w:hAnsi="Book Antiqua"/>
        </w:rPr>
        <w:t xml:space="preserve">The GDPR does introduce more data rights and restrictions on the use of personal data as well as proactive principles and requirements. The coincidence of the GDPR coming into force with the public attention given to the scandal of Cambridge Analytica, Facebook and political </w:t>
      </w:r>
      <w:r w:rsidR="00A2539F">
        <w:rPr>
          <w:rFonts w:ascii="Book Antiqua" w:hAnsi="Book Antiqua"/>
        </w:rPr>
        <w:t>campaign groups (and by implication Government Ministers)</w:t>
      </w:r>
      <w:r>
        <w:rPr>
          <w:rFonts w:ascii="Book Antiqua" w:hAnsi="Book Antiqua"/>
        </w:rPr>
        <w:t xml:space="preserve"> has helped to increase public awareness of data privacy. It should be clearer to political </w:t>
      </w:r>
      <w:r w:rsidR="00A2539F">
        <w:rPr>
          <w:rFonts w:ascii="Book Antiqua" w:hAnsi="Book Antiqua"/>
        </w:rPr>
        <w:t xml:space="preserve">parties, groups, elected representatives </w:t>
      </w:r>
      <w:r>
        <w:rPr>
          <w:rFonts w:ascii="Book Antiqua" w:hAnsi="Book Antiqua"/>
        </w:rPr>
        <w:t xml:space="preserve">and technology companies </w:t>
      </w:r>
      <w:r w:rsidRPr="008E5FDF">
        <w:rPr>
          <w:rFonts w:ascii="Book Antiqua" w:hAnsi="Book Antiqua"/>
        </w:rPr>
        <w:t xml:space="preserve">what consent amounts to and the circumstances in which sensitive personal data can be processed. </w:t>
      </w:r>
      <w:r>
        <w:rPr>
          <w:rFonts w:ascii="Book Antiqua" w:hAnsi="Book Antiqua"/>
        </w:rPr>
        <w:t>However,</w:t>
      </w:r>
      <w:r w:rsidRPr="008E5FDF">
        <w:rPr>
          <w:rFonts w:ascii="Book Antiqua" w:hAnsi="Book Antiqua"/>
        </w:rPr>
        <w:t xml:space="preserve"> it remains unclear how</w:t>
      </w:r>
      <w:r>
        <w:rPr>
          <w:rFonts w:ascii="Book Antiqua" w:hAnsi="Book Antiqua"/>
        </w:rPr>
        <w:t xml:space="preserve"> the</w:t>
      </w:r>
      <w:r w:rsidRPr="008E5FDF">
        <w:rPr>
          <w:rFonts w:ascii="Book Antiqua" w:hAnsi="Book Antiqua"/>
        </w:rPr>
        <w:t xml:space="preserve"> “democratic engagement” lawful basis for processing personal data </w:t>
      </w:r>
      <w:r>
        <w:rPr>
          <w:rFonts w:ascii="Book Antiqua" w:hAnsi="Book Antiqua"/>
        </w:rPr>
        <w:t xml:space="preserve">contained in </w:t>
      </w:r>
      <w:r w:rsidRPr="008E5FDF">
        <w:rPr>
          <w:rFonts w:ascii="Book Antiqua" w:hAnsi="Book Antiqua"/>
        </w:rPr>
        <w:t>section 8(e) DPA 2018 will apply to future political campaigns. In</w:t>
      </w:r>
      <w:r>
        <w:rPr>
          <w:rFonts w:ascii="Book Antiqua" w:hAnsi="Book Antiqua"/>
        </w:rPr>
        <w:t xml:space="preserve"> any case the matter of consent plays a critical role in attempting to re-balance the relationship between data subjects and data controllers - as long as individuals are able to realise and act upon the misuse of their data. </w:t>
      </w:r>
      <w:r w:rsidR="00D82990">
        <w:rPr>
          <w:rFonts w:ascii="Book Antiqua" w:hAnsi="Book Antiqua"/>
        </w:rPr>
        <w:t>The requirement to notify data subjects of the intended use of their data should, in theory, encourage individuals to exercise their data rights. A</w:t>
      </w:r>
      <w:r w:rsidR="00D82990" w:rsidRPr="00FD7117">
        <w:rPr>
          <w:rFonts w:ascii="Book Antiqua" w:hAnsi="Book Antiqua"/>
        </w:rPr>
        <w:t>rticle 80</w:t>
      </w:r>
      <w:r w:rsidR="00D82990">
        <w:rPr>
          <w:rFonts w:ascii="Book Antiqua" w:hAnsi="Book Antiqua"/>
        </w:rPr>
        <w:t>(2)</w:t>
      </w:r>
      <w:r w:rsidR="00D82990" w:rsidRPr="00FD7117">
        <w:rPr>
          <w:rFonts w:ascii="Book Antiqua" w:hAnsi="Book Antiqua"/>
        </w:rPr>
        <w:t xml:space="preserve"> GDPR provides </w:t>
      </w:r>
      <w:r w:rsidR="00D82990" w:rsidRPr="00E27166">
        <w:rPr>
          <w:rFonts w:ascii="Book Antiqua" w:hAnsi="Book Antiqua"/>
        </w:rPr>
        <w:t xml:space="preserve">any body, </w:t>
      </w:r>
      <w:r w:rsidR="00D82990" w:rsidRPr="00E27166">
        <w:rPr>
          <w:rFonts w:ascii="Book Antiqua" w:hAnsi="Book Antiqua"/>
        </w:rPr>
        <w:lastRenderedPageBreak/>
        <w:t>organisation or association the right to lodge a complaint with the supervisory authority, independent of a data subject’s mandate,</w:t>
      </w:r>
      <w:r w:rsidR="00D82990">
        <w:rPr>
          <w:rFonts w:ascii="Helvetica" w:hAnsi="Helvetica" w:cs="Helvetica"/>
          <w:color w:val="333333"/>
          <w:shd w:val="clear" w:color="auto" w:fill="FFFFFF"/>
        </w:rPr>
        <w:t xml:space="preserve"> </w:t>
      </w:r>
      <w:r w:rsidR="00D82990">
        <w:rPr>
          <w:rFonts w:ascii="Book Antiqua" w:hAnsi="Book Antiqua" w:cs="MrsEavesXLSerifNarOT"/>
        </w:rPr>
        <w:t>if</w:t>
      </w:r>
      <w:r w:rsidR="00D82990" w:rsidRPr="00FD7117">
        <w:rPr>
          <w:rFonts w:ascii="Book Antiqua" w:hAnsi="Book Antiqua" w:cs="MrsEavesXLSerifNarOT"/>
        </w:rPr>
        <w:t xml:space="preserve"> data rights may have been infringed as a result of processing.</w:t>
      </w:r>
      <w:r w:rsidR="00D82990">
        <w:rPr>
          <w:rFonts w:ascii="Book Antiqua" w:hAnsi="Book Antiqua" w:cs="MrsEavesXLSerifNarOT"/>
        </w:rPr>
        <w:t xml:space="preserve"> Yet, section 187 DPA 2018 excludes article 80 and limits organisations or bodies to acting on behalf of data subjects only when data subjects have authorised them to do so. </w:t>
      </w:r>
      <w:r w:rsidR="00D82990" w:rsidRPr="000C4B03">
        <w:rPr>
          <w:rFonts w:ascii="Book Antiqua" w:hAnsi="Book Antiqua" w:cs="MrsEavesXLSerifNarOT"/>
        </w:rPr>
        <w:t>Article 80(2) GDPR, if incorporated into the DPA 2018</w:t>
      </w:r>
      <w:r w:rsidR="00D82990">
        <w:rPr>
          <w:rFonts w:ascii="Book Antiqua" w:hAnsi="Book Antiqua" w:cs="MrsEavesXLSerifNarOT"/>
        </w:rPr>
        <w:t xml:space="preserve"> after the statutory review period (or sooner)</w:t>
      </w:r>
      <w:r w:rsidR="00D82990" w:rsidRPr="000C4B03">
        <w:rPr>
          <w:rFonts w:ascii="Book Antiqua" w:hAnsi="Book Antiqua" w:cs="MrsEavesXLSerifNarOT"/>
        </w:rPr>
        <w:t>,</w:t>
      </w:r>
      <w:r w:rsidR="00D82990">
        <w:rPr>
          <w:rStyle w:val="FootnoteReference"/>
          <w:rFonts w:ascii="Book Antiqua" w:hAnsi="Book Antiqua" w:cs="MrsEavesXLSerifNarOT"/>
        </w:rPr>
        <w:footnoteReference w:id="127"/>
      </w:r>
      <w:r w:rsidR="00D82990">
        <w:rPr>
          <w:rFonts w:ascii="Book Antiqua" w:hAnsi="Book Antiqua" w:cs="MrsEavesXLSerifNarOT"/>
        </w:rPr>
        <w:t xml:space="preserve"> </w:t>
      </w:r>
      <w:r w:rsidR="00D82990" w:rsidRPr="000C4B03">
        <w:rPr>
          <w:rFonts w:ascii="Book Antiqua" w:hAnsi="Book Antiqua" w:cs="MrsEavesXLSerifNarOT"/>
        </w:rPr>
        <w:t>would provide a much more effective mechanism for holding controllers to account</w:t>
      </w:r>
      <w:r w:rsidR="00D82990">
        <w:rPr>
          <w:rFonts w:ascii="Book Antiqua" w:hAnsi="Book Antiqua" w:cs="MrsEavesXLSerifNarOT"/>
        </w:rPr>
        <w:t>, through lodging complaints and seeking judicial remedies and compensation,</w:t>
      </w:r>
      <w:r w:rsidR="00D82990" w:rsidRPr="000C4B03">
        <w:rPr>
          <w:rFonts w:ascii="Book Antiqua" w:hAnsi="Book Antiqua" w:cs="MrsEavesXLSerifNarOT"/>
        </w:rPr>
        <w:t xml:space="preserve"> where individual data subjects may not be able </w:t>
      </w:r>
      <w:r w:rsidR="00D82990">
        <w:rPr>
          <w:rFonts w:ascii="Book Antiqua" w:hAnsi="Book Antiqua" w:cs="MrsEavesXLSerifNarOT"/>
        </w:rPr>
        <w:t xml:space="preserve">to </w:t>
      </w:r>
      <w:r w:rsidR="00D82990" w:rsidRPr="000C4B03">
        <w:rPr>
          <w:rFonts w:ascii="Book Antiqua" w:hAnsi="Book Antiqua" w:cs="MrsEavesXLSerifNarOT"/>
        </w:rPr>
        <w:t>or may not even know there are grounds to do so.</w:t>
      </w:r>
      <w:r w:rsidR="00D82990" w:rsidRPr="000C4B03">
        <w:rPr>
          <w:rFonts w:ascii="Book Antiqua" w:hAnsi="Book Antiqua"/>
          <w:vertAlign w:val="superscript"/>
        </w:rPr>
        <w:footnoteReference w:id="128"/>
      </w:r>
    </w:p>
    <w:p w14:paraId="6B567217" w14:textId="7875BA62" w:rsidR="005B6B71" w:rsidRPr="000C4B03" w:rsidRDefault="005B6B71" w:rsidP="00280823">
      <w:pPr>
        <w:jc w:val="both"/>
        <w:rPr>
          <w:rFonts w:ascii="Book Antiqua" w:hAnsi="Book Antiqua" w:cs="MrsEavesXLSerifNarOT"/>
        </w:rPr>
      </w:pPr>
    </w:p>
    <w:p w14:paraId="77105582" w14:textId="59BC4865" w:rsidR="002E3FBB" w:rsidRPr="00944F0B" w:rsidRDefault="002E3FBB" w:rsidP="00280823">
      <w:pPr>
        <w:jc w:val="both"/>
        <w:rPr>
          <w:rFonts w:ascii="Book Antiqua" w:hAnsi="Book Antiqua"/>
          <w:color w:val="FF0000"/>
        </w:rPr>
      </w:pPr>
    </w:p>
    <w:sectPr w:rsidR="002E3FBB" w:rsidRPr="00944F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5E452" w14:textId="77777777" w:rsidR="00A76237" w:rsidRDefault="00A76237">
      <w:pPr>
        <w:spacing w:after="0" w:line="240" w:lineRule="auto"/>
      </w:pPr>
      <w:r>
        <w:separator/>
      </w:r>
    </w:p>
  </w:endnote>
  <w:endnote w:type="continuationSeparator" w:id="0">
    <w:p w14:paraId="41074470" w14:textId="77777777" w:rsidR="00A76237" w:rsidRDefault="00A7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Calibri"/>
    <w:panose1 w:val="02040602050305030304"/>
    <w:charset w:val="00"/>
    <w:family w:val="roman"/>
    <w:pitch w:val="variable"/>
    <w:sig w:usb0="00000287" w:usb1="00000000" w:usb2="00000000" w:usb3="00000000" w:csb0="0000009F" w:csb1="00000000"/>
  </w:font>
  <w:font w:name="MrsEavesXLSerifNarOT">
    <w:altName w:val="MrsEavesXLSerifNarO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ECD8" w14:textId="77777777" w:rsidR="00242D3B" w:rsidRDefault="00242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F231" w14:textId="77777777" w:rsidR="00242D3B" w:rsidRDefault="00242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434C" w14:textId="77777777" w:rsidR="00242D3B" w:rsidRDefault="0024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ED44" w14:textId="77777777" w:rsidR="00A76237" w:rsidRDefault="00A76237" w:rsidP="006864BC">
      <w:pPr>
        <w:spacing w:after="0" w:line="240" w:lineRule="auto"/>
      </w:pPr>
      <w:r>
        <w:separator/>
      </w:r>
    </w:p>
  </w:footnote>
  <w:footnote w:type="continuationSeparator" w:id="0">
    <w:p w14:paraId="446A9C56" w14:textId="77777777" w:rsidR="00A76237" w:rsidRDefault="00A76237" w:rsidP="006864BC">
      <w:pPr>
        <w:spacing w:after="0" w:line="240" w:lineRule="auto"/>
      </w:pPr>
      <w:r>
        <w:continuationSeparator/>
      </w:r>
    </w:p>
  </w:footnote>
  <w:footnote w:id="1">
    <w:p w14:paraId="6B53A078" w14:textId="3F298D1A" w:rsidR="0097291A" w:rsidRPr="00280823" w:rsidRDefault="0097291A" w:rsidP="00280823">
      <w:pPr>
        <w:pStyle w:val="FootnoteText"/>
        <w:jc w:val="both"/>
        <w:rPr>
          <w:rFonts w:ascii="Times New Roman" w:hAnsi="Times New Roman" w:cs="Times New Roman"/>
        </w:rPr>
      </w:pPr>
      <w:r w:rsidRPr="00280823">
        <w:rPr>
          <w:rFonts w:ascii="Times New Roman" w:hAnsi="Times New Roman" w:cs="Times New Roman"/>
        </w:rPr>
        <w:t xml:space="preserve">* Lecturer in Law, Middlesex University. Sincere thanks to colleagues who have been generous enough to provide helpful feedback and encouragement including Alice Panepinto, Ciara Staunton, </w:t>
      </w:r>
      <w:r w:rsidR="006C4B45" w:rsidRPr="00280823">
        <w:rPr>
          <w:rFonts w:ascii="Times New Roman" w:hAnsi="Times New Roman" w:cs="Times New Roman"/>
        </w:rPr>
        <w:t xml:space="preserve">Damian Clifford, </w:t>
      </w:r>
      <w:r w:rsidRPr="00280823">
        <w:rPr>
          <w:rFonts w:ascii="Times New Roman" w:hAnsi="Times New Roman" w:cs="Times New Roman"/>
        </w:rPr>
        <w:t xml:space="preserve">Joelle Grogan, John Adenitire and Laurence Diver. Special thanks to Carol Harlow, Daithi Mac Sithigh, David Kimani and Jennifer Cobbe. The author is also grateful for the formative feedback from the two anonymous reviewers. </w:t>
      </w:r>
    </w:p>
    <w:p w14:paraId="02401445" w14:textId="77777777" w:rsidR="0097291A" w:rsidRPr="00280823" w:rsidRDefault="0097291A"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rPr>
        <w:t xml:space="preserve"> The discussion in this paper applies to elections and referendums. Although, there are differences between the two processes, they both use the same basic administrative and political structures and are based on the same political concept of informed democratic consent. </w:t>
      </w:r>
    </w:p>
  </w:footnote>
  <w:footnote w:id="2">
    <w:p w14:paraId="065782E4" w14:textId="7216A311" w:rsidR="00A66293" w:rsidRPr="00280823" w:rsidRDefault="00A66293" w:rsidP="00280823">
      <w:pPr>
        <w:pStyle w:val="FootnoteText"/>
        <w:jc w:val="both"/>
        <w:rPr>
          <w:rFonts w:ascii="Times New Roman" w:hAnsi="Times New Roman" w:cs="Times New Roman"/>
          <w:highlight w:val="yellow"/>
        </w:rPr>
      </w:pPr>
      <w:r w:rsidRPr="00280823">
        <w:rPr>
          <w:rFonts w:ascii="Times New Roman" w:hAnsi="Times New Roman" w:cs="Times New Roman"/>
          <w:vertAlign w:val="superscript"/>
        </w:rPr>
        <w:footnoteRef/>
      </w:r>
      <w:r w:rsidRPr="00280823">
        <w:rPr>
          <w:rFonts w:ascii="Times New Roman" w:hAnsi="Times New Roman" w:cs="Times New Roman"/>
        </w:rPr>
        <w:t xml:space="preserve"> </w:t>
      </w:r>
      <w:r w:rsidRPr="00280823">
        <w:rPr>
          <w:rFonts w:ascii="Times New Roman" w:hAnsi="Times New Roman" w:cs="Times New Roman"/>
          <w:i/>
        </w:rPr>
        <w:t>Erlam &amp; Ors v Rahman &amp; Anor</w:t>
      </w:r>
      <w:r w:rsidRPr="00280823">
        <w:rPr>
          <w:rFonts w:ascii="Times New Roman" w:hAnsi="Times New Roman" w:cs="Times New Roman"/>
        </w:rPr>
        <w:t xml:space="preserve"> [2015] EWHC 1215 (QB)</w:t>
      </w:r>
    </w:p>
  </w:footnote>
  <w:footnote w:id="3">
    <w:p w14:paraId="089DBA32" w14:textId="1BDE4535" w:rsidR="00A66293" w:rsidRPr="00280823" w:rsidRDefault="00A66293" w:rsidP="00280823">
      <w:pPr>
        <w:pStyle w:val="FootnoteText"/>
        <w:jc w:val="both"/>
        <w:rPr>
          <w:rFonts w:ascii="Times New Roman" w:hAnsi="Times New Roman" w:cs="Times New Roman"/>
          <w:highlight w:val="yellow"/>
        </w:rPr>
      </w:pPr>
      <w:r w:rsidRPr="00280823">
        <w:rPr>
          <w:rFonts w:ascii="Times New Roman" w:hAnsi="Times New Roman" w:cs="Times New Roman"/>
          <w:vertAlign w:val="superscript"/>
        </w:rPr>
        <w:footnoteRef/>
      </w:r>
      <w:r w:rsidRPr="00280823">
        <w:rPr>
          <w:rFonts w:ascii="Times New Roman" w:hAnsi="Times New Roman" w:cs="Times New Roman"/>
        </w:rPr>
        <w:t xml:space="preserve"> Representation of the People Act 1983, s 60</w:t>
      </w:r>
    </w:p>
  </w:footnote>
  <w:footnote w:id="4">
    <w:p w14:paraId="34BD8202" w14:textId="316D1F3F"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rPr>
        <w:t xml:space="preserve"> Such as Representation of the People Act 1983, ss 65(1) and 66(3) </w:t>
      </w:r>
    </w:p>
  </w:footnote>
  <w:footnote w:id="5">
    <w:p w14:paraId="4AF3C618"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Political Parties Elections and Referendums Act 2000 ss. 108-110; K.D. Ewing, “Transparency, accountability and equality: the Political Parties, Elections and Referendums Act 2000” (2001) PL 542-570 </w:t>
      </w:r>
    </w:p>
  </w:footnote>
  <w:footnote w:id="6">
    <w:p w14:paraId="6130E101" w14:textId="77777777" w:rsidR="00A66293" w:rsidRPr="00280823" w:rsidRDefault="00A66293" w:rsidP="00280823">
      <w:pPr>
        <w:pStyle w:val="FootnoteText"/>
        <w:jc w:val="both"/>
        <w:rPr>
          <w:rFonts w:ascii="Times New Roman" w:hAnsi="Times New Roman" w:cs="Times New Roman"/>
          <w:color w:val="FF0000"/>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Communications Act 2003 s. 321</w:t>
      </w:r>
    </w:p>
  </w:footnote>
  <w:footnote w:id="7">
    <w:p w14:paraId="2748F25B" w14:textId="77777777" w:rsidR="00A66293" w:rsidRPr="00280823" w:rsidRDefault="00A66293" w:rsidP="00280823">
      <w:pPr>
        <w:pStyle w:val="FootnoteText"/>
        <w:jc w:val="both"/>
        <w:rPr>
          <w:rFonts w:ascii="Times New Roman" w:hAnsi="Times New Roman" w:cs="Times New Roman"/>
          <w:color w:val="FF0000"/>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bookmarkStart w:id="0" w:name="_Hlk492897410"/>
      <w:r w:rsidRPr="00280823">
        <w:rPr>
          <w:rFonts w:ascii="Times New Roman" w:hAnsi="Times New Roman" w:cs="Times New Roman"/>
        </w:rPr>
        <w:t>Privacy and Electronic Communications Regulations, reg. 19;</w:t>
      </w:r>
      <w:r w:rsidRPr="00280823">
        <w:rPr>
          <w:rFonts w:ascii="Times New Roman" w:hAnsi="Times New Roman" w:cs="Times New Roman"/>
          <w:i/>
        </w:rPr>
        <w:t xml:space="preserve"> Scottish National Party v The Information Commissioner</w:t>
      </w:r>
      <w:r w:rsidRPr="00280823">
        <w:rPr>
          <w:rFonts w:ascii="Times New Roman" w:hAnsi="Times New Roman" w:cs="Times New Roman"/>
        </w:rPr>
        <w:t xml:space="preserve"> </w:t>
      </w:r>
      <w:bookmarkEnd w:id="0"/>
      <w:r w:rsidRPr="00280823">
        <w:rPr>
          <w:rFonts w:ascii="Times New Roman" w:hAnsi="Times New Roman" w:cs="Times New Roman"/>
        </w:rPr>
        <w:t xml:space="preserve">[2006] EA/2005/0021 </w:t>
      </w:r>
    </w:p>
  </w:footnote>
  <w:footnote w:id="8">
    <w:p w14:paraId="2761AF4A" w14:textId="2F2082CA"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vertAlign w:val="superscript"/>
        </w:rPr>
        <w:t xml:space="preserve"> </w:t>
      </w:r>
      <w:r w:rsidRPr="00280823">
        <w:rPr>
          <w:rFonts w:ascii="Times New Roman" w:hAnsi="Times New Roman" w:cs="Times New Roman"/>
        </w:rPr>
        <w:t xml:space="preserve">The Electoral Commission, “Political Finance Regulation and Digital Campaigning: A Public Perspective: GfK UK report for qualitative research findings” (April 24, 2018) </w:t>
      </w:r>
      <w:r w:rsidRPr="00280823">
        <w:rPr>
          <w:rFonts w:ascii="Times New Roman" w:hAnsi="Times New Roman" w:cs="Times New Roman"/>
          <w:i/>
        </w:rPr>
        <w:t xml:space="preserve">electoralcommission.org.uk </w:t>
      </w:r>
      <w:hyperlink r:id="rId1" w:history="1">
        <w:r w:rsidRPr="00280823">
          <w:rPr>
            <w:rStyle w:val="Hyperlink"/>
            <w:rFonts w:ascii="Times New Roman" w:hAnsi="Times New Roman" w:cs="Times New Roman"/>
            <w:i/>
          </w:rPr>
          <w:t>https://www.electoralcommission.org.uk/__data/assets/pdf_file/0019/244540/Electoral-Commission-political-finance-regulation-and-digital-campaigning-a-public-perspective.pdf</w:t>
        </w:r>
      </w:hyperlink>
      <w:r w:rsidRPr="00280823">
        <w:rPr>
          <w:rFonts w:ascii="Times New Roman" w:hAnsi="Times New Roman" w:cs="Times New Roman"/>
        </w:rPr>
        <w:t xml:space="preserve"> [Accessed July 2, 2018]</w:t>
      </w:r>
    </w:p>
  </w:footnote>
  <w:footnote w:id="9">
    <w:p w14:paraId="15E9D8DA" w14:textId="355E1BC8"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Z. Tufekci, “Engineering the public: Big data, surveillance, and computational politics” (July 2014) </w:t>
      </w:r>
      <w:r w:rsidRPr="00280823">
        <w:rPr>
          <w:rFonts w:ascii="Times New Roman" w:hAnsi="Times New Roman" w:cs="Times New Roman"/>
          <w:i/>
        </w:rPr>
        <w:t>First Monday</w:t>
      </w:r>
      <w:r w:rsidRPr="00280823">
        <w:rPr>
          <w:rFonts w:ascii="Times New Roman" w:hAnsi="Times New Roman" w:cs="Times New Roman"/>
        </w:rPr>
        <w:t xml:space="preserve">, </w:t>
      </w:r>
      <w:hyperlink r:id="rId2" w:history="1">
        <w:r w:rsidRPr="00280823">
          <w:rPr>
            <w:rStyle w:val="Hyperlink"/>
            <w:rFonts w:ascii="Times New Roman" w:hAnsi="Times New Roman" w:cs="Times New Roman"/>
            <w:i/>
          </w:rPr>
          <w:t>http://firstmonday.org/ojs/index.php/fm/article/view/4901/4097</w:t>
        </w:r>
      </w:hyperlink>
      <w:r w:rsidRPr="00280823">
        <w:rPr>
          <w:rFonts w:ascii="Times New Roman" w:hAnsi="Times New Roman" w:cs="Times New Roman"/>
        </w:rPr>
        <w:t xml:space="preserve"> [Accessed July 24, 2018]</w:t>
      </w:r>
    </w:p>
  </w:footnote>
  <w:footnote w:id="10">
    <w:p w14:paraId="4730E176" w14:textId="5D1D8060"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Psychographics have been used in US elections but whether psychographics were used during the UK-EU referendum remains unestablished due to mixed accounts and documents recording conflicting evidence. See House of Commons. Digital, Culture, Media and Sport Committee,</w:t>
      </w:r>
      <w:r w:rsidRPr="00280823">
        <w:rPr>
          <w:rFonts w:ascii="Times New Roman" w:hAnsi="Times New Roman" w:cs="Times New Roman"/>
          <w:i/>
        </w:rPr>
        <w:t xml:space="preserve"> Disinformation and ‘fake news’: Interim Report</w:t>
      </w:r>
      <w:r w:rsidRPr="00280823">
        <w:rPr>
          <w:rFonts w:ascii="Times New Roman" w:hAnsi="Times New Roman" w:cs="Times New Roman"/>
        </w:rPr>
        <w:t xml:space="preserve"> </w:t>
      </w:r>
      <w:r w:rsidRPr="00280823">
        <w:rPr>
          <w:rFonts w:ascii="Times New Roman" w:hAnsi="Times New Roman" w:cs="Times New Roman"/>
          <w:i/>
        </w:rPr>
        <w:t>Session 2017–19</w:t>
      </w:r>
      <w:r w:rsidRPr="00280823">
        <w:rPr>
          <w:rFonts w:ascii="Times New Roman" w:hAnsi="Times New Roman" w:cs="Times New Roman"/>
        </w:rPr>
        <w:t xml:space="preserve"> (The Stationery Office, 2018) HC Paper No. 363 (Session 2017-19) </w:t>
      </w:r>
    </w:p>
  </w:footnote>
  <w:footnote w:id="11">
    <w:p w14:paraId="39464389" w14:textId="765CA65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M. Schroepfer, “An update on our plans to restrict data access on Facebook” (April 4, 2018) </w:t>
      </w:r>
      <w:r w:rsidRPr="00280823">
        <w:rPr>
          <w:rFonts w:ascii="Times New Roman" w:hAnsi="Times New Roman" w:cs="Times New Roman"/>
          <w:i/>
        </w:rPr>
        <w:t>Facebook Newsroom</w:t>
      </w:r>
      <w:r w:rsidRPr="00280823">
        <w:rPr>
          <w:rFonts w:ascii="Times New Roman" w:hAnsi="Times New Roman" w:cs="Times New Roman"/>
        </w:rPr>
        <w:t xml:space="preserve"> </w:t>
      </w:r>
      <w:hyperlink r:id="rId3" w:history="1">
        <w:r w:rsidRPr="00280823">
          <w:rPr>
            <w:rStyle w:val="Hyperlink"/>
            <w:rFonts w:ascii="Times New Roman" w:hAnsi="Times New Roman" w:cs="Times New Roman"/>
            <w:i/>
          </w:rPr>
          <w:t>https://newsroom.fb.com/news/2018/04/restricting-data-access/</w:t>
        </w:r>
      </w:hyperlink>
      <w:r w:rsidRPr="00280823">
        <w:rPr>
          <w:rFonts w:ascii="Times New Roman" w:hAnsi="Times New Roman" w:cs="Times New Roman"/>
        </w:rPr>
        <w:t xml:space="preserve"> [Accessed 24 July 2018]</w:t>
      </w:r>
    </w:p>
  </w:footnote>
  <w:footnote w:id="12">
    <w:p w14:paraId="62A4C43A" w14:textId="3E95555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Dark advertisements allow page owners to show non-public paid posts to selected users and as such are untraceable and can enable foreign advertisements on domestic matters.</w:t>
      </w:r>
    </w:p>
  </w:footnote>
  <w:footnote w:id="13">
    <w:p w14:paraId="5799A62D" w14:textId="5B672E6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 Tambini, S. Labo, E. Goodman and M. Moore, “The new political campaigning” </w:t>
      </w:r>
      <w:r w:rsidRPr="00280823">
        <w:rPr>
          <w:rFonts w:ascii="Times New Roman" w:hAnsi="Times New Roman" w:cs="Times New Roman"/>
          <w:i/>
        </w:rPr>
        <w:t>London School of Economics and Political Science</w:t>
      </w:r>
      <w:r w:rsidRPr="00280823">
        <w:rPr>
          <w:rFonts w:ascii="Times New Roman" w:hAnsi="Times New Roman" w:cs="Times New Roman"/>
        </w:rPr>
        <w:t xml:space="preserve"> (March 2017) </w:t>
      </w:r>
      <w:hyperlink r:id="rId4" w:history="1">
        <w:r w:rsidRPr="00280823">
          <w:rPr>
            <w:rStyle w:val="Hyperlink"/>
            <w:rFonts w:ascii="Times New Roman" w:hAnsi="Times New Roman" w:cs="Times New Roman"/>
            <w:i/>
          </w:rPr>
          <w:t>http://eprints.lse.ac.uk/71945/</w:t>
        </w:r>
      </w:hyperlink>
      <w:r w:rsidRPr="00280823">
        <w:rPr>
          <w:rFonts w:ascii="Times New Roman" w:hAnsi="Times New Roman" w:cs="Times New Roman"/>
        </w:rPr>
        <w:t xml:space="preserve"> [Accessed July 24, 2018]</w:t>
      </w:r>
    </w:p>
  </w:footnote>
  <w:footnote w:id="14">
    <w:p w14:paraId="758A5957" w14:textId="0C9EED57"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vertAlign w:val="superscript"/>
        </w:rPr>
        <w:t xml:space="preserve"> </w:t>
      </w:r>
      <w:r w:rsidRPr="00280823">
        <w:rPr>
          <w:rFonts w:ascii="Times New Roman" w:hAnsi="Times New Roman" w:cs="Times New Roman"/>
        </w:rPr>
        <w:t>Flaws in the regulation of campaign spending pose a critical weakness in the legal framework but there is not enough scope to tackle this here.</w:t>
      </w:r>
    </w:p>
  </w:footnote>
  <w:footnote w:id="15">
    <w:p w14:paraId="2593D642" w14:textId="3A4F3E0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This article does not turn on any specific allegation by any specific party or group but accepts, based on publicly available evidence cited throughout this paper, that in the whole these techniques exist and have been used on the electorate in the UK and globally. </w:t>
      </w:r>
    </w:p>
  </w:footnote>
  <w:footnote w:id="16">
    <w:p w14:paraId="26943E33" w14:textId="182EA269"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TechAmerica Foundation, “Demystifying Big Data: A Practical Guide to Transforming the Business of Government” (2012) </w:t>
      </w:r>
      <w:hyperlink r:id="rId5" w:history="1">
        <w:r w:rsidRPr="00280823">
          <w:rPr>
            <w:rStyle w:val="Hyperlink"/>
            <w:rFonts w:ascii="Times New Roman" w:hAnsi="Times New Roman" w:cs="Times New Roman"/>
            <w:i/>
          </w:rPr>
          <w:t>https://bigdatawg.nist.gov/_uploadfiles/M0068_v1_3903747095.pdf</w:t>
        </w:r>
      </w:hyperlink>
      <w:r w:rsidRPr="00280823">
        <w:rPr>
          <w:rFonts w:ascii="Times New Roman" w:hAnsi="Times New Roman" w:cs="Times New Roman"/>
        </w:rPr>
        <w:t xml:space="preserve"> [Accessed 24 July 2018]</w:t>
      </w:r>
    </w:p>
  </w:footnote>
  <w:footnote w:id="17">
    <w:p w14:paraId="5C93CB53" w14:textId="3C257683" w:rsidR="00A66293" w:rsidRPr="00280823" w:rsidRDefault="00A66293" w:rsidP="00280823">
      <w:pPr>
        <w:pStyle w:val="FootnoteText"/>
        <w:jc w:val="both"/>
        <w:rPr>
          <w:rFonts w:ascii="Times New Roman" w:hAnsi="Times New Roman" w:cs="Times New Roman"/>
          <w:color w:val="FF0000"/>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 Gandomi and M. Haidar, “Beyond the hype: Big data concepts, methods, and analytics” (2015) IJIM</w:t>
      </w:r>
      <w:r w:rsidRPr="00280823">
        <w:rPr>
          <w:rFonts w:ascii="Times New Roman" w:hAnsi="Times New Roman" w:cs="Times New Roman"/>
          <w:i/>
        </w:rPr>
        <w:t xml:space="preserve"> </w:t>
      </w:r>
      <w:r w:rsidRPr="00280823">
        <w:rPr>
          <w:rFonts w:ascii="Times New Roman" w:hAnsi="Times New Roman" w:cs="Times New Roman"/>
        </w:rPr>
        <w:t>35(2) 137-144</w:t>
      </w:r>
    </w:p>
  </w:footnote>
  <w:footnote w:id="18">
    <w:p w14:paraId="7532B7F4" w14:textId="3C175EA0"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w:t>
      </w:r>
      <w:r w:rsidR="00397CA2" w:rsidRPr="00280823">
        <w:rPr>
          <w:rFonts w:ascii="Times New Roman" w:hAnsi="Times New Roman" w:cs="Times New Roman"/>
        </w:rPr>
        <w:t>17</w:t>
      </w:r>
      <w:r w:rsidRPr="00280823">
        <w:rPr>
          <w:rFonts w:ascii="Times New Roman" w:hAnsi="Times New Roman" w:cs="Times New Roman"/>
        </w:rPr>
        <w:t xml:space="preserve">. This process of analysis is referred to as ‘reality mining' which is the collection and analysis of machine-sensed environmental data relating to human social behaviour, with the goal of identifying predictable patterns of behaviour. </w:t>
      </w:r>
    </w:p>
  </w:footnote>
  <w:footnote w:id="19">
    <w:p w14:paraId="74457EDB" w14:textId="62E34D91" w:rsidR="00A66293" w:rsidRPr="00280823" w:rsidRDefault="00A66293" w:rsidP="00280823">
      <w:pPr>
        <w:pStyle w:val="FootnoteText"/>
        <w:jc w:val="both"/>
        <w:rPr>
          <w:rFonts w:ascii="Times New Roman" w:hAnsi="Times New Roman" w:cs="Times New Roman"/>
          <w:color w:val="7030A0"/>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9566B5" w:rsidRPr="00280823">
        <w:rPr>
          <w:rFonts w:ascii="Times New Roman" w:hAnsi="Times New Roman" w:cs="Times New Roman"/>
          <w:lang w:val="en-CA"/>
        </w:rPr>
        <w:t>See fn. 9</w:t>
      </w:r>
      <w:r w:rsidRPr="00280823">
        <w:rPr>
          <w:rFonts w:ascii="Times New Roman" w:hAnsi="Times New Roman" w:cs="Times New Roman"/>
          <w:lang w:val="en-CA"/>
        </w:rPr>
        <w:t xml:space="preserve"> </w:t>
      </w:r>
    </w:p>
  </w:footnote>
  <w:footnote w:id="20">
    <w:p w14:paraId="5EEFCDAD" w14:textId="206BFF8F" w:rsidR="00A66293" w:rsidRPr="00280823" w:rsidRDefault="00A66293" w:rsidP="00280823">
      <w:pPr>
        <w:pStyle w:val="FootnoteText"/>
        <w:jc w:val="both"/>
        <w:rPr>
          <w:rFonts w:ascii="Times New Roman" w:hAnsi="Times New Roman" w:cs="Times New Roman"/>
          <w:color w:val="7030A0"/>
        </w:rPr>
      </w:pPr>
      <w:r w:rsidRPr="00280823">
        <w:rPr>
          <w:rStyle w:val="FootnoteReference"/>
          <w:rFonts w:ascii="Times New Roman" w:hAnsi="Times New Roman" w:cs="Times New Roman"/>
        </w:rPr>
        <w:footnoteRef/>
      </w:r>
      <w:r w:rsidRPr="00280823">
        <w:rPr>
          <w:rFonts w:ascii="Times New Roman" w:hAnsi="Times New Roman" w:cs="Times New Roman"/>
        </w:rPr>
        <w:t xml:space="preserve"> E. Bernays, “The Engineering of Consent” (1947) The ANNALS of the American Academy of Political and Social Science 250(1) 113-120 </w:t>
      </w:r>
      <w:hyperlink r:id="rId6" w:history="1">
        <w:r w:rsidRPr="00280823">
          <w:rPr>
            <w:rStyle w:val="Hyperlink"/>
            <w:rFonts w:ascii="Times New Roman" w:hAnsi="Times New Roman" w:cs="Times New Roman"/>
            <w:i/>
          </w:rPr>
          <w:t>http://journals.sagepub.com/doi/pdf/10.1177/000271624725000116</w:t>
        </w:r>
      </w:hyperlink>
      <w:r w:rsidRPr="00280823">
        <w:rPr>
          <w:rFonts w:ascii="Times New Roman" w:hAnsi="Times New Roman" w:cs="Times New Roman"/>
        </w:rPr>
        <w:t xml:space="preserve"> [Accessed  August 13 2017]</w:t>
      </w:r>
    </w:p>
  </w:footnote>
  <w:footnote w:id="21">
    <w:p w14:paraId="6877C2CD" w14:textId="6A37D82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 Rogers, “The Cambridge Analytica data apocalypse was predicted in 2007” (March 25, 2018) </w:t>
      </w:r>
      <w:r w:rsidRPr="00280823">
        <w:rPr>
          <w:rFonts w:ascii="Times New Roman" w:hAnsi="Times New Roman" w:cs="Times New Roman"/>
          <w:i/>
        </w:rPr>
        <w:t xml:space="preserve">Wired </w:t>
      </w:r>
      <w:hyperlink r:id="rId7" w:history="1">
        <w:r w:rsidRPr="00280823">
          <w:rPr>
            <w:rStyle w:val="Hyperlink"/>
            <w:rFonts w:ascii="Times New Roman" w:hAnsi="Times New Roman" w:cs="Times New Roman"/>
            <w:i/>
          </w:rPr>
          <w:t>https://www.wired.com/story/the-cambridge-analytica-data-apocalypse-was-predicted-in-2007/</w:t>
        </w:r>
      </w:hyperlink>
      <w:r w:rsidRPr="00280823">
        <w:rPr>
          <w:rFonts w:ascii="Times New Roman" w:hAnsi="Times New Roman" w:cs="Times New Roman"/>
        </w:rPr>
        <w:t xml:space="preserve"> [Accessed July 31, 2018] </w:t>
      </w:r>
    </w:p>
  </w:footnote>
  <w:footnote w:id="22">
    <w:p w14:paraId="134C7603" w14:textId="71850DF1" w:rsidR="00A66293" w:rsidRPr="00280823" w:rsidRDefault="00A66293" w:rsidP="00280823">
      <w:pPr>
        <w:pStyle w:val="FootnoteText"/>
        <w:jc w:val="both"/>
        <w:rPr>
          <w:rFonts w:ascii="Times New Roman" w:hAnsi="Times New Roman" w:cs="Times New Roman"/>
          <w:i/>
        </w:rPr>
      </w:pPr>
      <w:r w:rsidRPr="00280823">
        <w:rPr>
          <w:rStyle w:val="FootnoteReference"/>
          <w:rFonts w:ascii="Times New Roman" w:hAnsi="Times New Roman" w:cs="Times New Roman"/>
        </w:rPr>
        <w:footnoteRef/>
      </w:r>
      <w:r w:rsidRPr="00280823">
        <w:rPr>
          <w:rFonts w:ascii="Times New Roman" w:hAnsi="Times New Roman" w:cs="Times New Roman"/>
        </w:rPr>
        <w:t xml:space="preserve"> ICO Investigation update report confirms that it is looking at credit reference agencies in respect of the services they  promote to political parties and campaigns see ICO </w:t>
      </w:r>
      <w:r w:rsidRPr="00280823">
        <w:rPr>
          <w:rFonts w:ascii="Times New Roman" w:hAnsi="Times New Roman" w:cs="Times New Roman"/>
          <w:i/>
        </w:rPr>
        <w:t>Investigation into the use of data analytics</w:t>
      </w:r>
    </w:p>
    <w:p w14:paraId="4F3CEFF3" w14:textId="5600749E"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i/>
        </w:rPr>
        <w:t>in political campaigns</w:t>
      </w:r>
      <w:r w:rsidRPr="00280823">
        <w:rPr>
          <w:rFonts w:ascii="Times New Roman" w:hAnsi="Times New Roman" w:cs="Times New Roman"/>
        </w:rPr>
        <w:t xml:space="preserve"> (June 21, 2018) </w:t>
      </w:r>
      <w:hyperlink r:id="rId8" w:history="1">
        <w:r w:rsidRPr="00280823">
          <w:rPr>
            <w:rStyle w:val="Hyperlink"/>
            <w:rFonts w:ascii="Times New Roman" w:hAnsi="Times New Roman" w:cs="Times New Roman"/>
            <w:i/>
          </w:rPr>
          <w:t>https://ico.org.uk/media/action-weve-taken/2259371/investigation-into-data-analytics-for-political-purposes-update.pdf</w:t>
        </w:r>
      </w:hyperlink>
      <w:r w:rsidRPr="00280823">
        <w:rPr>
          <w:rFonts w:ascii="Times New Roman" w:hAnsi="Times New Roman" w:cs="Times New Roman"/>
        </w:rPr>
        <w:t xml:space="preserve"> [Accessed July 26, 2018]</w:t>
      </w:r>
    </w:p>
  </w:footnote>
  <w:footnote w:id="23">
    <w:p w14:paraId="1C37651D" w14:textId="590A756B"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Representation of the People (England and Wales) Regulations 2001 reg. 114; </w:t>
      </w:r>
      <w:r w:rsidRPr="00280823">
        <w:rPr>
          <w:rFonts w:ascii="Times New Roman" w:hAnsi="Times New Roman" w:cs="Times New Roman"/>
          <w:i/>
        </w:rPr>
        <w:t>R (on the application of Robertson) v Secretary of State</w:t>
      </w:r>
      <w:r w:rsidRPr="00280823">
        <w:rPr>
          <w:rFonts w:ascii="Times New Roman" w:hAnsi="Times New Roman" w:cs="Times New Roman"/>
        </w:rPr>
        <w:t xml:space="preserve"> [2003] EWHC 1760 (Admin)</w:t>
      </w:r>
    </w:p>
  </w:footnote>
  <w:footnote w:id="24">
    <w:p w14:paraId="1EB2FA1A" w14:textId="3FCC024A"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Following </w:t>
      </w:r>
      <w:r w:rsidRPr="00280823">
        <w:rPr>
          <w:rFonts w:ascii="Times New Roman" w:hAnsi="Times New Roman" w:cs="Times New Roman"/>
          <w:i/>
        </w:rPr>
        <w:t>Robertson</w:t>
      </w:r>
      <w:r w:rsidRPr="00280823">
        <w:rPr>
          <w:rFonts w:ascii="Times New Roman" w:hAnsi="Times New Roman" w:cs="Times New Roman"/>
        </w:rPr>
        <w:t xml:space="preserve"> </w:t>
      </w:r>
      <w:r w:rsidRPr="00280823">
        <w:rPr>
          <w:rFonts w:ascii="Times New Roman" w:hAnsi="Times New Roman" w:cs="Times New Roman"/>
          <w:i/>
        </w:rPr>
        <w:t xml:space="preserve">v Wakefield Metropolitan Council </w:t>
      </w:r>
      <w:r w:rsidRPr="00280823">
        <w:rPr>
          <w:rFonts w:ascii="Times New Roman" w:hAnsi="Times New Roman" w:cs="Times New Roman"/>
        </w:rPr>
        <w:t>[2001] [2001] EWHC Admin 915, [2002] QB 1052, the Representation of the People (England and Wales) Regulations 2001 were amended by the Representation of the People (England and Wales) (Amendment) 2002 to introduce an edited register for anyone opposed to their details being sold onto a third parties</w:t>
      </w:r>
    </w:p>
  </w:footnote>
  <w:footnote w:id="25">
    <w:p w14:paraId="51863902" w14:textId="2BC043AB"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rPr>
        <w:t xml:space="preserve"> Privacy and Electronic Communications Regulations 2003, reg. 6</w:t>
      </w:r>
    </w:p>
  </w:footnote>
  <w:footnote w:id="26">
    <w:p w14:paraId="60BF3AD6" w14:textId="604C08B3"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 Albright “How Your Data on Facebook Is Collected and Used to Win Elections” (March  22, 2018) </w:t>
      </w:r>
      <w:r w:rsidRPr="00280823">
        <w:rPr>
          <w:rFonts w:ascii="Times New Roman" w:hAnsi="Times New Roman" w:cs="Times New Roman"/>
          <w:i/>
        </w:rPr>
        <w:t xml:space="preserve">MakeUseOf, </w:t>
      </w:r>
      <w:hyperlink r:id="rId9" w:history="1">
        <w:r w:rsidRPr="00280823">
          <w:rPr>
            <w:rStyle w:val="Hyperlink"/>
            <w:rFonts w:ascii="Times New Roman" w:hAnsi="Times New Roman" w:cs="Times New Roman"/>
            <w:i/>
          </w:rPr>
          <w:t>https://www.makeuseof.com/tag/facebook-data-influence-elections/</w:t>
        </w:r>
      </w:hyperlink>
      <w:r w:rsidRPr="00280823">
        <w:rPr>
          <w:rFonts w:ascii="Times New Roman" w:hAnsi="Times New Roman" w:cs="Times New Roman"/>
        </w:rPr>
        <w:t xml:space="preserve"> [Accessed July 26, 2018]; J. Bartlett “Big Data is watching you – and it wants your vote” </w:t>
      </w:r>
      <w:r w:rsidRPr="00280823">
        <w:rPr>
          <w:rStyle w:val="Hyperlink"/>
          <w:rFonts w:ascii="Times New Roman" w:hAnsi="Times New Roman" w:cs="Times New Roman"/>
          <w:color w:val="auto"/>
          <w:u w:val="none"/>
        </w:rPr>
        <w:t>(</w:t>
      </w:r>
      <w:r w:rsidRPr="00280823">
        <w:rPr>
          <w:rFonts w:ascii="Times New Roman" w:hAnsi="Times New Roman" w:cs="Times New Roman"/>
        </w:rPr>
        <w:t>March</w:t>
      </w:r>
      <w:r w:rsidRPr="00280823">
        <w:rPr>
          <w:rFonts w:ascii="Times New Roman" w:hAnsi="Times New Roman" w:cs="Times New Roman"/>
          <w:i/>
        </w:rPr>
        <w:t xml:space="preserve"> </w:t>
      </w:r>
      <w:r w:rsidRPr="00280823">
        <w:rPr>
          <w:rFonts w:ascii="Times New Roman" w:hAnsi="Times New Roman" w:cs="Times New Roman"/>
        </w:rPr>
        <w:t xml:space="preserve">24, 2018) </w:t>
      </w:r>
      <w:r w:rsidRPr="00280823">
        <w:rPr>
          <w:rFonts w:ascii="Times New Roman" w:hAnsi="Times New Roman" w:cs="Times New Roman"/>
          <w:i/>
        </w:rPr>
        <w:t>The Spectator</w:t>
      </w:r>
      <w:r w:rsidRPr="00280823">
        <w:rPr>
          <w:rFonts w:ascii="Times New Roman" w:hAnsi="Times New Roman" w:cs="Times New Roman"/>
        </w:rPr>
        <w:t xml:space="preserve"> </w:t>
      </w:r>
      <w:hyperlink r:id="rId10" w:history="1">
        <w:r w:rsidRPr="00280823">
          <w:rPr>
            <w:rStyle w:val="Hyperlink"/>
            <w:rFonts w:ascii="Times New Roman" w:hAnsi="Times New Roman" w:cs="Times New Roman"/>
            <w:i/>
          </w:rPr>
          <w:t>https://www.spectator.co.uk/2018/03/big-data-is-watching-you-and-it-wants-your-vote/</w:t>
        </w:r>
      </w:hyperlink>
      <w:r w:rsidRPr="00280823">
        <w:rPr>
          <w:rStyle w:val="Hyperlink"/>
          <w:rFonts w:ascii="Times New Roman" w:hAnsi="Times New Roman" w:cs="Times New Roman"/>
          <w:i/>
          <w:u w:val="none"/>
        </w:rPr>
        <w:t xml:space="preserve"> </w:t>
      </w:r>
      <w:r w:rsidRPr="00280823">
        <w:rPr>
          <w:rFonts w:ascii="Times New Roman" w:hAnsi="Times New Roman" w:cs="Times New Roman"/>
        </w:rPr>
        <w:t>[Accessed July 26, 2018]</w:t>
      </w:r>
    </w:p>
  </w:footnote>
  <w:footnote w:id="27">
    <w:p w14:paraId="52817489" w14:textId="4BC51096" w:rsidR="00C51C80" w:rsidRPr="00280823" w:rsidRDefault="00C51C80"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602A6E" w:rsidRPr="00280823">
        <w:rPr>
          <w:rFonts w:ascii="Times New Roman" w:hAnsi="Times New Roman" w:cs="Times New Roman"/>
        </w:rPr>
        <w:t>Processing</w:t>
      </w:r>
      <w:r w:rsidR="00C05600" w:rsidRPr="00280823">
        <w:rPr>
          <w:rFonts w:ascii="Times New Roman" w:hAnsi="Times New Roman" w:cs="Times New Roman"/>
        </w:rPr>
        <w:t xml:space="preserve"> is broadly </w:t>
      </w:r>
      <w:r w:rsidR="00602A6E" w:rsidRPr="00280823">
        <w:rPr>
          <w:rFonts w:ascii="Times New Roman" w:hAnsi="Times New Roman" w:cs="Times New Roman"/>
        </w:rPr>
        <w:t xml:space="preserve">defined </w:t>
      </w:r>
      <w:r w:rsidR="00C05600" w:rsidRPr="00280823">
        <w:rPr>
          <w:rFonts w:ascii="Times New Roman" w:hAnsi="Times New Roman" w:cs="Times New Roman"/>
        </w:rPr>
        <w:t>by article 4(2) of</w:t>
      </w:r>
      <w:r w:rsidR="00602A6E" w:rsidRPr="00280823">
        <w:rPr>
          <w:rFonts w:ascii="Times New Roman" w:hAnsi="Times New Roman" w:cs="Times New Roman"/>
        </w:rPr>
        <w:t xml:space="preserve"> the GDPR</w:t>
      </w:r>
      <w:r w:rsidR="00C05600" w:rsidRPr="00280823">
        <w:rPr>
          <w:rFonts w:ascii="Times New Roman" w:hAnsi="Times New Roman" w:cs="Times New Roman"/>
        </w:rPr>
        <w:t xml:space="preserve"> as</w:t>
      </w:r>
      <w:r w:rsidR="00602A6E" w:rsidRPr="00280823">
        <w:rPr>
          <w:rFonts w:ascii="Times New Roman" w:hAnsi="Times New Roman" w:cs="Times New Roman"/>
        </w:rPr>
        <w:t xml:space="preserve"> any operations(s) performed on personal data or on sets of personal data, such as collection, recording, organisation, structuring, storage, adaptation or alteration, retrieval, consultation, use, disclosure by transmission, dissemination or otherwise making available, alignment or combination, restriction, erasure or destruction</w:t>
      </w:r>
      <w:r w:rsidR="002F7A99" w:rsidRPr="00280823">
        <w:rPr>
          <w:rFonts w:ascii="Times New Roman" w:hAnsi="Times New Roman" w:cs="Times New Roman"/>
        </w:rPr>
        <w:t>.</w:t>
      </w:r>
    </w:p>
  </w:footnote>
  <w:footnote w:id="28">
    <w:p w14:paraId="34BC6655" w14:textId="69A2816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recital 24. GDPR, art. 4(4) is its corresponding substantive provision. GDPR, art. 3(2)(b) brings the monitoring of behaviour within the territorial scope as far as that behaviour happens in the EU. </w:t>
      </w:r>
    </w:p>
  </w:footnote>
  <w:footnote w:id="29">
    <w:p w14:paraId="59F2F347" w14:textId="3761964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B. Shiner, “Integrity instead of deceit: how to improve the delivery and content of political campaigns” (July 18, 2018) </w:t>
      </w:r>
      <w:r w:rsidRPr="00280823">
        <w:rPr>
          <w:rFonts w:ascii="Times New Roman" w:hAnsi="Times New Roman" w:cs="Times New Roman"/>
          <w:i/>
        </w:rPr>
        <w:t xml:space="preserve">LSE Brexit </w:t>
      </w:r>
      <w:hyperlink r:id="rId11" w:history="1">
        <w:r w:rsidRPr="00280823">
          <w:rPr>
            <w:rStyle w:val="Hyperlink"/>
            <w:rFonts w:ascii="Times New Roman" w:hAnsi="Times New Roman" w:cs="Times New Roman"/>
            <w:i/>
          </w:rPr>
          <w:t>http://blogs.lse.ac.uk/brexit/2018/07/18/the-delivery-and-content-of-political-campaign-material/</w:t>
        </w:r>
      </w:hyperlink>
      <w:r w:rsidRPr="00280823">
        <w:rPr>
          <w:rFonts w:ascii="Times New Roman" w:hAnsi="Times New Roman" w:cs="Times New Roman"/>
        </w:rPr>
        <w:t xml:space="preserve">  [Accessed July 26, 2018]</w:t>
      </w:r>
    </w:p>
  </w:footnote>
  <w:footnote w:id="30">
    <w:p w14:paraId="4B73E662" w14:textId="3DF3338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 Beer, “Data-led politics: do analytics have the power that we are led to believe?” (March 3, 2017) </w:t>
      </w:r>
      <w:r w:rsidRPr="00280823">
        <w:rPr>
          <w:rFonts w:ascii="Times New Roman" w:hAnsi="Times New Roman" w:cs="Times New Roman"/>
          <w:i/>
        </w:rPr>
        <w:t>LSE Blog</w:t>
      </w:r>
      <w:r w:rsidRPr="00280823">
        <w:rPr>
          <w:rFonts w:ascii="Times New Roman" w:hAnsi="Times New Roman" w:cs="Times New Roman"/>
        </w:rPr>
        <w:t xml:space="preserve"> </w:t>
      </w:r>
      <w:hyperlink r:id="rId12" w:anchor="Author" w:history="1">
        <w:r w:rsidRPr="00280823">
          <w:rPr>
            <w:rStyle w:val="Hyperlink"/>
            <w:rFonts w:ascii="Times New Roman" w:hAnsi="Times New Roman" w:cs="Times New Roman"/>
            <w:i/>
          </w:rPr>
          <w:t>http://blogs.lse.ac.uk/politicsandpolicy/the-politics-of-data-led-campaigning/#Author</w:t>
        </w:r>
      </w:hyperlink>
      <w:r w:rsidRPr="00280823">
        <w:rPr>
          <w:rFonts w:ascii="Times New Roman" w:hAnsi="Times New Roman" w:cs="Times New Roman"/>
          <w:i/>
        </w:rPr>
        <w:t xml:space="preserve"> </w:t>
      </w:r>
      <w:r w:rsidRPr="00280823">
        <w:rPr>
          <w:rFonts w:ascii="Times New Roman" w:hAnsi="Times New Roman" w:cs="Times New Roman"/>
        </w:rPr>
        <w:t>[Accessed July 26, 2018]</w:t>
      </w:r>
    </w:p>
  </w:footnote>
  <w:footnote w:id="31">
    <w:p w14:paraId="385A174B" w14:textId="79883369"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Castells argues that power relationships “are largely constructed in people’s minds through communication processes. The shaping of minds is a more decisive and lasting form of domination…”, see M. Castells </w:t>
      </w:r>
      <w:r w:rsidRPr="00280823">
        <w:rPr>
          <w:rFonts w:ascii="Times New Roman" w:hAnsi="Times New Roman" w:cs="Times New Roman"/>
          <w:i/>
        </w:rPr>
        <w:t>Communication Power</w:t>
      </w:r>
      <w:r w:rsidRPr="00280823">
        <w:rPr>
          <w:rFonts w:ascii="Times New Roman" w:hAnsi="Times New Roman" w:cs="Times New Roman"/>
        </w:rPr>
        <w:t>,</w:t>
      </w:r>
      <w:r w:rsidRPr="00280823">
        <w:rPr>
          <w:rFonts w:ascii="Times New Roman" w:hAnsi="Times New Roman" w:cs="Times New Roman"/>
          <w:i/>
        </w:rPr>
        <w:t xml:space="preserve"> </w:t>
      </w:r>
      <w:r w:rsidRPr="00280823">
        <w:rPr>
          <w:rFonts w:ascii="Times New Roman" w:hAnsi="Times New Roman" w:cs="Times New Roman"/>
        </w:rPr>
        <w:t>2nd edn (Oxford: OUP, 2013) xix; K. Yeung, "'Hypernudge': Big Data as a model of regulation by design" (2017) ICS 118; S. Alegre, "Rethinking freedom of thought for the 21st century" (2017) EHRLR</w:t>
      </w:r>
      <w:r w:rsidRPr="00280823">
        <w:rPr>
          <w:rFonts w:ascii="Times New Roman" w:hAnsi="Times New Roman" w:cs="Times New Roman"/>
          <w:i/>
        </w:rPr>
        <w:t xml:space="preserve"> </w:t>
      </w:r>
      <w:r w:rsidRPr="00280823">
        <w:rPr>
          <w:rFonts w:ascii="Times New Roman" w:hAnsi="Times New Roman" w:cs="Times New Roman"/>
        </w:rPr>
        <w:t>221</w:t>
      </w:r>
    </w:p>
  </w:footnote>
  <w:footnote w:id="32">
    <w:p w14:paraId="733C5BFA" w14:textId="30DE2B65"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 Nix “From Mad Men to Math Men” (Online Marketing Rockstars Keynote, Hamburg, 10 March 2017) </w:t>
      </w:r>
      <w:r w:rsidRPr="00280823">
        <w:rPr>
          <w:rFonts w:ascii="Times New Roman" w:hAnsi="Times New Roman" w:cs="Times New Roman"/>
          <w:i/>
        </w:rPr>
        <w:t xml:space="preserve">youtube.com </w:t>
      </w:r>
      <w:hyperlink r:id="rId13" w:history="1">
        <w:r w:rsidRPr="00280823">
          <w:rPr>
            <w:rStyle w:val="Hyperlink"/>
            <w:rFonts w:ascii="Times New Roman" w:hAnsi="Times New Roman" w:cs="Times New Roman"/>
            <w:i/>
          </w:rPr>
          <w:t>https://www.youtube.com/watch?v=6bG5ps5KdDo</w:t>
        </w:r>
      </w:hyperlink>
      <w:r w:rsidRPr="00280823">
        <w:rPr>
          <w:rFonts w:ascii="Times New Roman" w:hAnsi="Times New Roman" w:cs="Times New Roman"/>
        </w:rPr>
        <w:t xml:space="preserve"> [Accessed July 26, 2018]</w:t>
      </w:r>
    </w:p>
  </w:footnote>
  <w:footnote w:id="33">
    <w:p w14:paraId="6D142595" w14:textId="793A9B96"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9566B5" w:rsidRPr="00280823">
        <w:rPr>
          <w:rFonts w:ascii="Times New Roman" w:hAnsi="Times New Roman" w:cs="Times New Roman"/>
        </w:rPr>
        <w:t xml:space="preserve"> See fn. </w:t>
      </w:r>
      <w:r w:rsidR="00397CA2" w:rsidRPr="00280823">
        <w:rPr>
          <w:rFonts w:ascii="Times New Roman" w:hAnsi="Times New Roman" w:cs="Times New Roman"/>
        </w:rPr>
        <w:t>1</w:t>
      </w:r>
      <w:r w:rsidR="009566B5" w:rsidRPr="00280823">
        <w:rPr>
          <w:rFonts w:ascii="Times New Roman" w:hAnsi="Times New Roman" w:cs="Times New Roman"/>
        </w:rPr>
        <w:t>7</w:t>
      </w:r>
      <w:r w:rsidRPr="00280823">
        <w:rPr>
          <w:rFonts w:ascii="Times New Roman" w:hAnsi="Times New Roman" w:cs="Times New Roman"/>
        </w:rPr>
        <w:t>; B. Liu, “Sentiment analysis and opinion mining” (2012) Synthesis Lectures on Human Language Technologies 5(1) 1-167</w:t>
      </w:r>
    </w:p>
  </w:footnote>
  <w:footnote w:id="34">
    <w:p w14:paraId="08F65342" w14:textId="3087DFE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E. Briant interview with Brittany Kaiser “Explanatory essays giving context and analysis to submitted evidence” (April 16, 2018) </w:t>
      </w:r>
      <w:hyperlink r:id="rId14" w:history="1">
        <w:r w:rsidRPr="00280823">
          <w:rPr>
            <w:rStyle w:val="Hyperlink"/>
            <w:rFonts w:ascii="Times New Roman" w:hAnsi="Times New Roman" w:cs="Times New Roman"/>
            <w:i/>
          </w:rPr>
          <w:t>https://www.parliament.uk/documents/commons-committees/culture-media-and-sport/Dr%20Emma%20Briant%20Explanatory%20Essays.pdf</w:t>
        </w:r>
      </w:hyperlink>
      <w:r w:rsidRPr="00280823">
        <w:rPr>
          <w:rFonts w:ascii="Times New Roman" w:hAnsi="Times New Roman" w:cs="Times New Roman"/>
        </w:rPr>
        <w:t xml:space="preserve"> 2 [Accessed July 26, 2018] </w:t>
      </w:r>
    </w:p>
  </w:footnote>
  <w:footnote w:id="35">
    <w:p w14:paraId="55273896" w14:textId="0EBB9420"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L. Goasduff, “Emotion AI Will Personalize Interactions” (January 22, 2018) </w:t>
      </w:r>
      <w:hyperlink r:id="rId15" w:history="1">
        <w:r w:rsidRPr="00280823">
          <w:rPr>
            <w:rStyle w:val="Hyperlink"/>
            <w:rFonts w:ascii="Times New Roman" w:hAnsi="Times New Roman" w:cs="Times New Roman"/>
            <w:i/>
          </w:rPr>
          <w:t>https://www.gartner.com/smarterwithgartner/emotion-ai-will-personalize-interactions/</w:t>
        </w:r>
      </w:hyperlink>
    </w:p>
  </w:footnote>
  <w:footnote w:id="36">
    <w:p w14:paraId="6F71CD81" w14:textId="5FF69F0E"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N. Lathia, V. Pejovic, K. K. Rachuri, C. Mascolo, M. Musolesi and P. J. Rentfrow, “Smartphones for  Large-scale Behavior Change interventions” (2013) IEEE Pervasive Computing 12(3) 66-73</w:t>
      </w:r>
    </w:p>
  </w:footnote>
  <w:footnote w:id="37">
    <w:p w14:paraId="7BE5D182" w14:textId="5A39A2EE"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An MIT headset can read and transcribe thoughts (the internal voice) by measuring subtle neuromuscular signals that are triggered when a person verbalises internally. When someone says words inside his or her head, the device matches particular signals to particular words, feeding them into a computer with 92% translation success rate. </w:t>
      </w:r>
    </w:p>
  </w:footnote>
  <w:footnote w:id="38">
    <w:p w14:paraId="38081700" w14:textId="2A33D224"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Future of Humanity Institute, “The Malicious Use of Artificial Intelligence: Forecasting, Prevention, and Mitigation” (February 2018) </w:t>
      </w:r>
      <w:r w:rsidRPr="00280823">
        <w:rPr>
          <w:rFonts w:ascii="Times New Roman" w:hAnsi="Times New Roman" w:cs="Times New Roman"/>
          <w:i/>
        </w:rPr>
        <w:t xml:space="preserve">arxiv.org </w:t>
      </w:r>
      <w:hyperlink r:id="rId16" w:history="1">
        <w:r w:rsidRPr="00280823">
          <w:rPr>
            <w:rStyle w:val="Hyperlink"/>
            <w:rFonts w:ascii="Times New Roman" w:hAnsi="Times New Roman" w:cs="Times New Roman"/>
            <w:i/>
          </w:rPr>
          <w:t>https://arxiv.org/ftp/arxiv/papers/1802/1802.07228.pdf</w:t>
        </w:r>
      </w:hyperlink>
      <w:r w:rsidRPr="00280823">
        <w:rPr>
          <w:rFonts w:ascii="Times New Roman" w:hAnsi="Times New Roman" w:cs="Times New Roman"/>
        </w:rPr>
        <w:t xml:space="preserve"> [Accessed July 26, 2018]</w:t>
      </w:r>
    </w:p>
  </w:footnote>
  <w:footnote w:id="39">
    <w:p w14:paraId="44533D6B" w14:textId="4D2E59CE"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vertAlign w:val="superscript"/>
        </w:rPr>
        <w:footnoteRef/>
      </w:r>
      <w:r w:rsidRPr="00280823">
        <w:rPr>
          <w:rFonts w:ascii="Times New Roman" w:hAnsi="Times New Roman" w:cs="Times New Roman"/>
        </w:rPr>
        <w:t xml:space="preserve"> R. Chesney and D.K. Citron, “Deep Fakes: A Looming Challenge for Privacy, Democracy, and National Security” (2018) </w:t>
      </w:r>
      <w:r w:rsidRPr="00280823">
        <w:rPr>
          <w:rFonts w:ascii="Times New Roman" w:hAnsi="Times New Roman" w:cs="Times New Roman"/>
          <w:i/>
        </w:rPr>
        <w:t xml:space="preserve">SSRN </w:t>
      </w:r>
      <w:hyperlink r:id="rId17" w:history="1">
        <w:r w:rsidRPr="00280823">
          <w:rPr>
            <w:rStyle w:val="Hyperlink"/>
            <w:rFonts w:ascii="Times New Roman" w:hAnsi="Times New Roman" w:cs="Times New Roman"/>
            <w:i/>
          </w:rPr>
          <w:t>https://ssrn.com/abstract=3213954</w:t>
        </w:r>
      </w:hyperlink>
      <w:r w:rsidRPr="00280823">
        <w:rPr>
          <w:rFonts w:ascii="Times New Roman" w:hAnsi="Times New Roman" w:cs="Times New Roman"/>
          <w:i/>
        </w:rPr>
        <w:t xml:space="preserve"> </w:t>
      </w:r>
      <w:r w:rsidRPr="00280823">
        <w:rPr>
          <w:rFonts w:ascii="Times New Roman" w:hAnsi="Times New Roman" w:cs="Times New Roman"/>
        </w:rPr>
        <w:t xml:space="preserve">[Accessed July 23, 2018] </w:t>
      </w:r>
    </w:p>
  </w:footnote>
  <w:footnote w:id="40">
    <w:p w14:paraId="070A404B" w14:textId="0F7A11A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Internet of Things will increase the amount of data. In 2017, there were 8.4 billion connected devices in use worldwide projected to increase to 30 billion by 2020, see Demos “The Future of Political Campaigning” (July 18, 2018) </w:t>
      </w:r>
      <w:r w:rsidRPr="00280823">
        <w:rPr>
          <w:rFonts w:ascii="Times New Roman" w:hAnsi="Times New Roman" w:cs="Times New Roman"/>
          <w:i/>
        </w:rPr>
        <w:t xml:space="preserve">demos.co.uk </w:t>
      </w:r>
      <w:hyperlink r:id="rId18" w:history="1">
        <w:r w:rsidRPr="00280823">
          <w:rPr>
            <w:rStyle w:val="Hyperlink"/>
            <w:rFonts w:ascii="Times New Roman" w:hAnsi="Times New Roman" w:cs="Times New Roman"/>
            <w:i/>
          </w:rPr>
          <w:t>https://www.demos.co.uk/wp-content/uploads/2018/07/The-Future-of-Political-Campaigning.pdf</w:t>
        </w:r>
      </w:hyperlink>
      <w:r w:rsidRPr="00280823">
        <w:rPr>
          <w:rFonts w:ascii="Times New Roman" w:hAnsi="Times New Roman" w:cs="Times New Roman"/>
          <w:i/>
          <w:color w:val="7030A0"/>
        </w:rPr>
        <w:t xml:space="preserve"> </w:t>
      </w:r>
      <w:r w:rsidRPr="00280823">
        <w:rPr>
          <w:rFonts w:ascii="Times New Roman" w:hAnsi="Times New Roman" w:cs="Times New Roman"/>
        </w:rPr>
        <w:t>2 [Accessed July 20, 2018]</w:t>
      </w:r>
    </w:p>
  </w:footnote>
  <w:footnote w:id="41">
    <w:p w14:paraId="07D0E1EC" w14:textId="4A2474C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ICO “Democracy disrupted? Personal information and political influence” (July 10, 2018)  </w:t>
      </w:r>
      <w:r w:rsidRPr="00280823">
        <w:rPr>
          <w:rFonts w:ascii="Times New Roman" w:hAnsi="Times New Roman" w:cs="Times New Roman"/>
          <w:i/>
        </w:rPr>
        <w:t xml:space="preserve">ico.org.uk </w:t>
      </w:r>
      <w:hyperlink r:id="rId19" w:history="1">
        <w:r w:rsidRPr="00280823">
          <w:rPr>
            <w:rStyle w:val="Hyperlink"/>
            <w:rFonts w:ascii="Times New Roman" w:hAnsi="Times New Roman" w:cs="Times New Roman"/>
            <w:i/>
          </w:rPr>
          <w:t>https://ico.org.uk/media/action-weve-taken/2259369/democracy-disrupted-110718.pdf</w:t>
        </w:r>
      </w:hyperlink>
      <w:r w:rsidRPr="00280823">
        <w:rPr>
          <w:rFonts w:ascii="Times New Roman" w:hAnsi="Times New Roman" w:cs="Times New Roman"/>
          <w:i/>
        </w:rPr>
        <w:t xml:space="preserve"> </w:t>
      </w:r>
      <w:r w:rsidRPr="00280823">
        <w:rPr>
          <w:rFonts w:ascii="Times New Roman" w:hAnsi="Times New Roman" w:cs="Times New Roman"/>
        </w:rPr>
        <w:t xml:space="preserve">11, 45 [Accessed July 12, 2018] </w:t>
      </w:r>
    </w:p>
  </w:footnote>
  <w:footnote w:id="42">
    <w:p w14:paraId="4ED6D4E5"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M. Schroepfer, “An Update on Our Plans to Restrict Data Access on Facebook” (Facebook, April 4, 2018) </w:t>
      </w:r>
    </w:p>
    <w:p w14:paraId="22B24403" w14:textId="77777777" w:rsidR="003552BB" w:rsidRPr="00280823" w:rsidRDefault="00A76237" w:rsidP="00280823">
      <w:pPr>
        <w:pStyle w:val="FootnoteText"/>
        <w:jc w:val="both"/>
        <w:rPr>
          <w:rFonts w:ascii="Times New Roman" w:hAnsi="Times New Roman" w:cs="Times New Roman"/>
        </w:rPr>
      </w:pPr>
      <w:hyperlink r:id="rId20" w:history="1">
        <w:r w:rsidR="003552BB" w:rsidRPr="00280823">
          <w:rPr>
            <w:rStyle w:val="Hyperlink"/>
            <w:rFonts w:ascii="Times New Roman" w:hAnsi="Times New Roman" w:cs="Times New Roman"/>
            <w:i/>
          </w:rPr>
          <w:t>https://newsroom.fb.com/news/2018/04/restricting-data-access/</w:t>
        </w:r>
      </w:hyperlink>
      <w:r w:rsidR="003552BB" w:rsidRPr="00280823">
        <w:rPr>
          <w:rFonts w:ascii="Times New Roman" w:hAnsi="Times New Roman" w:cs="Times New Roman"/>
        </w:rPr>
        <w:t xml:space="preserve"> [Accessed April 4, 2018]. In the wake of the scandal, Facebook altered its API settings to ensure third parties can no longer access Facebook user's data and violate user privacy. </w:t>
      </w:r>
    </w:p>
  </w:footnote>
  <w:footnote w:id="43">
    <w:p w14:paraId="2BE7F35E" w14:textId="77777777" w:rsidR="003552BB" w:rsidRPr="00280823" w:rsidRDefault="003552BB" w:rsidP="00280823">
      <w:pPr>
        <w:pStyle w:val="FootnoteText"/>
        <w:jc w:val="both"/>
        <w:rPr>
          <w:rFonts w:ascii="Times New Roman" w:hAnsi="Times New Roman" w:cs="Times New Roman"/>
          <w:i/>
        </w:rPr>
      </w:pPr>
      <w:r w:rsidRPr="00280823">
        <w:rPr>
          <w:rStyle w:val="FootnoteReference"/>
          <w:rFonts w:ascii="Times New Roman" w:hAnsi="Times New Roman" w:cs="Times New Roman"/>
        </w:rPr>
        <w:footnoteRef/>
      </w:r>
      <w:r w:rsidRPr="00280823">
        <w:rPr>
          <w:rFonts w:ascii="Times New Roman" w:hAnsi="Times New Roman" w:cs="Times New Roman"/>
        </w:rPr>
        <w:t xml:space="preserve"> L. Kelion, “Facebook: Cambridge Analytica data had private messages” (April 10, 2018) </w:t>
      </w:r>
      <w:r w:rsidRPr="00280823">
        <w:rPr>
          <w:rFonts w:ascii="Times New Roman" w:hAnsi="Times New Roman" w:cs="Times New Roman"/>
          <w:i/>
        </w:rPr>
        <w:t>BBC News</w:t>
      </w:r>
    </w:p>
    <w:p w14:paraId="7C70338A" w14:textId="77777777" w:rsidR="003552BB" w:rsidRPr="00280823" w:rsidRDefault="00A76237" w:rsidP="00280823">
      <w:pPr>
        <w:pStyle w:val="FootnoteText"/>
        <w:jc w:val="both"/>
        <w:rPr>
          <w:rFonts w:ascii="Times New Roman" w:hAnsi="Times New Roman" w:cs="Times New Roman"/>
        </w:rPr>
      </w:pPr>
      <w:hyperlink r:id="rId21" w:history="1">
        <w:r w:rsidR="003552BB" w:rsidRPr="00280823">
          <w:rPr>
            <w:rStyle w:val="Hyperlink"/>
            <w:rFonts w:ascii="Times New Roman" w:hAnsi="Times New Roman" w:cs="Times New Roman"/>
            <w:i/>
          </w:rPr>
          <w:t>http://www.bbc.com/news/technology-43718175</w:t>
        </w:r>
      </w:hyperlink>
      <w:r w:rsidR="003552BB" w:rsidRPr="00280823">
        <w:rPr>
          <w:rFonts w:ascii="Times New Roman" w:hAnsi="Times New Roman" w:cs="Times New Roman"/>
        </w:rPr>
        <w:t xml:space="preserve"> [Accessed May 18, 2018]</w:t>
      </w:r>
    </w:p>
  </w:footnote>
  <w:footnote w:id="44">
    <w:p w14:paraId="77761F87"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ICO investigation into the use of data analytics in political campaigns is examining over 30 organisations and individuals</w:t>
      </w:r>
    </w:p>
  </w:footnote>
  <w:footnote w:id="45">
    <w:p w14:paraId="06248D4B" w14:textId="7AB9E75A"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AE4BF0" w:rsidRPr="00280823">
        <w:rPr>
          <w:rFonts w:ascii="Times New Roman" w:hAnsi="Times New Roman" w:cs="Times New Roman"/>
        </w:rPr>
        <w:t xml:space="preserve"> S</w:t>
      </w:r>
      <w:r w:rsidRPr="00280823">
        <w:rPr>
          <w:rFonts w:ascii="Times New Roman" w:hAnsi="Times New Roman" w:cs="Times New Roman"/>
        </w:rPr>
        <w:t>ee fn</w:t>
      </w:r>
      <w:r w:rsidR="00B018E0" w:rsidRPr="00280823">
        <w:rPr>
          <w:rFonts w:ascii="Times New Roman" w:hAnsi="Times New Roman" w:cs="Times New Roman"/>
        </w:rPr>
        <w:t>. 22</w:t>
      </w:r>
    </w:p>
  </w:footnote>
  <w:footnote w:id="46">
    <w:p w14:paraId="0065F9B1" w14:textId="7DF33272" w:rsidR="00346C90" w:rsidRPr="00280823" w:rsidRDefault="00346C90"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w:t>
      </w:r>
      <w:r w:rsidR="00E67B78" w:rsidRPr="00280823">
        <w:rPr>
          <w:rFonts w:ascii="Times New Roman" w:hAnsi="Times New Roman" w:cs="Times New Roman"/>
        </w:rPr>
        <w:t>GDPR</w:t>
      </w:r>
      <w:r w:rsidRPr="00280823">
        <w:rPr>
          <w:rFonts w:ascii="Times New Roman" w:hAnsi="Times New Roman" w:cs="Times New Roman"/>
        </w:rPr>
        <w:t xml:space="preserve"> now refers to </w:t>
      </w:r>
      <w:r w:rsidRPr="00280823">
        <w:rPr>
          <w:rFonts w:ascii="Times New Roman" w:hAnsi="Times New Roman" w:cs="Times New Roman"/>
          <w:color w:val="000000"/>
        </w:rPr>
        <w:t>‘special categories of data’ but this paper will refer to sensitive data to mean the same thing</w:t>
      </w:r>
    </w:p>
  </w:footnote>
  <w:footnote w:id="47">
    <w:p w14:paraId="434D2B25"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difference between sensitive personal data processing (processing revealing political opinions) and processing for political purposes warrants further exploration but is outside the scope of this paper.</w:t>
      </w:r>
    </w:p>
  </w:footnote>
  <w:footnote w:id="48">
    <w:p w14:paraId="1278C00E" w14:textId="51598E60"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Data Protection Principle 1 as per </w:t>
      </w:r>
      <w:r w:rsidR="006662CD" w:rsidRPr="00280823">
        <w:rPr>
          <w:rFonts w:ascii="Times New Roman" w:hAnsi="Times New Roman" w:cs="Times New Roman"/>
        </w:rPr>
        <w:t>DPA 1998, s. 1(1), Pt 2, S</w:t>
      </w:r>
      <w:r w:rsidRPr="00280823">
        <w:rPr>
          <w:rFonts w:ascii="Times New Roman" w:hAnsi="Times New Roman" w:cs="Times New Roman"/>
        </w:rPr>
        <w:t>ch</w:t>
      </w:r>
      <w:r w:rsidR="006662CD" w:rsidRPr="00280823">
        <w:rPr>
          <w:rFonts w:ascii="Times New Roman" w:hAnsi="Times New Roman" w:cs="Times New Roman"/>
        </w:rPr>
        <w:t>.</w:t>
      </w:r>
      <w:r w:rsidRPr="00280823">
        <w:rPr>
          <w:rFonts w:ascii="Times New Roman" w:hAnsi="Times New Roman" w:cs="Times New Roman"/>
        </w:rPr>
        <w:t xml:space="preserve"> 1</w:t>
      </w:r>
      <w:r w:rsidR="00B70F17" w:rsidRPr="00280823">
        <w:rPr>
          <w:rFonts w:ascii="Times New Roman" w:hAnsi="Times New Roman" w:cs="Times New Roman"/>
        </w:rPr>
        <w:t>; GDPR art. 5(1)(a)</w:t>
      </w:r>
    </w:p>
  </w:footnote>
  <w:footnote w:id="49">
    <w:p w14:paraId="3D6C8812"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Pr="00280823">
        <w:rPr>
          <w:rFonts w:ascii="Times New Roman" w:hAnsi="Times New Roman" w:cs="Times New Roman"/>
          <w:i/>
        </w:rPr>
        <w:t>Innovations (Mail Order) Ltd v Data Protection Registrar</w:t>
      </w:r>
      <w:r w:rsidRPr="00280823">
        <w:rPr>
          <w:rFonts w:ascii="Times New Roman" w:hAnsi="Times New Roman" w:cs="Times New Roman"/>
        </w:rPr>
        <w:t xml:space="preserve"> (DA92 21/49/1)</w:t>
      </w:r>
    </w:p>
  </w:footnote>
  <w:footnote w:id="50">
    <w:p w14:paraId="07ACE0C0"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22; T. Peters, “Brexit? There was an app for that” (June 24, 2016) </w:t>
      </w:r>
      <w:r w:rsidRPr="00280823">
        <w:rPr>
          <w:rFonts w:ascii="Times New Roman" w:hAnsi="Times New Roman" w:cs="Times New Roman"/>
          <w:i/>
        </w:rPr>
        <w:t xml:space="preserve">Medium.com </w:t>
      </w:r>
      <w:hyperlink r:id="rId22" w:history="1">
        <w:r w:rsidRPr="00280823">
          <w:rPr>
            <w:rStyle w:val="Hyperlink"/>
            <w:rFonts w:ascii="Times New Roman" w:hAnsi="Times New Roman" w:cs="Times New Roman"/>
            <w:i/>
          </w:rPr>
          <w:t>https://medium.com/@uCampaignCEO/brexit-there-was-an-app-for-that-57d1d658b4f1</w:t>
        </w:r>
      </w:hyperlink>
      <w:r w:rsidRPr="00280823">
        <w:rPr>
          <w:rFonts w:ascii="Times New Roman" w:hAnsi="Times New Roman" w:cs="Times New Roman"/>
        </w:rPr>
        <w:t xml:space="preserve"> [Accessed July 30, 2018]</w:t>
      </w:r>
    </w:p>
  </w:footnote>
  <w:footnote w:id="51">
    <w:p w14:paraId="0E36E0CC" w14:textId="06A49D8B"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Data Protection Principle 2</w:t>
      </w:r>
      <w:r w:rsidR="006662CD" w:rsidRPr="00280823">
        <w:rPr>
          <w:rFonts w:ascii="Times New Roman" w:hAnsi="Times New Roman" w:cs="Times New Roman"/>
        </w:rPr>
        <w:t xml:space="preserve"> as per DPA 1998, Pt 1, Sch. 1</w:t>
      </w:r>
      <w:r w:rsidR="0007668A" w:rsidRPr="00280823">
        <w:rPr>
          <w:rFonts w:ascii="Times New Roman" w:hAnsi="Times New Roman" w:cs="Times New Roman"/>
        </w:rPr>
        <w:t xml:space="preserve">; </w:t>
      </w:r>
      <w:r w:rsidR="00B70F17" w:rsidRPr="00280823">
        <w:rPr>
          <w:rFonts w:ascii="Times New Roman" w:hAnsi="Times New Roman" w:cs="Times New Roman"/>
        </w:rPr>
        <w:t>GDPR art. 5(1)(b)</w:t>
      </w:r>
    </w:p>
  </w:footnote>
  <w:footnote w:id="52">
    <w:p w14:paraId="6A5AAAAE" w14:textId="5DC68820"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the ICO’s investigation of Leave.EU and Eldon Insurance Services Limited, fn. </w:t>
      </w:r>
      <w:r w:rsidR="00B018E0" w:rsidRPr="00280823">
        <w:rPr>
          <w:rFonts w:ascii="Times New Roman" w:hAnsi="Times New Roman" w:cs="Times New Roman"/>
        </w:rPr>
        <w:t>22</w:t>
      </w:r>
    </w:p>
  </w:footnote>
  <w:footnote w:id="53">
    <w:p w14:paraId="06DE6E37"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Recital 56 states that in relation to electoral activities, political parties may compile personal data on people's political opinions for processing provided that appropriate safeguards are established.</w:t>
      </w:r>
    </w:p>
  </w:footnote>
  <w:footnote w:id="54">
    <w:p w14:paraId="1E36F552"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DPA 2018 Explanatory notes, para 86</w:t>
      </w:r>
    </w:p>
  </w:footnote>
  <w:footnote w:id="55">
    <w:p w14:paraId="3D6E0D40"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Data Protection Bill, House of Commons Public Bill Committee: Information Commissioner’s further written evidence (March 19, 2018) </w:t>
      </w:r>
      <w:r w:rsidRPr="00280823">
        <w:rPr>
          <w:rFonts w:ascii="Times New Roman" w:hAnsi="Times New Roman" w:cs="Times New Roman"/>
          <w:i/>
        </w:rPr>
        <w:t xml:space="preserve">ico.co.uk </w:t>
      </w:r>
      <w:hyperlink r:id="rId23" w:history="1">
        <w:r w:rsidRPr="00280823">
          <w:rPr>
            <w:rStyle w:val="Hyperlink"/>
            <w:rFonts w:ascii="Times New Roman" w:hAnsi="Times New Roman" w:cs="Times New Roman"/>
            <w:i/>
          </w:rPr>
          <w:t>https://ico.org.uk/media/about-the-ico/documents/2258462/data-protection-bill-public-bill-committee-ico-further-evidence.pdf</w:t>
        </w:r>
      </w:hyperlink>
      <w:r w:rsidRPr="00280823">
        <w:rPr>
          <w:rFonts w:ascii="Times New Roman" w:hAnsi="Times New Roman" w:cs="Times New Roman"/>
        </w:rPr>
        <w:t xml:space="preserve"> [Accessed May 10, 2018]</w:t>
      </w:r>
    </w:p>
  </w:footnote>
  <w:footnote w:id="56">
    <w:p w14:paraId="41FF2E83"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6(1)(a)</w:t>
      </w:r>
    </w:p>
  </w:footnote>
  <w:footnote w:id="57">
    <w:p w14:paraId="75A81E65"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6(1)(f)</w:t>
      </w:r>
    </w:p>
  </w:footnote>
  <w:footnote w:id="58">
    <w:p w14:paraId="4DA2FB7B" w14:textId="0EFF9DE9"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07668A" w:rsidRPr="00280823">
        <w:rPr>
          <w:rFonts w:ascii="Times New Roman" w:hAnsi="Times New Roman" w:cs="Times New Roman"/>
        </w:rPr>
        <w:t>DPA 199</w:t>
      </w:r>
      <w:r w:rsidR="0094531B" w:rsidRPr="00280823">
        <w:rPr>
          <w:rFonts w:ascii="Times New Roman" w:hAnsi="Times New Roman" w:cs="Times New Roman"/>
        </w:rPr>
        <w:t>8, Sch. 3</w:t>
      </w:r>
      <w:r w:rsidR="0007668A" w:rsidRPr="00280823">
        <w:rPr>
          <w:rFonts w:ascii="Times New Roman" w:hAnsi="Times New Roman" w:cs="Times New Roman"/>
        </w:rPr>
        <w:t>; GDPR art. 9(2)(a)</w:t>
      </w:r>
    </w:p>
  </w:footnote>
  <w:footnote w:id="59">
    <w:p w14:paraId="00968204"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 person or organisation included in the register maintained under section 23 of the Political Parties, Elections and Referendums Act 2000</w:t>
      </w:r>
    </w:p>
  </w:footnote>
  <w:footnote w:id="60">
    <w:p w14:paraId="29068F3F" w14:textId="19E3C063"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Data Protection (Processing of Sensitive Personal Data) Order 2000, section 8 uses the term “legitimate political activities” and does not refer to necessity; DPA 2018, section 10 and</w:t>
      </w:r>
      <w:r w:rsidR="006662CD" w:rsidRPr="00280823">
        <w:rPr>
          <w:rFonts w:ascii="Times New Roman" w:hAnsi="Times New Roman" w:cs="Times New Roman"/>
        </w:rPr>
        <w:t xml:space="preserve"> section 22(1), P</w:t>
      </w:r>
      <w:r w:rsidRPr="00280823">
        <w:rPr>
          <w:rFonts w:ascii="Times New Roman" w:hAnsi="Times New Roman" w:cs="Times New Roman"/>
        </w:rPr>
        <w:t>t 2</w:t>
      </w:r>
      <w:r w:rsidR="006662CD" w:rsidRPr="00280823">
        <w:rPr>
          <w:rFonts w:ascii="Times New Roman" w:hAnsi="Times New Roman" w:cs="Times New Roman"/>
        </w:rPr>
        <w:t>,</w:t>
      </w:r>
      <w:r w:rsidRPr="00280823">
        <w:rPr>
          <w:rFonts w:ascii="Times New Roman" w:hAnsi="Times New Roman" w:cs="Times New Roman"/>
        </w:rPr>
        <w:t xml:space="preserve"> Sch</w:t>
      </w:r>
      <w:r w:rsidR="006662CD" w:rsidRPr="00280823">
        <w:rPr>
          <w:rFonts w:ascii="Times New Roman" w:hAnsi="Times New Roman" w:cs="Times New Roman"/>
        </w:rPr>
        <w:t>.</w:t>
      </w:r>
      <w:r w:rsidRPr="00280823">
        <w:rPr>
          <w:rFonts w:ascii="Times New Roman" w:hAnsi="Times New Roman" w:cs="Times New Roman"/>
        </w:rPr>
        <w:t xml:space="preserve"> 1</w:t>
      </w:r>
    </w:p>
  </w:footnote>
  <w:footnote w:id="61">
    <w:p w14:paraId="7BB23BC7" w14:textId="0B590795"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6662CD" w:rsidRPr="00280823">
        <w:rPr>
          <w:rFonts w:ascii="Times New Roman" w:hAnsi="Times New Roman" w:cs="Times New Roman"/>
        </w:rPr>
        <w:t xml:space="preserve"> DPA 2018, section 22(4), P</w:t>
      </w:r>
      <w:r w:rsidRPr="00280823">
        <w:rPr>
          <w:rFonts w:ascii="Times New Roman" w:hAnsi="Times New Roman" w:cs="Times New Roman"/>
        </w:rPr>
        <w:t xml:space="preserve">t </w:t>
      </w:r>
      <w:r w:rsidR="006662CD" w:rsidRPr="00280823">
        <w:rPr>
          <w:rFonts w:ascii="Times New Roman" w:hAnsi="Times New Roman" w:cs="Times New Roman"/>
        </w:rPr>
        <w:t xml:space="preserve">2, </w:t>
      </w:r>
      <w:r w:rsidRPr="00280823">
        <w:rPr>
          <w:rFonts w:ascii="Times New Roman" w:hAnsi="Times New Roman" w:cs="Times New Roman"/>
        </w:rPr>
        <w:t>Sch</w:t>
      </w:r>
      <w:r w:rsidR="006662CD" w:rsidRPr="00280823">
        <w:rPr>
          <w:rFonts w:ascii="Times New Roman" w:hAnsi="Times New Roman" w:cs="Times New Roman"/>
        </w:rPr>
        <w:t xml:space="preserve">. </w:t>
      </w:r>
      <w:r w:rsidRPr="00280823">
        <w:rPr>
          <w:rFonts w:ascii="Times New Roman" w:hAnsi="Times New Roman" w:cs="Times New Roman"/>
        </w:rPr>
        <w:t>1</w:t>
      </w:r>
    </w:p>
  </w:footnote>
  <w:footnote w:id="62">
    <w:p w14:paraId="7FAC291A"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9</w:t>
      </w:r>
    </w:p>
  </w:footnote>
  <w:footnote w:id="63">
    <w:p w14:paraId="0AB1D0F2"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recital 56</w:t>
      </w:r>
      <w:r w:rsidRPr="00280823">
        <w:rPr>
          <w:rFonts w:ascii="Times New Roman" w:hAnsi="Times New Roman" w:cs="Times New Roman"/>
        </w:rPr>
        <w:tab/>
      </w:r>
    </w:p>
  </w:footnote>
  <w:footnote w:id="64">
    <w:p w14:paraId="62A98930"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Data Protection (Processing of Sensitive Personal Data) Order 2000, s. 8</w:t>
      </w:r>
    </w:p>
  </w:footnote>
  <w:footnote w:id="65">
    <w:p w14:paraId="1D00D5E6"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Data Protection (Processing of Sensitive Personal Data) (Elected Representatives) Order 2002, s. 3-4</w:t>
      </w:r>
    </w:p>
  </w:footnote>
  <w:footnote w:id="66">
    <w:p w14:paraId="441A9BC4"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Representation of the People Regulations 2001 (as amended), reg. 47  </w:t>
      </w:r>
    </w:p>
  </w:footnote>
  <w:footnote w:id="67">
    <w:p w14:paraId="4BD6856B"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4(11)</w:t>
      </w:r>
    </w:p>
  </w:footnote>
  <w:footnote w:id="68">
    <w:p w14:paraId="7FC94431"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European Data Protection Directive 95/46/EC art. 2(h)</w:t>
      </w:r>
    </w:p>
  </w:footnote>
  <w:footnote w:id="69">
    <w:p w14:paraId="674A0256"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Also a requirement of privacy notices, see fn. 22</w:t>
      </w:r>
    </w:p>
  </w:footnote>
  <w:footnote w:id="70">
    <w:p w14:paraId="57EBA93E"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5(b), (c) and (e) 5 introduces a purpose limitation of data collection and GDPR art. 6(4) creates requirements for secondary or further processing must be compatible (not identical) with the original purpose for processing data. </w:t>
      </w:r>
    </w:p>
  </w:footnote>
  <w:footnote w:id="71">
    <w:p w14:paraId="06C89C53"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22</w:t>
      </w:r>
    </w:p>
  </w:footnote>
  <w:footnote w:id="72">
    <w:p w14:paraId="5921DCBD"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4(11), recital 32</w:t>
      </w:r>
    </w:p>
  </w:footnote>
  <w:footnote w:id="73">
    <w:p w14:paraId="031E2E88"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NOYB “GDPR: noyb.eu filed four complaints over "forced consent" against Google, Instagram, WhatsApp and Facebook” (May 25, 2018) </w:t>
      </w:r>
      <w:r w:rsidRPr="00280823">
        <w:rPr>
          <w:rFonts w:ascii="Times New Roman" w:hAnsi="Times New Roman" w:cs="Times New Roman"/>
          <w:i/>
        </w:rPr>
        <w:t xml:space="preserve">noyb.eu </w:t>
      </w:r>
      <w:hyperlink r:id="rId24" w:history="1">
        <w:r w:rsidRPr="00280823">
          <w:rPr>
            <w:rStyle w:val="Hyperlink"/>
            <w:rFonts w:ascii="Times New Roman" w:hAnsi="Times New Roman" w:cs="Times New Roman"/>
            <w:i/>
          </w:rPr>
          <w:t>https://noyb.eu/wp-content/uploads/2018/05/pa_forcedconsent_en.pdf</w:t>
        </w:r>
      </w:hyperlink>
      <w:r w:rsidRPr="00280823">
        <w:rPr>
          <w:rFonts w:ascii="Times New Roman" w:hAnsi="Times New Roman" w:cs="Times New Roman"/>
        </w:rPr>
        <w:t xml:space="preserve"> [Accessed May 15, 2018]</w:t>
      </w:r>
    </w:p>
  </w:footnote>
  <w:footnote w:id="74">
    <w:p w14:paraId="37EBD227" w14:textId="77777777" w:rsidR="003552BB" w:rsidRPr="00280823" w:rsidRDefault="003552BB"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Norwegian Consumer Council, “Deceived by Design” (June 27, 2018) </w:t>
      </w:r>
      <w:r w:rsidRPr="00280823">
        <w:rPr>
          <w:rFonts w:ascii="Times New Roman" w:hAnsi="Times New Roman" w:cs="Times New Roman"/>
          <w:i/>
        </w:rPr>
        <w:t xml:space="preserve">forbrukertilsynet.no </w:t>
      </w:r>
      <w:hyperlink r:id="rId25" w:history="1">
        <w:r w:rsidRPr="00280823">
          <w:rPr>
            <w:rStyle w:val="Hyperlink"/>
            <w:rFonts w:ascii="Times New Roman" w:hAnsi="Times New Roman" w:cs="Times New Roman"/>
            <w:i/>
          </w:rPr>
          <w:t>https://fil.forbrukerradet.no/wp-content/uploads/2018/06/2018-06-27-deceived-by-design-final.pdf</w:t>
        </w:r>
      </w:hyperlink>
      <w:r w:rsidRPr="00280823">
        <w:rPr>
          <w:rFonts w:ascii="Times New Roman" w:hAnsi="Times New Roman" w:cs="Times New Roman"/>
        </w:rPr>
        <w:t xml:space="preserve"> [Accessed July 2, 2018]</w:t>
      </w:r>
    </w:p>
  </w:footnote>
  <w:footnote w:id="75">
    <w:p w14:paraId="02B81004" w14:textId="54682C20"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Electoral Commission </w:t>
      </w:r>
      <w:r w:rsidRPr="00280823">
        <w:rPr>
          <w:rFonts w:ascii="Times New Roman" w:hAnsi="Times New Roman" w:cs="Times New Roman"/>
          <w:i/>
        </w:rPr>
        <w:t xml:space="preserve">electoralcommission.org.uk </w:t>
      </w:r>
      <w:hyperlink r:id="rId26" w:history="1">
        <w:r w:rsidRPr="00280823">
          <w:rPr>
            <w:rStyle w:val="Hyperlink"/>
            <w:rFonts w:ascii="Times New Roman" w:hAnsi="Times New Roman" w:cs="Times New Roman"/>
            <w:i/>
          </w:rPr>
          <w:t>http://search.electoralcommission.org.uk/Search/Spending?currentPage=3&amp;rows=30&amp;query=facebook&amp;sort=DateIncurred&amp;order=desc&amp;tab=1&amp;open=filter&amp;et=pp&amp;includeOutsideSection75=true&amp;evt=ukparliament&amp;ev=3568&amp;optCols=CampaigningName&amp;optCols=ExpenseCategoryName&amp;optCols=FullAddress&amp;optCols=AmountInEngland&amp;optCols=AmountInScotland&amp;optCols=AmountInWales&amp;optCols=AmountInNorthernIreland&amp;optCols=DateOfClaimForPayment&amp;optCols=DatePaid</w:t>
        </w:r>
      </w:hyperlink>
      <w:r w:rsidRPr="00280823">
        <w:rPr>
          <w:rFonts w:ascii="Times New Roman" w:hAnsi="Times New Roman" w:cs="Times New Roman"/>
        </w:rPr>
        <w:t xml:space="preserve"> [Accessed July 30, 2018]</w:t>
      </w:r>
    </w:p>
  </w:footnote>
  <w:footnote w:id="76">
    <w:p w14:paraId="1F9D8251" w14:textId="0296EA70" w:rsidR="00A66293" w:rsidRPr="00280823" w:rsidRDefault="00A66293" w:rsidP="00280823">
      <w:pPr>
        <w:pStyle w:val="FootnoteText"/>
        <w:jc w:val="both"/>
        <w:rPr>
          <w:rFonts w:ascii="Times New Roman" w:hAnsi="Times New Roman" w:cs="Times New Roman"/>
          <w:lang w:val="en-CA"/>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 Cummings, “On the referendum #20: the campaign, physics and data science – Vote Leave’s ‘Voter Intention Collection System’ (VICS) now available for all”, (Dominic Cummings’s Blog, October 29, 2016) </w:t>
      </w:r>
      <w:hyperlink r:id="rId27" w:history="1">
        <w:r w:rsidRPr="00280823">
          <w:rPr>
            <w:rStyle w:val="Hyperlink"/>
            <w:rFonts w:ascii="Times New Roman" w:hAnsi="Times New Roman" w:cs="Times New Roman"/>
            <w:i/>
          </w:rPr>
          <w:t>https://dominiccummings.com/2016/10/29/on-the-referendum-20-the-campaign-physics-and-data-science-vote-leaves-voter-intention-collection-system-vics-now-available-for-all</w:t>
        </w:r>
      </w:hyperlink>
      <w:r w:rsidRPr="00280823">
        <w:rPr>
          <w:rFonts w:ascii="Times New Roman" w:hAnsi="Times New Roman" w:cs="Times New Roman"/>
        </w:rPr>
        <w:t xml:space="preserve"> [Accessed July 17, 2017]</w:t>
      </w:r>
    </w:p>
  </w:footnote>
  <w:footnote w:id="77">
    <w:p w14:paraId="724E28CC" w14:textId="4963570C"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For a selection of the micro-targeted adverts sent by Aggregate IQ on behalf of the Leave campaign groups see “Ads supplied by Facebook to the DCMS Committee” (July 26, 2018) </w:t>
      </w:r>
      <w:hyperlink r:id="rId28" w:history="1">
        <w:r w:rsidRPr="00280823">
          <w:rPr>
            <w:rStyle w:val="Hyperlink"/>
            <w:rFonts w:ascii="Times New Roman" w:hAnsi="Times New Roman" w:cs="Times New Roman"/>
            <w:i/>
          </w:rPr>
          <w:t>https://www.parliament.uk/documents/commons-committees/culture-media-and-sport/Fake_news_evidence/Ads-supplied-by-Facebook-to-the-DCMS-Committee.pdf</w:t>
        </w:r>
      </w:hyperlink>
      <w:r w:rsidRPr="00280823">
        <w:rPr>
          <w:rFonts w:ascii="Times New Roman" w:hAnsi="Times New Roman" w:cs="Times New Roman"/>
        </w:rPr>
        <w:t xml:space="preserve"> [Accessed July 26, 2018]</w:t>
      </w:r>
    </w:p>
  </w:footnote>
  <w:footnote w:id="78">
    <w:p w14:paraId="7D05F2AA" w14:textId="112C597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Labour also relied on the use of sophisticated databases to target voters in the delivery of targeted messages, but it was reportedly inferior to the Voter Vault. </w:t>
      </w:r>
    </w:p>
  </w:footnote>
  <w:footnote w:id="79">
    <w:p w14:paraId="48E3CD73" w14:textId="00D17D85"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J. Lees-Marshment and R. T. Pettitt, "UK political marketing: a question of leadership?" in J. Lees-Marshment, C. Rudd and J. Stromback (eds) </w:t>
      </w:r>
      <w:r w:rsidRPr="00280823">
        <w:rPr>
          <w:rFonts w:ascii="Times New Roman" w:hAnsi="Times New Roman" w:cs="Times New Roman"/>
          <w:i/>
        </w:rPr>
        <w:t>Global Political Marketing</w:t>
      </w:r>
      <w:r w:rsidRPr="00280823">
        <w:rPr>
          <w:rFonts w:ascii="Times New Roman" w:hAnsi="Times New Roman" w:cs="Times New Roman"/>
        </w:rPr>
        <w:t xml:space="preserve"> (Abingdon: Routledge 2009)</w:t>
      </w:r>
    </w:p>
  </w:footnote>
  <w:footnote w:id="80">
    <w:p w14:paraId="50687591" w14:textId="77777777" w:rsidR="003C016F" w:rsidRPr="00280823" w:rsidRDefault="003C016F"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 Mullen, “Leave versus Remain: the digital battle” in D. Jackson, E. Thorsen and D. Wring (eds) </w:t>
      </w:r>
      <w:r w:rsidRPr="00280823">
        <w:rPr>
          <w:rFonts w:ascii="Times New Roman" w:hAnsi="Times New Roman" w:cs="Times New Roman"/>
          <w:i/>
        </w:rPr>
        <w:t xml:space="preserve">EU referendum analysis 2016: media, voters and campaigners </w:t>
      </w:r>
      <w:r w:rsidRPr="00280823">
        <w:rPr>
          <w:rFonts w:ascii="Times New Roman" w:hAnsi="Times New Roman" w:cs="Times New Roman"/>
        </w:rPr>
        <w:t>(June 2016)</w:t>
      </w:r>
      <w:r w:rsidRPr="00280823">
        <w:rPr>
          <w:rFonts w:ascii="Times New Roman" w:hAnsi="Times New Roman" w:cs="Times New Roman"/>
          <w:i/>
        </w:rPr>
        <w:t xml:space="preserve"> </w:t>
      </w:r>
      <w:hyperlink r:id="rId29" w:history="1">
        <w:r w:rsidRPr="00280823">
          <w:rPr>
            <w:rStyle w:val="Hyperlink"/>
            <w:rFonts w:ascii="Times New Roman" w:hAnsi="Times New Roman" w:cs="Times New Roman"/>
            <w:i/>
          </w:rPr>
          <w:t>http://www.referendumanalysis.eu/</w:t>
        </w:r>
      </w:hyperlink>
      <w:r w:rsidRPr="00280823">
        <w:rPr>
          <w:rFonts w:ascii="Times New Roman" w:hAnsi="Times New Roman" w:cs="Times New Roman"/>
          <w:i/>
        </w:rPr>
        <w:t xml:space="preserve">; </w:t>
      </w:r>
      <w:r w:rsidRPr="00280823">
        <w:rPr>
          <w:rFonts w:ascii="Times New Roman" w:hAnsi="Times New Roman" w:cs="Times New Roman"/>
        </w:rPr>
        <w:t xml:space="preserve">M. Wallace, “Vote Leave versus Stronger In: How the referendum campaigns’ ground operations measure up” (June 16, 2017) </w:t>
      </w:r>
      <w:r w:rsidRPr="00280823">
        <w:rPr>
          <w:rFonts w:ascii="Times New Roman" w:hAnsi="Times New Roman" w:cs="Times New Roman"/>
          <w:i/>
        </w:rPr>
        <w:t xml:space="preserve">ConservativeHome </w:t>
      </w:r>
      <w:hyperlink r:id="rId30" w:history="1">
        <w:r w:rsidRPr="00280823">
          <w:rPr>
            <w:rStyle w:val="Hyperlink"/>
            <w:rFonts w:ascii="Times New Roman" w:hAnsi="Times New Roman" w:cs="Times New Roman"/>
            <w:i/>
          </w:rPr>
          <w:t>https://www.conservativehome.com/thetorydiary/2016/06/vote-leave-versus-stronger-in-how-the-referendum-campaigns-ground-operations-measure-up.html</w:t>
        </w:r>
      </w:hyperlink>
      <w:r w:rsidRPr="00280823">
        <w:rPr>
          <w:rFonts w:ascii="Times New Roman" w:hAnsi="Times New Roman" w:cs="Times New Roman"/>
        </w:rPr>
        <w:t xml:space="preserve"> </w:t>
      </w:r>
    </w:p>
  </w:footnote>
  <w:footnote w:id="81">
    <w:p w14:paraId="47F81B62" w14:textId="3900201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w:t>
      </w:r>
      <w:r w:rsidR="00701A98" w:rsidRPr="00280823">
        <w:rPr>
          <w:rFonts w:ascii="Times New Roman" w:hAnsi="Times New Roman" w:cs="Times New Roman"/>
        </w:rPr>
        <w:t xml:space="preserve"> </w:t>
      </w:r>
      <w:r w:rsidR="00357DEA" w:rsidRPr="00280823">
        <w:rPr>
          <w:rFonts w:ascii="Times New Roman" w:hAnsi="Times New Roman" w:cs="Times New Roman"/>
        </w:rPr>
        <w:t>50</w:t>
      </w:r>
      <w:r w:rsidR="00701A98" w:rsidRPr="00280823">
        <w:rPr>
          <w:rFonts w:ascii="Times New Roman" w:hAnsi="Times New Roman" w:cs="Times New Roman"/>
        </w:rPr>
        <w:t xml:space="preserve"> (Peters)</w:t>
      </w:r>
      <w:r w:rsidRPr="00280823">
        <w:rPr>
          <w:rFonts w:ascii="Times New Roman" w:hAnsi="Times New Roman" w:cs="Times New Roman"/>
        </w:rPr>
        <w:t xml:space="preserve"> and the previous section on consent</w:t>
      </w:r>
    </w:p>
  </w:footnote>
  <w:footnote w:id="82">
    <w:p w14:paraId="143F542C" w14:textId="2E5A8D96"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32</w:t>
      </w:r>
    </w:p>
  </w:footnote>
  <w:footnote w:id="83">
    <w:p w14:paraId="7B94DC77" w14:textId="5B19CFEC"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Communications Act 2003, ss 319(2)(g), 321(2), 333. The broadcast has to comply with section 6 of the Ofcom Broadcasting code (2017)</w:t>
      </w:r>
    </w:p>
  </w:footnote>
  <w:footnote w:id="84">
    <w:p w14:paraId="23E7117C" w14:textId="7D6180E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Electoral Commission, “Political advertising: report and recommendations” (June 2004) </w:t>
      </w:r>
      <w:r w:rsidRPr="00280823">
        <w:rPr>
          <w:rFonts w:ascii="Times New Roman" w:hAnsi="Times New Roman" w:cs="Times New Roman"/>
          <w:i/>
        </w:rPr>
        <w:t xml:space="preserve">electoralcommission.org.uk </w:t>
      </w:r>
      <w:r w:rsidR="006D6DFF" w:rsidRPr="00280823">
        <w:rPr>
          <w:rStyle w:val="Hyperlink"/>
          <w:rFonts w:ascii="Times New Roman" w:hAnsi="Times New Roman" w:cs="Times New Roman"/>
          <w:i/>
        </w:rPr>
        <w:t xml:space="preserve">https://www.electoralcommission.org.uk/__data/assets/pdf_file/0007/213784/Political-Advertising-report-and-recommendations-June-2004.pdf </w:t>
      </w:r>
      <w:r w:rsidRPr="00280823">
        <w:rPr>
          <w:rFonts w:ascii="Times New Roman" w:hAnsi="Times New Roman" w:cs="Times New Roman"/>
        </w:rPr>
        <w:t>[Accessed August 13, 2017]</w:t>
      </w:r>
    </w:p>
  </w:footnote>
  <w:footnote w:id="85">
    <w:p w14:paraId="6210ED0E" w14:textId="3961D7B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Committee on Standards in Public Life, </w:t>
      </w:r>
      <w:r w:rsidRPr="00280823">
        <w:rPr>
          <w:rFonts w:ascii="Times New Roman" w:hAnsi="Times New Roman" w:cs="Times New Roman"/>
          <w:i/>
        </w:rPr>
        <w:t>The Funding of Political Parties in the United Kingdom</w:t>
      </w:r>
      <w:r w:rsidRPr="00280823">
        <w:rPr>
          <w:rFonts w:ascii="Times New Roman" w:hAnsi="Times New Roman" w:cs="Times New Roman"/>
        </w:rPr>
        <w:t>, (The Stationery Office, 1998), Cm 4057-I Recommendation 96</w:t>
      </w:r>
    </w:p>
  </w:footnote>
  <w:footnote w:id="86">
    <w:p w14:paraId="1C8F46D5" w14:textId="4E80D474" w:rsidR="00A66293" w:rsidRPr="00280823" w:rsidRDefault="00A66293" w:rsidP="00280823">
      <w:pPr>
        <w:pStyle w:val="FootnoteText"/>
        <w:jc w:val="both"/>
        <w:rPr>
          <w:rFonts w:ascii="Times New Roman" w:hAnsi="Times New Roman" w:cs="Times New Roman"/>
          <w:lang w:val="en-CA"/>
        </w:rPr>
      </w:pPr>
      <w:r w:rsidRPr="00280823">
        <w:rPr>
          <w:rStyle w:val="FootnoteReference"/>
          <w:rFonts w:ascii="Times New Roman" w:hAnsi="Times New Roman" w:cs="Times New Roman"/>
        </w:rPr>
        <w:footnoteRef/>
      </w:r>
      <w:r w:rsidRPr="00280823">
        <w:rPr>
          <w:rFonts w:ascii="Times New Roman" w:hAnsi="Times New Roman" w:cs="Times New Roman"/>
        </w:rPr>
        <w:t xml:space="preserve"> ASA News, “Political Advertising (ASA)” (July 21, 2014) </w:t>
      </w:r>
      <w:r w:rsidRPr="00280823">
        <w:rPr>
          <w:rFonts w:ascii="Times New Roman" w:hAnsi="Times New Roman" w:cs="Times New Roman"/>
          <w:i/>
        </w:rPr>
        <w:t xml:space="preserve">asa.org.uk </w:t>
      </w:r>
      <w:hyperlink r:id="rId31" w:history="1">
        <w:r w:rsidRPr="00280823">
          <w:rPr>
            <w:rStyle w:val="Hyperlink"/>
            <w:rFonts w:ascii="Times New Roman" w:hAnsi="Times New Roman" w:cs="Times New Roman"/>
            <w:i/>
          </w:rPr>
          <w:t>https://www.asa.org.uk/news/political-advertising.html</w:t>
        </w:r>
      </w:hyperlink>
      <w:r w:rsidRPr="00280823">
        <w:rPr>
          <w:rFonts w:ascii="Times New Roman" w:hAnsi="Times New Roman" w:cs="Times New Roman"/>
          <w:i/>
        </w:rPr>
        <w:t xml:space="preserve"> </w:t>
      </w:r>
      <w:r w:rsidRPr="00280823">
        <w:rPr>
          <w:rFonts w:ascii="Times New Roman" w:hAnsi="Times New Roman" w:cs="Times New Roman"/>
        </w:rPr>
        <w:t>[Accessed August 31, 2017]</w:t>
      </w:r>
    </w:p>
  </w:footnote>
  <w:footnote w:id="87">
    <w:p w14:paraId="535AADC1" w14:textId="3211D3FC"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w:t>
      </w:r>
      <w:r w:rsidR="006D6DFF" w:rsidRPr="00280823">
        <w:rPr>
          <w:rFonts w:ascii="Times New Roman" w:hAnsi="Times New Roman" w:cs="Times New Roman"/>
        </w:rPr>
        <w:t>84, p. 4</w:t>
      </w:r>
    </w:p>
  </w:footnote>
  <w:footnote w:id="88">
    <w:p w14:paraId="58C89E0D" w14:textId="209C0C2B"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w:t>
      </w:r>
      <w:r w:rsidR="006D6DFF" w:rsidRPr="00280823">
        <w:rPr>
          <w:rFonts w:ascii="Times New Roman" w:hAnsi="Times New Roman" w:cs="Times New Roman"/>
        </w:rPr>
        <w:t>84</w:t>
      </w:r>
      <w:r w:rsidR="00701A98" w:rsidRPr="00280823">
        <w:rPr>
          <w:rFonts w:ascii="Times New Roman" w:hAnsi="Times New Roman" w:cs="Times New Roman"/>
        </w:rPr>
        <w:t>,</w:t>
      </w:r>
      <w:r w:rsidRPr="00280823">
        <w:rPr>
          <w:rFonts w:ascii="Times New Roman" w:hAnsi="Times New Roman" w:cs="Times New Roman"/>
        </w:rPr>
        <w:t xml:space="preserve"> </w:t>
      </w:r>
      <w:r w:rsidR="006D6DFF" w:rsidRPr="00280823">
        <w:rPr>
          <w:rFonts w:ascii="Times New Roman" w:hAnsi="Times New Roman" w:cs="Times New Roman"/>
        </w:rPr>
        <w:t xml:space="preserve">para. </w:t>
      </w:r>
      <w:r w:rsidRPr="00280823">
        <w:rPr>
          <w:rFonts w:ascii="Times New Roman" w:hAnsi="Times New Roman" w:cs="Times New Roman"/>
        </w:rPr>
        <w:t>4.2</w:t>
      </w:r>
    </w:p>
  </w:footnote>
  <w:footnote w:id="89">
    <w:p w14:paraId="068954D1" w14:textId="7DE7E361" w:rsidR="00A66293" w:rsidRPr="00280823" w:rsidRDefault="00A66293" w:rsidP="00280823">
      <w:pPr>
        <w:pStyle w:val="FootnoteText"/>
        <w:jc w:val="both"/>
        <w:rPr>
          <w:rFonts w:ascii="Times New Roman" w:hAnsi="Times New Roman" w:cs="Times New Roman"/>
          <w:lang w:val="en-CA"/>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Government advertisements are caught by Rule 7.2 of the Non-broadcast Code as far as they are distinct from party policy. See ASA, “ASA Adjudication on Home Office” (October 9, 2013) </w:t>
      </w:r>
      <w:r w:rsidRPr="00280823">
        <w:rPr>
          <w:rFonts w:ascii="Times New Roman" w:hAnsi="Times New Roman" w:cs="Times New Roman"/>
          <w:i/>
        </w:rPr>
        <w:t xml:space="preserve">asa.org.uk </w:t>
      </w:r>
      <w:hyperlink r:id="rId32" w:history="1">
        <w:r w:rsidRPr="00280823">
          <w:rPr>
            <w:rStyle w:val="Hyperlink"/>
            <w:rFonts w:ascii="Times New Roman" w:hAnsi="Times New Roman" w:cs="Times New Roman"/>
            <w:i/>
          </w:rPr>
          <w:t>www.asa.org.uk/rulings/home-office-a13-237331.html</w:t>
        </w:r>
      </w:hyperlink>
      <w:r w:rsidRPr="00280823">
        <w:rPr>
          <w:rFonts w:ascii="Times New Roman" w:hAnsi="Times New Roman" w:cs="Times New Roman"/>
        </w:rPr>
        <w:t xml:space="preserve"> [Accessed August 17, 2017]</w:t>
      </w:r>
    </w:p>
  </w:footnote>
  <w:footnote w:id="90">
    <w:p w14:paraId="08D2259C" w14:textId="52A04E7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Committee on Standards in Public Life, </w:t>
      </w:r>
      <w:r w:rsidRPr="00280823">
        <w:rPr>
          <w:rFonts w:ascii="Times New Roman" w:hAnsi="Times New Roman" w:cs="Times New Roman"/>
          <w:i/>
        </w:rPr>
        <w:t>Intimidation in Public Life: A Review by the Committee on Standards in Public Life</w:t>
      </w:r>
      <w:r w:rsidRPr="00280823">
        <w:rPr>
          <w:rFonts w:ascii="Times New Roman" w:hAnsi="Times New Roman" w:cs="Times New Roman"/>
        </w:rPr>
        <w:t xml:space="preserve"> (The Stationery Office, 2017) Cm 9543</w:t>
      </w:r>
    </w:p>
  </w:footnote>
  <w:footnote w:id="91">
    <w:p w14:paraId="2A72562A" w14:textId="52EB02F0"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J. K. Morrison, R. Naik and S. Hankey ,“Data and Democracy in the Digital Age” (The Constitution Society, July 2018) </w:t>
      </w:r>
      <w:r w:rsidRPr="00280823">
        <w:rPr>
          <w:rFonts w:ascii="Times New Roman" w:hAnsi="Times New Roman" w:cs="Times New Roman"/>
          <w:i/>
        </w:rPr>
        <w:t xml:space="preserve">consoc.org.uk </w:t>
      </w:r>
      <w:hyperlink r:id="rId33" w:history="1">
        <w:r w:rsidRPr="00280823">
          <w:rPr>
            <w:rStyle w:val="Hyperlink"/>
            <w:rFonts w:ascii="Times New Roman" w:hAnsi="Times New Roman" w:cs="Times New Roman"/>
            <w:i/>
          </w:rPr>
          <w:t>https://consoc.org.uk/wp-content/uploads/2018/07/Stephanie-Hankey-Julianne-Kerr-Morrison-Ravi-Naik-Data-and-Democracy-in-the-Digital-Age.pdf</w:t>
        </w:r>
      </w:hyperlink>
      <w:r w:rsidRPr="00280823">
        <w:rPr>
          <w:rFonts w:ascii="Times New Roman" w:hAnsi="Times New Roman" w:cs="Times New Roman"/>
          <w:i/>
        </w:rPr>
        <w:t xml:space="preserve"> </w:t>
      </w:r>
      <w:r w:rsidRPr="00280823">
        <w:rPr>
          <w:rFonts w:ascii="Times New Roman" w:hAnsi="Times New Roman" w:cs="Times New Roman"/>
        </w:rPr>
        <w:t>[Accessed July 10, 2018]</w:t>
      </w:r>
    </w:p>
  </w:footnote>
  <w:footnote w:id="92">
    <w:p w14:paraId="2D5F636E" w14:textId="1046AD26"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w:t>
      </w:r>
      <w:r w:rsidR="00701A98" w:rsidRPr="00280823">
        <w:rPr>
          <w:rFonts w:ascii="Times New Roman" w:hAnsi="Times New Roman" w:cs="Times New Roman"/>
        </w:rPr>
        <w:t xml:space="preserve"> 41</w:t>
      </w:r>
      <w:r w:rsidRPr="00280823">
        <w:rPr>
          <w:rFonts w:ascii="Times New Roman" w:hAnsi="Times New Roman" w:cs="Times New Roman"/>
        </w:rPr>
        <w:t xml:space="preserve">, </w:t>
      </w:r>
      <w:r w:rsidR="00FC2A52" w:rsidRPr="00280823">
        <w:rPr>
          <w:rFonts w:ascii="Times New Roman" w:hAnsi="Times New Roman" w:cs="Times New Roman"/>
        </w:rPr>
        <w:t xml:space="preserve">p. </w:t>
      </w:r>
      <w:r w:rsidRPr="00280823">
        <w:rPr>
          <w:rFonts w:ascii="Times New Roman" w:hAnsi="Times New Roman" w:cs="Times New Roman"/>
        </w:rPr>
        <w:t>44</w:t>
      </w:r>
      <w:bookmarkStart w:id="1" w:name="_GoBack"/>
      <w:bookmarkEnd w:id="1"/>
    </w:p>
  </w:footnote>
  <w:footnote w:id="93">
    <w:p w14:paraId="125AF775" w14:textId="14E3A8EB"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Pr="00280823">
        <w:rPr>
          <w:rFonts w:ascii="Times New Roman" w:hAnsi="Times New Roman" w:cs="Times New Roman"/>
          <w:i/>
        </w:rPr>
        <w:t>Scottish National Party v Information Commissioner</w:t>
      </w:r>
      <w:r w:rsidRPr="00280823">
        <w:rPr>
          <w:rFonts w:ascii="Times New Roman" w:hAnsi="Times New Roman" w:cs="Times New Roman"/>
        </w:rPr>
        <w:t xml:space="preserve"> [2006] EA/2005/0021</w:t>
      </w:r>
    </w:p>
  </w:footnote>
  <w:footnote w:id="94">
    <w:p w14:paraId="486995DA"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DPA 1998, s. 27(5), GDPR arts. 9(2)(e), 14</w:t>
      </w:r>
    </w:p>
  </w:footnote>
  <w:footnote w:id="95">
    <w:p w14:paraId="15A6AE21" w14:textId="5E9FA04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22</w:t>
      </w:r>
      <w:r w:rsidRPr="00280823">
        <w:rPr>
          <w:rFonts w:ascii="Times New Roman" w:hAnsi="Times New Roman" w:cs="Times New Roman"/>
        </w:rPr>
        <w:t xml:space="preserve"> </w:t>
      </w:r>
    </w:p>
  </w:footnote>
  <w:footnote w:id="96">
    <w:p w14:paraId="0DFBCF99" w14:textId="50501DAC" w:rsidR="007E1C2C" w:rsidRPr="00280823" w:rsidRDefault="007E1C2C"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21</w:t>
      </w:r>
      <w:r w:rsidR="00637A0D" w:rsidRPr="00280823">
        <w:rPr>
          <w:rFonts w:ascii="Times New Roman" w:hAnsi="Times New Roman" w:cs="Times New Roman"/>
        </w:rPr>
        <w:t>(2), (3)</w:t>
      </w:r>
      <w:r w:rsidR="00D82990" w:rsidRPr="00280823">
        <w:rPr>
          <w:rFonts w:ascii="Times New Roman" w:hAnsi="Times New Roman" w:cs="Times New Roman"/>
        </w:rPr>
        <w:t xml:space="preserve">. </w:t>
      </w:r>
      <w:r w:rsidR="00D82990" w:rsidRPr="00280823">
        <w:rPr>
          <w:rFonts w:ascii="Times New Roman" w:hAnsi="Times New Roman" w:cs="Times New Roman"/>
        </w:rPr>
        <w:t xml:space="preserve">The Draft Regulation of the European Parliament and the Council concerning the respect for private life and the protection of personal data in electronic communications </w:t>
      </w:r>
      <w:r w:rsidR="00D82990" w:rsidRPr="00280823">
        <w:rPr>
          <w:rFonts w:ascii="Times New Roman" w:hAnsi="Times New Roman" w:cs="Times New Roman"/>
        </w:rPr>
        <w:t>(‘</w:t>
      </w:r>
      <w:r w:rsidR="00D82990" w:rsidRPr="00280823">
        <w:rPr>
          <w:rFonts w:ascii="Times New Roman" w:hAnsi="Times New Roman" w:cs="Times New Roman"/>
        </w:rPr>
        <w:t>ePrivacy Regulation</w:t>
      </w:r>
      <w:r w:rsidR="00D82990" w:rsidRPr="00280823">
        <w:rPr>
          <w:rFonts w:ascii="Times New Roman" w:hAnsi="Times New Roman" w:cs="Times New Roman"/>
        </w:rPr>
        <w:t>’)</w:t>
      </w:r>
      <w:r w:rsidR="00D82990" w:rsidRPr="00280823">
        <w:rPr>
          <w:rFonts w:ascii="Times New Roman" w:hAnsi="Times New Roman" w:cs="Times New Roman"/>
        </w:rPr>
        <w:t>, if enacted by the UK following its departure from the European Union, will apply to all electronic communications that amount to direct marketing, including targeted advertisements.</w:t>
      </w:r>
    </w:p>
  </w:footnote>
  <w:footnote w:id="97">
    <w:p w14:paraId="04B12B60" w14:textId="237E66CD" w:rsidR="007F06B5" w:rsidRPr="00280823" w:rsidRDefault="007F06B5"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Pr="00280823">
        <w:rPr>
          <w:rFonts w:ascii="Times New Roman" w:hAnsi="Times New Roman" w:cs="Times New Roman"/>
          <w:i/>
        </w:rPr>
        <w:t>Unabhängiges Landeszentrum für Datenschutz Schleswig-Holstein v Wirtschaftsakademie Schleswig-Holstein GmbH, in the presence of Facebook Ireland Ltd</w:t>
      </w:r>
      <w:r w:rsidRPr="00280823">
        <w:rPr>
          <w:rFonts w:ascii="Times New Roman" w:hAnsi="Times New Roman" w:cs="Times New Roman"/>
        </w:rPr>
        <w:t xml:space="preserve"> (Case C-210/16); The ICO found that political parties were using this tool but in non-transparent ways, see fn.</w:t>
      </w:r>
      <w:r w:rsidR="00701A98" w:rsidRPr="00280823">
        <w:rPr>
          <w:rFonts w:ascii="Times New Roman" w:hAnsi="Times New Roman" w:cs="Times New Roman"/>
        </w:rPr>
        <w:t xml:space="preserve"> 41</w:t>
      </w:r>
      <w:r w:rsidRPr="00280823">
        <w:rPr>
          <w:rFonts w:ascii="Times New Roman" w:hAnsi="Times New Roman" w:cs="Times New Roman"/>
        </w:rPr>
        <w:t>,</w:t>
      </w:r>
      <w:r w:rsidR="006D6DFF" w:rsidRPr="00280823">
        <w:rPr>
          <w:rFonts w:ascii="Times New Roman" w:hAnsi="Times New Roman" w:cs="Times New Roman"/>
        </w:rPr>
        <w:t xml:space="preserve"> p.</w:t>
      </w:r>
      <w:r w:rsidRPr="00280823">
        <w:rPr>
          <w:rFonts w:ascii="Times New Roman" w:hAnsi="Times New Roman" w:cs="Times New Roman"/>
        </w:rPr>
        <w:t xml:space="preserve"> 35</w:t>
      </w:r>
    </w:p>
  </w:footnote>
  <w:footnote w:id="98">
    <w:p w14:paraId="0F151046" w14:textId="77777777" w:rsidR="007F06B5" w:rsidRPr="00280823" w:rsidRDefault="007F06B5"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Representation of the People Act 1983, s.110</w:t>
      </w:r>
    </w:p>
  </w:footnote>
  <w:footnote w:id="99">
    <w:p w14:paraId="552880AD" w14:textId="430DE042"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arts 13, 30 </w:t>
      </w:r>
    </w:p>
  </w:footnote>
  <w:footnote w:id="100">
    <w:p w14:paraId="019EE159" w14:textId="4977FEE5" w:rsidR="00F11A3C" w:rsidRPr="00280823" w:rsidRDefault="00F11A3C"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GDPR art 21(1); DPA 2018, s. 99</w:t>
      </w:r>
    </w:p>
  </w:footnote>
  <w:footnote w:id="101">
    <w:p w14:paraId="19FBCA5C" w14:textId="683E84FE"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High Court’s considered the ban on paid party political broadcast advertising in </w:t>
      </w:r>
      <w:r w:rsidRPr="00280823">
        <w:rPr>
          <w:rFonts w:ascii="Times New Roman" w:hAnsi="Times New Roman" w:cs="Times New Roman"/>
          <w:i/>
        </w:rPr>
        <w:t>R. (on the application of Animal Defenders International) v Secretary of State for Culture, Media and Sport</w:t>
      </w:r>
      <w:r w:rsidRPr="00280823">
        <w:rPr>
          <w:rFonts w:ascii="Times New Roman" w:hAnsi="Times New Roman" w:cs="Times New Roman"/>
        </w:rPr>
        <w:t xml:space="preserve"> [2006] EWHC 3069 (Admin); [2007] E.M.L.R. 6 (DC)</w:t>
      </w:r>
    </w:p>
  </w:footnote>
  <w:footnote w:id="102">
    <w:p w14:paraId="6C0E7707" w14:textId="33782C3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13</w:t>
      </w:r>
      <w:r w:rsidR="009D4D10" w:rsidRPr="00280823">
        <w:rPr>
          <w:rFonts w:ascii="Times New Roman" w:hAnsi="Times New Roman" w:cs="Times New Roman"/>
        </w:rPr>
        <w:t>, p. 12</w:t>
      </w:r>
    </w:p>
  </w:footnote>
  <w:footnote w:id="103">
    <w:p w14:paraId="64DB7340" w14:textId="00100432"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European Commission, “A Multi-Dimensional approach to disinformation: Report of the independent High Level Expert Group on Fake News and Online Disinformation (March 12, 2018) </w:t>
      </w:r>
      <w:hyperlink r:id="rId34" w:history="1">
        <w:r w:rsidRPr="00280823">
          <w:rPr>
            <w:rStyle w:val="Hyperlink"/>
            <w:rFonts w:ascii="Times New Roman" w:hAnsi="Times New Roman" w:cs="Times New Roman"/>
            <w:i/>
          </w:rPr>
          <w:t>https://ec.europa.eu/digital-single-market/en/news/final-report-high-level-expert-group-fake-news-and-online-disinformation</w:t>
        </w:r>
      </w:hyperlink>
      <w:r w:rsidR="006D6DFF" w:rsidRPr="00280823">
        <w:rPr>
          <w:rFonts w:ascii="Times New Roman" w:hAnsi="Times New Roman" w:cs="Times New Roman"/>
        </w:rPr>
        <w:t xml:space="preserve"> </w:t>
      </w:r>
      <w:r w:rsidRPr="00280823">
        <w:rPr>
          <w:rFonts w:ascii="Times New Roman" w:hAnsi="Times New Roman" w:cs="Times New Roman"/>
        </w:rPr>
        <w:t>[Accessed July 31, 2018]</w:t>
      </w:r>
    </w:p>
  </w:footnote>
  <w:footnote w:id="104">
    <w:p w14:paraId="51E1401B" w14:textId="6E7F23A8"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DCMSC interim report on disinformation states “we are faced with a crisis concerning the use of data, the manipulation of our data, and the targeting</w:t>
      </w:r>
      <w:r w:rsidR="00701A98" w:rsidRPr="00280823">
        <w:rPr>
          <w:rFonts w:ascii="Times New Roman" w:hAnsi="Times New Roman" w:cs="Times New Roman"/>
        </w:rPr>
        <w:t xml:space="preserve"> of pernicious views.” See fn. 10</w:t>
      </w:r>
      <w:r w:rsidRPr="00280823">
        <w:rPr>
          <w:rFonts w:ascii="Times New Roman" w:hAnsi="Times New Roman" w:cs="Times New Roman"/>
        </w:rPr>
        <w:t xml:space="preserve">, </w:t>
      </w:r>
      <w:r w:rsidR="009D4D10" w:rsidRPr="00280823">
        <w:rPr>
          <w:rFonts w:ascii="Times New Roman" w:hAnsi="Times New Roman" w:cs="Times New Roman"/>
        </w:rPr>
        <w:t xml:space="preserve">p. </w:t>
      </w:r>
      <w:r w:rsidRPr="00280823">
        <w:rPr>
          <w:rFonts w:ascii="Times New Roman" w:hAnsi="Times New Roman" w:cs="Times New Roman"/>
        </w:rPr>
        <w:t>3</w:t>
      </w:r>
    </w:p>
  </w:footnote>
  <w:footnote w:id="105">
    <w:p w14:paraId="49652E30" w14:textId="2452B89F"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Electoral Commission, “Digital campaigning: Increasing transparency for voters” (June 2018) </w:t>
      </w:r>
      <w:r w:rsidRPr="00280823">
        <w:rPr>
          <w:rFonts w:ascii="Times New Roman" w:hAnsi="Times New Roman" w:cs="Times New Roman"/>
          <w:i/>
        </w:rPr>
        <w:t>electoralcommission.org.uk</w:t>
      </w:r>
      <w:r w:rsidRPr="00280823">
        <w:rPr>
          <w:rFonts w:ascii="Times New Roman" w:hAnsi="Times New Roman" w:cs="Times New Roman"/>
        </w:rPr>
        <w:t xml:space="preserve"> </w:t>
      </w:r>
      <w:hyperlink r:id="rId35" w:history="1">
        <w:r w:rsidRPr="00280823">
          <w:rPr>
            <w:rStyle w:val="Hyperlink"/>
            <w:rFonts w:ascii="Times New Roman" w:hAnsi="Times New Roman" w:cs="Times New Roman"/>
            <w:i/>
          </w:rPr>
          <w:t>https://www.electoralcommission.org.uk/find-information-by-subject/political-parties-campaigning-and-donations/digital-campaigning</w:t>
        </w:r>
      </w:hyperlink>
      <w:r w:rsidRPr="00280823">
        <w:rPr>
          <w:rFonts w:ascii="Times New Roman" w:hAnsi="Times New Roman" w:cs="Times New Roman"/>
          <w:i/>
        </w:rPr>
        <w:t xml:space="preserve"> </w:t>
      </w:r>
      <w:r w:rsidRPr="00280823">
        <w:rPr>
          <w:rFonts w:ascii="Times New Roman" w:hAnsi="Times New Roman" w:cs="Times New Roman"/>
        </w:rPr>
        <w:t>paras 27 -</w:t>
      </w:r>
      <w:r w:rsidRPr="00280823">
        <w:rPr>
          <w:rFonts w:ascii="Times New Roman" w:hAnsi="Times New Roman" w:cs="Times New Roman"/>
          <w:i/>
        </w:rPr>
        <w:t xml:space="preserve"> </w:t>
      </w:r>
      <w:r w:rsidRPr="00280823">
        <w:rPr>
          <w:rFonts w:ascii="Times New Roman" w:hAnsi="Times New Roman" w:cs="Times New Roman"/>
        </w:rPr>
        <w:t>31</w:t>
      </w:r>
    </w:p>
  </w:footnote>
  <w:footnote w:id="106">
    <w:p w14:paraId="49A9D43C" w14:textId="64232963"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Electoral Commission, “UK Parliamentary General Election 2015: Campaign spending report” (February 2016) </w:t>
      </w:r>
      <w:r w:rsidRPr="00280823">
        <w:rPr>
          <w:rFonts w:ascii="Times New Roman" w:hAnsi="Times New Roman" w:cs="Times New Roman"/>
          <w:i/>
        </w:rPr>
        <w:t xml:space="preserve">electoralcommission.org.uk </w:t>
      </w:r>
      <w:hyperlink r:id="rId36" w:history="1">
        <w:r w:rsidRPr="00280823">
          <w:rPr>
            <w:rStyle w:val="Hyperlink"/>
            <w:rFonts w:ascii="Times New Roman" w:hAnsi="Times New Roman" w:cs="Times New Roman"/>
            <w:i/>
          </w:rPr>
          <w:t>http://www.electoralcommission.org.uk/__data/assets/pdf_file/0006/197907/UKPGE-Spending-Report-2015.pdf</w:t>
        </w:r>
      </w:hyperlink>
      <w:r w:rsidRPr="00280823">
        <w:rPr>
          <w:rFonts w:ascii="Times New Roman" w:hAnsi="Times New Roman" w:cs="Times New Roman"/>
        </w:rPr>
        <w:t xml:space="preserve"> paras 3.26 – 3.32 and recommendation 3; see </w:t>
      </w:r>
      <w:r w:rsidR="00701A98" w:rsidRPr="00280823">
        <w:rPr>
          <w:rFonts w:ascii="Times New Roman" w:hAnsi="Times New Roman" w:cs="Times New Roman"/>
        </w:rPr>
        <w:t>fn. 105</w:t>
      </w:r>
    </w:p>
  </w:footnote>
  <w:footnote w:id="107">
    <w:p w14:paraId="133FD1C0"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Facebook’s new View Ads mechanism will enable users to view all of the advertiser's material.</w:t>
      </w:r>
    </w:p>
  </w:footnote>
  <w:footnote w:id="108">
    <w:p w14:paraId="125E5EF6" w14:textId="3FA146E4"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w:t>
      </w:r>
      <w:r w:rsidR="00701A98" w:rsidRPr="00280823">
        <w:rPr>
          <w:rFonts w:ascii="Times New Roman" w:hAnsi="Times New Roman" w:cs="Times New Roman"/>
        </w:rPr>
        <w:t>fn. 105 and fn. 10</w:t>
      </w:r>
    </w:p>
  </w:footnote>
  <w:footnote w:id="109">
    <w:p w14:paraId="46F22E2C"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Representation of the People Act 1983, Representation of the People Act 2000 and the Political Parties Elections and Referendums Act 2000</w:t>
      </w:r>
    </w:p>
  </w:footnote>
  <w:footnote w:id="110">
    <w:p w14:paraId="7C644885" w14:textId="5BE6D545"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Corrupt Practices Act 1854, THE Parliamentary Elections Act 1868, The Ballot Act 1872, Corrupt and Illegal Practices Act 1883 and The Corrupt Practices Act 1883. The Representation of the People Act came in 1918.</w:t>
      </w:r>
    </w:p>
  </w:footnote>
  <w:footnote w:id="111">
    <w:p w14:paraId="2BC62711" w14:textId="52DCE814"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B. Watt, “UK Election Law: A Critical Examination” (London: Cavendish Publishing, 2006)</w:t>
      </w:r>
    </w:p>
  </w:footnote>
  <w:footnote w:id="112">
    <w:p w14:paraId="6BD57F41" w14:textId="12E8120B"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Law Commission, Scottish Law Commission and Northern Ireland Law Commission “Electoral Law: interim report” (February 4, 2016) </w:t>
      </w:r>
      <w:r w:rsidRPr="00280823">
        <w:rPr>
          <w:rFonts w:ascii="Times New Roman" w:hAnsi="Times New Roman" w:cs="Times New Roman"/>
          <w:i/>
        </w:rPr>
        <w:t xml:space="preserve">lawcom.gov.uk </w:t>
      </w:r>
      <w:hyperlink r:id="rId37" w:history="1">
        <w:r w:rsidRPr="00280823">
          <w:rPr>
            <w:rStyle w:val="Hyperlink"/>
            <w:rFonts w:ascii="Times New Roman" w:hAnsi="Times New Roman" w:cs="Times New Roman"/>
            <w:i/>
          </w:rPr>
          <w:t>http://www.lawcom.gov.uk/app/uploads/2016/02/electoral_law_interim_report.pdf</w:t>
        </w:r>
      </w:hyperlink>
      <w:r w:rsidRPr="00280823">
        <w:rPr>
          <w:rFonts w:ascii="Times New Roman" w:hAnsi="Times New Roman" w:cs="Times New Roman"/>
        </w:rPr>
        <w:t xml:space="preserve"> [Accessed July 31, 2018]</w:t>
      </w:r>
    </w:p>
  </w:footnote>
  <w:footnote w:id="113">
    <w:p w14:paraId="5B5F5500" w14:textId="0B1768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10</w:t>
      </w:r>
      <w:r w:rsidRPr="00280823">
        <w:rPr>
          <w:rFonts w:ascii="Times New Roman" w:hAnsi="Times New Roman" w:cs="Times New Roman"/>
        </w:rPr>
        <w:t xml:space="preserve"> paras 141 - 142</w:t>
      </w:r>
    </w:p>
  </w:footnote>
  <w:footnote w:id="114">
    <w:p w14:paraId="734CD091" w14:textId="4053B583"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10</w:t>
      </w:r>
    </w:p>
  </w:footnote>
  <w:footnote w:id="115">
    <w:p w14:paraId="64EA3645" w14:textId="506A7CE9"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701A98" w:rsidRPr="00280823">
        <w:rPr>
          <w:rFonts w:ascii="Times New Roman" w:hAnsi="Times New Roman" w:cs="Times New Roman"/>
        </w:rPr>
        <w:t>See fn. 41</w:t>
      </w:r>
      <w:r w:rsidRPr="00280823">
        <w:rPr>
          <w:rFonts w:ascii="Times New Roman" w:hAnsi="Times New Roman" w:cs="Times New Roman"/>
        </w:rPr>
        <w:t xml:space="preserve">, </w:t>
      </w:r>
      <w:r w:rsidR="006D6DFF" w:rsidRPr="00280823">
        <w:rPr>
          <w:rFonts w:ascii="Times New Roman" w:hAnsi="Times New Roman" w:cs="Times New Roman"/>
        </w:rPr>
        <w:t xml:space="preserve">p. </w:t>
      </w:r>
      <w:r w:rsidRPr="00280823">
        <w:rPr>
          <w:rFonts w:ascii="Times New Roman" w:hAnsi="Times New Roman" w:cs="Times New Roman"/>
        </w:rPr>
        <w:t>42</w:t>
      </w:r>
    </w:p>
  </w:footnote>
  <w:footnote w:id="116">
    <w:p w14:paraId="0830EEFA" w14:textId="390C4FC4"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701A98" w:rsidRPr="00280823">
        <w:rPr>
          <w:rFonts w:ascii="Times New Roman" w:hAnsi="Times New Roman" w:cs="Times New Roman"/>
        </w:rPr>
        <w:t>See fn. 41</w:t>
      </w:r>
      <w:r w:rsidRPr="00280823">
        <w:rPr>
          <w:rFonts w:ascii="Times New Roman" w:hAnsi="Times New Roman" w:cs="Times New Roman"/>
        </w:rPr>
        <w:t>, recommendation 6</w:t>
      </w:r>
    </w:p>
  </w:footnote>
  <w:footnote w:id="117">
    <w:p w14:paraId="584CB49A" w14:textId="6018A1FD"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10</w:t>
      </w:r>
      <w:r w:rsidRPr="00280823">
        <w:rPr>
          <w:rFonts w:ascii="Times New Roman" w:hAnsi="Times New Roman" w:cs="Times New Roman"/>
        </w:rPr>
        <w:t xml:space="preserve"> paras 51 - 60</w:t>
      </w:r>
    </w:p>
  </w:footnote>
  <w:footnote w:id="118">
    <w:p w14:paraId="11B9523D"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 Levin, “Civil Rights Groups Urge Facebook to Fix ‘Racially Biased’ Moderation System,” (Guardian,</w:t>
      </w:r>
    </w:p>
    <w:p w14:paraId="0D949CEB" w14:textId="77777777" w:rsidR="00A66293" w:rsidRPr="00280823" w:rsidRDefault="00A66293" w:rsidP="00280823">
      <w:pPr>
        <w:pStyle w:val="FootnoteText"/>
        <w:jc w:val="both"/>
        <w:rPr>
          <w:rFonts w:ascii="Times New Roman" w:hAnsi="Times New Roman" w:cs="Times New Roman"/>
        </w:rPr>
      </w:pPr>
      <w:r w:rsidRPr="00280823">
        <w:rPr>
          <w:rFonts w:ascii="Times New Roman" w:hAnsi="Times New Roman" w:cs="Times New Roman"/>
        </w:rPr>
        <w:t xml:space="preserve">January 18, 2017) </w:t>
      </w:r>
      <w:hyperlink r:id="rId38" w:history="1">
        <w:r w:rsidRPr="00280823">
          <w:rPr>
            <w:rStyle w:val="Hyperlink"/>
            <w:rFonts w:ascii="Times New Roman" w:hAnsi="Times New Roman" w:cs="Times New Roman"/>
            <w:i/>
          </w:rPr>
          <w:t>https://www.theguardian.com/technology/2017/jan/18/facebook-moderation-racial-bias-black-lives-matter</w:t>
        </w:r>
      </w:hyperlink>
      <w:r w:rsidRPr="00280823">
        <w:rPr>
          <w:rFonts w:ascii="Times New Roman" w:hAnsi="Times New Roman" w:cs="Times New Roman"/>
        </w:rPr>
        <w:t xml:space="preserve">  [Accessed May 27, 2018]; D. Keller “Internet Platforms: Observations on Speech, Danger, and Money” (2018) Aegis Series Paper No. 1807</w:t>
      </w:r>
    </w:p>
  </w:footnote>
  <w:footnote w:id="119">
    <w:p w14:paraId="1954A409" w14:textId="0B356637" w:rsidR="00A66293" w:rsidRPr="00280823" w:rsidRDefault="00A66293" w:rsidP="00280823">
      <w:pPr>
        <w:pStyle w:val="FootnoteText"/>
        <w:jc w:val="both"/>
        <w:rPr>
          <w:rStyle w:val="FootnoteReference"/>
          <w:rFonts w:ascii="Times New Roman" w:hAnsi="Times New Roman" w:cs="Times New Roman"/>
          <w:vertAlign w:val="baseline"/>
        </w:rPr>
      </w:pPr>
      <w:r w:rsidRPr="00280823">
        <w:rPr>
          <w:rStyle w:val="FootnoteReference"/>
          <w:rFonts w:ascii="Times New Roman" w:hAnsi="Times New Roman" w:cs="Times New Roman"/>
        </w:rPr>
        <w:footnoteRef/>
      </w:r>
      <w:r w:rsidRPr="00280823">
        <w:rPr>
          <w:rStyle w:val="FootnoteReference"/>
          <w:rFonts w:ascii="Times New Roman" w:hAnsi="Times New Roman" w:cs="Times New Roman"/>
          <w:vertAlign w:val="baseline"/>
        </w:rPr>
        <w:t xml:space="preserve"> </w:t>
      </w:r>
      <w:r w:rsidRPr="00280823">
        <w:rPr>
          <w:rFonts w:ascii="Times New Roman" w:hAnsi="Times New Roman" w:cs="Times New Roman"/>
        </w:rPr>
        <w:t>See fn.</w:t>
      </w:r>
      <w:r w:rsidR="00467C09" w:rsidRPr="00280823">
        <w:rPr>
          <w:rStyle w:val="FootnoteReference"/>
          <w:rFonts w:ascii="Times New Roman" w:hAnsi="Times New Roman" w:cs="Times New Roman"/>
          <w:vertAlign w:val="baseline"/>
        </w:rPr>
        <w:t xml:space="preserve"> 13</w:t>
      </w:r>
      <w:r w:rsidRPr="00280823">
        <w:rPr>
          <w:rFonts w:ascii="Times New Roman" w:hAnsi="Times New Roman" w:cs="Times New Roman"/>
        </w:rPr>
        <w:t xml:space="preserve">, </w:t>
      </w:r>
      <w:r w:rsidR="009D4D10" w:rsidRPr="00280823">
        <w:rPr>
          <w:rFonts w:ascii="Times New Roman" w:hAnsi="Times New Roman" w:cs="Times New Roman"/>
        </w:rPr>
        <w:t xml:space="preserve">p. </w:t>
      </w:r>
      <w:r w:rsidRPr="00280823">
        <w:rPr>
          <w:rStyle w:val="FootnoteReference"/>
          <w:rFonts w:ascii="Times New Roman" w:hAnsi="Times New Roman" w:cs="Times New Roman"/>
          <w:vertAlign w:val="baseline"/>
        </w:rPr>
        <w:t>13</w:t>
      </w:r>
      <w:r w:rsidRPr="00280823">
        <w:rPr>
          <w:rFonts w:ascii="Times New Roman" w:hAnsi="Times New Roman" w:cs="Times New Roman"/>
        </w:rPr>
        <w:t>; A. D. I Kramer, J. E. Guillory and J. T. Hancock, “Experimental evidence of massive-scale emotional contagion through social networks” (2014) PNAS 8788</w:t>
      </w:r>
    </w:p>
  </w:footnote>
  <w:footnote w:id="120">
    <w:p w14:paraId="5F25BDBE"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Pr="00280823">
        <w:rPr>
          <w:rStyle w:val="FootnoteReference"/>
          <w:rFonts w:ascii="Times New Roman" w:hAnsi="Times New Roman" w:cs="Times New Roman"/>
          <w:vertAlign w:val="baseline"/>
        </w:rPr>
        <w:t>R. M. Bond, C. J. Fariss, J. J. Jones, A. D. I. Kramer, C. Marlow, J. E. Settle and J. H. Fowler, “61-million-person experiment in social influence and political mobilization” (2012) Nature 489 295-298.</w:t>
      </w:r>
    </w:p>
  </w:footnote>
  <w:footnote w:id="121">
    <w:p w14:paraId="2FFFD987" w14:textId="2F3BABB3"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C. Nuttall, “Google and Facebook ban Irish vote ads” (Financial Times, May 10, 2018) </w:t>
      </w:r>
      <w:hyperlink r:id="rId39" w:history="1">
        <w:r w:rsidRPr="00280823">
          <w:rPr>
            <w:rStyle w:val="Hyperlink"/>
            <w:rFonts w:ascii="Times New Roman" w:hAnsi="Times New Roman" w:cs="Times New Roman"/>
            <w:i/>
          </w:rPr>
          <w:t>https://www.ft.com/content/c6ffc5d8-544d-11e8-b3ee-41e0209208ec</w:t>
        </w:r>
      </w:hyperlink>
      <w:r w:rsidRPr="00280823">
        <w:rPr>
          <w:rFonts w:ascii="Times New Roman" w:hAnsi="Times New Roman" w:cs="Times New Roman"/>
        </w:rPr>
        <w:t xml:space="preserve">  [Accessed July 26, 2018]</w:t>
      </w:r>
    </w:p>
  </w:footnote>
  <w:footnote w:id="122">
    <w:p w14:paraId="0548D5CE" w14:textId="77777777"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The crux of the issue around the status of internet intermediaries as platforms or publishers comes down to the reach of their responsibilities, and liability, as platforms that host, package, select and disseminate content. There are segments of specific regulations that chip away at the status of internet giants as intermediaries by creating duties to remove illegal content. DCMSC’s interim report concludes that an intermediary is neither a publisher nor a platform but falls within a category of its own, with distinct responsibilities and legal liabilities. </w:t>
      </w:r>
    </w:p>
  </w:footnote>
  <w:footnote w:id="123">
    <w:p w14:paraId="467B7B08" w14:textId="1A74A109"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41</w:t>
      </w:r>
    </w:p>
  </w:footnote>
  <w:footnote w:id="124">
    <w:p w14:paraId="6BEEABD7" w14:textId="5FADB441"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R. A. Watt “Reflections on a New Structure for the United Kingdom’s Electoral Law: A Report prepared for the Electoral Commission” (June 26, 2013) </w:t>
      </w:r>
      <w:r w:rsidRPr="00280823">
        <w:rPr>
          <w:rFonts w:ascii="Times New Roman" w:hAnsi="Times New Roman" w:cs="Times New Roman"/>
          <w:i/>
        </w:rPr>
        <w:t xml:space="preserve">electoralcommission.org.uk </w:t>
      </w:r>
      <w:hyperlink r:id="rId40" w:history="1">
        <w:r w:rsidRPr="00280823">
          <w:rPr>
            <w:rStyle w:val="Hyperlink"/>
            <w:rFonts w:ascii="Times New Roman" w:hAnsi="Times New Roman" w:cs="Times New Roman"/>
            <w:i/>
          </w:rPr>
          <w:t>http://www.electoralcommission.org.uk/__data/assets/pdf_file/0007/162178/Reflections-on-a-New-Structure-for-the-UKs-Electoral-Law.pdf</w:t>
        </w:r>
      </w:hyperlink>
      <w:r w:rsidRPr="00280823">
        <w:rPr>
          <w:rFonts w:ascii="Times New Roman" w:hAnsi="Times New Roman" w:cs="Times New Roman"/>
          <w:color w:val="FF0000"/>
        </w:rPr>
        <w:t xml:space="preserve"> </w:t>
      </w:r>
      <w:r w:rsidRPr="00280823">
        <w:rPr>
          <w:rFonts w:ascii="Times New Roman" w:hAnsi="Times New Roman" w:cs="Times New Roman"/>
        </w:rPr>
        <w:t>[Accessed September 21, 2018] para 3.8.10.6</w:t>
      </w:r>
    </w:p>
  </w:footnote>
  <w:footnote w:id="125">
    <w:p w14:paraId="34FBEDD8" w14:textId="71B8C83C" w:rsidR="00A66293" w:rsidRPr="00280823" w:rsidRDefault="00A66293"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00701A98" w:rsidRPr="00280823">
        <w:rPr>
          <w:rFonts w:ascii="Times New Roman" w:hAnsi="Times New Roman" w:cs="Times New Roman"/>
        </w:rPr>
        <w:t xml:space="preserve"> See fn. 124</w:t>
      </w:r>
      <w:r w:rsidRPr="00280823">
        <w:rPr>
          <w:rFonts w:ascii="Times New Roman" w:hAnsi="Times New Roman" w:cs="Times New Roman"/>
        </w:rPr>
        <w:t>, para 3.8.10.7</w:t>
      </w:r>
    </w:p>
  </w:footnote>
  <w:footnote w:id="126">
    <w:p w14:paraId="31A23DDE" w14:textId="4BE3E8A1" w:rsidR="006D6DFF" w:rsidRPr="00280823" w:rsidRDefault="006D6DFF"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See fn. 124, para 3.8.10.8</w:t>
      </w:r>
    </w:p>
  </w:footnote>
  <w:footnote w:id="127">
    <w:p w14:paraId="5188951A" w14:textId="5947CDE4" w:rsidR="00D82990" w:rsidRPr="00280823" w:rsidRDefault="00D82990"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DPA 2018, s. 189</w:t>
      </w:r>
      <w:r w:rsidR="006D6DFF" w:rsidRPr="00280823">
        <w:rPr>
          <w:rFonts w:ascii="Times New Roman" w:hAnsi="Times New Roman" w:cs="Times New Roman"/>
        </w:rPr>
        <w:t xml:space="preserve"> -</w:t>
      </w:r>
      <w:r w:rsidRPr="00280823">
        <w:rPr>
          <w:rFonts w:ascii="Times New Roman" w:hAnsi="Times New Roman" w:cs="Times New Roman"/>
        </w:rPr>
        <w:t xml:space="preserve"> 190</w:t>
      </w:r>
    </w:p>
  </w:footnote>
  <w:footnote w:id="128">
    <w:p w14:paraId="7FCCE4B4" w14:textId="49E5DFFE" w:rsidR="00D82990" w:rsidRPr="00280823" w:rsidRDefault="00D82990" w:rsidP="00280823">
      <w:pPr>
        <w:pStyle w:val="FootnoteText"/>
        <w:jc w:val="both"/>
        <w:rPr>
          <w:rFonts w:ascii="Times New Roman" w:hAnsi="Times New Roman" w:cs="Times New Roman"/>
        </w:rPr>
      </w:pPr>
      <w:r w:rsidRPr="00280823">
        <w:rPr>
          <w:rStyle w:val="FootnoteReference"/>
          <w:rFonts w:ascii="Times New Roman" w:hAnsi="Times New Roman" w:cs="Times New Roman"/>
        </w:rPr>
        <w:footnoteRef/>
      </w:r>
      <w:r w:rsidRPr="00280823">
        <w:rPr>
          <w:rFonts w:ascii="Times New Roman" w:hAnsi="Times New Roman" w:cs="Times New Roman"/>
        </w:rPr>
        <w:t xml:space="preserve"> </w:t>
      </w:r>
      <w:r w:rsidR="006D6DFF" w:rsidRPr="00280823">
        <w:rPr>
          <w:rFonts w:ascii="Times New Roman" w:hAnsi="Times New Roman" w:cs="Times New Roman"/>
        </w:rPr>
        <w:t>See fn. 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E249" w14:textId="77777777" w:rsidR="00242D3B" w:rsidRDefault="00242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C506" w14:textId="77777777" w:rsidR="00242D3B" w:rsidRDefault="00242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A004" w14:textId="77777777" w:rsidR="00242D3B" w:rsidRDefault="00242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DD7"/>
    <w:multiLevelType w:val="hybridMultilevel"/>
    <w:tmpl w:val="B1F0CF22"/>
    <w:lvl w:ilvl="0" w:tplc="5888BEFC">
      <w:start w:val="1"/>
      <w:numFmt w:val="upperLetter"/>
      <w:lvlText w:val="%1."/>
      <w:lvlJc w:val="left"/>
      <w:pPr>
        <w:ind w:left="720" w:hanging="360"/>
      </w:pPr>
      <w:rPr>
        <w:rFonts w:hint="default"/>
      </w:rPr>
    </w:lvl>
    <w:lvl w:ilvl="1" w:tplc="791E00D4" w:tentative="1">
      <w:start w:val="1"/>
      <w:numFmt w:val="lowerLetter"/>
      <w:lvlText w:val="%2."/>
      <w:lvlJc w:val="left"/>
      <w:pPr>
        <w:ind w:left="1440" w:hanging="360"/>
      </w:pPr>
    </w:lvl>
    <w:lvl w:ilvl="2" w:tplc="056EACC8" w:tentative="1">
      <w:start w:val="1"/>
      <w:numFmt w:val="lowerRoman"/>
      <w:lvlText w:val="%3."/>
      <w:lvlJc w:val="right"/>
      <w:pPr>
        <w:ind w:left="2160" w:hanging="180"/>
      </w:pPr>
    </w:lvl>
    <w:lvl w:ilvl="3" w:tplc="13223EA4" w:tentative="1">
      <w:start w:val="1"/>
      <w:numFmt w:val="decimal"/>
      <w:lvlText w:val="%4."/>
      <w:lvlJc w:val="left"/>
      <w:pPr>
        <w:ind w:left="2880" w:hanging="360"/>
      </w:pPr>
    </w:lvl>
    <w:lvl w:ilvl="4" w:tplc="A2A401BE" w:tentative="1">
      <w:start w:val="1"/>
      <w:numFmt w:val="lowerLetter"/>
      <w:lvlText w:val="%5."/>
      <w:lvlJc w:val="left"/>
      <w:pPr>
        <w:ind w:left="3600" w:hanging="360"/>
      </w:pPr>
    </w:lvl>
    <w:lvl w:ilvl="5" w:tplc="0E3EC33C" w:tentative="1">
      <w:start w:val="1"/>
      <w:numFmt w:val="lowerRoman"/>
      <w:lvlText w:val="%6."/>
      <w:lvlJc w:val="right"/>
      <w:pPr>
        <w:ind w:left="4320" w:hanging="180"/>
      </w:pPr>
    </w:lvl>
    <w:lvl w:ilvl="6" w:tplc="7D2A5612" w:tentative="1">
      <w:start w:val="1"/>
      <w:numFmt w:val="decimal"/>
      <w:lvlText w:val="%7."/>
      <w:lvlJc w:val="left"/>
      <w:pPr>
        <w:ind w:left="5040" w:hanging="360"/>
      </w:pPr>
    </w:lvl>
    <w:lvl w:ilvl="7" w:tplc="4AAC0EE8" w:tentative="1">
      <w:start w:val="1"/>
      <w:numFmt w:val="lowerLetter"/>
      <w:lvlText w:val="%8."/>
      <w:lvlJc w:val="left"/>
      <w:pPr>
        <w:ind w:left="5760" w:hanging="360"/>
      </w:pPr>
    </w:lvl>
    <w:lvl w:ilvl="8" w:tplc="35A08D88" w:tentative="1">
      <w:start w:val="1"/>
      <w:numFmt w:val="lowerRoman"/>
      <w:lvlText w:val="%9."/>
      <w:lvlJc w:val="right"/>
      <w:pPr>
        <w:ind w:left="6480" w:hanging="180"/>
      </w:pPr>
    </w:lvl>
  </w:abstractNum>
  <w:abstractNum w:abstractNumId="1" w15:restartNumberingAfterBreak="0">
    <w:nsid w:val="1D1572B6"/>
    <w:multiLevelType w:val="hybridMultilevel"/>
    <w:tmpl w:val="712AB8D4"/>
    <w:lvl w:ilvl="0" w:tplc="6E9E3B06">
      <w:start w:val="1"/>
      <w:numFmt w:val="lowerLetter"/>
      <w:lvlText w:val="%1."/>
      <w:lvlJc w:val="left"/>
      <w:pPr>
        <w:ind w:left="720" w:hanging="360"/>
      </w:pPr>
      <w:rPr>
        <w:rFonts w:hint="default"/>
      </w:rPr>
    </w:lvl>
    <w:lvl w:ilvl="1" w:tplc="C8F88E7C" w:tentative="1">
      <w:start w:val="1"/>
      <w:numFmt w:val="lowerLetter"/>
      <w:lvlText w:val="%2."/>
      <w:lvlJc w:val="left"/>
      <w:pPr>
        <w:ind w:left="1440" w:hanging="360"/>
      </w:pPr>
    </w:lvl>
    <w:lvl w:ilvl="2" w:tplc="CB3C3D26" w:tentative="1">
      <w:start w:val="1"/>
      <w:numFmt w:val="lowerRoman"/>
      <w:lvlText w:val="%3."/>
      <w:lvlJc w:val="right"/>
      <w:pPr>
        <w:ind w:left="2160" w:hanging="180"/>
      </w:pPr>
    </w:lvl>
    <w:lvl w:ilvl="3" w:tplc="42EE3AB0" w:tentative="1">
      <w:start w:val="1"/>
      <w:numFmt w:val="decimal"/>
      <w:lvlText w:val="%4."/>
      <w:lvlJc w:val="left"/>
      <w:pPr>
        <w:ind w:left="2880" w:hanging="360"/>
      </w:pPr>
    </w:lvl>
    <w:lvl w:ilvl="4" w:tplc="DA16115A" w:tentative="1">
      <w:start w:val="1"/>
      <w:numFmt w:val="lowerLetter"/>
      <w:lvlText w:val="%5."/>
      <w:lvlJc w:val="left"/>
      <w:pPr>
        <w:ind w:left="3600" w:hanging="360"/>
      </w:pPr>
    </w:lvl>
    <w:lvl w:ilvl="5" w:tplc="F5F663C4" w:tentative="1">
      <w:start w:val="1"/>
      <w:numFmt w:val="lowerRoman"/>
      <w:lvlText w:val="%6."/>
      <w:lvlJc w:val="right"/>
      <w:pPr>
        <w:ind w:left="4320" w:hanging="180"/>
      </w:pPr>
    </w:lvl>
    <w:lvl w:ilvl="6" w:tplc="E6D88A12" w:tentative="1">
      <w:start w:val="1"/>
      <w:numFmt w:val="decimal"/>
      <w:lvlText w:val="%7."/>
      <w:lvlJc w:val="left"/>
      <w:pPr>
        <w:ind w:left="5040" w:hanging="360"/>
      </w:pPr>
    </w:lvl>
    <w:lvl w:ilvl="7" w:tplc="689A430C" w:tentative="1">
      <w:start w:val="1"/>
      <w:numFmt w:val="lowerLetter"/>
      <w:lvlText w:val="%8."/>
      <w:lvlJc w:val="left"/>
      <w:pPr>
        <w:ind w:left="5760" w:hanging="360"/>
      </w:pPr>
    </w:lvl>
    <w:lvl w:ilvl="8" w:tplc="A37A0C20" w:tentative="1">
      <w:start w:val="1"/>
      <w:numFmt w:val="lowerRoman"/>
      <w:lvlText w:val="%9."/>
      <w:lvlJc w:val="right"/>
      <w:pPr>
        <w:ind w:left="6480" w:hanging="180"/>
      </w:pPr>
    </w:lvl>
  </w:abstractNum>
  <w:abstractNum w:abstractNumId="2" w15:restartNumberingAfterBreak="0">
    <w:nsid w:val="1FF23BF4"/>
    <w:multiLevelType w:val="multilevel"/>
    <w:tmpl w:val="77F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77622"/>
    <w:multiLevelType w:val="hybridMultilevel"/>
    <w:tmpl w:val="45E82190"/>
    <w:lvl w:ilvl="0" w:tplc="92263128">
      <w:start w:val="1"/>
      <w:numFmt w:val="lowerLetter"/>
      <w:lvlText w:val="%1."/>
      <w:lvlJc w:val="left"/>
      <w:pPr>
        <w:ind w:left="720" w:hanging="360"/>
      </w:pPr>
      <w:rPr>
        <w:rFonts w:hint="default"/>
      </w:rPr>
    </w:lvl>
    <w:lvl w:ilvl="1" w:tplc="5954502E" w:tentative="1">
      <w:start w:val="1"/>
      <w:numFmt w:val="lowerLetter"/>
      <w:lvlText w:val="%2."/>
      <w:lvlJc w:val="left"/>
      <w:pPr>
        <w:ind w:left="1440" w:hanging="360"/>
      </w:pPr>
    </w:lvl>
    <w:lvl w:ilvl="2" w:tplc="78E6A950" w:tentative="1">
      <w:start w:val="1"/>
      <w:numFmt w:val="lowerRoman"/>
      <w:lvlText w:val="%3."/>
      <w:lvlJc w:val="right"/>
      <w:pPr>
        <w:ind w:left="2160" w:hanging="180"/>
      </w:pPr>
    </w:lvl>
    <w:lvl w:ilvl="3" w:tplc="0EE82520" w:tentative="1">
      <w:start w:val="1"/>
      <w:numFmt w:val="decimal"/>
      <w:lvlText w:val="%4."/>
      <w:lvlJc w:val="left"/>
      <w:pPr>
        <w:ind w:left="2880" w:hanging="360"/>
      </w:pPr>
    </w:lvl>
    <w:lvl w:ilvl="4" w:tplc="BEEE46EA" w:tentative="1">
      <w:start w:val="1"/>
      <w:numFmt w:val="lowerLetter"/>
      <w:lvlText w:val="%5."/>
      <w:lvlJc w:val="left"/>
      <w:pPr>
        <w:ind w:left="3600" w:hanging="360"/>
      </w:pPr>
    </w:lvl>
    <w:lvl w:ilvl="5" w:tplc="08807F5C" w:tentative="1">
      <w:start w:val="1"/>
      <w:numFmt w:val="lowerRoman"/>
      <w:lvlText w:val="%6."/>
      <w:lvlJc w:val="right"/>
      <w:pPr>
        <w:ind w:left="4320" w:hanging="180"/>
      </w:pPr>
    </w:lvl>
    <w:lvl w:ilvl="6" w:tplc="6B2CD832" w:tentative="1">
      <w:start w:val="1"/>
      <w:numFmt w:val="decimal"/>
      <w:lvlText w:val="%7."/>
      <w:lvlJc w:val="left"/>
      <w:pPr>
        <w:ind w:left="5040" w:hanging="360"/>
      </w:pPr>
    </w:lvl>
    <w:lvl w:ilvl="7" w:tplc="819EFC00" w:tentative="1">
      <w:start w:val="1"/>
      <w:numFmt w:val="lowerLetter"/>
      <w:lvlText w:val="%8."/>
      <w:lvlJc w:val="left"/>
      <w:pPr>
        <w:ind w:left="5760" w:hanging="360"/>
      </w:pPr>
    </w:lvl>
    <w:lvl w:ilvl="8" w:tplc="10CCB7D4" w:tentative="1">
      <w:start w:val="1"/>
      <w:numFmt w:val="lowerRoman"/>
      <w:lvlText w:val="%9."/>
      <w:lvlJc w:val="right"/>
      <w:pPr>
        <w:ind w:left="6480" w:hanging="180"/>
      </w:pPr>
    </w:lvl>
  </w:abstractNum>
  <w:abstractNum w:abstractNumId="4" w15:restartNumberingAfterBreak="0">
    <w:nsid w:val="61BB19CE"/>
    <w:multiLevelType w:val="hybridMultilevel"/>
    <w:tmpl w:val="D980BB80"/>
    <w:lvl w:ilvl="0" w:tplc="2B3CF510">
      <w:numFmt w:val="bullet"/>
      <w:lvlText w:val=""/>
      <w:lvlJc w:val="left"/>
      <w:pPr>
        <w:ind w:left="720" w:hanging="360"/>
      </w:pPr>
      <w:rPr>
        <w:rFonts w:ascii="Symbol" w:eastAsiaTheme="minorHAnsi" w:hAnsi="Symbol" w:cs="Times New Roman" w:hint="default"/>
      </w:rPr>
    </w:lvl>
    <w:lvl w:ilvl="1" w:tplc="08AAD42E" w:tentative="1">
      <w:start w:val="1"/>
      <w:numFmt w:val="bullet"/>
      <w:lvlText w:val="o"/>
      <w:lvlJc w:val="left"/>
      <w:pPr>
        <w:ind w:left="1440" w:hanging="360"/>
      </w:pPr>
      <w:rPr>
        <w:rFonts w:ascii="Courier New" w:hAnsi="Courier New" w:cs="Courier New" w:hint="default"/>
      </w:rPr>
    </w:lvl>
    <w:lvl w:ilvl="2" w:tplc="AB1A8AE0" w:tentative="1">
      <w:start w:val="1"/>
      <w:numFmt w:val="bullet"/>
      <w:lvlText w:val=""/>
      <w:lvlJc w:val="left"/>
      <w:pPr>
        <w:ind w:left="2160" w:hanging="360"/>
      </w:pPr>
      <w:rPr>
        <w:rFonts w:ascii="Wingdings" w:hAnsi="Wingdings" w:hint="default"/>
      </w:rPr>
    </w:lvl>
    <w:lvl w:ilvl="3" w:tplc="21B44C42" w:tentative="1">
      <w:start w:val="1"/>
      <w:numFmt w:val="bullet"/>
      <w:lvlText w:val=""/>
      <w:lvlJc w:val="left"/>
      <w:pPr>
        <w:ind w:left="2880" w:hanging="360"/>
      </w:pPr>
      <w:rPr>
        <w:rFonts w:ascii="Symbol" w:hAnsi="Symbol" w:hint="default"/>
      </w:rPr>
    </w:lvl>
    <w:lvl w:ilvl="4" w:tplc="18A61B02" w:tentative="1">
      <w:start w:val="1"/>
      <w:numFmt w:val="bullet"/>
      <w:lvlText w:val="o"/>
      <w:lvlJc w:val="left"/>
      <w:pPr>
        <w:ind w:left="3600" w:hanging="360"/>
      </w:pPr>
      <w:rPr>
        <w:rFonts w:ascii="Courier New" w:hAnsi="Courier New" w:cs="Courier New" w:hint="default"/>
      </w:rPr>
    </w:lvl>
    <w:lvl w:ilvl="5" w:tplc="5BEE4F92" w:tentative="1">
      <w:start w:val="1"/>
      <w:numFmt w:val="bullet"/>
      <w:lvlText w:val=""/>
      <w:lvlJc w:val="left"/>
      <w:pPr>
        <w:ind w:left="4320" w:hanging="360"/>
      </w:pPr>
      <w:rPr>
        <w:rFonts w:ascii="Wingdings" w:hAnsi="Wingdings" w:hint="default"/>
      </w:rPr>
    </w:lvl>
    <w:lvl w:ilvl="6" w:tplc="F9667DBA" w:tentative="1">
      <w:start w:val="1"/>
      <w:numFmt w:val="bullet"/>
      <w:lvlText w:val=""/>
      <w:lvlJc w:val="left"/>
      <w:pPr>
        <w:ind w:left="5040" w:hanging="360"/>
      </w:pPr>
      <w:rPr>
        <w:rFonts w:ascii="Symbol" w:hAnsi="Symbol" w:hint="default"/>
      </w:rPr>
    </w:lvl>
    <w:lvl w:ilvl="7" w:tplc="AC8042D8" w:tentative="1">
      <w:start w:val="1"/>
      <w:numFmt w:val="bullet"/>
      <w:lvlText w:val="o"/>
      <w:lvlJc w:val="left"/>
      <w:pPr>
        <w:ind w:left="5760" w:hanging="360"/>
      </w:pPr>
      <w:rPr>
        <w:rFonts w:ascii="Courier New" w:hAnsi="Courier New" w:cs="Courier New" w:hint="default"/>
      </w:rPr>
    </w:lvl>
    <w:lvl w:ilvl="8" w:tplc="D88ACA24" w:tentative="1">
      <w:start w:val="1"/>
      <w:numFmt w:val="bullet"/>
      <w:lvlText w:val=""/>
      <w:lvlJc w:val="left"/>
      <w:pPr>
        <w:ind w:left="6480" w:hanging="360"/>
      </w:pPr>
      <w:rPr>
        <w:rFonts w:ascii="Wingdings" w:hAnsi="Wingdings" w:hint="default"/>
      </w:rPr>
    </w:lvl>
  </w:abstractNum>
  <w:abstractNum w:abstractNumId="5" w15:restartNumberingAfterBreak="0">
    <w:nsid w:val="69B45CA8"/>
    <w:multiLevelType w:val="hybridMultilevel"/>
    <w:tmpl w:val="7000422E"/>
    <w:lvl w:ilvl="0" w:tplc="ED3CBAEE">
      <w:numFmt w:val="bullet"/>
      <w:lvlText w:val="-"/>
      <w:lvlJc w:val="left"/>
      <w:pPr>
        <w:ind w:left="720" w:hanging="360"/>
      </w:pPr>
      <w:rPr>
        <w:rFonts w:ascii="Calibri" w:eastAsiaTheme="minorHAnsi" w:hAnsi="Calibri" w:cs="Calibri" w:hint="default"/>
      </w:rPr>
    </w:lvl>
    <w:lvl w:ilvl="1" w:tplc="ACAE2628" w:tentative="1">
      <w:start w:val="1"/>
      <w:numFmt w:val="bullet"/>
      <w:lvlText w:val="o"/>
      <w:lvlJc w:val="left"/>
      <w:pPr>
        <w:ind w:left="1440" w:hanging="360"/>
      </w:pPr>
      <w:rPr>
        <w:rFonts w:ascii="Courier New" w:hAnsi="Courier New" w:cs="Courier New" w:hint="default"/>
      </w:rPr>
    </w:lvl>
    <w:lvl w:ilvl="2" w:tplc="3C90BC84" w:tentative="1">
      <w:start w:val="1"/>
      <w:numFmt w:val="bullet"/>
      <w:lvlText w:val=""/>
      <w:lvlJc w:val="left"/>
      <w:pPr>
        <w:ind w:left="2160" w:hanging="360"/>
      </w:pPr>
      <w:rPr>
        <w:rFonts w:ascii="Wingdings" w:hAnsi="Wingdings" w:hint="default"/>
      </w:rPr>
    </w:lvl>
    <w:lvl w:ilvl="3" w:tplc="A9FA6A34" w:tentative="1">
      <w:start w:val="1"/>
      <w:numFmt w:val="bullet"/>
      <w:lvlText w:val=""/>
      <w:lvlJc w:val="left"/>
      <w:pPr>
        <w:ind w:left="2880" w:hanging="360"/>
      </w:pPr>
      <w:rPr>
        <w:rFonts w:ascii="Symbol" w:hAnsi="Symbol" w:hint="default"/>
      </w:rPr>
    </w:lvl>
    <w:lvl w:ilvl="4" w:tplc="EB0A9352" w:tentative="1">
      <w:start w:val="1"/>
      <w:numFmt w:val="bullet"/>
      <w:lvlText w:val="o"/>
      <w:lvlJc w:val="left"/>
      <w:pPr>
        <w:ind w:left="3600" w:hanging="360"/>
      </w:pPr>
      <w:rPr>
        <w:rFonts w:ascii="Courier New" w:hAnsi="Courier New" w:cs="Courier New" w:hint="default"/>
      </w:rPr>
    </w:lvl>
    <w:lvl w:ilvl="5" w:tplc="43AEF492" w:tentative="1">
      <w:start w:val="1"/>
      <w:numFmt w:val="bullet"/>
      <w:lvlText w:val=""/>
      <w:lvlJc w:val="left"/>
      <w:pPr>
        <w:ind w:left="4320" w:hanging="360"/>
      </w:pPr>
      <w:rPr>
        <w:rFonts w:ascii="Wingdings" w:hAnsi="Wingdings" w:hint="default"/>
      </w:rPr>
    </w:lvl>
    <w:lvl w:ilvl="6" w:tplc="0D4EC818" w:tentative="1">
      <w:start w:val="1"/>
      <w:numFmt w:val="bullet"/>
      <w:lvlText w:val=""/>
      <w:lvlJc w:val="left"/>
      <w:pPr>
        <w:ind w:left="5040" w:hanging="360"/>
      </w:pPr>
      <w:rPr>
        <w:rFonts w:ascii="Symbol" w:hAnsi="Symbol" w:hint="default"/>
      </w:rPr>
    </w:lvl>
    <w:lvl w:ilvl="7" w:tplc="CF7A3AA6" w:tentative="1">
      <w:start w:val="1"/>
      <w:numFmt w:val="bullet"/>
      <w:lvlText w:val="o"/>
      <w:lvlJc w:val="left"/>
      <w:pPr>
        <w:ind w:left="5760" w:hanging="360"/>
      </w:pPr>
      <w:rPr>
        <w:rFonts w:ascii="Courier New" w:hAnsi="Courier New" w:cs="Courier New" w:hint="default"/>
      </w:rPr>
    </w:lvl>
    <w:lvl w:ilvl="8" w:tplc="663C9760" w:tentative="1">
      <w:start w:val="1"/>
      <w:numFmt w:val="bullet"/>
      <w:lvlText w:val=""/>
      <w:lvlJc w:val="left"/>
      <w:pPr>
        <w:ind w:left="6480" w:hanging="360"/>
      </w:pPr>
      <w:rPr>
        <w:rFonts w:ascii="Wingdings" w:hAnsi="Wingdings" w:hint="default"/>
      </w:rPr>
    </w:lvl>
  </w:abstractNum>
  <w:abstractNum w:abstractNumId="6" w15:restartNumberingAfterBreak="0">
    <w:nsid w:val="6B057D45"/>
    <w:multiLevelType w:val="multilevel"/>
    <w:tmpl w:val="2A2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6343E"/>
    <w:multiLevelType w:val="hybridMultilevel"/>
    <w:tmpl w:val="343667EA"/>
    <w:lvl w:ilvl="0" w:tplc="61AEAD4A">
      <w:start w:val="1"/>
      <w:numFmt w:val="lowerLetter"/>
      <w:lvlText w:val="%1."/>
      <w:lvlJc w:val="left"/>
      <w:pPr>
        <w:ind w:left="720" w:hanging="360"/>
      </w:pPr>
      <w:rPr>
        <w:rFonts w:hint="default"/>
      </w:rPr>
    </w:lvl>
    <w:lvl w:ilvl="1" w:tplc="742AD46C" w:tentative="1">
      <w:start w:val="1"/>
      <w:numFmt w:val="lowerLetter"/>
      <w:lvlText w:val="%2."/>
      <w:lvlJc w:val="left"/>
      <w:pPr>
        <w:ind w:left="1440" w:hanging="360"/>
      </w:pPr>
    </w:lvl>
    <w:lvl w:ilvl="2" w:tplc="ADEA7A32" w:tentative="1">
      <w:start w:val="1"/>
      <w:numFmt w:val="lowerRoman"/>
      <w:lvlText w:val="%3."/>
      <w:lvlJc w:val="right"/>
      <w:pPr>
        <w:ind w:left="2160" w:hanging="180"/>
      </w:pPr>
    </w:lvl>
    <w:lvl w:ilvl="3" w:tplc="4D2E5260" w:tentative="1">
      <w:start w:val="1"/>
      <w:numFmt w:val="decimal"/>
      <w:lvlText w:val="%4."/>
      <w:lvlJc w:val="left"/>
      <w:pPr>
        <w:ind w:left="2880" w:hanging="360"/>
      </w:pPr>
    </w:lvl>
    <w:lvl w:ilvl="4" w:tplc="C0A2C216" w:tentative="1">
      <w:start w:val="1"/>
      <w:numFmt w:val="lowerLetter"/>
      <w:lvlText w:val="%5."/>
      <w:lvlJc w:val="left"/>
      <w:pPr>
        <w:ind w:left="3600" w:hanging="360"/>
      </w:pPr>
    </w:lvl>
    <w:lvl w:ilvl="5" w:tplc="49A82F9E" w:tentative="1">
      <w:start w:val="1"/>
      <w:numFmt w:val="lowerRoman"/>
      <w:lvlText w:val="%6."/>
      <w:lvlJc w:val="right"/>
      <w:pPr>
        <w:ind w:left="4320" w:hanging="180"/>
      </w:pPr>
    </w:lvl>
    <w:lvl w:ilvl="6" w:tplc="2C10E884" w:tentative="1">
      <w:start w:val="1"/>
      <w:numFmt w:val="decimal"/>
      <w:lvlText w:val="%7."/>
      <w:lvlJc w:val="left"/>
      <w:pPr>
        <w:ind w:left="5040" w:hanging="360"/>
      </w:pPr>
    </w:lvl>
    <w:lvl w:ilvl="7" w:tplc="B92EAA48" w:tentative="1">
      <w:start w:val="1"/>
      <w:numFmt w:val="lowerLetter"/>
      <w:lvlText w:val="%8."/>
      <w:lvlJc w:val="left"/>
      <w:pPr>
        <w:ind w:left="5760" w:hanging="360"/>
      </w:pPr>
    </w:lvl>
    <w:lvl w:ilvl="8" w:tplc="1D384CF0" w:tentative="1">
      <w:start w:val="1"/>
      <w:numFmt w:val="lowerRoman"/>
      <w:lvlText w:val="%9."/>
      <w:lvlJc w:val="right"/>
      <w:pPr>
        <w:ind w:left="6480" w:hanging="180"/>
      </w:pPr>
    </w:lvl>
  </w:abstractNum>
  <w:abstractNum w:abstractNumId="8" w15:restartNumberingAfterBreak="0">
    <w:nsid w:val="6C0F5C6D"/>
    <w:multiLevelType w:val="hybridMultilevel"/>
    <w:tmpl w:val="F4646366"/>
    <w:lvl w:ilvl="0" w:tplc="01CC38FE">
      <w:start w:val="1"/>
      <w:numFmt w:val="decimal"/>
      <w:lvlText w:val="%1."/>
      <w:lvlJc w:val="left"/>
      <w:pPr>
        <w:ind w:left="720" w:hanging="360"/>
      </w:pPr>
      <w:rPr>
        <w:rFonts w:hint="default"/>
        <w:b/>
        <w:color w:val="auto"/>
      </w:rPr>
    </w:lvl>
    <w:lvl w:ilvl="1" w:tplc="CDEC5592" w:tentative="1">
      <w:start w:val="1"/>
      <w:numFmt w:val="lowerLetter"/>
      <w:lvlText w:val="%2."/>
      <w:lvlJc w:val="left"/>
      <w:pPr>
        <w:ind w:left="1440" w:hanging="360"/>
      </w:pPr>
    </w:lvl>
    <w:lvl w:ilvl="2" w:tplc="14125EEC" w:tentative="1">
      <w:start w:val="1"/>
      <w:numFmt w:val="lowerRoman"/>
      <w:lvlText w:val="%3."/>
      <w:lvlJc w:val="right"/>
      <w:pPr>
        <w:ind w:left="2160" w:hanging="180"/>
      </w:pPr>
    </w:lvl>
    <w:lvl w:ilvl="3" w:tplc="13DC2E7C" w:tentative="1">
      <w:start w:val="1"/>
      <w:numFmt w:val="decimal"/>
      <w:lvlText w:val="%4."/>
      <w:lvlJc w:val="left"/>
      <w:pPr>
        <w:ind w:left="2880" w:hanging="360"/>
      </w:pPr>
    </w:lvl>
    <w:lvl w:ilvl="4" w:tplc="95F0A4B2" w:tentative="1">
      <w:start w:val="1"/>
      <w:numFmt w:val="lowerLetter"/>
      <w:lvlText w:val="%5."/>
      <w:lvlJc w:val="left"/>
      <w:pPr>
        <w:ind w:left="3600" w:hanging="360"/>
      </w:pPr>
    </w:lvl>
    <w:lvl w:ilvl="5" w:tplc="E3BC450E" w:tentative="1">
      <w:start w:val="1"/>
      <w:numFmt w:val="lowerRoman"/>
      <w:lvlText w:val="%6."/>
      <w:lvlJc w:val="right"/>
      <w:pPr>
        <w:ind w:left="4320" w:hanging="180"/>
      </w:pPr>
    </w:lvl>
    <w:lvl w:ilvl="6" w:tplc="7D98C526" w:tentative="1">
      <w:start w:val="1"/>
      <w:numFmt w:val="decimal"/>
      <w:lvlText w:val="%7."/>
      <w:lvlJc w:val="left"/>
      <w:pPr>
        <w:ind w:left="5040" w:hanging="360"/>
      </w:pPr>
    </w:lvl>
    <w:lvl w:ilvl="7" w:tplc="B8D2066C" w:tentative="1">
      <w:start w:val="1"/>
      <w:numFmt w:val="lowerLetter"/>
      <w:lvlText w:val="%8."/>
      <w:lvlJc w:val="left"/>
      <w:pPr>
        <w:ind w:left="5760" w:hanging="360"/>
      </w:pPr>
    </w:lvl>
    <w:lvl w:ilvl="8" w:tplc="9C283B04" w:tentative="1">
      <w:start w:val="1"/>
      <w:numFmt w:val="lowerRoman"/>
      <w:lvlText w:val="%9."/>
      <w:lvlJc w:val="right"/>
      <w:pPr>
        <w:ind w:left="6480" w:hanging="180"/>
      </w:pPr>
    </w:lvl>
  </w:abstractNum>
  <w:abstractNum w:abstractNumId="9" w15:restartNumberingAfterBreak="0">
    <w:nsid w:val="6C814F48"/>
    <w:multiLevelType w:val="hybridMultilevel"/>
    <w:tmpl w:val="445868B8"/>
    <w:lvl w:ilvl="0" w:tplc="85E28E02">
      <w:start w:val="1"/>
      <w:numFmt w:val="upperLetter"/>
      <w:lvlText w:val="%1."/>
      <w:lvlJc w:val="left"/>
      <w:pPr>
        <w:ind w:left="720" w:hanging="360"/>
      </w:pPr>
      <w:rPr>
        <w:rFonts w:hint="default"/>
      </w:rPr>
    </w:lvl>
    <w:lvl w:ilvl="1" w:tplc="4CAEFE14" w:tentative="1">
      <w:start w:val="1"/>
      <w:numFmt w:val="lowerLetter"/>
      <w:lvlText w:val="%2."/>
      <w:lvlJc w:val="left"/>
      <w:pPr>
        <w:ind w:left="1440" w:hanging="360"/>
      </w:pPr>
    </w:lvl>
    <w:lvl w:ilvl="2" w:tplc="C8108F46" w:tentative="1">
      <w:start w:val="1"/>
      <w:numFmt w:val="lowerRoman"/>
      <w:lvlText w:val="%3."/>
      <w:lvlJc w:val="right"/>
      <w:pPr>
        <w:ind w:left="2160" w:hanging="180"/>
      </w:pPr>
    </w:lvl>
    <w:lvl w:ilvl="3" w:tplc="EF30895E" w:tentative="1">
      <w:start w:val="1"/>
      <w:numFmt w:val="decimal"/>
      <w:lvlText w:val="%4."/>
      <w:lvlJc w:val="left"/>
      <w:pPr>
        <w:ind w:left="2880" w:hanging="360"/>
      </w:pPr>
    </w:lvl>
    <w:lvl w:ilvl="4" w:tplc="4792233A" w:tentative="1">
      <w:start w:val="1"/>
      <w:numFmt w:val="lowerLetter"/>
      <w:lvlText w:val="%5."/>
      <w:lvlJc w:val="left"/>
      <w:pPr>
        <w:ind w:left="3600" w:hanging="360"/>
      </w:pPr>
    </w:lvl>
    <w:lvl w:ilvl="5" w:tplc="C89C9FE8" w:tentative="1">
      <w:start w:val="1"/>
      <w:numFmt w:val="lowerRoman"/>
      <w:lvlText w:val="%6."/>
      <w:lvlJc w:val="right"/>
      <w:pPr>
        <w:ind w:left="4320" w:hanging="180"/>
      </w:pPr>
    </w:lvl>
    <w:lvl w:ilvl="6" w:tplc="FC6099A8" w:tentative="1">
      <w:start w:val="1"/>
      <w:numFmt w:val="decimal"/>
      <w:lvlText w:val="%7."/>
      <w:lvlJc w:val="left"/>
      <w:pPr>
        <w:ind w:left="5040" w:hanging="360"/>
      </w:pPr>
    </w:lvl>
    <w:lvl w:ilvl="7" w:tplc="47C0E9E2" w:tentative="1">
      <w:start w:val="1"/>
      <w:numFmt w:val="lowerLetter"/>
      <w:lvlText w:val="%8."/>
      <w:lvlJc w:val="left"/>
      <w:pPr>
        <w:ind w:left="5760" w:hanging="360"/>
      </w:pPr>
    </w:lvl>
    <w:lvl w:ilvl="8" w:tplc="3C1EA1F8" w:tentative="1">
      <w:start w:val="1"/>
      <w:numFmt w:val="lowerRoman"/>
      <w:lvlText w:val="%9."/>
      <w:lvlJc w:val="right"/>
      <w:pPr>
        <w:ind w:left="6480" w:hanging="180"/>
      </w:pPr>
    </w:lvl>
  </w:abstractNum>
  <w:abstractNum w:abstractNumId="10" w15:restartNumberingAfterBreak="0">
    <w:nsid w:val="75201103"/>
    <w:multiLevelType w:val="hybridMultilevel"/>
    <w:tmpl w:val="AEF22B38"/>
    <w:lvl w:ilvl="0" w:tplc="09E4BADC">
      <w:start w:val="1"/>
      <w:numFmt w:val="bullet"/>
      <w:lvlText w:val="•"/>
      <w:lvlJc w:val="left"/>
      <w:pPr>
        <w:tabs>
          <w:tab w:val="num" w:pos="720"/>
        </w:tabs>
        <w:ind w:left="720" w:hanging="360"/>
      </w:pPr>
      <w:rPr>
        <w:rFonts w:ascii="Arial" w:hAnsi="Arial" w:hint="default"/>
      </w:rPr>
    </w:lvl>
    <w:lvl w:ilvl="1" w:tplc="1DCEDC34">
      <w:start w:val="1"/>
      <w:numFmt w:val="bullet"/>
      <w:lvlText w:val="•"/>
      <w:lvlJc w:val="left"/>
      <w:pPr>
        <w:tabs>
          <w:tab w:val="num" w:pos="1440"/>
        </w:tabs>
        <w:ind w:left="1440" w:hanging="360"/>
      </w:pPr>
      <w:rPr>
        <w:rFonts w:ascii="Arial" w:hAnsi="Arial" w:hint="default"/>
      </w:rPr>
    </w:lvl>
    <w:lvl w:ilvl="2" w:tplc="4C109AFC" w:tentative="1">
      <w:start w:val="1"/>
      <w:numFmt w:val="bullet"/>
      <w:lvlText w:val="•"/>
      <w:lvlJc w:val="left"/>
      <w:pPr>
        <w:tabs>
          <w:tab w:val="num" w:pos="2160"/>
        </w:tabs>
        <w:ind w:left="2160" w:hanging="360"/>
      </w:pPr>
      <w:rPr>
        <w:rFonts w:ascii="Arial" w:hAnsi="Arial" w:hint="default"/>
      </w:rPr>
    </w:lvl>
    <w:lvl w:ilvl="3" w:tplc="54F6B5EE" w:tentative="1">
      <w:start w:val="1"/>
      <w:numFmt w:val="bullet"/>
      <w:lvlText w:val="•"/>
      <w:lvlJc w:val="left"/>
      <w:pPr>
        <w:tabs>
          <w:tab w:val="num" w:pos="2880"/>
        </w:tabs>
        <w:ind w:left="2880" w:hanging="360"/>
      </w:pPr>
      <w:rPr>
        <w:rFonts w:ascii="Arial" w:hAnsi="Arial" w:hint="default"/>
      </w:rPr>
    </w:lvl>
    <w:lvl w:ilvl="4" w:tplc="1F0C62F0" w:tentative="1">
      <w:start w:val="1"/>
      <w:numFmt w:val="bullet"/>
      <w:lvlText w:val="•"/>
      <w:lvlJc w:val="left"/>
      <w:pPr>
        <w:tabs>
          <w:tab w:val="num" w:pos="3600"/>
        </w:tabs>
        <w:ind w:left="3600" w:hanging="360"/>
      </w:pPr>
      <w:rPr>
        <w:rFonts w:ascii="Arial" w:hAnsi="Arial" w:hint="default"/>
      </w:rPr>
    </w:lvl>
    <w:lvl w:ilvl="5" w:tplc="0B680FF0" w:tentative="1">
      <w:start w:val="1"/>
      <w:numFmt w:val="bullet"/>
      <w:lvlText w:val="•"/>
      <w:lvlJc w:val="left"/>
      <w:pPr>
        <w:tabs>
          <w:tab w:val="num" w:pos="4320"/>
        </w:tabs>
        <w:ind w:left="4320" w:hanging="360"/>
      </w:pPr>
      <w:rPr>
        <w:rFonts w:ascii="Arial" w:hAnsi="Arial" w:hint="default"/>
      </w:rPr>
    </w:lvl>
    <w:lvl w:ilvl="6" w:tplc="D862AC96" w:tentative="1">
      <w:start w:val="1"/>
      <w:numFmt w:val="bullet"/>
      <w:lvlText w:val="•"/>
      <w:lvlJc w:val="left"/>
      <w:pPr>
        <w:tabs>
          <w:tab w:val="num" w:pos="5040"/>
        </w:tabs>
        <w:ind w:left="5040" w:hanging="360"/>
      </w:pPr>
      <w:rPr>
        <w:rFonts w:ascii="Arial" w:hAnsi="Arial" w:hint="default"/>
      </w:rPr>
    </w:lvl>
    <w:lvl w:ilvl="7" w:tplc="A4CCAB8E" w:tentative="1">
      <w:start w:val="1"/>
      <w:numFmt w:val="bullet"/>
      <w:lvlText w:val="•"/>
      <w:lvlJc w:val="left"/>
      <w:pPr>
        <w:tabs>
          <w:tab w:val="num" w:pos="5760"/>
        </w:tabs>
        <w:ind w:left="5760" w:hanging="360"/>
      </w:pPr>
      <w:rPr>
        <w:rFonts w:ascii="Arial" w:hAnsi="Arial" w:hint="default"/>
      </w:rPr>
    </w:lvl>
    <w:lvl w:ilvl="8" w:tplc="1C589E2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2"/>
  </w:num>
  <w:num w:numId="4">
    <w:abstractNumId w:val="4"/>
  </w:num>
  <w:num w:numId="5">
    <w:abstractNumId w:val="8"/>
  </w:num>
  <w:num w:numId="6">
    <w:abstractNumId w:val="1"/>
  </w:num>
  <w:num w:numId="7">
    <w:abstractNumId w:val="0"/>
  </w:num>
  <w:num w:numId="8">
    <w:abstractNumId w:val="9"/>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xMrMwNDc0Njc3tDRW0lEKTi0uzszPAykwsawFAC522s8tAAAA"/>
  </w:docVars>
  <w:rsids>
    <w:rsidRoot w:val="000D2044"/>
    <w:rsid w:val="000032BE"/>
    <w:rsid w:val="0000404D"/>
    <w:rsid w:val="000045E8"/>
    <w:rsid w:val="00004BAC"/>
    <w:rsid w:val="00004CCF"/>
    <w:rsid w:val="000050E9"/>
    <w:rsid w:val="0000608C"/>
    <w:rsid w:val="00006358"/>
    <w:rsid w:val="00010926"/>
    <w:rsid w:val="00020F83"/>
    <w:rsid w:val="00024AA0"/>
    <w:rsid w:val="000312D6"/>
    <w:rsid w:val="00035A06"/>
    <w:rsid w:val="00037A67"/>
    <w:rsid w:val="00042D37"/>
    <w:rsid w:val="000469E5"/>
    <w:rsid w:val="0004775E"/>
    <w:rsid w:val="00047B03"/>
    <w:rsid w:val="00051BB8"/>
    <w:rsid w:val="00052771"/>
    <w:rsid w:val="000532DF"/>
    <w:rsid w:val="0005723B"/>
    <w:rsid w:val="00057AE8"/>
    <w:rsid w:val="00061707"/>
    <w:rsid w:val="000636F9"/>
    <w:rsid w:val="000640E6"/>
    <w:rsid w:val="00065E6A"/>
    <w:rsid w:val="00067894"/>
    <w:rsid w:val="00071685"/>
    <w:rsid w:val="00075CFA"/>
    <w:rsid w:val="0007668A"/>
    <w:rsid w:val="0007686F"/>
    <w:rsid w:val="00076CD5"/>
    <w:rsid w:val="000778CF"/>
    <w:rsid w:val="000835FD"/>
    <w:rsid w:val="00086402"/>
    <w:rsid w:val="0009226C"/>
    <w:rsid w:val="00092DB8"/>
    <w:rsid w:val="000935CB"/>
    <w:rsid w:val="00093F84"/>
    <w:rsid w:val="00094246"/>
    <w:rsid w:val="00097273"/>
    <w:rsid w:val="000A0D78"/>
    <w:rsid w:val="000A147C"/>
    <w:rsid w:val="000A300B"/>
    <w:rsid w:val="000A3AF1"/>
    <w:rsid w:val="000A3D2B"/>
    <w:rsid w:val="000A42CE"/>
    <w:rsid w:val="000A5AC2"/>
    <w:rsid w:val="000A6BCC"/>
    <w:rsid w:val="000A753A"/>
    <w:rsid w:val="000A7758"/>
    <w:rsid w:val="000B24DA"/>
    <w:rsid w:val="000B61F2"/>
    <w:rsid w:val="000B631D"/>
    <w:rsid w:val="000B7DBC"/>
    <w:rsid w:val="000C03A7"/>
    <w:rsid w:val="000C0995"/>
    <w:rsid w:val="000C1028"/>
    <w:rsid w:val="000C281A"/>
    <w:rsid w:val="000C286D"/>
    <w:rsid w:val="000C3340"/>
    <w:rsid w:val="000C3D64"/>
    <w:rsid w:val="000C429E"/>
    <w:rsid w:val="000C4B03"/>
    <w:rsid w:val="000C671B"/>
    <w:rsid w:val="000C6D0A"/>
    <w:rsid w:val="000C7AF3"/>
    <w:rsid w:val="000D04B6"/>
    <w:rsid w:val="000D101C"/>
    <w:rsid w:val="000D1151"/>
    <w:rsid w:val="000D2044"/>
    <w:rsid w:val="000D2B8C"/>
    <w:rsid w:val="000D2BA8"/>
    <w:rsid w:val="000D75AB"/>
    <w:rsid w:val="000E2D2A"/>
    <w:rsid w:val="000E4E07"/>
    <w:rsid w:val="000E653E"/>
    <w:rsid w:val="000E6BA9"/>
    <w:rsid w:val="000F13EE"/>
    <w:rsid w:val="000F295F"/>
    <w:rsid w:val="000F3B3A"/>
    <w:rsid w:val="000F3B42"/>
    <w:rsid w:val="000F41BA"/>
    <w:rsid w:val="000F5D55"/>
    <w:rsid w:val="00101C4E"/>
    <w:rsid w:val="00103A52"/>
    <w:rsid w:val="00104646"/>
    <w:rsid w:val="00107B5C"/>
    <w:rsid w:val="00110664"/>
    <w:rsid w:val="001107E0"/>
    <w:rsid w:val="00114146"/>
    <w:rsid w:val="00115102"/>
    <w:rsid w:val="00120792"/>
    <w:rsid w:val="00120B58"/>
    <w:rsid w:val="00125839"/>
    <w:rsid w:val="00126F75"/>
    <w:rsid w:val="00130405"/>
    <w:rsid w:val="00133BDA"/>
    <w:rsid w:val="00136146"/>
    <w:rsid w:val="001375C0"/>
    <w:rsid w:val="00140765"/>
    <w:rsid w:val="00142053"/>
    <w:rsid w:val="00142684"/>
    <w:rsid w:val="00142AF6"/>
    <w:rsid w:val="00144788"/>
    <w:rsid w:val="00145425"/>
    <w:rsid w:val="001454EC"/>
    <w:rsid w:val="00152536"/>
    <w:rsid w:val="00152C20"/>
    <w:rsid w:val="001550D0"/>
    <w:rsid w:val="001564AF"/>
    <w:rsid w:val="0015668A"/>
    <w:rsid w:val="001577B9"/>
    <w:rsid w:val="00160F3C"/>
    <w:rsid w:val="00162FBC"/>
    <w:rsid w:val="0016683C"/>
    <w:rsid w:val="00166BB9"/>
    <w:rsid w:val="00167736"/>
    <w:rsid w:val="00170649"/>
    <w:rsid w:val="001735FD"/>
    <w:rsid w:val="001752FD"/>
    <w:rsid w:val="001768A2"/>
    <w:rsid w:val="00176D16"/>
    <w:rsid w:val="00181D75"/>
    <w:rsid w:val="00182879"/>
    <w:rsid w:val="00184BE2"/>
    <w:rsid w:val="00186A6E"/>
    <w:rsid w:val="00186F3B"/>
    <w:rsid w:val="00187E27"/>
    <w:rsid w:val="00190086"/>
    <w:rsid w:val="00191A6D"/>
    <w:rsid w:val="00192A18"/>
    <w:rsid w:val="001A0A9B"/>
    <w:rsid w:val="001A0C17"/>
    <w:rsid w:val="001A31F1"/>
    <w:rsid w:val="001A3E30"/>
    <w:rsid w:val="001A49EB"/>
    <w:rsid w:val="001A51AE"/>
    <w:rsid w:val="001A5FE4"/>
    <w:rsid w:val="001B2FAD"/>
    <w:rsid w:val="001B508C"/>
    <w:rsid w:val="001B53C2"/>
    <w:rsid w:val="001B6F12"/>
    <w:rsid w:val="001C123A"/>
    <w:rsid w:val="001C1791"/>
    <w:rsid w:val="001C1DED"/>
    <w:rsid w:val="001C475C"/>
    <w:rsid w:val="001C6F2A"/>
    <w:rsid w:val="001D1A9E"/>
    <w:rsid w:val="001D24D8"/>
    <w:rsid w:val="001D2CCE"/>
    <w:rsid w:val="001D6824"/>
    <w:rsid w:val="001D7123"/>
    <w:rsid w:val="001D7964"/>
    <w:rsid w:val="001E3D7B"/>
    <w:rsid w:val="001E5AB2"/>
    <w:rsid w:val="001E6BAC"/>
    <w:rsid w:val="001E7FB5"/>
    <w:rsid w:val="001F11F2"/>
    <w:rsid w:val="001F286C"/>
    <w:rsid w:val="001F4574"/>
    <w:rsid w:val="001F6525"/>
    <w:rsid w:val="001F7E51"/>
    <w:rsid w:val="00200EA8"/>
    <w:rsid w:val="00201642"/>
    <w:rsid w:val="0020352B"/>
    <w:rsid w:val="00204F9E"/>
    <w:rsid w:val="0020784A"/>
    <w:rsid w:val="00212E71"/>
    <w:rsid w:val="00214300"/>
    <w:rsid w:val="00214FC4"/>
    <w:rsid w:val="00215B2B"/>
    <w:rsid w:val="00216B80"/>
    <w:rsid w:val="00220788"/>
    <w:rsid w:val="00220B6E"/>
    <w:rsid w:val="00221A51"/>
    <w:rsid w:val="00225D7F"/>
    <w:rsid w:val="00230222"/>
    <w:rsid w:val="002305F4"/>
    <w:rsid w:val="00232D40"/>
    <w:rsid w:val="002349FE"/>
    <w:rsid w:val="00236C6D"/>
    <w:rsid w:val="0023792B"/>
    <w:rsid w:val="00242D3B"/>
    <w:rsid w:val="00244097"/>
    <w:rsid w:val="002446DB"/>
    <w:rsid w:val="00245EFE"/>
    <w:rsid w:val="00246215"/>
    <w:rsid w:val="00247B73"/>
    <w:rsid w:val="00247D0F"/>
    <w:rsid w:val="00256B6D"/>
    <w:rsid w:val="002637A9"/>
    <w:rsid w:val="00265A63"/>
    <w:rsid w:val="00266127"/>
    <w:rsid w:val="00270960"/>
    <w:rsid w:val="00271E4D"/>
    <w:rsid w:val="002728EB"/>
    <w:rsid w:val="00273514"/>
    <w:rsid w:val="00273A6A"/>
    <w:rsid w:val="002764AF"/>
    <w:rsid w:val="00276A60"/>
    <w:rsid w:val="00277BE0"/>
    <w:rsid w:val="00280823"/>
    <w:rsid w:val="002835A5"/>
    <w:rsid w:val="00283A7B"/>
    <w:rsid w:val="0028535A"/>
    <w:rsid w:val="00285404"/>
    <w:rsid w:val="00285F5E"/>
    <w:rsid w:val="00292C49"/>
    <w:rsid w:val="00294296"/>
    <w:rsid w:val="002967C0"/>
    <w:rsid w:val="002A0977"/>
    <w:rsid w:val="002A0C50"/>
    <w:rsid w:val="002A6A51"/>
    <w:rsid w:val="002A6D3D"/>
    <w:rsid w:val="002B200A"/>
    <w:rsid w:val="002B2373"/>
    <w:rsid w:val="002B49D3"/>
    <w:rsid w:val="002B67D8"/>
    <w:rsid w:val="002B72AA"/>
    <w:rsid w:val="002B75E4"/>
    <w:rsid w:val="002B7992"/>
    <w:rsid w:val="002C23E1"/>
    <w:rsid w:val="002C2F2F"/>
    <w:rsid w:val="002C4F11"/>
    <w:rsid w:val="002D1A08"/>
    <w:rsid w:val="002D25D8"/>
    <w:rsid w:val="002D4BCD"/>
    <w:rsid w:val="002D5F73"/>
    <w:rsid w:val="002D6CC3"/>
    <w:rsid w:val="002E14D1"/>
    <w:rsid w:val="002E1DF8"/>
    <w:rsid w:val="002E3FBB"/>
    <w:rsid w:val="002E55F8"/>
    <w:rsid w:val="002E6B98"/>
    <w:rsid w:val="002E7342"/>
    <w:rsid w:val="002F084A"/>
    <w:rsid w:val="002F3375"/>
    <w:rsid w:val="002F3BEA"/>
    <w:rsid w:val="002F4A43"/>
    <w:rsid w:val="002F4D6B"/>
    <w:rsid w:val="002F7A99"/>
    <w:rsid w:val="002F7D13"/>
    <w:rsid w:val="00301313"/>
    <w:rsid w:val="0030280C"/>
    <w:rsid w:val="00304856"/>
    <w:rsid w:val="00304867"/>
    <w:rsid w:val="0030689F"/>
    <w:rsid w:val="00311A05"/>
    <w:rsid w:val="00314B44"/>
    <w:rsid w:val="0031542B"/>
    <w:rsid w:val="00315467"/>
    <w:rsid w:val="00315838"/>
    <w:rsid w:val="00316126"/>
    <w:rsid w:val="00317A77"/>
    <w:rsid w:val="00317D97"/>
    <w:rsid w:val="00320B7D"/>
    <w:rsid w:val="00322AB3"/>
    <w:rsid w:val="0032447D"/>
    <w:rsid w:val="00324BB2"/>
    <w:rsid w:val="003275E4"/>
    <w:rsid w:val="00331A3D"/>
    <w:rsid w:val="0033241D"/>
    <w:rsid w:val="00335974"/>
    <w:rsid w:val="00337C26"/>
    <w:rsid w:val="00340E5B"/>
    <w:rsid w:val="0034477B"/>
    <w:rsid w:val="00344961"/>
    <w:rsid w:val="00345C3F"/>
    <w:rsid w:val="00346C90"/>
    <w:rsid w:val="00347B7F"/>
    <w:rsid w:val="00350A8E"/>
    <w:rsid w:val="003515AA"/>
    <w:rsid w:val="003538F9"/>
    <w:rsid w:val="003552BB"/>
    <w:rsid w:val="00357DEA"/>
    <w:rsid w:val="00360FD7"/>
    <w:rsid w:val="003631F3"/>
    <w:rsid w:val="00363B73"/>
    <w:rsid w:val="00364866"/>
    <w:rsid w:val="00364A1B"/>
    <w:rsid w:val="00364E24"/>
    <w:rsid w:val="00365CD3"/>
    <w:rsid w:val="00366274"/>
    <w:rsid w:val="003702FA"/>
    <w:rsid w:val="0037503F"/>
    <w:rsid w:val="00375573"/>
    <w:rsid w:val="00375AA1"/>
    <w:rsid w:val="00380968"/>
    <w:rsid w:val="00381534"/>
    <w:rsid w:val="00382311"/>
    <w:rsid w:val="0038366E"/>
    <w:rsid w:val="00386667"/>
    <w:rsid w:val="003871DD"/>
    <w:rsid w:val="00392D1F"/>
    <w:rsid w:val="0039520F"/>
    <w:rsid w:val="00395A9C"/>
    <w:rsid w:val="00397CA2"/>
    <w:rsid w:val="003A0B71"/>
    <w:rsid w:val="003A100E"/>
    <w:rsid w:val="003A348A"/>
    <w:rsid w:val="003A36AF"/>
    <w:rsid w:val="003A5E2E"/>
    <w:rsid w:val="003C016F"/>
    <w:rsid w:val="003C14CA"/>
    <w:rsid w:val="003C36F3"/>
    <w:rsid w:val="003C5741"/>
    <w:rsid w:val="003C5D78"/>
    <w:rsid w:val="003C6B2A"/>
    <w:rsid w:val="003C7513"/>
    <w:rsid w:val="003D7008"/>
    <w:rsid w:val="003E2EB9"/>
    <w:rsid w:val="003F253D"/>
    <w:rsid w:val="003F3D56"/>
    <w:rsid w:val="0040041F"/>
    <w:rsid w:val="00402A4A"/>
    <w:rsid w:val="00402EB0"/>
    <w:rsid w:val="004039E8"/>
    <w:rsid w:val="00404F6F"/>
    <w:rsid w:val="004051D3"/>
    <w:rsid w:val="00406220"/>
    <w:rsid w:val="004114EF"/>
    <w:rsid w:val="00411DFD"/>
    <w:rsid w:val="00413909"/>
    <w:rsid w:val="0041679E"/>
    <w:rsid w:val="00422088"/>
    <w:rsid w:val="004238B9"/>
    <w:rsid w:val="004273E8"/>
    <w:rsid w:val="00431CA4"/>
    <w:rsid w:val="00433804"/>
    <w:rsid w:val="00437FF2"/>
    <w:rsid w:val="0044000A"/>
    <w:rsid w:val="00450ADE"/>
    <w:rsid w:val="00466532"/>
    <w:rsid w:val="004665FB"/>
    <w:rsid w:val="0046682C"/>
    <w:rsid w:val="00467C09"/>
    <w:rsid w:val="0047040A"/>
    <w:rsid w:val="00470D16"/>
    <w:rsid w:val="004725BD"/>
    <w:rsid w:val="00472D6D"/>
    <w:rsid w:val="0047679D"/>
    <w:rsid w:val="0047781C"/>
    <w:rsid w:val="00487B96"/>
    <w:rsid w:val="004911F8"/>
    <w:rsid w:val="00491C2F"/>
    <w:rsid w:val="004943D9"/>
    <w:rsid w:val="00497B2A"/>
    <w:rsid w:val="004A0249"/>
    <w:rsid w:val="004A0B01"/>
    <w:rsid w:val="004A1814"/>
    <w:rsid w:val="004A1ED5"/>
    <w:rsid w:val="004A3862"/>
    <w:rsid w:val="004A3E52"/>
    <w:rsid w:val="004A60C2"/>
    <w:rsid w:val="004A6A5F"/>
    <w:rsid w:val="004A7AB7"/>
    <w:rsid w:val="004B070A"/>
    <w:rsid w:val="004B08AA"/>
    <w:rsid w:val="004B27C4"/>
    <w:rsid w:val="004B3803"/>
    <w:rsid w:val="004B39C6"/>
    <w:rsid w:val="004B3D08"/>
    <w:rsid w:val="004B40DA"/>
    <w:rsid w:val="004B6C72"/>
    <w:rsid w:val="004B7FA4"/>
    <w:rsid w:val="004C48BE"/>
    <w:rsid w:val="004C4A92"/>
    <w:rsid w:val="004C52F8"/>
    <w:rsid w:val="004C618C"/>
    <w:rsid w:val="004C7C94"/>
    <w:rsid w:val="004D1152"/>
    <w:rsid w:val="004D1746"/>
    <w:rsid w:val="004D1D55"/>
    <w:rsid w:val="004D3945"/>
    <w:rsid w:val="004D5212"/>
    <w:rsid w:val="004D5913"/>
    <w:rsid w:val="004E4481"/>
    <w:rsid w:val="004E7EEF"/>
    <w:rsid w:val="004F0120"/>
    <w:rsid w:val="004F2DB8"/>
    <w:rsid w:val="004F7533"/>
    <w:rsid w:val="005003C9"/>
    <w:rsid w:val="005006DE"/>
    <w:rsid w:val="0050107B"/>
    <w:rsid w:val="0050271D"/>
    <w:rsid w:val="005044C6"/>
    <w:rsid w:val="005118BD"/>
    <w:rsid w:val="00513FCF"/>
    <w:rsid w:val="00514C20"/>
    <w:rsid w:val="005156E2"/>
    <w:rsid w:val="00515E74"/>
    <w:rsid w:val="005162E3"/>
    <w:rsid w:val="00520261"/>
    <w:rsid w:val="0052146A"/>
    <w:rsid w:val="005231FF"/>
    <w:rsid w:val="00523337"/>
    <w:rsid w:val="005260B3"/>
    <w:rsid w:val="00526549"/>
    <w:rsid w:val="005309A2"/>
    <w:rsid w:val="00530B28"/>
    <w:rsid w:val="00531093"/>
    <w:rsid w:val="00532BA5"/>
    <w:rsid w:val="00540003"/>
    <w:rsid w:val="00541A65"/>
    <w:rsid w:val="00541EB6"/>
    <w:rsid w:val="005421B3"/>
    <w:rsid w:val="00546350"/>
    <w:rsid w:val="00555F2C"/>
    <w:rsid w:val="00555F3E"/>
    <w:rsid w:val="00561A8A"/>
    <w:rsid w:val="005626F4"/>
    <w:rsid w:val="00562DBD"/>
    <w:rsid w:val="0056338A"/>
    <w:rsid w:val="00563B16"/>
    <w:rsid w:val="00571170"/>
    <w:rsid w:val="0057179B"/>
    <w:rsid w:val="00572E75"/>
    <w:rsid w:val="0057373B"/>
    <w:rsid w:val="00573EA1"/>
    <w:rsid w:val="0057424A"/>
    <w:rsid w:val="005751B0"/>
    <w:rsid w:val="00575A8E"/>
    <w:rsid w:val="005804BD"/>
    <w:rsid w:val="005804EA"/>
    <w:rsid w:val="005829F9"/>
    <w:rsid w:val="00584185"/>
    <w:rsid w:val="00584576"/>
    <w:rsid w:val="005847E1"/>
    <w:rsid w:val="005853EB"/>
    <w:rsid w:val="005860C1"/>
    <w:rsid w:val="00591936"/>
    <w:rsid w:val="00592F4A"/>
    <w:rsid w:val="00595B1F"/>
    <w:rsid w:val="005A0C20"/>
    <w:rsid w:val="005A2317"/>
    <w:rsid w:val="005A3785"/>
    <w:rsid w:val="005A67D8"/>
    <w:rsid w:val="005A6805"/>
    <w:rsid w:val="005B09F9"/>
    <w:rsid w:val="005B2724"/>
    <w:rsid w:val="005B2C0B"/>
    <w:rsid w:val="005B4771"/>
    <w:rsid w:val="005B4DC6"/>
    <w:rsid w:val="005B6B71"/>
    <w:rsid w:val="005B6D6B"/>
    <w:rsid w:val="005C0BAB"/>
    <w:rsid w:val="005C23D4"/>
    <w:rsid w:val="005C499E"/>
    <w:rsid w:val="005C4FD3"/>
    <w:rsid w:val="005C6066"/>
    <w:rsid w:val="005D0567"/>
    <w:rsid w:val="005D141E"/>
    <w:rsid w:val="005D2D13"/>
    <w:rsid w:val="005D455E"/>
    <w:rsid w:val="005D589B"/>
    <w:rsid w:val="005D5FD6"/>
    <w:rsid w:val="005D68C0"/>
    <w:rsid w:val="005D704D"/>
    <w:rsid w:val="005E19E4"/>
    <w:rsid w:val="005E2267"/>
    <w:rsid w:val="005E289B"/>
    <w:rsid w:val="005E64AF"/>
    <w:rsid w:val="005F0E04"/>
    <w:rsid w:val="005F52C4"/>
    <w:rsid w:val="005F6950"/>
    <w:rsid w:val="005F78F6"/>
    <w:rsid w:val="00602A6E"/>
    <w:rsid w:val="00605912"/>
    <w:rsid w:val="006076FC"/>
    <w:rsid w:val="00613F18"/>
    <w:rsid w:val="0061530F"/>
    <w:rsid w:val="0061553C"/>
    <w:rsid w:val="00615F37"/>
    <w:rsid w:val="006169D8"/>
    <w:rsid w:val="0061771A"/>
    <w:rsid w:val="00624873"/>
    <w:rsid w:val="0063343A"/>
    <w:rsid w:val="00637A0D"/>
    <w:rsid w:val="00644287"/>
    <w:rsid w:val="00652BB3"/>
    <w:rsid w:val="00652E21"/>
    <w:rsid w:val="00660444"/>
    <w:rsid w:val="006620E4"/>
    <w:rsid w:val="00662FE2"/>
    <w:rsid w:val="0066350E"/>
    <w:rsid w:val="0066462D"/>
    <w:rsid w:val="00664B50"/>
    <w:rsid w:val="00665482"/>
    <w:rsid w:val="0066561C"/>
    <w:rsid w:val="006662CD"/>
    <w:rsid w:val="0067051E"/>
    <w:rsid w:val="00672DE3"/>
    <w:rsid w:val="00675E64"/>
    <w:rsid w:val="00680C4A"/>
    <w:rsid w:val="006824A1"/>
    <w:rsid w:val="006864BC"/>
    <w:rsid w:val="00690791"/>
    <w:rsid w:val="00693B50"/>
    <w:rsid w:val="006A0215"/>
    <w:rsid w:val="006A2ADE"/>
    <w:rsid w:val="006A50AA"/>
    <w:rsid w:val="006A53A0"/>
    <w:rsid w:val="006A789C"/>
    <w:rsid w:val="006B210C"/>
    <w:rsid w:val="006B3527"/>
    <w:rsid w:val="006B5BE7"/>
    <w:rsid w:val="006C1A85"/>
    <w:rsid w:val="006C371F"/>
    <w:rsid w:val="006C43DE"/>
    <w:rsid w:val="006C4B45"/>
    <w:rsid w:val="006C5722"/>
    <w:rsid w:val="006C69F5"/>
    <w:rsid w:val="006D129E"/>
    <w:rsid w:val="006D1873"/>
    <w:rsid w:val="006D354B"/>
    <w:rsid w:val="006D5E09"/>
    <w:rsid w:val="006D6DFF"/>
    <w:rsid w:val="006D7450"/>
    <w:rsid w:val="006E14A0"/>
    <w:rsid w:val="006E35C1"/>
    <w:rsid w:val="006E7212"/>
    <w:rsid w:val="006F08F8"/>
    <w:rsid w:val="006F37F2"/>
    <w:rsid w:val="006F6276"/>
    <w:rsid w:val="006F7698"/>
    <w:rsid w:val="006F7952"/>
    <w:rsid w:val="0070126A"/>
    <w:rsid w:val="00701A98"/>
    <w:rsid w:val="00702D23"/>
    <w:rsid w:val="00704805"/>
    <w:rsid w:val="00707483"/>
    <w:rsid w:val="007074DE"/>
    <w:rsid w:val="00707D91"/>
    <w:rsid w:val="0071259D"/>
    <w:rsid w:val="00714023"/>
    <w:rsid w:val="00714618"/>
    <w:rsid w:val="00715667"/>
    <w:rsid w:val="007174EA"/>
    <w:rsid w:val="007179AA"/>
    <w:rsid w:val="00723C3C"/>
    <w:rsid w:val="00724DFF"/>
    <w:rsid w:val="0072651A"/>
    <w:rsid w:val="00726541"/>
    <w:rsid w:val="00727D75"/>
    <w:rsid w:val="00731828"/>
    <w:rsid w:val="00731960"/>
    <w:rsid w:val="007321C1"/>
    <w:rsid w:val="00732B0A"/>
    <w:rsid w:val="00732C3D"/>
    <w:rsid w:val="00732FC5"/>
    <w:rsid w:val="00733ABA"/>
    <w:rsid w:val="00733AF6"/>
    <w:rsid w:val="00735032"/>
    <w:rsid w:val="00736ABE"/>
    <w:rsid w:val="00737DA4"/>
    <w:rsid w:val="00740777"/>
    <w:rsid w:val="00741A6F"/>
    <w:rsid w:val="007437DE"/>
    <w:rsid w:val="00745CF6"/>
    <w:rsid w:val="00750357"/>
    <w:rsid w:val="007525B3"/>
    <w:rsid w:val="007541C3"/>
    <w:rsid w:val="00754585"/>
    <w:rsid w:val="00756F17"/>
    <w:rsid w:val="00762E69"/>
    <w:rsid w:val="00764407"/>
    <w:rsid w:val="00764DFA"/>
    <w:rsid w:val="00765562"/>
    <w:rsid w:val="00765ACA"/>
    <w:rsid w:val="00767F00"/>
    <w:rsid w:val="007713DA"/>
    <w:rsid w:val="00772853"/>
    <w:rsid w:val="007730ED"/>
    <w:rsid w:val="007760B6"/>
    <w:rsid w:val="00776D1B"/>
    <w:rsid w:val="00777C92"/>
    <w:rsid w:val="0078067F"/>
    <w:rsid w:val="00780AA3"/>
    <w:rsid w:val="00784C81"/>
    <w:rsid w:val="00790FE7"/>
    <w:rsid w:val="00792ABF"/>
    <w:rsid w:val="00792CE7"/>
    <w:rsid w:val="00797304"/>
    <w:rsid w:val="007A0EC7"/>
    <w:rsid w:val="007A1757"/>
    <w:rsid w:val="007A1775"/>
    <w:rsid w:val="007A4508"/>
    <w:rsid w:val="007A72C9"/>
    <w:rsid w:val="007B21C3"/>
    <w:rsid w:val="007B2810"/>
    <w:rsid w:val="007B42E6"/>
    <w:rsid w:val="007B7CF2"/>
    <w:rsid w:val="007C1AF0"/>
    <w:rsid w:val="007C1E2E"/>
    <w:rsid w:val="007C6DEF"/>
    <w:rsid w:val="007D112E"/>
    <w:rsid w:val="007D322B"/>
    <w:rsid w:val="007E1C2C"/>
    <w:rsid w:val="007E47B5"/>
    <w:rsid w:val="007F04A9"/>
    <w:rsid w:val="007F06B5"/>
    <w:rsid w:val="007F1009"/>
    <w:rsid w:val="007F52F9"/>
    <w:rsid w:val="007F65F2"/>
    <w:rsid w:val="008004DB"/>
    <w:rsid w:val="00800D6D"/>
    <w:rsid w:val="00801064"/>
    <w:rsid w:val="00801EEA"/>
    <w:rsid w:val="00806267"/>
    <w:rsid w:val="00811E40"/>
    <w:rsid w:val="00811F2A"/>
    <w:rsid w:val="008127FA"/>
    <w:rsid w:val="0081429D"/>
    <w:rsid w:val="00817E1F"/>
    <w:rsid w:val="0082042A"/>
    <w:rsid w:val="00821933"/>
    <w:rsid w:val="0082233B"/>
    <w:rsid w:val="00825C00"/>
    <w:rsid w:val="00827832"/>
    <w:rsid w:val="00831EBB"/>
    <w:rsid w:val="008330C5"/>
    <w:rsid w:val="00833B68"/>
    <w:rsid w:val="00834CBE"/>
    <w:rsid w:val="008356DA"/>
    <w:rsid w:val="00840E95"/>
    <w:rsid w:val="00841B9F"/>
    <w:rsid w:val="008454AF"/>
    <w:rsid w:val="00846BD2"/>
    <w:rsid w:val="0084752D"/>
    <w:rsid w:val="0085259A"/>
    <w:rsid w:val="008528EE"/>
    <w:rsid w:val="008537B7"/>
    <w:rsid w:val="008573B1"/>
    <w:rsid w:val="0085760E"/>
    <w:rsid w:val="00857C2F"/>
    <w:rsid w:val="00861A14"/>
    <w:rsid w:val="008629E8"/>
    <w:rsid w:val="008631A6"/>
    <w:rsid w:val="00866D43"/>
    <w:rsid w:val="0087053D"/>
    <w:rsid w:val="008719E7"/>
    <w:rsid w:val="00871D2E"/>
    <w:rsid w:val="0087305F"/>
    <w:rsid w:val="00873D6A"/>
    <w:rsid w:val="00881078"/>
    <w:rsid w:val="0088352D"/>
    <w:rsid w:val="00887A53"/>
    <w:rsid w:val="00890530"/>
    <w:rsid w:val="00890767"/>
    <w:rsid w:val="00894FAA"/>
    <w:rsid w:val="00896891"/>
    <w:rsid w:val="008A27AA"/>
    <w:rsid w:val="008A4398"/>
    <w:rsid w:val="008A6ABD"/>
    <w:rsid w:val="008A72A1"/>
    <w:rsid w:val="008B289E"/>
    <w:rsid w:val="008C08B3"/>
    <w:rsid w:val="008C173F"/>
    <w:rsid w:val="008C34CF"/>
    <w:rsid w:val="008C5256"/>
    <w:rsid w:val="008C70A6"/>
    <w:rsid w:val="008D0549"/>
    <w:rsid w:val="008D07AF"/>
    <w:rsid w:val="008D0D8D"/>
    <w:rsid w:val="008D3EF8"/>
    <w:rsid w:val="008D4868"/>
    <w:rsid w:val="008E02CB"/>
    <w:rsid w:val="008E0F2B"/>
    <w:rsid w:val="008E1E99"/>
    <w:rsid w:val="008E25E8"/>
    <w:rsid w:val="008E26BC"/>
    <w:rsid w:val="008E2CB8"/>
    <w:rsid w:val="008E4DD8"/>
    <w:rsid w:val="008E752B"/>
    <w:rsid w:val="008E7687"/>
    <w:rsid w:val="008E78B1"/>
    <w:rsid w:val="008F1D15"/>
    <w:rsid w:val="008F314C"/>
    <w:rsid w:val="008F340E"/>
    <w:rsid w:val="008F389B"/>
    <w:rsid w:val="008F4006"/>
    <w:rsid w:val="008F49EB"/>
    <w:rsid w:val="008F7041"/>
    <w:rsid w:val="00901593"/>
    <w:rsid w:val="00902D1A"/>
    <w:rsid w:val="00903810"/>
    <w:rsid w:val="00904EA3"/>
    <w:rsid w:val="00905681"/>
    <w:rsid w:val="00905703"/>
    <w:rsid w:val="009059C8"/>
    <w:rsid w:val="00905D38"/>
    <w:rsid w:val="00913EA7"/>
    <w:rsid w:val="009150CE"/>
    <w:rsid w:val="00915A4B"/>
    <w:rsid w:val="00920AB2"/>
    <w:rsid w:val="00921BDB"/>
    <w:rsid w:val="00930B7A"/>
    <w:rsid w:val="0093195B"/>
    <w:rsid w:val="00932228"/>
    <w:rsid w:val="00934541"/>
    <w:rsid w:val="00934EB8"/>
    <w:rsid w:val="00935777"/>
    <w:rsid w:val="00935941"/>
    <w:rsid w:val="009366D9"/>
    <w:rsid w:val="00936FE4"/>
    <w:rsid w:val="00940E3D"/>
    <w:rsid w:val="0094186E"/>
    <w:rsid w:val="00944F0B"/>
    <w:rsid w:val="0094531B"/>
    <w:rsid w:val="00950D50"/>
    <w:rsid w:val="00953D09"/>
    <w:rsid w:val="009557E1"/>
    <w:rsid w:val="009566B5"/>
    <w:rsid w:val="00957EA7"/>
    <w:rsid w:val="0096055A"/>
    <w:rsid w:val="009621F4"/>
    <w:rsid w:val="00963EB6"/>
    <w:rsid w:val="0096629C"/>
    <w:rsid w:val="0096706F"/>
    <w:rsid w:val="009722AE"/>
    <w:rsid w:val="0097291A"/>
    <w:rsid w:val="00972D97"/>
    <w:rsid w:val="009751AB"/>
    <w:rsid w:val="009752FF"/>
    <w:rsid w:val="009806B7"/>
    <w:rsid w:val="009818EB"/>
    <w:rsid w:val="00983775"/>
    <w:rsid w:val="009857E2"/>
    <w:rsid w:val="00985BED"/>
    <w:rsid w:val="00986748"/>
    <w:rsid w:val="00986E2E"/>
    <w:rsid w:val="0098727C"/>
    <w:rsid w:val="00990B06"/>
    <w:rsid w:val="00990EED"/>
    <w:rsid w:val="00997906"/>
    <w:rsid w:val="00997C8C"/>
    <w:rsid w:val="009A1465"/>
    <w:rsid w:val="009A3E3B"/>
    <w:rsid w:val="009A56F1"/>
    <w:rsid w:val="009A5FD1"/>
    <w:rsid w:val="009A7EA3"/>
    <w:rsid w:val="009B0017"/>
    <w:rsid w:val="009B156C"/>
    <w:rsid w:val="009B59A2"/>
    <w:rsid w:val="009B5B4C"/>
    <w:rsid w:val="009B6B1F"/>
    <w:rsid w:val="009B7123"/>
    <w:rsid w:val="009C14DF"/>
    <w:rsid w:val="009C27D2"/>
    <w:rsid w:val="009C330B"/>
    <w:rsid w:val="009D1C29"/>
    <w:rsid w:val="009D40CB"/>
    <w:rsid w:val="009D4D10"/>
    <w:rsid w:val="009E069B"/>
    <w:rsid w:val="009E0BCB"/>
    <w:rsid w:val="009E290B"/>
    <w:rsid w:val="009E2F10"/>
    <w:rsid w:val="009F260F"/>
    <w:rsid w:val="009F333D"/>
    <w:rsid w:val="009F63F9"/>
    <w:rsid w:val="009F6AD1"/>
    <w:rsid w:val="00A00B9E"/>
    <w:rsid w:val="00A03085"/>
    <w:rsid w:val="00A06476"/>
    <w:rsid w:val="00A10248"/>
    <w:rsid w:val="00A115CF"/>
    <w:rsid w:val="00A1702B"/>
    <w:rsid w:val="00A220B6"/>
    <w:rsid w:val="00A23359"/>
    <w:rsid w:val="00A250CD"/>
    <w:rsid w:val="00A2539F"/>
    <w:rsid w:val="00A26152"/>
    <w:rsid w:val="00A300AD"/>
    <w:rsid w:val="00A30261"/>
    <w:rsid w:val="00A30AD9"/>
    <w:rsid w:val="00A31227"/>
    <w:rsid w:val="00A34CF1"/>
    <w:rsid w:val="00A40106"/>
    <w:rsid w:val="00A436FB"/>
    <w:rsid w:val="00A4567F"/>
    <w:rsid w:val="00A46500"/>
    <w:rsid w:val="00A52164"/>
    <w:rsid w:val="00A53303"/>
    <w:rsid w:val="00A5591C"/>
    <w:rsid w:val="00A5611D"/>
    <w:rsid w:val="00A62183"/>
    <w:rsid w:val="00A66293"/>
    <w:rsid w:val="00A6696A"/>
    <w:rsid w:val="00A67253"/>
    <w:rsid w:val="00A745CA"/>
    <w:rsid w:val="00A74C5C"/>
    <w:rsid w:val="00A75912"/>
    <w:rsid w:val="00A75920"/>
    <w:rsid w:val="00A76237"/>
    <w:rsid w:val="00A81926"/>
    <w:rsid w:val="00A82D71"/>
    <w:rsid w:val="00A83565"/>
    <w:rsid w:val="00A85C28"/>
    <w:rsid w:val="00A91F3B"/>
    <w:rsid w:val="00A95553"/>
    <w:rsid w:val="00AA19F9"/>
    <w:rsid w:val="00AA1DF6"/>
    <w:rsid w:val="00AA2213"/>
    <w:rsid w:val="00AA4889"/>
    <w:rsid w:val="00AB1271"/>
    <w:rsid w:val="00AB25F9"/>
    <w:rsid w:val="00AB5E3F"/>
    <w:rsid w:val="00AC3F15"/>
    <w:rsid w:val="00AC41E4"/>
    <w:rsid w:val="00AD1084"/>
    <w:rsid w:val="00AD3039"/>
    <w:rsid w:val="00AD339A"/>
    <w:rsid w:val="00AD5A15"/>
    <w:rsid w:val="00AE2344"/>
    <w:rsid w:val="00AE2FE0"/>
    <w:rsid w:val="00AE3DBE"/>
    <w:rsid w:val="00AE4BF0"/>
    <w:rsid w:val="00AF051A"/>
    <w:rsid w:val="00AF0FE7"/>
    <w:rsid w:val="00AF5931"/>
    <w:rsid w:val="00AF61B9"/>
    <w:rsid w:val="00AF67B7"/>
    <w:rsid w:val="00AF78F5"/>
    <w:rsid w:val="00B004AA"/>
    <w:rsid w:val="00B01086"/>
    <w:rsid w:val="00B018E0"/>
    <w:rsid w:val="00B01EF7"/>
    <w:rsid w:val="00B074DC"/>
    <w:rsid w:val="00B11B5B"/>
    <w:rsid w:val="00B128DD"/>
    <w:rsid w:val="00B13EA2"/>
    <w:rsid w:val="00B17C2C"/>
    <w:rsid w:val="00B22D0B"/>
    <w:rsid w:val="00B306E6"/>
    <w:rsid w:val="00B34BB6"/>
    <w:rsid w:val="00B41F8B"/>
    <w:rsid w:val="00B43195"/>
    <w:rsid w:val="00B45580"/>
    <w:rsid w:val="00B45A61"/>
    <w:rsid w:val="00B473F9"/>
    <w:rsid w:val="00B47867"/>
    <w:rsid w:val="00B5483E"/>
    <w:rsid w:val="00B557CE"/>
    <w:rsid w:val="00B620C4"/>
    <w:rsid w:val="00B645B9"/>
    <w:rsid w:val="00B650B1"/>
    <w:rsid w:val="00B70F17"/>
    <w:rsid w:val="00B71615"/>
    <w:rsid w:val="00B73504"/>
    <w:rsid w:val="00B75310"/>
    <w:rsid w:val="00B760A8"/>
    <w:rsid w:val="00B7673F"/>
    <w:rsid w:val="00B76A6E"/>
    <w:rsid w:val="00B77531"/>
    <w:rsid w:val="00B80E7C"/>
    <w:rsid w:val="00B82942"/>
    <w:rsid w:val="00B8326E"/>
    <w:rsid w:val="00B848CF"/>
    <w:rsid w:val="00B8560F"/>
    <w:rsid w:val="00B85F86"/>
    <w:rsid w:val="00B868E4"/>
    <w:rsid w:val="00B87F89"/>
    <w:rsid w:val="00B904DB"/>
    <w:rsid w:val="00B944AC"/>
    <w:rsid w:val="00B94946"/>
    <w:rsid w:val="00B962F3"/>
    <w:rsid w:val="00B9725B"/>
    <w:rsid w:val="00BA18A1"/>
    <w:rsid w:val="00BB2653"/>
    <w:rsid w:val="00BB2AC5"/>
    <w:rsid w:val="00BB61CE"/>
    <w:rsid w:val="00BC0229"/>
    <w:rsid w:val="00BC20FE"/>
    <w:rsid w:val="00BC4B3F"/>
    <w:rsid w:val="00BC4F29"/>
    <w:rsid w:val="00BC69DB"/>
    <w:rsid w:val="00BC73C7"/>
    <w:rsid w:val="00BC7C23"/>
    <w:rsid w:val="00BD0E24"/>
    <w:rsid w:val="00BD0E39"/>
    <w:rsid w:val="00BD1041"/>
    <w:rsid w:val="00BD1A61"/>
    <w:rsid w:val="00BD3075"/>
    <w:rsid w:val="00BD421E"/>
    <w:rsid w:val="00BD591F"/>
    <w:rsid w:val="00BD5C0B"/>
    <w:rsid w:val="00BD7006"/>
    <w:rsid w:val="00BD72F0"/>
    <w:rsid w:val="00BD7F46"/>
    <w:rsid w:val="00BE1D77"/>
    <w:rsid w:val="00BE66BA"/>
    <w:rsid w:val="00BE74DC"/>
    <w:rsid w:val="00BF08BD"/>
    <w:rsid w:val="00BF2E3D"/>
    <w:rsid w:val="00BF58BB"/>
    <w:rsid w:val="00BF6446"/>
    <w:rsid w:val="00C03591"/>
    <w:rsid w:val="00C04145"/>
    <w:rsid w:val="00C053CB"/>
    <w:rsid w:val="00C05600"/>
    <w:rsid w:val="00C07070"/>
    <w:rsid w:val="00C070FE"/>
    <w:rsid w:val="00C10E0E"/>
    <w:rsid w:val="00C10FC6"/>
    <w:rsid w:val="00C11345"/>
    <w:rsid w:val="00C16148"/>
    <w:rsid w:val="00C166B9"/>
    <w:rsid w:val="00C169D0"/>
    <w:rsid w:val="00C17394"/>
    <w:rsid w:val="00C17510"/>
    <w:rsid w:val="00C256B9"/>
    <w:rsid w:val="00C3060A"/>
    <w:rsid w:val="00C30F02"/>
    <w:rsid w:val="00C33406"/>
    <w:rsid w:val="00C33492"/>
    <w:rsid w:val="00C33D01"/>
    <w:rsid w:val="00C3512B"/>
    <w:rsid w:val="00C356F8"/>
    <w:rsid w:val="00C37F95"/>
    <w:rsid w:val="00C43009"/>
    <w:rsid w:val="00C43DB0"/>
    <w:rsid w:val="00C459D8"/>
    <w:rsid w:val="00C50D41"/>
    <w:rsid w:val="00C51C80"/>
    <w:rsid w:val="00C52AD4"/>
    <w:rsid w:val="00C5395F"/>
    <w:rsid w:val="00C53E76"/>
    <w:rsid w:val="00C553B5"/>
    <w:rsid w:val="00C5627D"/>
    <w:rsid w:val="00C60483"/>
    <w:rsid w:val="00C60625"/>
    <w:rsid w:val="00C61495"/>
    <w:rsid w:val="00C61D46"/>
    <w:rsid w:val="00C62ED9"/>
    <w:rsid w:val="00C63577"/>
    <w:rsid w:val="00C63D01"/>
    <w:rsid w:val="00C641B3"/>
    <w:rsid w:val="00C72417"/>
    <w:rsid w:val="00C74C7D"/>
    <w:rsid w:val="00C76222"/>
    <w:rsid w:val="00C76424"/>
    <w:rsid w:val="00C836C2"/>
    <w:rsid w:val="00C836CB"/>
    <w:rsid w:val="00C84F5A"/>
    <w:rsid w:val="00C851AE"/>
    <w:rsid w:val="00C85260"/>
    <w:rsid w:val="00C900BD"/>
    <w:rsid w:val="00C940D3"/>
    <w:rsid w:val="00C97887"/>
    <w:rsid w:val="00C97D26"/>
    <w:rsid w:val="00CA3B8E"/>
    <w:rsid w:val="00CA46BF"/>
    <w:rsid w:val="00CA5DBB"/>
    <w:rsid w:val="00CA76A0"/>
    <w:rsid w:val="00CA787E"/>
    <w:rsid w:val="00CA7EE9"/>
    <w:rsid w:val="00CA7F22"/>
    <w:rsid w:val="00CB09B2"/>
    <w:rsid w:val="00CB0D61"/>
    <w:rsid w:val="00CB1821"/>
    <w:rsid w:val="00CB2E7B"/>
    <w:rsid w:val="00CC5CF3"/>
    <w:rsid w:val="00CC69AB"/>
    <w:rsid w:val="00CD5CA9"/>
    <w:rsid w:val="00CD6AC1"/>
    <w:rsid w:val="00CD7183"/>
    <w:rsid w:val="00CD7D32"/>
    <w:rsid w:val="00CE22FA"/>
    <w:rsid w:val="00CE2A04"/>
    <w:rsid w:val="00CE3764"/>
    <w:rsid w:val="00CE51CD"/>
    <w:rsid w:val="00CE597F"/>
    <w:rsid w:val="00CE5E27"/>
    <w:rsid w:val="00CF078C"/>
    <w:rsid w:val="00CF41F0"/>
    <w:rsid w:val="00CF7803"/>
    <w:rsid w:val="00CF7CCF"/>
    <w:rsid w:val="00CF7CD4"/>
    <w:rsid w:val="00D07266"/>
    <w:rsid w:val="00D1209B"/>
    <w:rsid w:val="00D1211E"/>
    <w:rsid w:val="00D13153"/>
    <w:rsid w:val="00D13348"/>
    <w:rsid w:val="00D14786"/>
    <w:rsid w:val="00D16BB2"/>
    <w:rsid w:val="00D20699"/>
    <w:rsid w:val="00D22A86"/>
    <w:rsid w:val="00D246D7"/>
    <w:rsid w:val="00D257C0"/>
    <w:rsid w:val="00D2588D"/>
    <w:rsid w:val="00D25B9B"/>
    <w:rsid w:val="00D27D41"/>
    <w:rsid w:val="00D334D1"/>
    <w:rsid w:val="00D33C1B"/>
    <w:rsid w:val="00D34699"/>
    <w:rsid w:val="00D3470D"/>
    <w:rsid w:val="00D42879"/>
    <w:rsid w:val="00D44DF7"/>
    <w:rsid w:val="00D45446"/>
    <w:rsid w:val="00D460EF"/>
    <w:rsid w:val="00D46530"/>
    <w:rsid w:val="00D531C5"/>
    <w:rsid w:val="00D550E7"/>
    <w:rsid w:val="00D6090C"/>
    <w:rsid w:val="00D60AFF"/>
    <w:rsid w:val="00D636FC"/>
    <w:rsid w:val="00D6465A"/>
    <w:rsid w:val="00D64B97"/>
    <w:rsid w:val="00D704B5"/>
    <w:rsid w:val="00D73838"/>
    <w:rsid w:val="00D75393"/>
    <w:rsid w:val="00D777CC"/>
    <w:rsid w:val="00D827CF"/>
    <w:rsid w:val="00D82990"/>
    <w:rsid w:val="00D9318E"/>
    <w:rsid w:val="00D955CD"/>
    <w:rsid w:val="00DA0231"/>
    <w:rsid w:val="00DA0B68"/>
    <w:rsid w:val="00DA48CC"/>
    <w:rsid w:val="00DA657F"/>
    <w:rsid w:val="00DB1D95"/>
    <w:rsid w:val="00DC125E"/>
    <w:rsid w:val="00DC1D08"/>
    <w:rsid w:val="00DC445A"/>
    <w:rsid w:val="00DD054C"/>
    <w:rsid w:val="00DD09EC"/>
    <w:rsid w:val="00DD1438"/>
    <w:rsid w:val="00DD5D31"/>
    <w:rsid w:val="00DD7B4D"/>
    <w:rsid w:val="00DD7BDD"/>
    <w:rsid w:val="00DE41AE"/>
    <w:rsid w:val="00DE4259"/>
    <w:rsid w:val="00DF2830"/>
    <w:rsid w:val="00DF3FAE"/>
    <w:rsid w:val="00E03397"/>
    <w:rsid w:val="00E03D49"/>
    <w:rsid w:val="00E058A0"/>
    <w:rsid w:val="00E07C40"/>
    <w:rsid w:val="00E142D7"/>
    <w:rsid w:val="00E15148"/>
    <w:rsid w:val="00E16B38"/>
    <w:rsid w:val="00E17829"/>
    <w:rsid w:val="00E201C2"/>
    <w:rsid w:val="00E24437"/>
    <w:rsid w:val="00E24E92"/>
    <w:rsid w:val="00E25B96"/>
    <w:rsid w:val="00E260D4"/>
    <w:rsid w:val="00E27166"/>
    <w:rsid w:val="00E3120B"/>
    <w:rsid w:val="00E32E62"/>
    <w:rsid w:val="00E3512C"/>
    <w:rsid w:val="00E359C2"/>
    <w:rsid w:val="00E406EF"/>
    <w:rsid w:val="00E40BD0"/>
    <w:rsid w:val="00E41E9D"/>
    <w:rsid w:val="00E43043"/>
    <w:rsid w:val="00E434BF"/>
    <w:rsid w:val="00E445A1"/>
    <w:rsid w:val="00E4480D"/>
    <w:rsid w:val="00E44D11"/>
    <w:rsid w:val="00E47E1A"/>
    <w:rsid w:val="00E47E89"/>
    <w:rsid w:val="00E47ECA"/>
    <w:rsid w:val="00E5050A"/>
    <w:rsid w:val="00E51CF9"/>
    <w:rsid w:val="00E53680"/>
    <w:rsid w:val="00E554AE"/>
    <w:rsid w:val="00E602F9"/>
    <w:rsid w:val="00E60886"/>
    <w:rsid w:val="00E65822"/>
    <w:rsid w:val="00E6626D"/>
    <w:rsid w:val="00E66B45"/>
    <w:rsid w:val="00E67B78"/>
    <w:rsid w:val="00E70364"/>
    <w:rsid w:val="00E71306"/>
    <w:rsid w:val="00E7146E"/>
    <w:rsid w:val="00E73658"/>
    <w:rsid w:val="00E7366B"/>
    <w:rsid w:val="00E74E4B"/>
    <w:rsid w:val="00E7561B"/>
    <w:rsid w:val="00E75D51"/>
    <w:rsid w:val="00E773B3"/>
    <w:rsid w:val="00E80674"/>
    <w:rsid w:val="00E81495"/>
    <w:rsid w:val="00E90666"/>
    <w:rsid w:val="00E920C9"/>
    <w:rsid w:val="00E94A00"/>
    <w:rsid w:val="00E95325"/>
    <w:rsid w:val="00E958F4"/>
    <w:rsid w:val="00E95C1A"/>
    <w:rsid w:val="00EA316E"/>
    <w:rsid w:val="00EA4112"/>
    <w:rsid w:val="00EA42B7"/>
    <w:rsid w:val="00EA532A"/>
    <w:rsid w:val="00EA5BB1"/>
    <w:rsid w:val="00EA72C6"/>
    <w:rsid w:val="00EB1195"/>
    <w:rsid w:val="00EB57BE"/>
    <w:rsid w:val="00EC15F4"/>
    <w:rsid w:val="00EC2531"/>
    <w:rsid w:val="00EC2F05"/>
    <w:rsid w:val="00ED0DFD"/>
    <w:rsid w:val="00ED0F30"/>
    <w:rsid w:val="00ED1565"/>
    <w:rsid w:val="00ED324C"/>
    <w:rsid w:val="00ED59CE"/>
    <w:rsid w:val="00ED6D56"/>
    <w:rsid w:val="00ED6E57"/>
    <w:rsid w:val="00ED7958"/>
    <w:rsid w:val="00EE151A"/>
    <w:rsid w:val="00EE23A4"/>
    <w:rsid w:val="00EE2D15"/>
    <w:rsid w:val="00EE419F"/>
    <w:rsid w:val="00EE50F0"/>
    <w:rsid w:val="00EE6133"/>
    <w:rsid w:val="00EE6A75"/>
    <w:rsid w:val="00EE71BD"/>
    <w:rsid w:val="00EE71FE"/>
    <w:rsid w:val="00EE7712"/>
    <w:rsid w:val="00EE77E4"/>
    <w:rsid w:val="00EF05A6"/>
    <w:rsid w:val="00EF0F22"/>
    <w:rsid w:val="00EF154A"/>
    <w:rsid w:val="00EF2739"/>
    <w:rsid w:val="00EF3DD9"/>
    <w:rsid w:val="00EF46F7"/>
    <w:rsid w:val="00EF603D"/>
    <w:rsid w:val="00EF60A3"/>
    <w:rsid w:val="00EF6B2A"/>
    <w:rsid w:val="00F00B97"/>
    <w:rsid w:val="00F01592"/>
    <w:rsid w:val="00F02685"/>
    <w:rsid w:val="00F06BD5"/>
    <w:rsid w:val="00F11A3C"/>
    <w:rsid w:val="00F13CFD"/>
    <w:rsid w:val="00F15512"/>
    <w:rsid w:val="00F17776"/>
    <w:rsid w:val="00F17E17"/>
    <w:rsid w:val="00F21C78"/>
    <w:rsid w:val="00F24CBF"/>
    <w:rsid w:val="00F32333"/>
    <w:rsid w:val="00F348B2"/>
    <w:rsid w:val="00F4072E"/>
    <w:rsid w:val="00F4118A"/>
    <w:rsid w:val="00F41224"/>
    <w:rsid w:val="00F438DA"/>
    <w:rsid w:val="00F44C37"/>
    <w:rsid w:val="00F4538B"/>
    <w:rsid w:val="00F46FF4"/>
    <w:rsid w:val="00F517ED"/>
    <w:rsid w:val="00F533E4"/>
    <w:rsid w:val="00F56A01"/>
    <w:rsid w:val="00F632B3"/>
    <w:rsid w:val="00F6466E"/>
    <w:rsid w:val="00F67AEF"/>
    <w:rsid w:val="00F67BBF"/>
    <w:rsid w:val="00F716B3"/>
    <w:rsid w:val="00F71C1B"/>
    <w:rsid w:val="00F750E1"/>
    <w:rsid w:val="00F762EC"/>
    <w:rsid w:val="00F76FAA"/>
    <w:rsid w:val="00F77426"/>
    <w:rsid w:val="00F7766F"/>
    <w:rsid w:val="00F77BF9"/>
    <w:rsid w:val="00F801B9"/>
    <w:rsid w:val="00F84B3D"/>
    <w:rsid w:val="00F94C79"/>
    <w:rsid w:val="00F95E2F"/>
    <w:rsid w:val="00FA265D"/>
    <w:rsid w:val="00FA2C9B"/>
    <w:rsid w:val="00FA3A06"/>
    <w:rsid w:val="00FA72C9"/>
    <w:rsid w:val="00FA76E1"/>
    <w:rsid w:val="00FA77F9"/>
    <w:rsid w:val="00FB25A9"/>
    <w:rsid w:val="00FB3609"/>
    <w:rsid w:val="00FB3C65"/>
    <w:rsid w:val="00FB3D91"/>
    <w:rsid w:val="00FC1A5D"/>
    <w:rsid w:val="00FC23AF"/>
    <w:rsid w:val="00FC2A52"/>
    <w:rsid w:val="00FC2C1E"/>
    <w:rsid w:val="00FC3097"/>
    <w:rsid w:val="00FC48C3"/>
    <w:rsid w:val="00FD01C0"/>
    <w:rsid w:val="00FD3CBC"/>
    <w:rsid w:val="00FD6B06"/>
    <w:rsid w:val="00FD6E9F"/>
    <w:rsid w:val="00FD7105"/>
    <w:rsid w:val="00FE0DD8"/>
    <w:rsid w:val="00FE1D95"/>
    <w:rsid w:val="00FE5046"/>
    <w:rsid w:val="00FE5BBD"/>
    <w:rsid w:val="00FF1237"/>
    <w:rsid w:val="00FF13F8"/>
    <w:rsid w:val="00FF1749"/>
    <w:rsid w:val="00FF33DC"/>
    <w:rsid w:val="00FF3F85"/>
    <w:rsid w:val="00FF610B"/>
    <w:rsid w:val="00FF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36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44"/>
    <w:pPr>
      <w:ind w:left="720"/>
      <w:contextualSpacing/>
    </w:pPr>
  </w:style>
  <w:style w:type="character" w:styleId="Hyperlink">
    <w:name w:val="Hyperlink"/>
    <w:basedOn w:val="DefaultParagraphFont"/>
    <w:uiPriority w:val="99"/>
    <w:unhideWhenUsed/>
    <w:rsid w:val="000D2044"/>
    <w:rPr>
      <w:color w:val="0563C1" w:themeColor="hyperlink"/>
      <w:u w:val="single"/>
    </w:rPr>
  </w:style>
  <w:style w:type="paragraph" w:styleId="NormalWeb">
    <w:name w:val="Normal (Web)"/>
    <w:basedOn w:val="Normal"/>
    <w:uiPriority w:val="99"/>
    <w:semiHidden/>
    <w:unhideWhenUsed/>
    <w:rsid w:val="006864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4BC"/>
    <w:rPr>
      <w:b/>
      <w:bCs/>
    </w:rPr>
  </w:style>
  <w:style w:type="paragraph" w:styleId="FootnoteText">
    <w:name w:val="footnote text"/>
    <w:basedOn w:val="Normal"/>
    <w:link w:val="FootnoteTextChar"/>
    <w:uiPriority w:val="99"/>
    <w:unhideWhenUsed/>
    <w:rsid w:val="006864BC"/>
    <w:pPr>
      <w:spacing w:after="0" w:line="240" w:lineRule="auto"/>
    </w:pPr>
    <w:rPr>
      <w:sz w:val="20"/>
      <w:szCs w:val="20"/>
    </w:rPr>
  </w:style>
  <w:style w:type="character" w:customStyle="1" w:styleId="FootnoteTextChar">
    <w:name w:val="Footnote Text Char"/>
    <w:basedOn w:val="DefaultParagraphFont"/>
    <w:link w:val="FootnoteText"/>
    <w:uiPriority w:val="99"/>
    <w:rsid w:val="006864BC"/>
    <w:rPr>
      <w:sz w:val="20"/>
      <w:szCs w:val="20"/>
    </w:rPr>
  </w:style>
  <w:style w:type="character" w:styleId="FootnoteReference">
    <w:name w:val="footnote reference"/>
    <w:basedOn w:val="DefaultParagraphFont"/>
    <w:uiPriority w:val="99"/>
    <w:unhideWhenUsed/>
    <w:rsid w:val="006864BC"/>
    <w:rPr>
      <w:vertAlign w:val="superscript"/>
    </w:rPr>
  </w:style>
  <w:style w:type="character" w:styleId="CommentReference">
    <w:name w:val="annotation reference"/>
    <w:basedOn w:val="DefaultParagraphFont"/>
    <w:uiPriority w:val="99"/>
    <w:semiHidden/>
    <w:unhideWhenUsed/>
    <w:rsid w:val="006864BC"/>
    <w:rPr>
      <w:sz w:val="16"/>
      <w:szCs w:val="16"/>
    </w:rPr>
  </w:style>
  <w:style w:type="paragraph" w:styleId="BalloonText">
    <w:name w:val="Balloon Text"/>
    <w:basedOn w:val="Normal"/>
    <w:link w:val="BalloonTextChar"/>
    <w:uiPriority w:val="99"/>
    <w:semiHidden/>
    <w:unhideWhenUsed/>
    <w:rsid w:val="00686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BC"/>
    <w:rPr>
      <w:rFonts w:ascii="Segoe UI" w:hAnsi="Segoe UI" w:cs="Segoe UI"/>
      <w:sz w:val="18"/>
      <w:szCs w:val="18"/>
    </w:rPr>
  </w:style>
  <w:style w:type="paragraph" w:styleId="CommentText">
    <w:name w:val="annotation text"/>
    <w:basedOn w:val="Normal"/>
    <w:link w:val="CommentTextChar"/>
    <w:uiPriority w:val="99"/>
    <w:unhideWhenUsed/>
    <w:rsid w:val="00E65822"/>
    <w:pPr>
      <w:spacing w:after="200" w:line="240" w:lineRule="auto"/>
    </w:pPr>
    <w:rPr>
      <w:sz w:val="20"/>
      <w:szCs w:val="20"/>
    </w:rPr>
  </w:style>
  <w:style w:type="character" w:customStyle="1" w:styleId="CommentTextChar">
    <w:name w:val="Comment Text Char"/>
    <w:basedOn w:val="DefaultParagraphFont"/>
    <w:link w:val="CommentText"/>
    <w:uiPriority w:val="99"/>
    <w:rsid w:val="00E65822"/>
    <w:rPr>
      <w:sz w:val="20"/>
      <w:szCs w:val="20"/>
    </w:rPr>
  </w:style>
  <w:style w:type="character" w:styleId="FollowedHyperlink">
    <w:name w:val="FollowedHyperlink"/>
    <w:basedOn w:val="DefaultParagraphFont"/>
    <w:uiPriority w:val="99"/>
    <w:semiHidden/>
    <w:unhideWhenUsed/>
    <w:rsid w:val="00BD70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7D41"/>
    <w:pPr>
      <w:spacing w:after="160"/>
    </w:pPr>
    <w:rPr>
      <w:b/>
      <w:bCs/>
    </w:rPr>
  </w:style>
  <w:style w:type="character" w:customStyle="1" w:styleId="CommentSubjectChar">
    <w:name w:val="Comment Subject Char"/>
    <w:basedOn w:val="CommentTextChar"/>
    <w:link w:val="CommentSubject"/>
    <w:uiPriority w:val="99"/>
    <w:semiHidden/>
    <w:rsid w:val="00D27D41"/>
    <w:rPr>
      <w:b/>
      <w:bCs/>
      <w:sz w:val="20"/>
      <w:szCs w:val="20"/>
    </w:rPr>
  </w:style>
  <w:style w:type="paragraph" w:customStyle="1" w:styleId="ThesisBlockQuote">
    <w:name w:val="ThesisBlockQuote"/>
    <w:basedOn w:val="Normal"/>
    <w:link w:val="ThesisBlockQuoteChar"/>
    <w:autoRedefine/>
    <w:uiPriority w:val="4"/>
    <w:qFormat/>
    <w:rsid w:val="000F5D55"/>
    <w:pPr>
      <w:spacing w:after="0" w:line="276" w:lineRule="auto"/>
      <w:ind w:left="720" w:right="720"/>
      <w:contextualSpacing/>
    </w:pPr>
    <w:rPr>
      <w:rFonts w:ascii="Cambria" w:hAnsi="Cambria"/>
      <w:i/>
      <w:sz w:val="24"/>
      <w:szCs w:val="24"/>
    </w:rPr>
  </w:style>
  <w:style w:type="character" w:customStyle="1" w:styleId="ThesisBlockQuoteChar">
    <w:name w:val="ThesisBlockQuote Char"/>
    <w:basedOn w:val="DefaultParagraphFont"/>
    <w:link w:val="ThesisBlockQuote"/>
    <w:uiPriority w:val="4"/>
    <w:rsid w:val="000F5D55"/>
    <w:rPr>
      <w:rFonts w:ascii="Cambria" w:hAnsi="Cambria"/>
      <w:i/>
      <w:sz w:val="24"/>
      <w:szCs w:val="24"/>
    </w:rPr>
  </w:style>
  <w:style w:type="character" w:customStyle="1" w:styleId="js-separator">
    <w:name w:val="js-separator"/>
    <w:basedOn w:val="DefaultParagraphFont"/>
    <w:rsid w:val="00EF6B2A"/>
  </w:style>
  <w:style w:type="character" w:styleId="Emphasis">
    <w:name w:val="Emphasis"/>
    <w:basedOn w:val="DefaultParagraphFont"/>
    <w:uiPriority w:val="20"/>
    <w:qFormat/>
    <w:rsid w:val="00950D50"/>
    <w:rPr>
      <w:i/>
      <w:iCs/>
    </w:rPr>
  </w:style>
  <w:style w:type="character" w:customStyle="1" w:styleId="highwire-cite-metadata-journal">
    <w:name w:val="highwire-cite-metadata-journal"/>
    <w:basedOn w:val="DefaultParagraphFont"/>
    <w:rsid w:val="000E4E07"/>
  </w:style>
  <w:style w:type="character" w:customStyle="1" w:styleId="highwire-cite-metadata-date">
    <w:name w:val="highwire-cite-metadata-date"/>
    <w:basedOn w:val="DefaultParagraphFont"/>
    <w:rsid w:val="000E4E07"/>
  </w:style>
  <w:style w:type="character" w:customStyle="1" w:styleId="highwire-cite-metadata-volume">
    <w:name w:val="highwire-cite-metadata-volume"/>
    <w:basedOn w:val="DefaultParagraphFont"/>
    <w:rsid w:val="000E4E07"/>
  </w:style>
  <w:style w:type="character" w:customStyle="1" w:styleId="highwire-cite-metadata-issue">
    <w:name w:val="highwire-cite-metadata-issue"/>
    <w:basedOn w:val="DefaultParagraphFont"/>
    <w:rsid w:val="000E4E07"/>
  </w:style>
  <w:style w:type="character" w:customStyle="1" w:styleId="rphighlightallclass">
    <w:name w:val="rphighlightallclass"/>
    <w:basedOn w:val="DefaultParagraphFont"/>
    <w:rsid w:val="00D42879"/>
  </w:style>
  <w:style w:type="paragraph" w:styleId="Header">
    <w:name w:val="header"/>
    <w:basedOn w:val="Normal"/>
    <w:link w:val="HeaderChar"/>
    <w:uiPriority w:val="99"/>
    <w:unhideWhenUsed/>
    <w:rsid w:val="00245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EFE"/>
  </w:style>
  <w:style w:type="paragraph" w:styleId="Footer">
    <w:name w:val="footer"/>
    <w:basedOn w:val="Normal"/>
    <w:link w:val="FooterChar"/>
    <w:uiPriority w:val="99"/>
    <w:unhideWhenUsed/>
    <w:rsid w:val="00245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EFE"/>
  </w:style>
  <w:style w:type="paragraph" w:customStyle="1" w:styleId="Body">
    <w:name w:val="Body"/>
    <w:rsid w:val="00C604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792C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part/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constitutionallaw.org/2016/07/04/michael-doherty-should-making-false-statements-in-a-referendum-campaign-be-an-electoral-off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ukpga/1998/29/section/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2003/21/conten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youtube.com/watch?v=6bG5ps5KdDo" TargetMode="External"/><Relationship Id="rId18" Type="http://schemas.openxmlformats.org/officeDocument/2006/relationships/hyperlink" Target="https://www.demos.co.uk/wp-content/uploads/2018/07/The-Future-of-Political-Campaigning.pdf" TargetMode="External"/><Relationship Id="rId26" Type="http://schemas.openxmlformats.org/officeDocument/2006/relationships/hyperlink" Target="http://search.electoralcommission.org.uk/Search/Spending?currentPage=3&amp;rows=30&amp;query=facebook&amp;sort=DateIncurred&amp;order=desc&amp;tab=1&amp;open=filter&amp;et=pp&amp;includeOutsideSection75=true&amp;evt=ukparliament&amp;ev=3568&amp;optCols=CampaigningName&amp;optCols=ExpenseCategoryName&amp;optCols=FullAddress&amp;optCols=AmountInEngland&amp;optCols=AmountInScotland&amp;optCols=AmountInWales&amp;optCols=AmountInNorthernIreland&amp;optCols=DateOfClaimForPayment&amp;optCols=DatePaid" TargetMode="External"/><Relationship Id="rId39" Type="http://schemas.openxmlformats.org/officeDocument/2006/relationships/hyperlink" Target="https://www.ft.com/content/c6ffc5d8-544d-11e8-b3ee-41e0209208ec" TargetMode="External"/><Relationship Id="rId21" Type="http://schemas.openxmlformats.org/officeDocument/2006/relationships/hyperlink" Target="http://www.bbc.com/news/technology-43718175" TargetMode="External"/><Relationship Id="rId34" Type="http://schemas.openxmlformats.org/officeDocument/2006/relationships/hyperlink" Target="https://ec.europa.eu/digital-single-market/en/news/final-report-high-level-expert-group-fake-news-and-online-disinformation" TargetMode="External"/><Relationship Id="rId7" Type="http://schemas.openxmlformats.org/officeDocument/2006/relationships/hyperlink" Target="https://www.wired.com/story/the-cambridge-analytica-data-apocalypse-was-predicted-in-2007/" TargetMode="External"/><Relationship Id="rId12" Type="http://schemas.openxmlformats.org/officeDocument/2006/relationships/hyperlink" Target="http://blogs.lse.ac.uk/politicsandpolicy/the-politics-of-data-led-campaigning/" TargetMode="External"/><Relationship Id="rId17" Type="http://schemas.openxmlformats.org/officeDocument/2006/relationships/hyperlink" Target="https://ssrn.com/abstract=3213954" TargetMode="External"/><Relationship Id="rId25" Type="http://schemas.openxmlformats.org/officeDocument/2006/relationships/hyperlink" Target="https://fil.forbrukerradet.no/wp-content/uploads/2018/06/2018-06-27-deceived-by-design-final.pdf" TargetMode="External"/><Relationship Id="rId33" Type="http://schemas.openxmlformats.org/officeDocument/2006/relationships/hyperlink" Target="https://consoc.org.uk/wp-content/uploads/2018/07/Stephanie-Hankey-Julianne-Kerr-Morrison-Ravi-Naik-Data-and-Democracy-in-the-Digital-Age.pdf" TargetMode="External"/><Relationship Id="rId38" Type="http://schemas.openxmlformats.org/officeDocument/2006/relationships/hyperlink" Target="https://www.theguardian.com/technology/2017/jan/18/facebook-moderation-racial-bias-black-lives-matter" TargetMode="External"/><Relationship Id="rId2" Type="http://schemas.openxmlformats.org/officeDocument/2006/relationships/hyperlink" Target="http://firstmonday.org/ojs/index.php/fm/article/view/4901/4097" TargetMode="External"/><Relationship Id="rId16" Type="http://schemas.openxmlformats.org/officeDocument/2006/relationships/hyperlink" Target="https://arxiv.org/ftp/arxiv/papers/1802/1802.07228.pdf" TargetMode="External"/><Relationship Id="rId20" Type="http://schemas.openxmlformats.org/officeDocument/2006/relationships/hyperlink" Target="https://newsroom.fb.com/news/2018/04/restricting-data-access/" TargetMode="External"/><Relationship Id="rId29" Type="http://schemas.openxmlformats.org/officeDocument/2006/relationships/hyperlink" Target="http://www.referendumanalysis.eu/" TargetMode="External"/><Relationship Id="rId1" Type="http://schemas.openxmlformats.org/officeDocument/2006/relationships/hyperlink" Target="https://www.electoralcommission.org.uk/__data/assets/pdf_file/0019/244540/Electoral-Commission-political-finance-regulation-and-digital-campaigning-a-public-perspective.pdf" TargetMode="External"/><Relationship Id="rId6" Type="http://schemas.openxmlformats.org/officeDocument/2006/relationships/hyperlink" Target="http://journals.sagepub.com/doi/pdf/10.1177/000271624725000116" TargetMode="External"/><Relationship Id="rId11" Type="http://schemas.openxmlformats.org/officeDocument/2006/relationships/hyperlink" Target="http://blogs.lse.ac.uk/brexit/2018/07/18/the-delivery-and-content-of-political-campaign-material/" TargetMode="External"/><Relationship Id="rId24" Type="http://schemas.openxmlformats.org/officeDocument/2006/relationships/hyperlink" Target="https://noyb.eu/wp-content/uploads/2018/05/pa_forcedconsent_en.pdf" TargetMode="External"/><Relationship Id="rId32" Type="http://schemas.openxmlformats.org/officeDocument/2006/relationships/hyperlink" Target="http://www.asa.org.uk/rulings/home-office-a13-237331.html" TargetMode="External"/><Relationship Id="rId37" Type="http://schemas.openxmlformats.org/officeDocument/2006/relationships/hyperlink" Target="http://www.lawcom.gov.uk/app/uploads/2016/02/electoral_law_interim_report.pdf" TargetMode="External"/><Relationship Id="rId40" Type="http://schemas.openxmlformats.org/officeDocument/2006/relationships/hyperlink" Target="http://www.electoralcommission.org.uk/__data/assets/pdf_file/0007/162178/Reflections-on-a-New-Structure-for-the-UKs-Electoral-Law.pdf" TargetMode="External"/><Relationship Id="rId5" Type="http://schemas.openxmlformats.org/officeDocument/2006/relationships/hyperlink" Target="https://bigdatawg.nist.gov/_uploadfiles/M0068_v1_3903747095.pdf" TargetMode="External"/><Relationship Id="rId15" Type="http://schemas.openxmlformats.org/officeDocument/2006/relationships/hyperlink" Target="https://www.gartner.com/smarterwithgartner/emotion-ai-will-personalize-interactions/" TargetMode="External"/><Relationship Id="rId23" Type="http://schemas.openxmlformats.org/officeDocument/2006/relationships/hyperlink" Target="https://ico.org.uk/media/about-the-ico/documents/2258462/data-protection-bill-public-bill-committee-ico-further-evidence.pdf" TargetMode="External"/><Relationship Id="rId28" Type="http://schemas.openxmlformats.org/officeDocument/2006/relationships/hyperlink" Target="https://www.parliament.uk/documents/commons-committees/culture-media-and-sport/Fake_news_evidence/Ads-supplied-by-Facebook-to-the-DCMS-Committee.pdf" TargetMode="External"/><Relationship Id="rId36" Type="http://schemas.openxmlformats.org/officeDocument/2006/relationships/hyperlink" Target="http://www.electoralcommission.org.uk/__data/assets/pdf_file/0006/197907/UKPGE-Spending-Report-2015.pdf" TargetMode="External"/><Relationship Id="rId10" Type="http://schemas.openxmlformats.org/officeDocument/2006/relationships/hyperlink" Target="https://www.spectator.co.uk/2018/03/big-data-is-watching-you-and-it-wants-your-vote/" TargetMode="External"/><Relationship Id="rId19" Type="http://schemas.openxmlformats.org/officeDocument/2006/relationships/hyperlink" Target="https://ico.org.uk/media/action-weve-taken/2259369/democracy-disrupted-110718.pdf" TargetMode="External"/><Relationship Id="rId31" Type="http://schemas.openxmlformats.org/officeDocument/2006/relationships/hyperlink" Target="https://www.asa.org.uk/news/political-advertising.html" TargetMode="External"/><Relationship Id="rId4" Type="http://schemas.openxmlformats.org/officeDocument/2006/relationships/hyperlink" Target="http://eprints.lse.ac.uk/71945/" TargetMode="External"/><Relationship Id="rId9" Type="http://schemas.openxmlformats.org/officeDocument/2006/relationships/hyperlink" Target="https://www.makeuseof.com/tag/facebook-data-influence-elections/" TargetMode="External"/><Relationship Id="rId14" Type="http://schemas.openxmlformats.org/officeDocument/2006/relationships/hyperlink" Target="https://www.parliament.uk/documents/commons-committees/culture-media-and-sport/Dr%20Emma%20Briant%20Explanatory%20Essays.pdf" TargetMode="External"/><Relationship Id="rId22" Type="http://schemas.openxmlformats.org/officeDocument/2006/relationships/hyperlink" Target="https://medium.com/@uCampaignCEO/brexit-there-was-an-app-for-that-57d1d658b4f1" TargetMode="External"/><Relationship Id="rId27" Type="http://schemas.openxmlformats.org/officeDocument/2006/relationships/hyperlink" Target="https://dominiccummings.com/2016/10/29/on-the-referendum-20-the-campaign-physics-and-data-science-vote-leaves-voter-intention-collection-system-vics-now-available-for-all" TargetMode="External"/><Relationship Id="rId30" Type="http://schemas.openxmlformats.org/officeDocument/2006/relationships/hyperlink" Target="https://www.conservativehome.com/thetorydiary/2016/06/vote-leave-versus-stronger-in-how-the-referendum-campaigns-ground-operations-measure-up.html" TargetMode="External"/><Relationship Id="rId35" Type="http://schemas.openxmlformats.org/officeDocument/2006/relationships/hyperlink" Target="https://www.electoralcommission.org.uk/find-information-by-subject/political-parties-campaigning-and-donations/digital-campaigning" TargetMode="External"/><Relationship Id="rId8" Type="http://schemas.openxmlformats.org/officeDocument/2006/relationships/hyperlink" Target="https://ico.org.uk/media/action-weve-taken/2259371/investigation-into-data-analytics-for-political-purposes-update.pdf" TargetMode="External"/><Relationship Id="rId3" Type="http://schemas.openxmlformats.org/officeDocument/2006/relationships/hyperlink" Target="https://newsroom.fb.com/news/2018/04/restricting-data-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1DFA-C361-440E-8489-0BE8B390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6901</Words>
  <Characters>39341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2018-10-19T14:54:00Z</dcterms:created>
  <dcterms:modified xsi:type="dcterms:W3CDTF">2018-10-19T14:55:00Z</dcterms:modified>
</cp:coreProperties>
</file>