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6DE6" w14:textId="56418529" w:rsidR="00237956" w:rsidRDefault="001D792F" w:rsidP="001D792F">
      <w:pPr>
        <w:autoSpaceDE w:val="0"/>
        <w:autoSpaceDN w:val="0"/>
        <w:adjustRightInd w:val="0"/>
        <w:spacing w:after="0" w:line="240" w:lineRule="auto"/>
        <w:rPr>
          <w:rFonts w:ascii="Times-Roman" w:hAnsi="Times-Roman" w:cs="Times-Roman"/>
          <w:color w:val="000000"/>
          <w:sz w:val="14"/>
          <w:szCs w:val="14"/>
          <w:lang w:val="en-GB"/>
        </w:rPr>
      </w:pPr>
      <w:r>
        <w:rPr>
          <w:rFonts w:ascii="Times-Roman" w:hAnsi="Times-Roman" w:cs="Times-Roman"/>
          <w:color w:val="000000"/>
          <w:sz w:val="14"/>
          <w:szCs w:val="14"/>
          <w:lang w:val="en-GB"/>
        </w:rPr>
        <w:t xml:space="preserve">This is an authors’ version of a paper accepted in its definitive form by the </w:t>
      </w:r>
      <w:r w:rsidRPr="001D792F">
        <w:rPr>
          <w:rFonts w:ascii="Times-Roman" w:hAnsi="Times-Roman" w:cs="Times-Roman"/>
          <w:i/>
          <w:iCs/>
          <w:color w:val="000000"/>
          <w:sz w:val="14"/>
          <w:szCs w:val="14"/>
          <w:lang w:val="en-GB"/>
        </w:rPr>
        <w:t xml:space="preserve">Higher </w:t>
      </w:r>
      <w:r>
        <w:rPr>
          <w:rFonts w:ascii="Times-Roman" w:hAnsi="Times-Roman" w:cs="Times-Roman"/>
          <w:i/>
          <w:iCs/>
          <w:color w:val="000000"/>
          <w:sz w:val="14"/>
          <w:szCs w:val="14"/>
          <w:lang w:val="en-GB"/>
        </w:rPr>
        <w:t>E</w:t>
      </w:r>
      <w:r w:rsidRPr="001D792F">
        <w:rPr>
          <w:rFonts w:ascii="Times-Roman" w:hAnsi="Times-Roman" w:cs="Times-Roman"/>
          <w:i/>
          <w:iCs/>
          <w:color w:val="000000"/>
          <w:sz w:val="14"/>
          <w:szCs w:val="14"/>
          <w:lang w:val="en-GB"/>
        </w:rPr>
        <w:t>ducation</w:t>
      </w:r>
      <w:r>
        <w:rPr>
          <w:rFonts w:ascii="Times-Roman" w:hAnsi="Times-Roman" w:cs="Times-Roman"/>
          <w:color w:val="000000"/>
          <w:sz w:val="14"/>
          <w:szCs w:val="14"/>
          <w:lang w:val="en-GB"/>
        </w:rPr>
        <w:t xml:space="preserve">, © </w:t>
      </w:r>
      <w:r>
        <w:rPr>
          <w:rFonts w:ascii="Times-Roman" w:hAnsi="Times-Roman" w:cs="Times-Roman"/>
          <w:color w:val="000000"/>
          <w:sz w:val="14"/>
          <w:szCs w:val="14"/>
          <w:lang w:val="en-GB"/>
        </w:rPr>
        <w:t>Springer</w:t>
      </w:r>
      <w:r>
        <w:rPr>
          <w:rFonts w:ascii="Times-Roman" w:hAnsi="Times-Roman" w:cs="Times-Roman"/>
          <w:color w:val="000000"/>
          <w:sz w:val="14"/>
          <w:szCs w:val="14"/>
          <w:lang w:val="en-GB"/>
        </w:rPr>
        <w:t xml:space="preserve">, </w:t>
      </w:r>
      <w:r w:rsidRPr="001D792F">
        <w:rPr>
          <w:rFonts w:ascii="Times-Roman" w:hAnsi="Times-Roman" w:cs="Times-Roman"/>
          <w:color w:val="0563C2"/>
          <w:sz w:val="14"/>
          <w:szCs w:val="14"/>
          <w:lang w:val="en-GB"/>
        </w:rPr>
        <w:t>www.springer.com/journal/10734</w:t>
      </w:r>
      <w:r>
        <w:rPr>
          <w:rFonts w:ascii="Times-Roman" w:hAnsi="Times-Roman" w:cs="Times-Roman"/>
          <w:color w:val="0563C2"/>
          <w:sz w:val="14"/>
          <w:szCs w:val="14"/>
          <w:lang w:val="en-GB"/>
        </w:rPr>
        <w:t xml:space="preserve"> </w:t>
      </w:r>
      <w:r>
        <w:rPr>
          <w:rFonts w:ascii="Times-Roman" w:hAnsi="Times-Roman" w:cs="Times-Roman"/>
          <w:color w:val="000000"/>
          <w:sz w:val="14"/>
          <w:szCs w:val="14"/>
          <w:lang w:val="en-GB"/>
        </w:rPr>
        <w:t>and has</w:t>
      </w:r>
      <w:r>
        <w:rPr>
          <w:rFonts w:ascii="Times-Roman" w:hAnsi="Times-Roman" w:cs="Times-Roman"/>
          <w:color w:val="000000"/>
          <w:sz w:val="14"/>
          <w:szCs w:val="14"/>
          <w:lang w:val="en-GB"/>
        </w:rPr>
        <w:t xml:space="preserve"> </w:t>
      </w:r>
      <w:r>
        <w:rPr>
          <w:rFonts w:ascii="Times-Roman" w:hAnsi="Times-Roman" w:cs="Times-Roman"/>
          <w:color w:val="000000"/>
          <w:sz w:val="14"/>
          <w:szCs w:val="14"/>
          <w:lang w:val="en-GB"/>
        </w:rPr>
        <w:t xml:space="preserve">been posted by permission of Springer for personal use, not for redistribution. Please cite as: </w:t>
      </w:r>
      <w:r w:rsidRPr="001D792F">
        <w:rPr>
          <w:rFonts w:ascii="Times-Roman" w:hAnsi="Times-Roman" w:cs="Times-Roman"/>
          <w:color w:val="000000"/>
          <w:sz w:val="14"/>
          <w:szCs w:val="14"/>
          <w:lang w:val="en-GB"/>
        </w:rPr>
        <w:t xml:space="preserve">Francioni, Barbara , Curina, Ilaria, Dennis, Charles , Papagiannidis, Savvas, Alamanos, Eleftherios, Bourlakis, Michael and Hegner, Sabrina M (2020) Does trust play a role when it comes to donations? A comparison of Italian and US higher education institutions. </w:t>
      </w:r>
      <w:r w:rsidRPr="001D792F">
        <w:rPr>
          <w:rFonts w:ascii="Times-Roman" w:hAnsi="Times-Roman" w:cs="Times-Roman"/>
          <w:i/>
          <w:iCs/>
          <w:color w:val="000000"/>
          <w:sz w:val="14"/>
          <w:szCs w:val="14"/>
          <w:lang w:val="en-GB"/>
        </w:rPr>
        <w:t xml:space="preserve">Higher </w:t>
      </w:r>
      <w:r>
        <w:rPr>
          <w:rFonts w:ascii="Times-Roman" w:hAnsi="Times-Roman" w:cs="Times-Roman"/>
          <w:i/>
          <w:iCs/>
          <w:color w:val="000000"/>
          <w:sz w:val="14"/>
          <w:szCs w:val="14"/>
          <w:lang w:val="en-GB"/>
        </w:rPr>
        <w:t>E</w:t>
      </w:r>
      <w:r w:rsidRPr="001D792F">
        <w:rPr>
          <w:rFonts w:ascii="Times-Roman" w:hAnsi="Times-Roman" w:cs="Times-Roman"/>
          <w:i/>
          <w:iCs/>
          <w:color w:val="000000"/>
          <w:sz w:val="14"/>
          <w:szCs w:val="14"/>
          <w:lang w:val="en-GB"/>
        </w:rPr>
        <w:t>ducation</w:t>
      </w:r>
      <w:r w:rsidRPr="001D792F">
        <w:rPr>
          <w:rFonts w:ascii="Times-Roman" w:hAnsi="Times-Roman" w:cs="Times-Roman"/>
          <w:color w:val="000000"/>
          <w:sz w:val="14"/>
          <w:szCs w:val="14"/>
          <w:lang w:val="en-GB"/>
        </w:rPr>
        <w:t>.</w:t>
      </w:r>
      <w:r w:rsidRPr="001D792F">
        <w:rPr>
          <w:rFonts w:ascii="Times-Roman" w:hAnsi="Times-Roman" w:cs="Times-Roman"/>
          <w:color w:val="000000"/>
          <w:sz w:val="14"/>
          <w:szCs w:val="14"/>
          <w:lang w:val="en-GB"/>
        </w:rPr>
        <w:t xml:space="preserve"> pp. 1-21. ISSN 0018-1560 [Article] (Published online first) (doi:10.1007/s10734-020-00623-1)</w:t>
      </w:r>
      <w:r w:rsidR="00B7344B">
        <w:rPr>
          <w:rFonts w:ascii="Times-Roman" w:hAnsi="Times-Roman" w:cs="Times-Roman"/>
          <w:color w:val="000000"/>
          <w:sz w:val="14"/>
          <w:szCs w:val="14"/>
          <w:lang w:val="en-GB"/>
        </w:rPr>
        <w:t xml:space="preserve">, available from: </w:t>
      </w:r>
      <w:hyperlink r:id="rId8" w:history="1">
        <w:r w:rsidR="00B7344B" w:rsidRPr="00B7344B">
          <w:rPr>
            <w:rFonts w:ascii="Times-Roman" w:hAnsi="Times-Roman" w:cs="Times-Roman"/>
            <w:color w:val="0563C2"/>
            <w:sz w:val="14"/>
            <w:szCs w:val="14"/>
            <w:lang w:val="en-GB"/>
          </w:rPr>
          <w:t>https://d</w:t>
        </w:r>
        <w:r w:rsidR="00B7344B" w:rsidRPr="00B7344B">
          <w:rPr>
            <w:rFonts w:ascii="Times-Roman" w:hAnsi="Times-Roman" w:cs="Times-Roman"/>
            <w:color w:val="0563C2"/>
            <w:sz w:val="14"/>
            <w:szCs w:val="14"/>
            <w:lang w:val="en-GB"/>
          </w:rPr>
          <w:t>o</w:t>
        </w:r>
        <w:r w:rsidR="00B7344B" w:rsidRPr="00B7344B">
          <w:rPr>
            <w:rFonts w:ascii="Times-Roman" w:hAnsi="Times-Roman" w:cs="Times-Roman"/>
            <w:color w:val="0563C2"/>
            <w:sz w:val="14"/>
            <w:szCs w:val="14"/>
            <w:lang w:val="en-GB"/>
          </w:rPr>
          <w:t>i.org/10.1007/s10734-020-00623-1</w:t>
        </w:r>
      </w:hyperlink>
    </w:p>
    <w:p w14:paraId="3C79538F" w14:textId="77777777" w:rsidR="00F1264A" w:rsidRPr="001D792F" w:rsidRDefault="00F1264A" w:rsidP="001D792F">
      <w:pPr>
        <w:autoSpaceDE w:val="0"/>
        <w:autoSpaceDN w:val="0"/>
        <w:adjustRightInd w:val="0"/>
        <w:spacing w:after="0" w:line="240" w:lineRule="auto"/>
        <w:rPr>
          <w:rFonts w:ascii="Times-Roman" w:hAnsi="Times-Roman" w:cs="Times-Roman"/>
          <w:color w:val="000000"/>
          <w:sz w:val="14"/>
          <w:szCs w:val="14"/>
          <w:lang w:val="en-GB"/>
        </w:rPr>
      </w:pPr>
    </w:p>
    <w:p w14:paraId="3C362FDF" w14:textId="77777777" w:rsidR="00237956" w:rsidRPr="00167327" w:rsidRDefault="00237956" w:rsidP="00237956">
      <w:pPr>
        <w:pStyle w:val="Articletitle"/>
        <w:spacing w:after="0" w:line="240" w:lineRule="auto"/>
        <w:ind w:left="567" w:right="277"/>
        <w:jc w:val="center"/>
        <w:rPr>
          <w:color w:val="000000" w:themeColor="text1"/>
        </w:rPr>
      </w:pPr>
      <w:r w:rsidRPr="00167327">
        <w:rPr>
          <w:color w:val="000000" w:themeColor="text1"/>
        </w:rPr>
        <w:t>Does trust play a role when it comes to donations?</w:t>
      </w:r>
    </w:p>
    <w:p w14:paraId="05D742E0" w14:textId="77777777" w:rsidR="00237956" w:rsidRPr="00167327" w:rsidRDefault="00237956" w:rsidP="00237956">
      <w:pPr>
        <w:pStyle w:val="Articletitle"/>
        <w:spacing w:after="0" w:line="240" w:lineRule="auto"/>
        <w:ind w:left="567" w:right="277"/>
        <w:jc w:val="center"/>
        <w:rPr>
          <w:color w:val="000000" w:themeColor="text1"/>
        </w:rPr>
      </w:pPr>
      <w:r w:rsidRPr="00167327">
        <w:rPr>
          <w:color w:val="000000" w:themeColor="text1"/>
        </w:rPr>
        <w:t xml:space="preserve">A comparison of </w:t>
      </w:r>
      <w:r>
        <w:rPr>
          <w:color w:val="000000" w:themeColor="text1"/>
        </w:rPr>
        <w:t xml:space="preserve">Italian and US higher education </w:t>
      </w:r>
      <w:r w:rsidRPr="00167327">
        <w:rPr>
          <w:color w:val="000000" w:themeColor="text1"/>
        </w:rPr>
        <w:t>institutions</w:t>
      </w:r>
      <w:r w:rsidRPr="00167327" w:rsidDel="00E80924">
        <w:rPr>
          <w:color w:val="000000" w:themeColor="text1"/>
        </w:rPr>
        <w:t xml:space="preserve"> </w:t>
      </w:r>
    </w:p>
    <w:p w14:paraId="1866A7A8" w14:textId="77777777" w:rsidR="00237956" w:rsidRDefault="00237956" w:rsidP="00237956">
      <w:pPr>
        <w:spacing w:line="240" w:lineRule="auto"/>
        <w:rPr>
          <w:b/>
          <w:lang w:val="en-US"/>
        </w:rPr>
      </w:pPr>
    </w:p>
    <w:p w14:paraId="72CB9149" w14:textId="0E7A3833" w:rsidR="00237956" w:rsidRPr="00734AA2" w:rsidRDefault="00237956" w:rsidP="00237956">
      <w:pPr>
        <w:spacing w:line="240" w:lineRule="auto"/>
        <w:rPr>
          <w:i/>
        </w:rPr>
      </w:pPr>
      <w:r>
        <w:rPr>
          <w:b/>
          <w:lang w:val="en-US"/>
        </w:rPr>
        <w:t>Barbara Francioni (Corresponding author)</w:t>
      </w:r>
      <w:r>
        <w:rPr>
          <w:b/>
          <w:lang w:val="en-US"/>
        </w:rPr>
        <w:br/>
      </w:r>
      <w:r w:rsidRPr="00734AA2">
        <w:rPr>
          <w:i/>
          <w:lang w:val="en-US"/>
        </w:rPr>
        <w:t xml:space="preserve">Department of Communication Sciences, Humanities and International Studies. University of Urbino </w:t>
      </w:r>
      <w:r>
        <w:rPr>
          <w:i/>
          <w:lang w:val="en-US"/>
        </w:rPr>
        <w:t>Carlo Bo</w:t>
      </w:r>
      <w:r>
        <w:rPr>
          <w:i/>
          <w:lang w:val="en-US"/>
        </w:rPr>
        <w:br/>
      </w:r>
      <w:r w:rsidRPr="00734AA2">
        <w:rPr>
          <w:i/>
          <w:lang w:val="en-US"/>
        </w:rPr>
        <w:t xml:space="preserve">Address: </w:t>
      </w:r>
      <w:r>
        <w:rPr>
          <w:i/>
          <w:lang w:val="en-US"/>
        </w:rPr>
        <w:t xml:space="preserve">Via </w:t>
      </w:r>
      <w:proofErr w:type="spellStart"/>
      <w:r>
        <w:rPr>
          <w:i/>
          <w:lang w:val="en-US"/>
        </w:rPr>
        <w:t>Saffi</w:t>
      </w:r>
      <w:proofErr w:type="spellEnd"/>
      <w:r>
        <w:rPr>
          <w:i/>
          <w:lang w:val="en-US"/>
        </w:rPr>
        <w:t xml:space="preserve"> 15</w:t>
      </w:r>
      <w:r w:rsidRPr="00734AA2">
        <w:rPr>
          <w:i/>
          <w:lang w:val="en-US"/>
        </w:rPr>
        <w:t>, 61029 Urbino, Italy</w:t>
      </w:r>
      <w:r>
        <w:rPr>
          <w:i/>
          <w:lang w:val="en-US"/>
        </w:rPr>
        <w:br/>
      </w:r>
      <w:r w:rsidRPr="00734AA2">
        <w:rPr>
          <w:i/>
        </w:rPr>
        <w:t xml:space="preserve">E-mail: </w:t>
      </w:r>
      <w:r>
        <w:rPr>
          <w:i/>
        </w:rPr>
        <w:fldChar w:fldCharType="begin"/>
      </w:r>
      <w:r>
        <w:rPr>
          <w:i/>
        </w:rPr>
        <w:instrText xml:space="preserve"> HYPERLINK "mailto:</w:instrText>
      </w:r>
      <w:r w:rsidRPr="00734AA2">
        <w:rPr>
          <w:i/>
        </w:rPr>
        <w:instrText>barbara.francioni@uniurb.it</w:instrText>
      </w:r>
      <w:r>
        <w:rPr>
          <w:i/>
        </w:rPr>
        <w:instrText xml:space="preserve">" </w:instrText>
      </w:r>
      <w:r>
        <w:rPr>
          <w:i/>
        </w:rPr>
        <w:fldChar w:fldCharType="separate"/>
      </w:r>
      <w:r w:rsidRPr="005E4C13">
        <w:rPr>
          <w:rStyle w:val="Hyperlink"/>
          <w:i/>
        </w:rPr>
        <w:t>barbara.francioni@uniurb.it</w:t>
      </w:r>
      <w:r>
        <w:rPr>
          <w:i/>
        </w:rPr>
        <w:fldChar w:fldCharType="end"/>
      </w:r>
      <w:r>
        <w:rPr>
          <w:i/>
        </w:rPr>
        <w:t xml:space="preserve"> </w:t>
      </w:r>
    </w:p>
    <w:p w14:paraId="17C79D23" w14:textId="77777777" w:rsidR="00237956" w:rsidRPr="00176911" w:rsidRDefault="00237956" w:rsidP="00237956">
      <w:pPr>
        <w:spacing w:line="240" w:lineRule="auto"/>
        <w:rPr>
          <w:b/>
        </w:rPr>
      </w:pPr>
    </w:p>
    <w:p w14:paraId="574F761E" w14:textId="7D485AFD" w:rsidR="00237956" w:rsidRPr="00602294" w:rsidRDefault="00237956" w:rsidP="00237956">
      <w:pPr>
        <w:spacing w:line="240" w:lineRule="auto"/>
        <w:rPr>
          <w:i/>
        </w:rPr>
      </w:pPr>
      <w:r w:rsidRPr="0093012E">
        <w:rPr>
          <w:b/>
          <w:lang w:val="en-US"/>
        </w:rPr>
        <w:t>Ilaria Curina</w:t>
      </w:r>
      <w:r>
        <w:rPr>
          <w:b/>
          <w:lang w:val="en-US"/>
        </w:rPr>
        <w:br/>
      </w:r>
      <w:r w:rsidRPr="008A69DC">
        <w:rPr>
          <w:i/>
          <w:lang w:val="en-US"/>
        </w:rPr>
        <w:t>Department of Communication Sciences, Humanities and International Studies.</w:t>
      </w:r>
      <w:r>
        <w:rPr>
          <w:i/>
          <w:lang w:val="en-US"/>
        </w:rPr>
        <w:t xml:space="preserve"> </w:t>
      </w:r>
      <w:r w:rsidRPr="008A69DC">
        <w:rPr>
          <w:i/>
          <w:lang w:val="en-US"/>
        </w:rPr>
        <w:t xml:space="preserve">University of Urbino </w:t>
      </w:r>
      <w:r>
        <w:rPr>
          <w:i/>
          <w:lang w:val="en-US"/>
        </w:rPr>
        <w:t>Carlo Bo</w:t>
      </w:r>
      <w:r>
        <w:rPr>
          <w:i/>
          <w:lang w:val="en-US"/>
        </w:rPr>
        <w:br/>
      </w:r>
      <w:r w:rsidRPr="008A69DC">
        <w:rPr>
          <w:i/>
          <w:lang w:val="en-US"/>
        </w:rPr>
        <w:t xml:space="preserve">Address: Via </w:t>
      </w:r>
      <w:proofErr w:type="spellStart"/>
      <w:r w:rsidRPr="008A69DC">
        <w:rPr>
          <w:i/>
          <w:lang w:val="en-US"/>
        </w:rPr>
        <w:t>Saffi</w:t>
      </w:r>
      <w:proofErr w:type="spellEnd"/>
      <w:r w:rsidRPr="008A69DC">
        <w:rPr>
          <w:i/>
          <w:lang w:val="en-US"/>
        </w:rPr>
        <w:t xml:space="preserve"> 15, 61029 Urbino, Italy</w:t>
      </w:r>
      <w:r>
        <w:rPr>
          <w:i/>
          <w:lang w:val="en-US"/>
        </w:rPr>
        <w:br/>
      </w:r>
      <w:r w:rsidRPr="00602294">
        <w:rPr>
          <w:i/>
        </w:rPr>
        <w:t xml:space="preserve">E-mail: </w:t>
      </w:r>
      <w:r>
        <w:fldChar w:fldCharType="begin"/>
      </w:r>
      <w:r>
        <w:instrText xml:space="preserve"> HYPERLINK "mailto:ilaria.curina@uniurb.it" </w:instrText>
      </w:r>
      <w:r>
        <w:fldChar w:fldCharType="separate"/>
      </w:r>
      <w:r w:rsidRPr="00602294">
        <w:rPr>
          <w:rStyle w:val="Hyperlink"/>
          <w:i/>
        </w:rPr>
        <w:t>ilaria.curina@uniurb.it</w:t>
      </w:r>
      <w:r>
        <w:rPr>
          <w:rStyle w:val="Hyperlink"/>
          <w:i/>
          <w:color w:val="auto"/>
          <w:u w:val="none"/>
        </w:rPr>
        <w:fldChar w:fldCharType="end"/>
      </w:r>
    </w:p>
    <w:p w14:paraId="4885BA1D" w14:textId="77777777" w:rsidR="00237956" w:rsidRPr="00176911" w:rsidRDefault="00237956" w:rsidP="00237956">
      <w:pPr>
        <w:pStyle w:val="Notesoncontributors"/>
        <w:spacing w:before="0" w:line="240" w:lineRule="auto"/>
        <w:rPr>
          <w:b/>
          <w:sz w:val="24"/>
          <w:lang w:val="it-IT"/>
        </w:rPr>
      </w:pPr>
    </w:p>
    <w:p w14:paraId="4FE9B608" w14:textId="6C6D4D5C" w:rsidR="00237956" w:rsidRPr="00237956" w:rsidRDefault="00237956" w:rsidP="00237956">
      <w:pPr>
        <w:spacing w:line="240" w:lineRule="auto"/>
        <w:rPr>
          <w:rStyle w:val="Hyperlink"/>
        </w:rPr>
      </w:pPr>
      <w:r w:rsidRPr="00237956">
        <w:rPr>
          <w:b/>
          <w:lang w:val="en-US"/>
        </w:rPr>
        <w:t>Charles Dennis</w:t>
      </w:r>
      <w:r>
        <w:rPr>
          <w:b/>
          <w:lang w:val="en-US"/>
        </w:rPr>
        <w:br/>
      </w:r>
      <w:r>
        <w:rPr>
          <w:i/>
          <w:lang w:val="en-US"/>
        </w:rPr>
        <w:t>The Business School, Middlesex University.</w:t>
      </w:r>
      <w:r w:rsidRPr="00602294">
        <w:rPr>
          <w:i/>
          <w:lang w:val="en-US"/>
        </w:rPr>
        <w:t xml:space="preserve"> </w:t>
      </w:r>
      <w:r>
        <w:rPr>
          <w:i/>
          <w:lang w:val="en-US"/>
        </w:rPr>
        <w:br/>
        <w:t xml:space="preserve">Address: </w:t>
      </w:r>
      <w:r w:rsidRPr="00B7319B">
        <w:rPr>
          <w:i/>
          <w:lang w:val="en-US"/>
        </w:rPr>
        <w:t>London NW4 4BT, UK</w:t>
      </w:r>
      <w:r>
        <w:rPr>
          <w:i/>
          <w:lang w:val="en-US"/>
        </w:rPr>
        <w:br/>
      </w:r>
      <w:r w:rsidRPr="00B7319B">
        <w:rPr>
          <w:i/>
          <w:lang w:val="en-US"/>
        </w:rPr>
        <w:t>E-mail:</w:t>
      </w:r>
      <w:r w:rsidRPr="00B7319B">
        <w:rPr>
          <w:lang w:val="en-US"/>
        </w:rPr>
        <w:t xml:space="preserve"> </w:t>
      </w:r>
      <w:r w:rsidRPr="00237956">
        <w:rPr>
          <w:rStyle w:val="Hyperlink"/>
          <w:i/>
        </w:rPr>
        <w:t>c.dennis@mdx.ac.uk</w:t>
      </w:r>
    </w:p>
    <w:p w14:paraId="175FE4C7" w14:textId="77777777" w:rsidR="00237956" w:rsidRDefault="00237956" w:rsidP="00237956">
      <w:pPr>
        <w:spacing w:line="240" w:lineRule="auto"/>
        <w:rPr>
          <w:b/>
          <w:lang w:val="en-US"/>
        </w:rPr>
      </w:pPr>
    </w:p>
    <w:p w14:paraId="5D038FBD" w14:textId="3D685A63" w:rsidR="00237956" w:rsidRPr="00237956" w:rsidRDefault="00237956" w:rsidP="00237956">
      <w:pPr>
        <w:spacing w:line="240" w:lineRule="auto"/>
        <w:rPr>
          <w:rStyle w:val="Hyperlink"/>
          <w:i/>
        </w:rPr>
      </w:pPr>
      <w:r w:rsidRPr="00D84188">
        <w:rPr>
          <w:b/>
          <w:lang w:val="en-US"/>
        </w:rPr>
        <w:t>Savvas Papagiannidis</w:t>
      </w:r>
      <w:r>
        <w:rPr>
          <w:b/>
          <w:lang w:val="en-US"/>
        </w:rPr>
        <w:br/>
      </w:r>
      <w:r w:rsidRPr="00424BC0">
        <w:rPr>
          <w:i/>
        </w:rPr>
        <w:t>Newcastle University Busin</w:t>
      </w:r>
      <w:r>
        <w:rPr>
          <w:i/>
        </w:rPr>
        <w:t>ess School, Newcastle University.</w:t>
      </w:r>
      <w:r>
        <w:rPr>
          <w:i/>
        </w:rPr>
        <w:br/>
      </w:r>
      <w:r w:rsidRPr="00424BC0">
        <w:rPr>
          <w:i/>
          <w:lang w:val="en-US"/>
        </w:rPr>
        <w:t>Address: Newcastle upon Tyne NE1 4SE, UK</w:t>
      </w:r>
      <w:r>
        <w:rPr>
          <w:i/>
          <w:lang w:val="en-US"/>
        </w:rPr>
        <w:br/>
      </w:r>
      <w:r w:rsidRPr="00424BC0">
        <w:rPr>
          <w:i/>
          <w:color w:val="000000"/>
          <w:lang w:eastAsia="it-IT"/>
        </w:rPr>
        <w:t xml:space="preserve">E-mail: </w:t>
      </w:r>
      <w:r w:rsidRPr="00237956">
        <w:rPr>
          <w:rStyle w:val="Hyperlink"/>
          <w:i/>
        </w:rPr>
        <w:t>savvas.papagiannidis@ncl.ac.uk</w:t>
      </w:r>
    </w:p>
    <w:p w14:paraId="6CAE2C9C" w14:textId="77777777" w:rsidR="00237956" w:rsidRPr="00176911" w:rsidRDefault="00237956" w:rsidP="00237956">
      <w:pPr>
        <w:spacing w:line="240" w:lineRule="auto"/>
        <w:rPr>
          <w:b/>
        </w:rPr>
      </w:pPr>
    </w:p>
    <w:p w14:paraId="322B953A" w14:textId="3B44B1E0" w:rsidR="00237956" w:rsidRPr="008F3170" w:rsidRDefault="00237956" w:rsidP="00237956">
      <w:pPr>
        <w:spacing w:line="240" w:lineRule="auto"/>
      </w:pPr>
      <w:r w:rsidRPr="00544577">
        <w:rPr>
          <w:b/>
          <w:lang w:val="en-US"/>
        </w:rPr>
        <w:t>Eleftherios Alamanos</w:t>
      </w:r>
      <w:r>
        <w:rPr>
          <w:b/>
          <w:lang w:val="en-US"/>
        </w:rPr>
        <w:br/>
      </w:r>
      <w:r w:rsidRPr="00544577">
        <w:rPr>
          <w:i/>
          <w:lang w:val="en-US"/>
        </w:rPr>
        <w:t>Newcastle University Business School, Newcastle University.</w:t>
      </w:r>
      <w:r>
        <w:rPr>
          <w:i/>
          <w:lang w:val="en-US"/>
        </w:rPr>
        <w:br/>
      </w:r>
      <w:r w:rsidRPr="00544577">
        <w:rPr>
          <w:i/>
          <w:lang w:val="en-US"/>
        </w:rPr>
        <w:t>Address: Newcastle upon Tyne NE1 4SE, UK</w:t>
      </w:r>
      <w:r>
        <w:rPr>
          <w:i/>
          <w:lang w:val="en-US"/>
        </w:rPr>
        <w:br/>
      </w:r>
      <w:r w:rsidRPr="003D6DB0">
        <w:rPr>
          <w:i/>
          <w:color w:val="000000"/>
          <w:lang w:eastAsia="it-IT"/>
        </w:rPr>
        <w:t xml:space="preserve">E-mail: </w:t>
      </w:r>
      <w:r w:rsidRPr="00237956">
        <w:rPr>
          <w:rStyle w:val="Hyperlink"/>
          <w:i/>
        </w:rPr>
        <w:t>Eleftherios.Alamanos@newcastle.ac.uk</w:t>
      </w:r>
    </w:p>
    <w:p w14:paraId="4D089E59" w14:textId="77777777" w:rsidR="00237956" w:rsidRPr="00176911" w:rsidRDefault="00237956" w:rsidP="00237956">
      <w:pPr>
        <w:spacing w:line="240" w:lineRule="auto"/>
        <w:rPr>
          <w:b/>
        </w:rPr>
      </w:pPr>
    </w:p>
    <w:p w14:paraId="1B7B2123" w14:textId="55857B8E" w:rsidR="00237956" w:rsidRPr="00544577" w:rsidRDefault="00237956" w:rsidP="00237956">
      <w:pPr>
        <w:spacing w:line="240" w:lineRule="auto"/>
        <w:rPr>
          <w:rStyle w:val="Hyperlink"/>
          <w:i/>
          <w:color w:val="000000"/>
          <w:lang w:eastAsia="it-IT"/>
        </w:rPr>
      </w:pPr>
      <w:r w:rsidRPr="00C85F5B">
        <w:rPr>
          <w:b/>
          <w:lang w:val="en-US"/>
        </w:rPr>
        <w:t>Michael Bourlakis</w:t>
      </w:r>
      <w:r>
        <w:rPr>
          <w:b/>
          <w:lang w:val="en-US"/>
        </w:rPr>
        <w:br/>
      </w:r>
      <w:proofErr w:type="spellStart"/>
      <w:r w:rsidRPr="0093012E">
        <w:rPr>
          <w:i/>
          <w:color w:val="000000"/>
          <w:lang w:val="en-US" w:eastAsia="it-IT"/>
        </w:rPr>
        <w:t>Cran</w:t>
      </w:r>
      <w:proofErr w:type="spellEnd"/>
      <w:r w:rsidRPr="00C85F5B">
        <w:rPr>
          <w:i/>
          <w:color w:val="000000"/>
          <w:lang w:eastAsia="it-IT"/>
        </w:rPr>
        <w:t>ﬁ</w:t>
      </w:r>
      <w:r w:rsidRPr="0093012E">
        <w:rPr>
          <w:i/>
          <w:color w:val="000000"/>
          <w:lang w:val="en-US" w:eastAsia="it-IT"/>
        </w:rPr>
        <w:t>eld School of Management</w:t>
      </w:r>
      <w:r>
        <w:rPr>
          <w:i/>
          <w:color w:val="000000"/>
          <w:lang w:val="en-US" w:eastAsia="it-IT"/>
        </w:rPr>
        <w:br/>
      </w:r>
      <w:r w:rsidRPr="00C85F5B">
        <w:rPr>
          <w:i/>
          <w:color w:val="000000"/>
          <w:lang w:val="en-US" w:eastAsia="it-IT"/>
        </w:rPr>
        <w:t xml:space="preserve">Address: </w:t>
      </w:r>
      <w:proofErr w:type="spellStart"/>
      <w:r w:rsidRPr="00C85F5B">
        <w:rPr>
          <w:i/>
          <w:color w:val="000000"/>
          <w:lang w:val="en-US" w:eastAsia="it-IT"/>
        </w:rPr>
        <w:t>Cran</w:t>
      </w:r>
      <w:proofErr w:type="spellEnd"/>
      <w:r w:rsidRPr="00C85F5B">
        <w:rPr>
          <w:i/>
          <w:color w:val="000000"/>
          <w:lang w:eastAsia="it-IT"/>
        </w:rPr>
        <w:t>ﬁ</w:t>
      </w:r>
      <w:r w:rsidRPr="00C85F5B">
        <w:rPr>
          <w:i/>
          <w:color w:val="000000"/>
          <w:lang w:val="en-US" w:eastAsia="it-IT"/>
        </w:rPr>
        <w:t>eld, Bedford MK43 0AL, UK</w:t>
      </w:r>
      <w:r>
        <w:rPr>
          <w:i/>
          <w:color w:val="000000"/>
          <w:lang w:val="en-US" w:eastAsia="it-IT"/>
        </w:rPr>
        <w:br/>
      </w:r>
      <w:r>
        <w:rPr>
          <w:i/>
          <w:color w:val="000000"/>
          <w:lang w:eastAsia="it-IT"/>
        </w:rPr>
        <w:t xml:space="preserve">E-mail: </w:t>
      </w:r>
      <w:r>
        <w:rPr>
          <w:i/>
          <w:color w:val="000000"/>
          <w:lang w:eastAsia="it-IT"/>
        </w:rPr>
        <w:fldChar w:fldCharType="begin"/>
      </w:r>
      <w:r>
        <w:rPr>
          <w:i/>
          <w:color w:val="000000"/>
          <w:lang w:eastAsia="it-IT"/>
        </w:rPr>
        <w:instrText xml:space="preserve"> HYPERLINK "mailto:</w:instrText>
      </w:r>
      <w:r w:rsidRPr="00C85F5B">
        <w:rPr>
          <w:i/>
          <w:color w:val="000000"/>
          <w:lang w:eastAsia="it-IT"/>
        </w:rPr>
        <w:instrText>m.bourlakis@cranfield.ac.uk</w:instrText>
      </w:r>
      <w:r>
        <w:rPr>
          <w:i/>
          <w:color w:val="000000"/>
          <w:lang w:eastAsia="it-IT"/>
        </w:rPr>
        <w:instrText xml:space="preserve">" </w:instrText>
      </w:r>
      <w:r>
        <w:rPr>
          <w:i/>
          <w:color w:val="000000"/>
          <w:lang w:eastAsia="it-IT"/>
        </w:rPr>
        <w:fldChar w:fldCharType="separate"/>
      </w:r>
      <w:r w:rsidRPr="005E4C13">
        <w:rPr>
          <w:rStyle w:val="Hyperlink"/>
          <w:i/>
          <w:lang w:eastAsia="it-IT"/>
        </w:rPr>
        <w:t>m.bourlakis@cranfield.ac.uk</w:t>
      </w:r>
      <w:r>
        <w:rPr>
          <w:i/>
          <w:color w:val="000000"/>
          <w:lang w:eastAsia="it-IT"/>
        </w:rPr>
        <w:fldChar w:fldCharType="end"/>
      </w:r>
      <w:r>
        <w:rPr>
          <w:i/>
          <w:color w:val="000000"/>
          <w:lang w:eastAsia="it-IT"/>
        </w:rPr>
        <w:t xml:space="preserve"> </w:t>
      </w:r>
    </w:p>
    <w:p w14:paraId="5DB2E9A5" w14:textId="77777777" w:rsidR="00237956" w:rsidRDefault="00237956" w:rsidP="00237956">
      <w:pPr>
        <w:spacing w:line="240" w:lineRule="auto"/>
        <w:rPr>
          <w:b/>
          <w:lang w:val="en-US"/>
        </w:rPr>
      </w:pPr>
    </w:p>
    <w:p w14:paraId="711C8878" w14:textId="0B5C8A12" w:rsidR="00237956" w:rsidRPr="008F3170" w:rsidRDefault="00237956" w:rsidP="00237956">
      <w:pPr>
        <w:spacing w:line="240" w:lineRule="auto"/>
      </w:pPr>
      <w:r w:rsidRPr="00237956">
        <w:rPr>
          <w:b/>
          <w:lang w:val="en-US"/>
        </w:rPr>
        <w:t xml:space="preserve">Sabrina M. </w:t>
      </w:r>
      <w:proofErr w:type="spellStart"/>
      <w:r w:rsidRPr="00237956">
        <w:rPr>
          <w:b/>
          <w:lang w:val="en-US"/>
        </w:rPr>
        <w:t>Hegner</w:t>
      </w:r>
      <w:proofErr w:type="spellEnd"/>
      <w:r>
        <w:rPr>
          <w:b/>
          <w:lang w:val="en-US"/>
        </w:rPr>
        <w:br/>
      </w:r>
      <w:r>
        <w:rPr>
          <w:i/>
          <w:lang w:val="en-US"/>
        </w:rPr>
        <w:t>University of Applied Sciences in Bielefeld</w:t>
      </w:r>
      <w:r>
        <w:rPr>
          <w:i/>
          <w:lang w:val="en-US"/>
        </w:rPr>
        <w:br/>
        <w:t xml:space="preserve">Address: </w:t>
      </w:r>
      <w:proofErr w:type="spellStart"/>
      <w:r>
        <w:rPr>
          <w:i/>
          <w:lang w:val="en-US"/>
        </w:rPr>
        <w:t>Interaktion</w:t>
      </w:r>
      <w:proofErr w:type="spellEnd"/>
      <w:r>
        <w:rPr>
          <w:i/>
          <w:lang w:val="en-US"/>
        </w:rPr>
        <w:t xml:space="preserve"> 1, 33619 Bielefeld, Germany</w:t>
      </w:r>
      <w:r>
        <w:rPr>
          <w:i/>
          <w:lang w:val="en-US"/>
        </w:rPr>
        <w:br/>
      </w:r>
      <w:r>
        <w:rPr>
          <w:i/>
        </w:rPr>
        <w:t>E-mail:</w:t>
      </w:r>
      <w:r>
        <w:t xml:space="preserve"> </w:t>
      </w:r>
      <w:hyperlink r:id="rId9" w:history="1">
        <w:r w:rsidRPr="005E4C13">
          <w:rPr>
            <w:rStyle w:val="Hyperlink"/>
            <w:i/>
          </w:rPr>
          <w:t>sabrina.hegner@fh-bielefeld.de</w:t>
        </w:r>
      </w:hyperlink>
    </w:p>
    <w:p w14:paraId="45C51DBB" w14:textId="77777777" w:rsidR="00237956" w:rsidRDefault="00237956" w:rsidP="00237956">
      <w:pPr>
        <w:spacing w:line="240" w:lineRule="auto"/>
        <w:rPr>
          <w:rFonts w:ascii="Times New Roman" w:eastAsia="Times New Roman" w:hAnsi="Times New Roman" w:cs="Times New Roman"/>
          <w:b/>
          <w:sz w:val="28"/>
          <w:szCs w:val="24"/>
          <w:lang w:val="en-GB" w:eastAsia="en-GB"/>
        </w:rPr>
      </w:pPr>
      <w:r>
        <w:br w:type="page"/>
      </w:r>
    </w:p>
    <w:p w14:paraId="640F1FAB" w14:textId="1A72EB99" w:rsidR="00CD4A9D" w:rsidRPr="00771F08" w:rsidRDefault="00CD4A9D" w:rsidP="00237956">
      <w:pPr>
        <w:pStyle w:val="Articletitle"/>
        <w:spacing w:after="0" w:line="240" w:lineRule="auto"/>
        <w:ind w:left="567" w:right="1132"/>
        <w:jc w:val="center"/>
      </w:pPr>
      <w:r w:rsidRPr="00771F08">
        <w:lastRenderedPageBreak/>
        <w:t xml:space="preserve">Does </w:t>
      </w:r>
      <w:r w:rsidR="00FD602B" w:rsidRPr="00771F08">
        <w:t>trust</w:t>
      </w:r>
      <w:r w:rsidR="007D6863" w:rsidRPr="00771F08">
        <w:t xml:space="preserve"> play a role when it comes to </w:t>
      </w:r>
      <w:r w:rsidRPr="00771F08">
        <w:t>donations?</w:t>
      </w:r>
    </w:p>
    <w:p w14:paraId="50D48310" w14:textId="15876F04" w:rsidR="00E1383A" w:rsidRDefault="00E80924" w:rsidP="00237956">
      <w:pPr>
        <w:pStyle w:val="Articletitle"/>
        <w:spacing w:after="0" w:line="240" w:lineRule="auto"/>
        <w:ind w:left="567" w:right="1132"/>
        <w:jc w:val="center"/>
      </w:pPr>
      <w:r w:rsidRPr="00771F08">
        <w:t>A comparison of Italian and US higher education institutions</w:t>
      </w:r>
      <w:r w:rsidRPr="00771F08" w:rsidDel="00E80924">
        <w:t xml:space="preserve"> </w:t>
      </w:r>
    </w:p>
    <w:p w14:paraId="07BAACAC" w14:textId="77777777" w:rsidR="00F1264A" w:rsidRPr="00F1264A" w:rsidRDefault="00F1264A" w:rsidP="00F1264A">
      <w:pPr>
        <w:rPr>
          <w:lang w:val="en-GB" w:eastAsia="en-GB"/>
        </w:rPr>
      </w:pPr>
    </w:p>
    <w:p w14:paraId="7BD78FF7" w14:textId="5B7273E2" w:rsidR="00E1383A" w:rsidRPr="00771F08" w:rsidRDefault="00E1383A" w:rsidP="00237956">
      <w:pPr>
        <w:spacing w:after="0" w:line="240" w:lineRule="auto"/>
        <w:ind w:right="1133" w:firstLine="567"/>
        <w:rPr>
          <w:rFonts w:ascii="Times New Roman" w:hAnsi="Times New Roman" w:cs="Times New Roman"/>
          <w:b/>
          <w:lang w:val="en-GB"/>
        </w:rPr>
      </w:pPr>
      <w:r w:rsidRPr="00771F08">
        <w:rPr>
          <w:rFonts w:ascii="Times New Roman" w:hAnsi="Times New Roman" w:cs="Times New Roman"/>
          <w:b/>
          <w:lang w:val="en-GB"/>
        </w:rPr>
        <w:t>Abstract</w:t>
      </w:r>
    </w:p>
    <w:p w14:paraId="47EEC23E" w14:textId="180C57EB" w:rsidR="007E6884" w:rsidRPr="00771F08" w:rsidRDefault="00DC1427" w:rsidP="00237956">
      <w:pPr>
        <w:spacing w:after="0" w:line="240" w:lineRule="auto"/>
        <w:ind w:left="567" w:right="1134"/>
        <w:jc w:val="both"/>
        <w:rPr>
          <w:rFonts w:ascii="Times New Roman" w:hAnsi="Times New Roman" w:cs="Times New Roman"/>
          <w:lang w:val="en-GB"/>
        </w:rPr>
      </w:pPr>
      <w:r w:rsidRPr="00771F08">
        <w:rPr>
          <w:rFonts w:ascii="Times New Roman" w:hAnsi="Times New Roman" w:cs="Times New Roman"/>
          <w:lang w:val="en-GB"/>
        </w:rPr>
        <w:t>Higher Education</w:t>
      </w:r>
      <w:r w:rsidR="00E80924" w:rsidRPr="00771F08">
        <w:rPr>
          <w:rFonts w:ascii="Times New Roman" w:hAnsi="Times New Roman" w:cs="Times New Roman"/>
          <w:lang w:val="en-GB"/>
        </w:rPr>
        <w:t xml:space="preserve"> Institutions</w:t>
      </w:r>
      <w:r w:rsidRPr="00771F08">
        <w:rPr>
          <w:rFonts w:ascii="Times New Roman" w:hAnsi="Times New Roman" w:cs="Times New Roman"/>
          <w:lang w:val="en-GB"/>
        </w:rPr>
        <w:t xml:space="preserve"> (HE</w:t>
      </w:r>
      <w:r w:rsidR="001E479E" w:rsidRPr="00771F08">
        <w:rPr>
          <w:rFonts w:ascii="Times New Roman" w:hAnsi="Times New Roman" w:cs="Times New Roman"/>
          <w:lang w:val="en-GB"/>
        </w:rPr>
        <w:t>Is</w:t>
      </w:r>
      <w:r w:rsidR="00C147E1" w:rsidRPr="00771F08">
        <w:rPr>
          <w:rFonts w:ascii="Times New Roman" w:hAnsi="Times New Roman" w:cs="Times New Roman"/>
          <w:lang w:val="en-GB"/>
        </w:rPr>
        <w:t>)</w:t>
      </w:r>
      <w:r w:rsidR="00D3128F" w:rsidRPr="00771F08">
        <w:rPr>
          <w:rFonts w:ascii="Times New Roman" w:hAnsi="Times New Roman" w:cs="Times New Roman"/>
          <w:lang w:val="en-GB"/>
        </w:rPr>
        <w:t xml:space="preserve"> have</w:t>
      </w:r>
      <w:r w:rsidR="00C147E1" w:rsidRPr="00771F08">
        <w:rPr>
          <w:rFonts w:ascii="Times New Roman" w:hAnsi="Times New Roman" w:cs="Times New Roman"/>
          <w:lang w:val="en-GB"/>
        </w:rPr>
        <w:t xml:space="preserve"> </w:t>
      </w:r>
      <w:r w:rsidRPr="00771F08">
        <w:rPr>
          <w:rFonts w:ascii="Times New Roman" w:hAnsi="Times New Roman" w:cs="Times New Roman"/>
          <w:lang w:val="en-GB"/>
        </w:rPr>
        <w:t>experienced severe cutbacks in funding</w:t>
      </w:r>
      <w:r w:rsidR="00D3128F" w:rsidRPr="00771F08">
        <w:rPr>
          <w:rFonts w:ascii="Times New Roman" w:hAnsi="Times New Roman" w:cs="Times New Roman"/>
          <w:lang w:val="en-GB"/>
        </w:rPr>
        <w:t xml:space="preserve"> over the past few years</w:t>
      </w:r>
      <w:r w:rsidR="00006B9E" w:rsidRPr="00771F08">
        <w:rPr>
          <w:rFonts w:ascii="Times New Roman" w:hAnsi="Times New Roman" w:cs="Times New Roman"/>
          <w:lang w:val="en-GB"/>
        </w:rPr>
        <w:t>,</w:t>
      </w:r>
      <w:r w:rsidR="0044347D" w:rsidRPr="00771F08">
        <w:rPr>
          <w:rFonts w:ascii="Times New Roman" w:hAnsi="Times New Roman" w:cs="Times New Roman"/>
          <w:lang w:val="en-GB"/>
        </w:rPr>
        <w:t xml:space="preserve"> with Universities examining options for alternative funding streams, such as alumni funding</w:t>
      </w:r>
      <w:r w:rsidRPr="00771F08">
        <w:rPr>
          <w:rFonts w:ascii="Times New Roman" w:hAnsi="Times New Roman" w:cs="Times New Roman"/>
          <w:lang w:val="en-GB"/>
        </w:rPr>
        <w:t xml:space="preserve">. </w:t>
      </w:r>
      <w:r w:rsidR="0044347D" w:rsidRPr="00771F08">
        <w:rPr>
          <w:rFonts w:ascii="Times New Roman" w:hAnsi="Times New Roman" w:cs="Times New Roman"/>
          <w:lang w:val="en-GB"/>
        </w:rPr>
        <w:t>Identifying the</w:t>
      </w:r>
      <w:r w:rsidR="00E851E5" w:rsidRPr="00771F08">
        <w:rPr>
          <w:rFonts w:ascii="Times New Roman" w:hAnsi="Times New Roman" w:cs="Times New Roman"/>
          <w:lang w:val="en-GB"/>
        </w:rPr>
        <w:t xml:space="preserve"> factors influencing their alumni’s intentions to invest in their alma mater</w:t>
      </w:r>
      <w:r w:rsidR="0044347D" w:rsidRPr="00771F08">
        <w:rPr>
          <w:rFonts w:ascii="Times New Roman" w:hAnsi="Times New Roman" w:cs="Times New Roman"/>
          <w:lang w:val="en-GB"/>
        </w:rPr>
        <w:t xml:space="preserve"> can be of significant importance when establish</w:t>
      </w:r>
      <w:r w:rsidR="00293B30" w:rsidRPr="00771F08">
        <w:rPr>
          <w:rFonts w:ascii="Times New Roman" w:hAnsi="Times New Roman" w:cs="Times New Roman"/>
          <w:lang w:val="en-GB"/>
        </w:rPr>
        <w:t>ing</w:t>
      </w:r>
      <w:r w:rsidR="0044347D" w:rsidRPr="00771F08">
        <w:rPr>
          <w:rFonts w:ascii="Times New Roman" w:hAnsi="Times New Roman" w:cs="Times New Roman"/>
          <w:lang w:val="en-GB"/>
        </w:rPr>
        <w:t xml:space="preserve"> a sustainable revenue stream</w:t>
      </w:r>
      <w:r w:rsidR="00E851E5" w:rsidRPr="00771F08">
        <w:rPr>
          <w:rFonts w:ascii="Times New Roman" w:hAnsi="Times New Roman" w:cs="Times New Roman"/>
          <w:lang w:val="en-GB"/>
        </w:rPr>
        <w:t xml:space="preserve">. Within this </w:t>
      </w:r>
      <w:r w:rsidR="00977303" w:rsidRPr="00771F08">
        <w:rPr>
          <w:rFonts w:ascii="Times New Roman" w:hAnsi="Times New Roman" w:cs="Times New Roman"/>
          <w:lang w:val="en-GB"/>
        </w:rPr>
        <w:t>context</w:t>
      </w:r>
      <w:r w:rsidR="00E851E5" w:rsidRPr="00771F08">
        <w:rPr>
          <w:rFonts w:ascii="Times New Roman" w:hAnsi="Times New Roman" w:cs="Times New Roman"/>
          <w:lang w:val="en-GB"/>
        </w:rPr>
        <w:t>, empirical research on the potential role of trust is scarce. This paper aims to deepen the analysis of</w:t>
      </w:r>
      <w:r w:rsidR="00977303" w:rsidRPr="00771F08">
        <w:rPr>
          <w:rFonts w:ascii="Times New Roman" w:hAnsi="Times New Roman" w:cs="Times New Roman"/>
          <w:lang w:val="en-GB"/>
        </w:rPr>
        <w:t xml:space="preserve"> the relationship between</w:t>
      </w:r>
      <w:r w:rsidR="00E851E5" w:rsidRPr="00771F08">
        <w:rPr>
          <w:rFonts w:ascii="Times New Roman" w:hAnsi="Times New Roman" w:cs="Times New Roman"/>
          <w:lang w:val="en-GB"/>
        </w:rPr>
        <w:t xml:space="preserve"> alumni trust</w:t>
      </w:r>
      <w:r w:rsidR="001E4913" w:rsidRPr="00771F08">
        <w:rPr>
          <w:rFonts w:ascii="Times New Roman" w:hAnsi="Times New Roman" w:cs="Times New Roman"/>
          <w:lang w:val="en-GB"/>
        </w:rPr>
        <w:t xml:space="preserve"> and</w:t>
      </w:r>
      <w:r w:rsidR="00E851E5" w:rsidRPr="00771F08">
        <w:rPr>
          <w:rFonts w:ascii="Times New Roman" w:hAnsi="Times New Roman" w:cs="Times New Roman"/>
          <w:lang w:val="en-GB"/>
        </w:rPr>
        <w:t xml:space="preserve"> engagement </w:t>
      </w:r>
      <w:r w:rsidR="001E4913" w:rsidRPr="00771F08">
        <w:rPr>
          <w:rFonts w:ascii="Times New Roman" w:hAnsi="Times New Roman" w:cs="Times New Roman"/>
          <w:lang w:val="en-GB"/>
        </w:rPr>
        <w:t>as well as</w:t>
      </w:r>
      <w:r w:rsidR="00E851E5" w:rsidRPr="00771F08">
        <w:rPr>
          <w:rFonts w:ascii="Times New Roman" w:hAnsi="Times New Roman" w:cs="Times New Roman"/>
          <w:lang w:val="en-GB"/>
        </w:rPr>
        <w:t xml:space="preserve"> three outcomes</w:t>
      </w:r>
      <w:r w:rsidR="0044347D" w:rsidRPr="00771F08">
        <w:rPr>
          <w:rFonts w:ascii="Times New Roman" w:hAnsi="Times New Roman" w:cs="Times New Roman"/>
          <w:lang w:val="en-GB"/>
        </w:rPr>
        <w:t xml:space="preserve">, namely </w:t>
      </w:r>
      <w:r w:rsidR="00E851E5" w:rsidRPr="00771F08">
        <w:rPr>
          <w:rFonts w:ascii="Times New Roman" w:hAnsi="Times New Roman" w:cs="Times New Roman"/>
          <w:lang w:val="en-GB"/>
        </w:rPr>
        <w:t xml:space="preserve">support, commitment, and attitude toward donation. </w:t>
      </w:r>
      <w:r w:rsidR="007D7F23" w:rsidRPr="00771F08">
        <w:rPr>
          <w:rFonts w:ascii="Times New Roman" w:hAnsi="Times New Roman" w:cs="Times New Roman"/>
          <w:lang w:val="en-GB"/>
        </w:rPr>
        <w:t xml:space="preserve">A structural equation </w:t>
      </w:r>
      <w:r w:rsidR="00E80924" w:rsidRPr="00771F08">
        <w:rPr>
          <w:rFonts w:ascii="Times New Roman" w:hAnsi="Times New Roman" w:cs="Times New Roman"/>
          <w:lang w:val="en-GB"/>
        </w:rPr>
        <w:t>model</w:t>
      </w:r>
      <w:r w:rsidR="007D7F23" w:rsidRPr="00771F08">
        <w:rPr>
          <w:rFonts w:ascii="Times New Roman" w:hAnsi="Times New Roman" w:cs="Times New Roman"/>
          <w:lang w:val="en-GB"/>
        </w:rPr>
        <w:t xml:space="preserve"> was </w:t>
      </w:r>
      <w:r w:rsidR="00286128" w:rsidRPr="00771F08">
        <w:rPr>
          <w:rFonts w:ascii="Times New Roman" w:hAnsi="Times New Roman" w:cs="Times New Roman"/>
          <w:lang w:val="en-GB"/>
        </w:rPr>
        <w:t xml:space="preserve">tested on two samples of </w:t>
      </w:r>
      <w:r w:rsidR="004613A1" w:rsidRPr="00771F08">
        <w:rPr>
          <w:rFonts w:ascii="Times New Roman" w:hAnsi="Times New Roman" w:cs="Times New Roman"/>
          <w:lang w:val="en-GB"/>
        </w:rPr>
        <w:t xml:space="preserve">USA </w:t>
      </w:r>
      <w:r w:rsidR="00286128" w:rsidRPr="00771F08">
        <w:rPr>
          <w:rFonts w:ascii="Times New Roman" w:hAnsi="Times New Roman" w:cs="Times New Roman"/>
          <w:lang w:val="en-GB"/>
        </w:rPr>
        <w:t xml:space="preserve">(n=318) </w:t>
      </w:r>
      <w:r w:rsidR="0044347D" w:rsidRPr="00771F08">
        <w:rPr>
          <w:rFonts w:ascii="Times New Roman" w:hAnsi="Times New Roman" w:cs="Times New Roman"/>
          <w:lang w:val="en-GB"/>
        </w:rPr>
        <w:t xml:space="preserve">and Italian (n=314) </w:t>
      </w:r>
      <w:r w:rsidR="00286128" w:rsidRPr="00771F08">
        <w:rPr>
          <w:rFonts w:ascii="Times New Roman" w:hAnsi="Times New Roman" w:cs="Times New Roman"/>
          <w:lang w:val="en-GB"/>
        </w:rPr>
        <w:t xml:space="preserve">alumni. </w:t>
      </w:r>
      <w:r w:rsidR="0044347D" w:rsidRPr="00771F08">
        <w:rPr>
          <w:rFonts w:ascii="Times New Roman" w:hAnsi="Times New Roman" w:cs="Times New Roman"/>
          <w:lang w:val="en-GB"/>
        </w:rPr>
        <w:t xml:space="preserve">Although both countries are affluent and developed countries, the USA has an established tradition </w:t>
      </w:r>
      <w:r w:rsidR="00006B9E" w:rsidRPr="00771F08">
        <w:rPr>
          <w:rFonts w:ascii="Times New Roman" w:hAnsi="Times New Roman" w:cs="Times New Roman"/>
          <w:lang w:val="en-GB"/>
        </w:rPr>
        <w:t>of</w:t>
      </w:r>
      <w:r w:rsidR="0044347D" w:rsidRPr="00771F08">
        <w:rPr>
          <w:rFonts w:ascii="Times New Roman" w:hAnsi="Times New Roman" w:cs="Times New Roman"/>
          <w:lang w:val="en-GB"/>
        </w:rPr>
        <w:t xml:space="preserve"> alumni donations, which is not </w:t>
      </w:r>
      <w:r w:rsidR="00006B9E" w:rsidRPr="00771F08">
        <w:rPr>
          <w:rFonts w:ascii="Times New Roman" w:hAnsi="Times New Roman" w:cs="Times New Roman"/>
          <w:lang w:val="en-GB"/>
        </w:rPr>
        <w:t xml:space="preserve">such </w:t>
      </w:r>
      <w:r w:rsidR="0044347D" w:rsidRPr="00771F08">
        <w:rPr>
          <w:rFonts w:ascii="Times New Roman" w:hAnsi="Times New Roman" w:cs="Times New Roman"/>
          <w:lang w:val="en-GB"/>
        </w:rPr>
        <w:t xml:space="preserve">a developed practice in Italy. </w:t>
      </w:r>
      <w:r w:rsidR="00E851E5" w:rsidRPr="00771F08">
        <w:rPr>
          <w:rFonts w:ascii="Times New Roman" w:hAnsi="Times New Roman" w:cs="Times New Roman"/>
          <w:lang w:val="en-GB"/>
        </w:rPr>
        <w:t xml:space="preserve">For both countries, results confirm that engagement is an antecedent of trust, which in turn leads to the three investigated outcomes (support, commitment, and attitude toward donations). </w:t>
      </w:r>
      <w:r w:rsidR="001E4913" w:rsidRPr="00771F08">
        <w:rPr>
          <w:rFonts w:ascii="Times New Roman" w:hAnsi="Times New Roman" w:cs="Times New Roman"/>
          <w:lang w:val="en-GB"/>
        </w:rPr>
        <w:t>In contrast, t</w:t>
      </w:r>
      <w:r w:rsidR="00910D4D" w:rsidRPr="00771F08">
        <w:rPr>
          <w:rFonts w:ascii="Times New Roman" w:hAnsi="Times New Roman" w:cs="Times New Roman"/>
          <w:lang w:val="en-GB"/>
        </w:rPr>
        <w:t xml:space="preserve">he effect </w:t>
      </w:r>
      <w:r w:rsidR="004118E4" w:rsidRPr="00771F08">
        <w:rPr>
          <w:rFonts w:ascii="Times New Roman" w:hAnsi="Times New Roman" w:cs="Times New Roman"/>
          <w:lang w:val="en-GB"/>
        </w:rPr>
        <w:t>of</w:t>
      </w:r>
      <w:r w:rsidR="00286128" w:rsidRPr="00771F08">
        <w:rPr>
          <w:rFonts w:ascii="Times New Roman" w:hAnsi="Times New Roman" w:cs="Times New Roman"/>
          <w:lang w:val="en-GB"/>
        </w:rPr>
        <w:t xml:space="preserve"> commitment</w:t>
      </w:r>
      <w:r w:rsidR="000F6A59" w:rsidRPr="00771F08">
        <w:rPr>
          <w:rFonts w:ascii="Times New Roman" w:hAnsi="Times New Roman" w:cs="Times New Roman"/>
          <w:lang w:val="en-GB"/>
        </w:rPr>
        <w:t xml:space="preserve"> </w:t>
      </w:r>
      <w:r w:rsidR="00286128" w:rsidRPr="00771F08">
        <w:rPr>
          <w:rFonts w:ascii="Times New Roman" w:hAnsi="Times New Roman" w:cs="Times New Roman"/>
          <w:lang w:val="en-GB"/>
        </w:rPr>
        <w:t xml:space="preserve">on attitude toward donations is significant only for the </w:t>
      </w:r>
      <w:r w:rsidR="004613A1" w:rsidRPr="00771F08">
        <w:rPr>
          <w:rFonts w:ascii="Times New Roman" w:hAnsi="Times New Roman" w:cs="Times New Roman"/>
          <w:lang w:val="en-GB"/>
        </w:rPr>
        <w:t xml:space="preserve">USA </w:t>
      </w:r>
      <w:r w:rsidR="0027143C" w:rsidRPr="00771F08">
        <w:rPr>
          <w:rFonts w:ascii="Times New Roman" w:hAnsi="Times New Roman" w:cs="Times New Roman"/>
          <w:lang w:val="en-GB"/>
        </w:rPr>
        <w:t>universities</w:t>
      </w:r>
      <w:r w:rsidR="00C147E1" w:rsidRPr="00771F08">
        <w:rPr>
          <w:rFonts w:ascii="Times New Roman" w:hAnsi="Times New Roman" w:cs="Times New Roman"/>
          <w:lang w:val="en-GB"/>
        </w:rPr>
        <w:t xml:space="preserve">. </w:t>
      </w:r>
      <w:r w:rsidR="007E6884" w:rsidRPr="00771F08">
        <w:rPr>
          <w:rFonts w:ascii="Times New Roman" w:hAnsi="Times New Roman" w:cs="Times New Roman"/>
          <w:lang w:val="en-GB"/>
        </w:rPr>
        <w:t xml:space="preserve">The paper </w:t>
      </w:r>
      <w:r w:rsidR="00006B9E" w:rsidRPr="00771F08">
        <w:rPr>
          <w:rFonts w:ascii="Times New Roman" w:hAnsi="Times New Roman" w:cs="Times New Roman"/>
          <w:lang w:val="en-GB"/>
        </w:rPr>
        <w:t xml:space="preserve">has </w:t>
      </w:r>
      <w:r w:rsidR="007E6884" w:rsidRPr="00771F08">
        <w:rPr>
          <w:rFonts w:ascii="Times New Roman" w:hAnsi="Times New Roman" w:cs="Times New Roman"/>
          <w:lang w:val="en-GB"/>
        </w:rPr>
        <w:t>interesting theoretical and managerial implications. From a theoretical point of view, the study aims to address a gap concerning the role of trust in the HE context.</w:t>
      </w:r>
      <w:r w:rsidR="0036673A" w:rsidRPr="00771F08">
        <w:rPr>
          <w:rFonts w:ascii="Times New Roman" w:hAnsi="Times New Roman" w:cs="Times New Roman"/>
          <w:lang w:val="en-GB"/>
        </w:rPr>
        <w:t xml:space="preserve"> Managerially, the study </w:t>
      </w:r>
      <w:r w:rsidR="00006B9E" w:rsidRPr="00771F08">
        <w:rPr>
          <w:rFonts w:ascii="Times New Roman" w:hAnsi="Times New Roman" w:cs="Times New Roman"/>
          <w:lang w:val="en-GB"/>
        </w:rPr>
        <w:t xml:space="preserve">has </w:t>
      </w:r>
      <w:r w:rsidR="0036673A" w:rsidRPr="00771F08">
        <w:rPr>
          <w:rFonts w:ascii="Times New Roman" w:hAnsi="Times New Roman" w:cs="Times New Roman"/>
          <w:lang w:val="en-GB"/>
        </w:rPr>
        <w:t>significant implications for universities that want to change alumni attitude toward donations.</w:t>
      </w:r>
    </w:p>
    <w:p w14:paraId="337DF12D" w14:textId="54BA1912" w:rsidR="006C598B" w:rsidRPr="00771F08" w:rsidRDefault="006C598B" w:rsidP="00237956">
      <w:pPr>
        <w:spacing w:after="0" w:line="240" w:lineRule="auto"/>
        <w:ind w:right="1134"/>
        <w:jc w:val="both"/>
        <w:rPr>
          <w:rFonts w:ascii="Times New Roman" w:hAnsi="Times New Roman" w:cs="Times New Roman"/>
          <w:sz w:val="24"/>
          <w:lang w:val="en-GB"/>
        </w:rPr>
      </w:pPr>
    </w:p>
    <w:p w14:paraId="595E1C59" w14:textId="5723B73A" w:rsidR="00034621" w:rsidRPr="00771F08" w:rsidRDefault="00181F4E" w:rsidP="00237956">
      <w:pPr>
        <w:spacing w:after="0" w:line="240" w:lineRule="auto"/>
        <w:ind w:left="567" w:right="1133"/>
        <w:jc w:val="both"/>
        <w:rPr>
          <w:rFonts w:ascii="Times New Roman" w:hAnsi="Times New Roman" w:cs="Times New Roman"/>
          <w:lang w:val="en-GB"/>
        </w:rPr>
      </w:pPr>
      <w:r w:rsidRPr="00771F08">
        <w:rPr>
          <w:rFonts w:ascii="Times New Roman" w:hAnsi="Times New Roman" w:cs="Times New Roman"/>
          <w:b/>
          <w:i/>
          <w:lang w:val="en-GB"/>
        </w:rPr>
        <w:t xml:space="preserve">Keywords: </w:t>
      </w:r>
      <w:r w:rsidR="0032149D" w:rsidRPr="00771F08">
        <w:rPr>
          <w:rFonts w:ascii="Times New Roman" w:hAnsi="Times New Roman" w:cs="Times New Roman"/>
          <w:i/>
          <w:lang w:val="en-GB"/>
        </w:rPr>
        <w:t xml:space="preserve">Higher Education Institutions; </w:t>
      </w:r>
      <w:r w:rsidR="009C2EE8" w:rsidRPr="00771F08">
        <w:rPr>
          <w:rFonts w:ascii="Times New Roman" w:hAnsi="Times New Roman" w:cs="Times New Roman"/>
          <w:i/>
          <w:lang w:val="en-GB"/>
        </w:rPr>
        <w:t>engagement; trust; commitment; support; attitude toward donations</w:t>
      </w:r>
      <w:r w:rsidR="006E44A5" w:rsidRPr="00771F08">
        <w:rPr>
          <w:rFonts w:ascii="Times New Roman" w:hAnsi="Times New Roman" w:cs="Times New Roman"/>
          <w:i/>
          <w:lang w:val="en-GB"/>
        </w:rPr>
        <w:t>.</w:t>
      </w:r>
    </w:p>
    <w:p w14:paraId="67380BBF" w14:textId="5F7C3909" w:rsidR="00034621" w:rsidRPr="00771F08" w:rsidRDefault="00034621" w:rsidP="00237956">
      <w:pPr>
        <w:spacing w:after="0" w:line="240" w:lineRule="auto"/>
        <w:ind w:left="567" w:right="1133"/>
        <w:jc w:val="both"/>
        <w:rPr>
          <w:rFonts w:ascii="Times New Roman" w:hAnsi="Times New Roman" w:cs="Times New Roman"/>
          <w:lang w:val="en-GB"/>
        </w:rPr>
      </w:pPr>
    </w:p>
    <w:p w14:paraId="2C908D50" w14:textId="59B05D1C" w:rsidR="00B92017" w:rsidRPr="00771F08" w:rsidRDefault="00CB54A2" w:rsidP="00237956">
      <w:pPr>
        <w:pStyle w:val="ListParagraph"/>
        <w:numPr>
          <w:ilvl w:val="0"/>
          <w:numId w:val="3"/>
        </w:numPr>
        <w:spacing w:after="0" w:line="240" w:lineRule="auto"/>
        <w:ind w:right="1133"/>
        <w:rPr>
          <w:rFonts w:ascii="Times New Roman" w:hAnsi="Times New Roman" w:cs="Times New Roman"/>
          <w:b/>
          <w:lang w:val="en-GB"/>
        </w:rPr>
      </w:pPr>
      <w:r w:rsidRPr="00771F08">
        <w:rPr>
          <w:rFonts w:ascii="Times New Roman" w:hAnsi="Times New Roman" w:cs="Times New Roman"/>
          <w:b/>
          <w:lang w:val="en-GB"/>
        </w:rPr>
        <w:t>Introduction</w:t>
      </w:r>
    </w:p>
    <w:p w14:paraId="62CA9237" w14:textId="4A30A23B" w:rsidR="00257EDE" w:rsidRPr="00771F08" w:rsidRDefault="00EF6729" w:rsidP="00237956">
      <w:pPr>
        <w:spacing w:after="0" w:line="240" w:lineRule="auto"/>
        <w:ind w:left="567" w:right="1133"/>
        <w:rPr>
          <w:rFonts w:ascii="Times New Roman" w:hAnsi="Times New Roman" w:cs="Times New Roman"/>
          <w:szCs w:val="20"/>
          <w:lang w:val="en-GB"/>
        </w:rPr>
      </w:pPr>
      <w:r w:rsidRPr="00771F08">
        <w:rPr>
          <w:rFonts w:ascii="Times New Roman" w:hAnsi="Times New Roman" w:cs="Times New Roman"/>
          <w:szCs w:val="20"/>
          <w:lang w:val="en-GB"/>
        </w:rPr>
        <w:t xml:space="preserve">Over the </w:t>
      </w:r>
      <w:r w:rsidR="003B4085" w:rsidRPr="00771F08">
        <w:rPr>
          <w:rFonts w:ascii="Times New Roman" w:hAnsi="Times New Roman" w:cs="Times New Roman"/>
          <w:szCs w:val="20"/>
          <w:lang w:val="en-GB"/>
        </w:rPr>
        <w:t>past</w:t>
      </w:r>
      <w:r w:rsidR="004C78F6" w:rsidRPr="00771F08">
        <w:rPr>
          <w:rFonts w:ascii="Times New Roman" w:hAnsi="Times New Roman" w:cs="Times New Roman"/>
          <w:szCs w:val="20"/>
          <w:lang w:val="en-GB"/>
        </w:rPr>
        <w:t xml:space="preserve"> few years</w:t>
      </w:r>
      <w:r w:rsidR="00EE7F0E" w:rsidRPr="00771F08">
        <w:rPr>
          <w:rFonts w:ascii="Times New Roman" w:hAnsi="Times New Roman" w:cs="Times New Roman"/>
          <w:szCs w:val="20"/>
          <w:lang w:val="en-GB"/>
        </w:rPr>
        <w:t xml:space="preserve">, </w:t>
      </w:r>
      <w:r w:rsidR="00B04100" w:rsidRPr="00771F08">
        <w:rPr>
          <w:rFonts w:ascii="Times New Roman" w:hAnsi="Times New Roman" w:cs="Times New Roman"/>
          <w:szCs w:val="20"/>
          <w:lang w:val="en-GB"/>
        </w:rPr>
        <w:t>Higher E</w:t>
      </w:r>
      <w:r w:rsidRPr="00771F08">
        <w:rPr>
          <w:rFonts w:ascii="Times New Roman" w:hAnsi="Times New Roman" w:cs="Times New Roman"/>
          <w:szCs w:val="20"/>
          <w:lang w:val="en-GB"/>
        </w:rPr>
        <w:t>ducation</w:t>
      </w:r>
      <w:r w:rsidR="003B4085" w:rsidRPr="00771F08">
        <w:rPr>
          <w:rFonts w:ascii="Times New Roman" w:hAnsi="Times New Roman" w:cs="Times New Roman"/>
          <w:szCs w:val="20"/>
          <w:lang w:val="en-GB"/>
        </w:rPr>
        <w:t xml:space="preserve"> Institutions</w:t>
      </w:r>
      <w:r w:rsidR="00C41067" w:rsidRPr="00771F08">
        <w:rPr>
          <w:rFonts w:ascii="Times New Roman" w:hAnsi="Times New Roman" w:cs="Times New Roman"/>
          <w:szCs w:val="20"/>
          <w:lang w:val="en-GB"/>
        </w:rPr>
        <w:t xml:space="preserve"> (HE</w:t>
      </w:r>
      <w:r w:rsidR="008E3772" w:rsidRPr="00771F08">
        <w:rPr>
          <w:rFonts w:ascii="Times New Roman" w:hAnsi="Times New Roman" w:cs="Times New Roman"/>
          <w:szCs w:val="20"/>
          <w:lang w:val="en-GB"/>
        </w:rPr>
        <w:t>Is</w:t>
      </w:r>
      <w:r w:rsidR="00C41067" w:rsidRPr="00771F08">
        <w:rPr>
          <w:rFonts w:ascii="Times New Roman" w:hAnsi="Times New Roman" w:cs="Times New Roman"/>
          <w:szCs w:val="20"/>
          <w:lang w:val="en-GB"/>
        </w:rPr>
        <w:t>)</w:t>
      </w:r>
      <w:r w:rsidRPr="00771F08">
        <w:rPr>
          <w:rFonts w:ascii="Times New Roman" w:hAnsi="Times New Roman" w:cs="Times New Roman"/>
          <w:szCs w:val="20"/>
          <w:lang w:val="en-GB"/>
        </w:rPr>
        <w:t xml:space="preserve"> have </w:t>
      </w:r>
      <w:r w:rsidR="00E6490B" w:rsidRPr="00771F08">
        <w:rPr>
          <w:rFonts w:ascii="Times New Roman" w:hAnsi="Times New Roman" w:cs="Times New Roman"/>
          <w:szCs w:val="20"/>
          <w:lang w:val="en-GB"/>
        </w:rPr>
        <w:t>experienced</w:t>
      </w:r>
      <w:r w:rsidRPr="00771F08">
        <w:rPr>
          <w:rFonts w:ascii="Times New Roman" w:hAnsi="Times New Roman" w:cs="Times New Roman"/>
          <w:szCs w:val="20"/>
          <w:lang w:val="en-GB"/>
        </w:rPr>
        <w:t xml:space="preserve"> severe cutbacks in funding from government sources </w:t>
      </w:r>
      <w:r w:rsidR="00034621" w:rsidRPr="00771F08">
        <w:rPr>
          <w:rFonts w:ascii="Times New Roman" w:hAnsi="Times New Roman" w:cs="Times New Roman"/>
          <w:szCs w:val="20"/>
          <w:lang w:val="en-GB"/>
        </w:rPr>
        <w:t>(</w:t>
      </w:r>
      <w:r w:rsidR="006A5DCD" w:rsidRPr="00771F08">
        <w:rPr>
          <w:rFonts w:ascii="Times New Roman" w:hAnsi="Times New Roman" w:cs="Times New Roman"/>
          <w:szCs w:val="20"/>
          <w:lang w:val="en-GB"/>
        </w:rPr>
        <w:t>Stephenson and Yerger</w:t>
      </w:r>
      <w:r w:rsidR="00034621" w:rsidRPr="00771F08">
        <w:rPr>
          <w:rFonts w:ascii="Times New Roman" w:hAnsi="Times New Roman" w:cs="Times New Roman"/>
          <w:szCs w:val="20"/>
          <w:lang w:val="en-GB"/>
        </w:rPr>
        <w:t xml:space="preserve"> 2014).</w:t>
      </w:r>
      <w:r w:rsidR="0044347D" w:rsidRPr="00771F08">
        <w:rPr>
          <w:rFonts w:ascii="Times New Roman" w:hAnsi="Times New Roman" w:cs="Times New Roman"/>
          <w:szCs w:val="20"/>
          <w:lang w:val="en-GB"/>
        </w:rPr>
        <w:t xml:space="preserve"> Such austerity measure</w:t>
      </w:r>
      <w:r w:rsidR="00006B9E" w:rsidRPr="00771F08">
        <w:rPr>
          <w:rFonts w:ascii="Times New Roman" w:hAnsi="Times New Roman" w:cs="Times New Roman"/>
          <w:szCs w:val="20"/>
          <w:lang w:val="en-GB"/>
        </w:rPr>
        <w:t>s,</w:t>
      </w:r>
      <w:r w:rsidR="0044347D" w:rsidRPr="00771F08">
        <w:rPr>
          <w:rFonts w:ascii="Times New Roman" w:hAnsi="Times New Roman" w:cs="Times New Roman"/>
          <w:szCs w:val="20"/>
          <w:lang w:val="en-GB"/>
        </w:rPr>
        <w:t xml:space="preserve"> as part of public funding reviews coupled with increasing international competition and new entrants, as well as </w:t>
      </w:r>
      <w:r w:rsidR="00006B9E" w:rsidRPr="00771F08">
        <w:rPr>
          <w:rFonts w:ascii="Times New Roman" w:hAnsi="Times New Roman" w:cs="Times New Roman"/>
          <w:szCs w:val="20"/>
          <w:lang w:val="en-GB"/>
        </w:rPr>
        <w:t xml:space="preserve">events </w:t>
      </w:r>
      <w:r w:rsidR="0044347D" w:rsidRPr="00771F08">
        <w:rPr>
          <w:rFonts w:ascii="Times New Roman" w:hAnsi="Times New Roman" w:cs="Times New Roman"/>
          <w:szCs w:val="20"/>
          <w:lang w:val="en-GB"/>
        </w:rPr>
        <w:t>exogenous to HE</w:t>
      </w:r>
      <w:r w:rsidR="00257EDE" w:rsidRPr="00771F08">
        <w:rPr>
          <w:rFonts w:ascii="Times New Roman" w:hAnsi="Times New Roman" w:cs="Times New Roman"/>
          <w:szCs w:val="20"/>
          <w:lang w:val="en-GB"/>
        </w:rPr>
        <w:t>,</w:t>
      </w:r>
      <w:r w:rsidR="0044347D" w:rsidRPr="00771F08">
        <w:rPr>
          <w:rFonts w:ascii="Times New Roman" w:hAnsi="Times New Roman" w:cs="Times New Roman"/>
          <w:szCs w:val="20"/>
          <w:lang w:val="en-GB"/>
        </w:rPr>
        <w:t xml:space="preserve"> such as the COVID-19 pandemic</w:t>
      </w:r>
      <w:r w:rsidR="00257EDE" w:rsidRPr="00771F08">
        <w:rPr>
          <w:rFonts w:ascii="Times New Roman" w:hAnsi="Times New Roman" w:cs="Times New Roman"/>
          <w:szCs w:val="20"/>
          <w:lang w:val="en-GB"/>
        </w:rPr>
        <w:t>,</w:t>
      </w:r>
      <w:r w:rsidR="0044347D" w:rsidRPr="00771F08">
        <w:rPr>
          <w:rFonts w:ascii="Times New Roman" w:hAnsi="Times New Roman" w:cs="Times New Roman"/>
          <w:szCs w:val="20"/>
          <w:lang w:val="en-GB"/>
        </w:rPr>
        <w:t xml:space="preserve"> have had an impact o</w:t>
      </w:r>
      <w:r w:rsidR="00006B9E" w:rsidRPr="00771F08">
        <w:rPr>
          <w:rFonts w:ascii="Times New Roman" w:hAnsi="Times New Roman" w:cs="Times New Roman"/>
          <w:szCs w:val="20"/>
          <w:lang w:val="en-GB"/>
        </w:rPr>
        <w:t>n</w:t>
      </w:r>
      <w:r w:rsidR="0044347D" w:rsidRPr="00771F08">
        <w:rPr>
          <w:rFonts w:ascii="Times New Roman" w:hAnsi="Times New Roman" w:cs="Times New Roman"/>
          <w:szCs w:val="20"/>
          <w:lang w:val="en-GB"/>
        </w:rPr>
        <w:t xml:space="preserve"> traditional income sources. </w:t>
      </w:r>
      <w:r w:rsidR="00A90F51" w:rsidRPr="00771F08">
        <w:rPr>
          <w:rFonts w:ascii="Times New Roman" w:hAnsi="Times New Roman" w:cs="Times New Roman"/>
          <w:szCs w:val="20"/>
          <w:lang w:val="en-GB"/>
        </w:rPr>
        <w:t xml:space="preserve">As a result, universities depend ever more on private donors, who have become </w:t>
      </w:r>
      <w:r w:rsidR="0044347D" w:rsidRPr="00771F08">
        <w:rPr>
          <w:rFonts w:ascii="Times New Roman" w:hAnsi="Times New Roman" w:cs="Times New Roman"/>
          <w:szCs w:val="20"/>
          <w:lang w:val="en-GB"/>
        </w:rPr>
        <w:t>an important part of the financial mix and</w:t>
      </w:r>
      <w:r w:rsidR="00A90F51" w:rsidRPr="00771F08">
        <w:rPr>
          <w:rFonts w:ascii="Times New Roman" w:hAnsi="Times New Roman" w:cs="Times New Roman"/>
          <w:szCs w:val="20"/>
          <w:lang w:val="en-GB"/>
        </w:rPr>
        <w:t xml:space="preserve"> </w:t>
      </w:r>
      <w:r w:rsidR="00B61D14">
        <w:rPr>
          <w:rFonts w:ascii="Times New Roman" w:hAnsi="Times New Roman" w:cs="Times New Roman"/>
          <w:szCs w:val="20"/>
          <w:lang w:val="en-GB"/>
        </w:rPr>
        <w:t xml:space="preserve">the </w:t>
      </w:r>
      <w:r w:rsidR="00B82A93" w:rsidRPr="00771F08">
        <w:rPr>
          <w:rFonts w:ascii="Times New Roman" w:hAnsi="Times New Roman" w:cs="Times New Roman"/>
          <w:szCs w:val="20"/>
          <w:lang w:val="en-GB"/>
        </w:rPr>
        <w:t xml:space="preserve">well-being of HEIs (Tsao and Coll, 2005; </w:t>
      </w:r>
      <w:proofErr w:type="spellStart"/>
      <w:r w:rsidR="00B82A93" w:rsidRPr="00771F08">
        <w:rPr>
          <w:rFonts w:ascii="Times New Roman" w:hAnsi="Times New Roman" w:cs="Times New Roman"/>
          <w:szCs w:val="20"/>
          <w:lang w:val="en-GB"/>
        </w:rPr>
        <w:t>Weerts</w:t>
      </w:r>
      <w:proofErr w:type="spellEnd"/>
      <w:r w:rsidR="00B82A93" w:rsidRPr="00771F08">
        <w:rPr>
          <w:rFonts w:ascii="Times New Roman" w:hAnsi="Times New Roman" w:cs="Times New Roman"/>
          <w:szCs w:val="20"/>
          <w:lang w:val="en-GB"/>
        </w:rPr>
        <w:t xml:space="preserve"> and </w:t>
      </w:r>
      <w:proofErr w:type="spellStart"/>
      <w:r w:rsidR="00B82A93" w:rsidRPr="00771F08">
        <w:rPr>
          <w:rFonts w:ascii="Times New Roman" w:hAnsi="Times New Roman" w:cs="Times New Roman"/>
          <w:szCs w:val="20"/>
          <w:lang w:val="en-GB"/>
        </w:rPr>
        <w:t>Ronca</w:t>
      </w:r>
      <w:proofErr w:type="spellEnd"/>
      <w:r w:rsidR="00A90F51" w:rsidRPr="00771F08">
        <w:rPr>
          <w:rFonts w:ascii="Times New Roman" w:hAnsi="Times New Roman" w:cs="Times New Roman"/>
          <w:szCs w:val="20"/>
          <w:lang w:val="en-GB"/>
        </w:rPr>
        <w:t xml:space="preserve"> 2009</w:t>
      </w:r>
      <w:r w:rsidR="00B1389E">
        <w:rPr>
          <w:rFonts w:ascii="Times New Roman" w:hAnsi="Times New Roman" w:cs="Times New Roman"/>
          <w:szCs w:val="20"/>
          <w:lang w:val="en-GB"/>
        </w:rPr>
        <w:t xml:space="preserve">, </w:t>
      </w:r>
      <w:proofErr w:type="spellStart"/>
      <w:r w:rsidR="00B1389E" w:rsidRPr="00B1389E">
        <w:rPr>
          <w:rFonts w:ascii="Times New Roman" w:hAnsi="Times New Roman" w:cs="Times New Roman"/>
          <w:szCs w:val="20"/>
          <w:lang w:val="en-GB"/>
        </w:rPr>
        <w:t>Iskhakova</w:t>
      </w:r>
      <w:proofErr w:type="spellEnd"/>
      <w:r w:rsidR="00B1389E">
        <w:rPr>
          <w:rFonts w:ascii="Times New Roman" w:hAnsi="Times New Roman" w:cs="Times New Roman"/>
          <w:szCs w:val="20"/>
          <w:lang w:val="en-GB"/>
        </w:rPr>
        <w:t xml:space="preserve"> et al, 2020</w:t>
      </w:r>
      <w:r w:rsidR="00A90F51" w:rsidRPr="00771F08">
        <w:rPr>
          <w:rFonts w:ascii="Times New Roman" w:hAnsi="Times New Roman" w:cs="Times New Roman"/>
          <w:szCs w:val="20"/>
          <w:lang w:val="en-GB"/>
        </w:rPr>
        <w:t xml:space="preserve">). </w:t>
      </w:r>
      <w:r w:rsidR="00257EDE" w:rsidRPr="00771F08">
        <w:rPr>
          <w:rFonts w:ascii="Times New Roman" w:hAnsi="Times New Roman" w:cs="Times New Roman"/>
          <w:szCs w:val="20"/>
          <w:lang w:val="en-GB"/>
        </w:rPr>
        <w:t>Even though</w:t>
      </w:r>
      <w:r w:rsidR="0044347D" w:rsidRPr="00771F08">
        <w:rPr>
          <w:rFonts w:ascii="Times New Roman" w:hAnsi="Times New Roman" w:cs="Times New Roman"/>
          <w:szCs w:val="20"/>
          <w:lang w:val="en-GB"/>
        </w:rPr>
        <w:t xml:space="preserve"> a</w:t>
      </w:r>
      <w:r w:rsidR="00EE7F0E" w:rsidRPr="00771F08">
        <w:rPr>
          <w:rFonts w:ascii="Times New Roman" w:hAnsi="Times New Roman" w:cs="Times New Roman"/>
          <w:szCs w:val="20"/>
          <w:lang w:val="en-GB"/>
        </w:rPr>
        <w:t xml:space="preserve">lumni </w:t>
      </w:r>
      <w:r w:rsidR="00E25C4A" w:rsidRPr="00771F08">
        <w:rPr>
          <w:rFonts w:ascii="Times New Roman" w:hAnsi="Times New Roman" w:cs="Times New Roman"/>
          <w:szCs w:val="20"/>
          <w:lang w:val="en-GB"/>
        </w:rPr>
        <w:t>contributions have</w:t>
      </w:r>
      <w:r w:rsidR="0044347D" w:rsidRPr="00771F08">
        <w:rPr>
          <w:rFonts w:ascii="Times New Roman" w:hAnsi="Times New Roman" w:cs="Times New Roman"/>
          <w:szCs w:val="20"/>
          <w:lang w:val="en-GB"/>
        </w:rPr>
        <w:t xml:space="preserve"> always</w:t>
      </w:r>
      <w:r w:rsidR="009D025B" w:rsidRPr="00771F08">
        <w:rPr>
          <w:rFonts w:ascii="Times New Roman" w:hAnsi="Times New Roman" w:cs="Times New Roman"/>
          <w:szCs w:val="20"/>
          <w:lang w:val="en-GB"/>
        </w:rPr>
        <w:t xml:space="preserve"> represent</w:t>
      </w:r>
      <w:r w:rsidR="0044347D" w:rsidRPr="00771F08">
        <w:rPr>
          <w:rFonts w:ascii="Times New Roman" w:hAnsi="Times New Roman" w:cs="Times New Roman"/>
          <w:szCs w:val="20"/>
          <w:lang w:val="en-GB"/>
        </w:rPr>
        <w:t>ed</w:t>
      </w:r>
      <w:r w:rsidR="009D025B" w:rsidRPr="00771F08">
        <w:rPr>
          <w:rFonts w:ascii="Times New Roman" w:hAnsi="Times New Roman" w:cs="Times New Roman"/>
          <w:szCs w:val="20"/>
          <w:lang w:val="en-GB"/>
        </w:rPr>
        <w:t xml:space="preserve"> </w:t>
      </w:r>
      <w:r w:rsidR="003B4085" w:rsidRPr="00771F08">
        <w:rPr>
          <w:rFonts w:ascii="Times New Roman" w:hAnsi="Times New Roman" w:cs="Times New Roman"/>
          <w:szCs w:val="20"/>
          <w:lang w:val="en-GB"/>
        </w:rPr>
        <w:t>a</w:t>
      </w:r>
      <w:r w:rsidR="009D025B" w:rsidRPr="00771F08">
        <w:rPr>
          <w:rFonts w:ascii="Times New Roman" w:hAnsi="Times New Roman" w:cs="Times New Roman"/>
          <w:szCs w:val="20"/>
          <w:lang w:val="en-GB"/>
        </w:rPr>
        <w:t xml:space="preserve"> </w:t>
      </w:r>
      <w:r w:rsidR="0044347D" w:rsidRPr="00771F08">
        <w:rPr>
          <w:rFonts w:ascii="Times New Roman" w:hAnsi="Times New Roman" w:cs="Times New Roman"/>
          <w:szCs w:val="20"/>
          <w:lang w:val="en-GB"/>
        </w:rPr>
        <w:t xml:space="preserve">significant </w:t>
      </w:r>
      <w:r w:rsidR="009D025B" w:rsidRPr="00771F08">
        <w:rPr>
          <w:rFonts w:ascii="Times New Roman" w:hAnsi="Times New Roman" w:cs="Times New Roman"/>
          <w:szCs w:val="20"/>
          <w:lang w:val="en-GB"/>
        </w:rPr>
        <w:t>source of universit</w:t>
      </w:r>
      <w:r w:rsidR="00E6490B" w:rsidRPr="00771F08">
        <w:rPr>
          <w:rFonts w:ascii="Times New Roman" w:hAnsi="Times New Roman" w:cs="Times New Roman"/>
          <w:szCs w:val="20"/>
          <w:lang w:val="en-GB"/>
        </w:rPr>
        <w:t>y</w:t>
      </w:r>
      <w:r w:rsidR="009D025B" w:rsidRPr="00771F08">
        <w:rPr>
          <w:rFonts w:ascii="Times New Roman" w:hAnsi="Times New Roman" w:cs="Times New Roman"/>
          <w:szCs w:val="20"/>
          <w:lang w:val="en-GB"/>
        </w:rPr>
        <w:t xml:space="preserve"> funding </w:t>
      </w:r>
      <w:r w:rsidR="00B57976" w:rsidRPr="00771F08">
        <w:rPr>
          <w:rFonts w:ascii="Times New Roman" w:hAnsi="Times New Roman" w:cs="Times New Roman"/>
          <w:szCs w:val="20"/>
          <w:lang w:val="en-GB"/>
        </w:rPr>
        <w:t>(Baruch and Sang</w:t>
      </w:r>
      <w:r w:rsidR="0018378D" w:rsidRPr="00771F08">
        <w:rPr>
          <w:rFonts w:ascii="Times New Roman" w:hAnsi="Times New Roman" w:cs="Times New Roman"/>
          <w:szCs w:val="20"/>
          <w:lang w:val="en-GB"/>
        </w:rPr>
        <w:t xml:space="preserve"> 2012; </w:t>
      </w:r>
      <w:r w:rsidR="00B57976" w:rsidRPr="00771F08">
        <w:rPr>
          <w:rFonts w:ascii="Times New Roman" w:hAnsi="Times New Roman" w:cs="Times New Roman"/>
          <w:szCs w:val="20"/>
          <w:lang w:val="en-GB"/>
        </w:rPr>
        <w:t>Durango-Cohen and Balasubramanian</w:t>
      </w:r>
      <w:r w:rsidR="009D025B" w:rsidRPr="00771F08">
        <w:rPr>
          <w:rFonts w:ascii="Times New Roman" w:hAnsi="Times New Roman" w:cs="Times New Roman"/>
          <w:szCs w:val="20"/>
          <w:lang w:val="en-GB"/>
        </w:rPr>
        <w:t xml:space="preserve"> 2015</w:t>
      </w:r>
      <w:r w:rsidR="00B57976" w:rsidRPr="00771F08">
        <w:rPr>
          <w:rFonts w:ascii="Times New Roman" w:hAnsi="Times New Roman" w:cs="Times New Roman"/>
          <w:szCs w:val="20"/>
          <w:lang w:val="en-GB"/>
        </w:rPr>
        <w:t xml:space="preserve">; Stephenson and Bell </w:t>
      </w:r>
      <w:r w:rsidR="00CA68EA" w:rsidRPr="00771F08">
        <w:rPr>
          <w:rFonts w:ascii="Times New Roman" w:hAnsi="Times New Roman" w:cs="Times New Roman"/>
          <w:szCs w:val="20"/>
          <w:lang w:val="en-GB"/>
        </w:rPr>
        <w:t>2014</w:t>
      </w:r>
      <w:r w:rsidR="0018378D" w:rsidRPr="00771F08">
        <w:rPr>
          <w:rFonts w:ascii="Times New Roman" w:hAnsi="Times New Roman" w:cs="Times New Roman"/>
          <w:szCs w:val="20"/>
          <w:lang w:val="en-GB"/>
        </w:rPr>
        <w:t>)</w:t>
      </w:r>
      <w:r w:rsidR="0044347D" w:rsidRPr="00771F08">
        <w:rPr>
          <w:rFonts w:ascii="Times New Roman" w:hAnsi="Times New Roman" w:cs="Times New Roman"/>
          <w:szCs w:val="20"/>
          <w:lang w:val="en-GB"/>
        </w:rPr>
        <w:t xml:space="preserve"> encouraging such </w:t>
      </w:r>
      <w:r w:rsidR="00006B9E" w:rsidRPr="00771F08">
        <w:rPr>
          <w:rFonts w:ascii="Times New Roman" w:hAnsi="Times New Roman" w:cs="Times New Roman"/>
          <w:szCs w:val="20"/>
          <w:lang w:val="en-GB"/>
        </w:rPr>
        <w:t xml:space="preserve">a </w:t>
      </w:r>
      <w:r w:rsidR="0044347D" w:rsidRPr="00771F08">
        <w:rPr>
          <w:rFonts w:ascii="Times New Roman" w:hAnsi="Times New Roman" w:cs="Times New Roman"/>
          <w:szCs w:val="20"/>
          <w:lang w:val="en-GB"/>
        </w:rPr>
        <w:t xml:space="preserve">practice can make a positive impact </w:t>
      </w:r>
      <w:r w:rsidR="00FB172B" w:rsidRPr="00771F08">
        <w:rPr>
          <w:rFonts w:ascii="Times New Roman" w:hAnsi="Times New Roman" w:cs="Times New Roman"/>
          <w:szCs w:val="20"/>
          <w:lang w:val="en-GB"/>
        </w:rPr>
        <w:t xml:space="preserve">on </w:t>
      </w:r>
      <w:r w:rsidR="0044347D" w:rsidRPr="00771F08">
        <w:rPr>
          <w:rFonts w:ascii="Times New Roman" w:hAnsi="Times New Roman" w:cs="Times New Roman"/>
          <w:szCs w:val="20"/>
          <w:lang w:val="en-GB"/>
        </w:rPr>
        <w:t>the stability and longevity of a</w:t>
      </w:r>
      <w:r w:rsidR="00006B9E" w:rsidRPr="00771F08">
        <w:rPr>
          <w:rFonts w:ascii="Times New Roman" w:hAnsi="Times New Roman" w:cs="Times New Roman"/>
          <w:szCs w:val="20"/>
          <w:lang w:val="en-GB"/>
        </w:rPr>
        <w:t>n</w:t>
      </w:r>
      <w:r w:rsidR="0044347D" w:rsidRPr="00771F08">
        <w:rPr>
          <w:rFonts w:ascii="Times New Roman" w:hAnsi="Times New Roman" w:cs="Times New Roman"/>
          <w:szCs w:val="20"/>
          <w:lang w:val="en-GB"/>
        </w:rPr>
        <w:t xml:space="preserve"> HE institution.</w:t>
      </w:r>
      <w:r w:rsidR="0018378D" w:rsidRPr="00771F08">
        <w:rPr>
          <w:rFonts w:ascii="Times New Roman" w:hAnsi="Times New Roman" w:cs="Times New Roman"/>
          <w:szCs w:val="20"/>
          <w:lang w:val="en-GB"/>
        </w:rPr>
        <w:t xml:space="preserve"> </w:t>
      </w:r>
    </w:p>
    <w:p w14:paraId="2F29DBBB" w14:textId="16EABDD8" w:rsidR="00205F00" w:rsidRPr="00771F08" w:rsidRDefault="00257EDE" w:rsidP="00237956">
      <w:pPr>
        <w:spacing w:after="0" w:line="240" w:lineRule="auto"/>
        <w:ind w:left="567" w:right="1133"/>
        <w:rPr>
          <w:rFonts w:ascii="Times New Roman" w:hAnsi="Times New Roman" w:cs="Times New Roman"/>
          <w:szCs w:val="20"/>
          <w:lang w:val="en-GB"/>
        </w:rPr>
      </w:pPr>
      <w:r w:rsidRPr="00771F08">
        <w:rPr>
          <w:rFonts w:ascii="Times New Roman" w:hAnsi="Times New Roman" w:cs="Times New Roman"/>
          <w:szCs w:val="20"/>
          <w:lang w:val="en-GB"/>
        </w:rPr>
        <w:t>Given the above</w:t>
      </w:r>
      <w:r w:rsidR="004023F3">
        <w:rPr>
          <w:rFonts w:ascii="Times New Roman" w:hAnsi="Times New Roman" w:cs="Times New Roman"/>
          <w:szCs w:val="20"/>
          <w:lang w:val="en-GB"/>
        </w:rPr>
        <w:t>,</w:t>
      </w:r>
      <w:r w:rsidRPr="00771F08">
        <w:rPr>
          <w:rFonts w:ascii="Times New Roman" w:hAnsi="Times New Roman" w:cs="Times New Roman"/>
          <w:szCs w:val="20"/>
          <w:lang w:val="en-GB"/>
        </w:rPr>
        <w:t xml:space="preserve"> it</w:t>
      </w:r>
      <w:r w:rsidR="0064320F" w:rsidRPr="00771F08">
        <w:rPr>
          <w:rFonts w:ascii="Times New Roman" w:hAnsi="Times New Roman" w:cs="Times New Roman"/>
          <w:szCs w:val="20"/>
          <w:lang w:val="en-GB"/>
        </w:rPr>
        <w:t xml:space="preserve"> </w:t>
      </w:r>
      <w:r w:rsidR="00E6490B" w:rsidRPr="00771F08">
        <w:rPr>
          <w:rFonts w:ascii="Times New Roman" w:hAnsi="Times New Roman" w:cs="Times New Roman"/>
          <w:szCs w:val="20"/>
          <w:lang w:val="en-GB"/>
        </w:rPr>
        <w:t xml:space="preserve">has </w:t>
      </w:r>
      <w:r w:rsidR="0064320F" w:rsidRPr="00771F08">
        <w:rPr>
          <w:rFonts w:ascii="Times New Roman" w:hAnsi="Times New Roman" w:cs="Times New Roman"/>
          <w:szCs w:val="20"/>
          <w:lang w:val="en-GB"/>
        </w:rPr>
        <w:t xml:space="preserve">become crucial </w:t>
      </w:r>
      <w:r w:rsidR="00860FEB" w:rsidRPr="00771F08">
        <w:rPr>
          <w:rFonts w:ascii="Times New Roman" w:hAnsi="Times New Roman" w:cs="Times New Roman"/>
          <w:szCs w:val="20"/>
          <w:lang w:val="en-GB"/>
        </w:rPr>
        <w:t xml:space="preserve">for </w:t>
      </w:r>
      <w:r w:rsidR="0064320F" w:rsidRPr="00771F08">
        <w:rPr>
          <w:rFonts w:ascii="Times New Roman" w:hAnsi="Times New Roman" w:cs="Times New Roman"/>
          <w:szCs w:val="20"/>
          <w:lang w:val="en-GB"/>
        </w:rPr>
        <w:t>HE</w:t>
      </w:r>
      <w:r w:rsidR="00A90F51" w:rsidRPr="00771F08">
        <w:rPr>
          <w:rFonts w:ascii="Times New Roman" w:hAnsi="Times New Roman" w:cs="Times New Roman"/>
          <w:szCs w:val="20"/>
          <w:lang w:val="en-GB"/>
        </w:rPr>
        <w:t>Is</w:t>
      </w:r>
      <w:r w:rsidR="0064320F" w:rsidRPr="00771F08">
        <w:rPr>
          <w:rFonts w:ascii="Times New Roman" w:hAnsi="Times New Roman" w:cs="Times New Roman"/>
          <w:szCs w:val="20"/>
          <w:lang w:val="en-GB"/>
        </w:rPr>
        <w:t xml:space="preserve"> </w:t>
      </w:r>
      <w:r w:rsidR="00860FEB" w:rsidRPr="00771F08">
        <w:rPr>
          <w:rFonts w:ascii="Times New Roman" w:hAnsi="Times New Roman" w:cs="Times New Roman"/>
          <w:szCs w:val="20"/>
          <w:lang w:val="en-GB"/>
        </w:rPr>
        <w:t xml:space="preserve">to </w:t>
      </w:r>
      <w:r w:rsidR="0064320F" w:rsidRPr="00771F08">
        <w:rPr>
          <w:rFonts w:ascii="Times New Roman" w:hAnsi="Times New Roman" w:cs="Times New Roman"/>
          <w:szCs w:val="20"/>
          <w:lang w:val="en-GB"/>
        </w:rPr>
        <w:t xml:space="preserve">identify the factors influencing </w:t>
      </w:r>
      <w:r w:rsidR="00BA1181" w:rsidRPr="00771F08">
        <w:rPr>
          <w:rFonts w:ascii="Times New Roman" w:hAnsi="Times New Roman" w:cs="Times New Roman"/>
          <w:szCs w:val="20"/>
          <w:lang w:val="en-GB"/>
        </w:rPr>
        <w:t>alumni’s in</w:t>
      </w:r>
      <w:r w:rsidR="007368C7" w:rsidRPr="00771F08">
        <w:rPr>
          <w:rFonts w:ascii="Times New Roman" w:hAnsi="Times New Roman" w:cs="Times New Roman"/>
          <w:szCs w:val="20"/>
          <w:lang w:val="en-GB"/>
        </w:rPr>
        <w:t>tentions</w:t>
      </w:r>
      <w:r w:rsidR="00BA1181" w:rsidRPr="00771F08">
        <w:rPr>
          <w:rFonts w:ascii="Times New Roman" w:hAnsi="Times New Roman" w:cs="Times New Roman"/>
          <w:szCs w:val="20"/>
          <w:lang w:val="en-GB"/>
        </w:rPr>
        <w:t xml:space="preserve"> to invest in their alma mater, especially in terms </w:t>
      </w:r>
      <w:r w:rsidR="00B57976" w:rsidRPr="00771F08">
        <w:rPr>
          <w:rFonts w:ascii="Times New Roman" w:hAnsi="Times New Roman" w:cs="Times New Roman"/>
          <w:szCs w:val="20"/>
          <w:lang w:val="en-GB"/>
        </w:rPr>
        <w:t>of financial support (Baruch and Sang</w:t>
      </w:r>
      <w:r w:rsidR="00BA1181" w:rsidRPr="00771F08">
        <w:rPr>
          <w:rFonts w:ascii="Times New Roman" w:hAnsi="Times New Roman" w:cs="Times New Roman"/>
          <w:szCs w:val="20"/>
          <w:lang w:val="en-GB"/>
        </w:rPr>
        <w:t xml:space="preserve"> 2012). </w:t>
      </w:r>
      <w:r w:rsidR="00A90F51" w:rsidRPr="00771F08">
        <w:rPr>
          <w:rFonts w:ascii="Times New Roman" w:hAnsi="Times New Roman" w:cs="Times New Roman"/>
          <w:szCs w:val="20"/>
          <w:lang w:val="en-GB"/>
        </w:rPr>
        <w:t xml:space="preserve">For this reason, HEIs are increasingly </w:t>
      </w:r>
      <w:r w:rsidR="0044347D" w:rsidRPr="00771F08">
        <w:rPr>
          <w:rFonts w:ascii="Times New Roman" w:hAnsi="Times New Roman" w:cs="Times New Roman"/>
          <w:szCs w:val="20"/>
          <w:lang w:val="en-GB"/>
        </w:rPr>
        <w:t>exploring</w:t>
      </w:r>
      <w:r w:rsidR="00A90F51" w:rsidRPr="00771F08">
        <w:rPr>
          <w:rFonts w:ascii="Times New Roman" w:hAnsi="Times New Roman" w:cs="Times New Roman"/>
          <w:szCs w:val="20"/>
          <w:lang w:val="en-GB"/>
        </w:rPr>
        <w:t xml:space="preserve"> relational practices (Hemsl</w:t>
      </w:r>
      <w:r w:rsidR="00B57976" w:rsidRPr="00771F08">
        <w:rPr>
          <w:rFonts w:ascii="Times New Roman" w:hAnsi="Times New Roman" w:cs="Times New Roman"/>
          <w:szCs w:val="20"/>
          <w:lang w:val="en-GB"/>
        </w:rPr>
        <w:t xml:space="preserve">ey-Brown and </w:t>
      </w:r>
      <w:proofErr w:type="spellStart"/>
      <w:r w:rsidR="00B57976" w:rsidRPr="00771F08">
        <w:rPr>
          <w:rFonts w:ascii="Times New Roman" w:hAnsi="Times New Roman" w:cs="Times New Roman"/>
          <w:szCs w:val="20"/>
          <w:lang w:val="en-GB"/>
        </w:rPr>
        <w:t>Goonawardana</w:t>
      </w:r>
      <w:proofErr w:type="spellEnd"/>
      <w:r w:rsidR="00B57976" w:rsidRPr="00771F08">
        <w:rPr>
          <w:rFonts w:ascii="Times New Roman" w:hAnsi="Times New Roman" w:cs="Times New Roman"/>
          <w:szCs w:val="20"/>
          <w:lang w:val="en-GB"/>
        </w:rPr>
        <w:t xml:space="preserve"> 2007; Pinar et al. 2011</w:t>
      </w:r>
      <w:r w:rsidR="00A90F51" w:rsidRPr="00771F08">
        <w:rPr>
          <w:rFonts w:ascii="Times New Roman" w:hAnsi="Times New Roman" w:cs="Times New Roman"/>
          <w:szCs w:val="20"/>
          <w:lang w:val="en-GB"/>
        </w:rPr>
        <w:t>) that are able to strengthen the interactions with their students and, especially,</w:t>
      </w:r>
      <w:r w:rsidR="00B57976" w:rsidRPr="00771F08">
        <w:rPr>
          <w:rFonts w:ascii="Times New Roman" w:hAnsi="Times New Roman" w:cs="Times New Roman"/>
          <w:szCs w:val="20"/>
          <w:lang w:val="en-GB"/>
        </w:rPr>
        <w:t xml:space="preserve"> with their alumni (Stephenson and Yerger </w:t>
      </w:r>
      <w:r w:rsidR="00A90F51" w:rsidRPr="00771F08">
        <w:rPr>
          <w:rFonts w:ascii="Times New Roman" w:hAnsi="Times New Roman" w:cs="Times New Roman"/>
          <w:szCs w:val="20"/>
          <w:lang w:val="en-GB"/>
        </w:rPr>
        <w:t xml:space="preserve">2014). </w:t>
      </w:r>
      <w:r w:rsidR="0044347D" w:rsidRPr="00771F08">
        <w:rPr>
          <w:rFonts w:ascii="Times New Roman" w:hAnsi="Times New Roman" w:cs="Times New Roman"/>
          <w:szCs w:val="20"/>
          <w:lang w:val="en-GB"/>
        </w:rPr>
        <w:t xml:space="preserve">From a theoretical perspective, </w:t>
      </w:r>
      <w:r w:rsidR="00A90F51" w:rsidRPr="00771F08">
        <w:rPr>
          <w:rFonts w:ascii="Times New Roman" w:hAnsi="Times New Roman" w:cs="Times New Roman"/>
          <w:szCs w:val="20"/>
          <w:lang w:val="en-GB"/>
        </w:rPr>
        <w:t xml:space="preserve">among the different antecedents leading to more positive attitudes toward donations, the concept of trust is a </w:t>
      </w:r>
      <w:r w:rsidR="003E2559" w:rsidRPr="00771F08">
        <w:rPr>
          <w:rFonts w:ascii="Times New Roman" w:hAnsi="Times New Roman" w:cs="Times New Roman"/>
          <w:szCs w:val="20"/>
          <w:lang w:val="en-GB"/>
        </w:rPr>
        <w:t>fairly new construct (Yousaf et al.</w:t>
      </w:r>
      <w:r w:rsidR="00A90F51" w:rsidRPr="00771F08">
        <w:rPr>
          <w:rFonts w:ascii="Times New Roman" w:hAnsi="Times New Roman" w:cs="Times New Roman"/>
          <w:szCs w:val="20"/>
          <w:lang w:val="en-GB"/>
        </w:rPr>
        <w:t xml:space="preserve"> 2018). </w:t>
      </w:r>
      <w:r w:rsidR="003E2559" w:rsidRPr="00771F08">
        <w:rPr>
          <w:rFonts w:ascii="Times New Roman" w:hAnsi="Times New Roman" w:cs="Times New Roman"/>
          <w:szCs w:val="20"/>
          <w:lang w:val="en-GB"/>
        </w:rPr>
        <w:t xml:space="preserve"> Ghosh</w:t>
      </w:r>
      <w:r w:rsidRPr="00771F08">
        <w:rPr>
          <w:rFonts w:ascii="Times New Roman" w:hAnsi="Times New Roman" w:cs="Times New Roman"/>
          <w:szCs w:val="20"/>
          <w:lang w:val="en-GB"/>
        </w:rPr>
        <w:t xml:space="preserve"> et al</w:t>
      </w:r>
      <w:r w:rsidR="00A90F51" w:rsidRPr="00771F08">
        <w:rPr>
          <w:rFonts w:ascii="Times New Roman" w:hAnsi="Times New Roman" w:cs="Times New Roman"/>
          <w:szCs w:val="20"/>
          <w:lang w:val="en-GB"/>
        </w:rPr>
        <w:t xml:space="preserve"> (2001) were among the first to </w:t>
      </w:r>
      <w:r w:rsidR="00501188" w:rsidRPr="00771F08">
        <w:rPr>
          <w:rFonts w:ascii="Times New Roman" w:hAnsi="Times New Roman" w:cs="Times New Roman"/>
          <w:szCs w:val="20"/>
          <w:lang w:val="en-GB"/>
        </w:rPr>
        <w:t>analy</w:t>
      </w:r>
      <w:r w:rsidR="00771F08" w:rsidRPr="00771F08">
        <w:rPr>
          <w:rFonts w:ascii="Times New Roman" w:hAnsi="Times New Roman" w:cs="Times New Roman"/>
          <w:szCs w:val="20"/>
          <w:lang w:val="en-GB"/>
        </w:rPr>
        <w:t>s</w:t>
      </w:r>
      <w:r w:rsidR="00501188" w:rsidRPr="00771F08">
        <w:rPr>
          <w:rFonts w:ascii="Times New Roman" w:hAnsi="Times New Roman" w:cs="Times New Roman"/>
          <w:szCs w:val="20"/>
          <w:lang w:val="en-GB"/>
        </w:rPr>
        <w:t>e</w:t>
      </w:r>
      <w:r w:rsidR="00A90F51" w:rsidRPr="00771F08">
        <w:rPr>
          <w:rFonts w:ascii="Times New Roman" w:hAnsi="Times New Roman" w:cs="Times New Roman"/>
          <w:szCs w:val="20"/>
          <w:lang w:val="en-GB"/>
        </w:rPr>
        <w:t xml:space="preserve"> trust in the Higher Education (HE) context, describing it as a significant long-term solution that universities should adopt in order to face</w:t>
      </w:r>
      <w:r w:rsidR="00006B9E" w:rsidRPr="00771F08">
        <w:rPr>
          <w:rFonts w:ascii="Times New Roman" w:hAnsi="Times New Roman" w:cs="Times New Roman"/>
          <w:szCs w:val="20"/>
          <w:lang w:val="en-GB"/>
        </w:rPr>
        <w:t xml:space="preserve"> the</w:t>
      </w:r>
      <w:r w:rsidR="00A90F51" w:rsidRPr="00771F08">
        <w:rPr>
          <w:rFonts w:ascii="Times New Roman" w:hAnsi="Times New Roman" w:cs="Times New Roman"/>
          <w:szCs w:val="20"/>
          <w:lang w:val="en-GB"/>
        </w:rPr>
        <w:t xml:space="preserve"> fierce competition</w:t>
      </w:r>
      <w:r w:rsidR="00006B9E" w:rsidRPr="00771F08">
        <w:rPr>
          <w:rFonts w:ascii="Times New Roman" w:hAnsi="Times New Roman" w:cs="Times New Roman"/>
          <w:szCs w:val="20"/>
          <w:lang w:val="en-GB"/>
        </w:rPr>
        <w:t xml:space="preserve"> in the sector</w:t>
      </w:r>
      <w:r w:rsidR="00A90F51" w:rsidRPr="00771F08">
        <w:rPr>
          <w:rFonts w:ascii="Times New Roman" w:hAnsi="Times New Roman" w:cs="Times New Roman"/>
          <w:szCs w:val="20"/>
          <w:lang w:val="en-GB"/>
        </w:rPr>
        <w:t xml:space="preserve">. </w:t>
      </w:r>
      <w:r w:rsidR="00C14F54" w:rsidRPr="00771F08">
        <w:rPr>
          <w:rFonts w:ascii="Times New Roman" w:hAnsi="Times New Roman" w:cs="Times New Roman"/>
          <w:szCs w:val="20"/>
          <w:lang w:val="en-GB"/>
        </w:rPr>
        <w:t xml:space="preserve">However, despite the scant analysis of the concept of trust in HE, </w:t>
      </w:r>
      <w:r w:rsidR="0044347D" w:rsidRPr="00771F08">
        <w:rPr>
          <w:rFonts w:ascii="Times New Roman" w:hAnsi="Times New Roman" w:cs="Times New Roman"/>
          <w:szCs w:val="20"/>
          <w:lang w:val="en-GB"/>
        </w:rPr>
        <w:t xml:space="preserve">only a handful of </w:t>
      </w:r>
      <w:r w:rsidR="00C14F54" w:rsidRPr="00771F08">
        <w:rPr>
          <w:rFonts w:ascii="Times New Roman" w:hAnsi="Times New Roman" w:cs="Times New Roman"/>
          <w:szCs w:val="20"/>
          <w:lang w:val="en-GB"/>
        </w:rPr>
        <w:t xml:space="preserve">studies </w:t>
      </w:r>
      <w:r w:rsidRPr="00771F08">
        <w:rPr>
          <w:rFonts w:ascii="Times New Roman" w:hAnsi="Times New Roman" w:cs="Times New Roman"/>
          <w:szCs w:val="20"/>
          <w:lang w:val="en-GB"/>
        </w:rPr>
        <w:t>have considered it and</w:t>
      </w:r>
      <w:r w:rsidR="00006B9E" w:rsidRPr="00771F08">
        <w:rPr>
          <w:rFonts w:ascii="Times New Roman" w:hAnsi="Times New Roman" w:cs="Times New Roman"/>
          <w:szCs w:val="20"/>
          <w:lang w:val="en-GB"/>
        </w:rPr>
        <w:t>,</w:t>
      </w:r>
      <w:r w:rsidRPr="00771F08">
        <w:rPr>
          <w:rFonts w:ascii="Times New Roman" w:hAnsi="Times New Roman" w:cs="Times New Roman"/>
          <w:szCs w:val="20"/>
          <w:lang w:val="en-GB"/>
        </w:rPr>
        <w:t xml:space="preserve"> as such</w:t>
      </w:r>
      <w:r w:rsidR="00FB172B" w:rsidRPr="00771F08">
        <w:rPr>
          <w:rFonts w:ascii="Times New Roman" w:hAnsi="Times New Roman" w:cs="Times New Roman"/>
          <w:szCs w:val="20"/>
          <w:lang w:val="en-GB"/>
        </w:rPr>
        <w:t>,</w:t>
      </w:r>
      <w:r w:rsidRPr="00771F08">
        <w:rPr>
          <w:rFonts w:ascii="Times New Roman" w:hAnsi="Times New Roman" w:cs="Times New Roman"/>
          <w:szCs w:val="20"/>
          <w:lang w:val="en-GB"/>
        </w:rPr>
        <w:t xml:space="preserve"> </w:t>
      </w:r>
      <w:r w:rsidRPr="00771F08">
        <w:rPr>
          <w:rFonts w:ascii="Times New Roman" w:hAnsi="Times New Roman" w:cs="Times New Roman"/>
          <w:lang w:val="en-GB"/>
        </w:rPr>
        <w:t xml:space="preserve">further research in the HE context is required </w:t>
      </w:r>
      <w:r w:rsidR="00C14F54" w:rsidRPr="00771F08">
        <w:rPr>
          <w:rFonts w:ascii="Times New Roman" w:hAnsi="Times New Roman" w:cs="Times New Roman"/>
          <w:szCs w:val="20"/>
          <w:lang w:val="en-GB"/>
        </w:rPr>
        <w:t>(</w:t>
      </w:r>
      <w:r w:rsidR="0044347D" w:rsidRPr="00771F08">
        <w:rPr>
          <w:rFonts w:ascii="Times New Roman" w:hAnsi="Times New Roman" w:cs="Times New Roman"/>
          <w:szCs w:val="20"/>
          <w:lang w:val="en-GB"/>
        </w:rPr>
        <w:t xml:space="preserve">e.g. </w:t>
      </w:r>
      <w:r w:rsidRPr="00771F08">
        <w:rPr>
          <w:rFonts w:ascii="Times New Roman" w:hAnsi="Times New Roman" w:cs="Times New Roman"/>
          <w:szCs w:val="20"/>
          <w:lang w:val="en-GB"/>
        </w:rPr>
        <w:t xml:space="preserve">as argued by </w:t>
      </w:r>
      <w:r w:rsidR="00A87E57" w:rsidRPr="00771F08">
        <w:rPr>
          <w:rFonts w:ascii="Times New Roman" w:hAnsi="Times New Roman" w:cs="Times New Roman"/>
          <w:szCs w:val="20"/>
          <w:lang w:val="en-GB"/>
        </w:rPr>
        <w:t xml:space="preserve">Carvalho and De Oliveira </w:t>
      </w:r>
      <w:proofErr w:type="spellStart"/>
      <w:r w:rsidR="00A87E57" w:rsidRPr="00771F08">
        <w:rPr>
          <w:rFonts w:ascii="Times New Roman" w:hAnsi="Times New Roman" w:cs="Times New Roman"/>
          <w:szCs w:val="20"/>
          <w:lang w:val="en-GB"/>
        </w:rPr>
        <w:t>Mota</w:t>
      </w:r>
      <w:proofErr w:type="spellEnd"/>
      <w:r w:rsidR="00801B4E" w:rsidRPr="00771F08">
        <w:rPr>
          <w:rFonts w:ascii="Times New Roman" w:hAnsi="Times New Roman" w:cs="Times New Roman"/>
          <w:szCs w:val="20"/>
          <w:lang w:val="en-GB"/>
        </w:rPr>
        <w:t xml:space="preserve"> 2010; </w:t>
      </w:r>
      <w:r w:rsidR="00A87E57" w:rsidRPr="00771F08">
        <w:rPr>
          <w:rFonts w:ascii="Times New Roman" w:hAnsi="Times New Roman" w:cs="Times New Roman"/>
          <w:szCs w:val="20"/>
          <w:lang w:val="en-GB"/>
        </w:rPr>
        <w:t>Yousaf et al</w:t>
      </w:r>
      <w:r w:rsidR="006C05DF" w:rsidRPr="00771F08">
        <w:rPr>
          <w:rFonts w:ascii="Times New Roman" w:hAnsi="Times New Roman" w:cs="Times New Roman"/>
          <w:szCs w:val="20"/>
          <w:lang w:val="en-GB"/>
        </w:rPr>
        <w:t xml:space="preserve"> 2018</w:t>
      </w:r>
      <w:r w:rsidR="00C14F54" w:rsidRPr="00771F08">
        <w:rPr>
          <w:rFonts w:ascii="Times New Roman" w:hAnsi="Times New Roman" w:cs="Times New Roman"/>
          <w:szCs w:val="20"/>
          <w:lang w:val="en-GB"/>
        </w:rPr>
        <w:t xml:space="preserve">). </w:t>
      </w:r>
      <w:r w:rsidRPr="00771F08">
        <w:rPr>
          <w:rFonts w:ascii="Times New Roman" w:hAnsi="Times New Roman" w:cs="Times New Roman"/>
          <w:lang w:val="en-GB"/>
        </w:rPr>
        <w:t xml:space="preserve">More recent studies have </w:t>
      </w:r>
      <w:r w:rsidR="00727F74" w:rsidRPr="00771F08">
        <w:rPr>
          <w:rFonts w:ascii="Times New Roman" w:hAnsi="Times New Roman" w:cs="Times New Roman"/>
          <w:lang w:val="en-GB"/>
        </w:rPr>
        <w:t>conceptuali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Pr="00771F08">
        <w:rPr>
          <w:rFonts w:ascii="Times New Roman" w:hAnsi="Times New Roman" w:cs="Times New Roman"/>
          <w:lang w:val="en-GB"/>
        </w:rPr>
        <w:t xml:space="preserve"> the role of trust by identifying some of its possible antecedents (</w:t>
      </w:r>
      <w:r w:rsidR="00EA4961" w:rsidRPr="00771F08">
        <w:rPr>
          <w:rFonts w:ascii="Times New Roman" w:hAnsi="Times New Roman" w:cs="Times New Roman"/>
          <w:lang w:val="en-GB"/>
        </w:rPr>
        <w:t>Dennis et al</w:t>
      </w:r>
      <w:r w:rsidRPr="00771F08">
        <w:rPr>
          <w:rFonts w:ascii="Times New Roman" w:hAnsi="Times New Roman" w:cs="Times New Roman"/>
          <w:lang w:val="en-GB"/>
        </w:rPr>
        <w:t xml:space="preserve"> 2016; Jillapalli and Jillapalli 2014) and outcomes (Carvalho and </w:t>
      </w:r>
      <w:proofErr w:type="spellStart"/>
      <w:r w:rsidRPr="00771F08">
        <w:rPr>
          <w:rFonts w:ascii="Times New Roman" w:hAnsi="Times New Roman" w:cs="Times New Roman"/>
          <w:lang w:val="en-GB"/>
        </w:rPr>
        <w:t>Márcio</w:t>
      </w:r>
      <w:proofErr w:type="spellEnd"/>
      <w:r w:rsidRPr="00771F08">
        <w:rPr>
          <w:rFonts w:ascii="Times New Roman" w:hAnsi="Times New Roman" w:cs="Times New Roman"/>
          <w:lang w:val="en-GB"/>
        </w:rPr>
        <w:t xml:space="preserve"> De Oliveira </w:t>
      </w:r>
      <w:proofErr w:type="spellStart"/>
      <w:r w:rsidRPr="00771F08">
        <w:rPr>
          <w:rFonts w:ascii="Times New Roman" w:hAnsi="Times New Roman" w:cs="Times New Roman"/>
          <w:lang w:val="en-GB"/>
        </w:rPr>
        <w:t>Mota</w:t>
      </w:r>
      <w:proofErr w:type="spellEnd"/>
      <w:r w:rsidRPr="00771F08">
        <w:rPr>
          <w:rFonts w:ascii="Times New Roman" w:hAnsi="Times New Roman" w:cs="Times New Roman"/>
          <w:lang w:val="en-GB"/>
        </w:rPr>
        <w:t xml:space="preserve"> 2010; </w:t>
      </w:r>
      <w:r w:rsidR="00EA4961" w:rsidRPr="00771F08">
        <w:rPr>
          <w:rFonts w:ascii="Times New Roman" w:hAnsi="Times New Roman" w:cs="Times New Roman"/>
          <w:lang w:val="en-GB"/>
        </w:rPr>
        <w:t>Dennis et al</w:t>
      </w:r>
      <w:r w:rsidRPr="00771F08">
        <w:rPr>
          <w:rFonts w:ascii="Times New Roman" w:hAnsi="Times New Roman" w:cs="Times New Roman"/>
          <w:lang w:val="en-GB"/>
        </w:rPr>
        <w:t xml:space="preserve"> 2016; Jillapalli and Jillapalli 2014). Th</w:t>
      </w:r>
      <w:r w:rsidR="00FB172B" w:rsidRPr="00771F08">
        <w:rPr>
          <w:rFonts w:ascii="Times New Roman" w:hAnsi="Times New Roman" w:cs="Times New Roman"/>
          <w:lang w:val="en-GB"/>
        </w:rPr>
        <w:t>e</w:t>
      </w:r>
      <w:r w:rsidRPr="00771F08">
        <w:rPr>
          <w:rFonts w:ascii="Times New Roman" w:hAnsi="Times New Roman" w:cs="Times New Roman"/>
          <w:lang w:val="en-GB"/>
        </w:rPr>
        <w:t xml:space="preserve"> present work aims t</w:t>
      </w:r>
      <w:r w:rsidR="00FB172B" w:rsidRPr="00771F08">
        <w:rPr>
          <w:rFonts w:ascii="Times New Roman" w:hAnsi="Times New Roman" w:cs="Times New Roman"/>
          <w:lang w:val="en-GB"/>
        </w:rPr>
        <w:t>o</w:t>
      </w:r>
      <w:r w:rsidRPr="00771F08">
        <w:rPr>
          <w:rFonts w:ascii="Times New Roman" w:hAnsi="Times New Roman" w:cs="Times New Roman"/>
          <w:lang w:val="en-GB"/>
        </w:rPr>
        <w:t xml:space="preserve"> enhance this stream of research by further investigating and testing trust’s antecedents and outcomes</w:t>
      </w:r>
      <w:r w:rsidR="00632D81" w:rsidRPr="00771F08">
        <w:rPr>
          <w:rFonts w:ascii="Times New Roman" w:hAnsi="Times New Roman" w:cs="Times New Roman"/>
          <w:lang w:val="en-GB"/>
        </w:rPr>
        <w:t>, especially when it comes to donations.</w:t>
      </w:r>
      <w:r w:rsidR="00632D81" w:rsidRPr="00771F08">
        <w:rPr>
          <w:rFonts w:ascii="Times New Roman" w:hAnsi="Times New Roman" w:cs="Times New Roman"/>
          <w:szCs w:val="20"/>
          <w:lang w:val="en-GB"/>
        </w:rPr>
        <w:t xml:space="preserve"> More </w:t>
      </w:r>
      <w:r w:rsidR="00632D81" w:rsidRPr="00771F08">
        <w:rPr>
          <w:rFonts w:ascii="Times New Roman" w:hAnsi="Times New Roman" w:cs="Times New Roman"/>
          <w:szCs w:val="20"/>
          <w:lang w:val="en-GB"/>
        </w:rPr>
        <w:lastRenderedPageBreak/>
        <w:t>s</w:t>
      </w:r>
      <w:r w:rsidR="0072635F" w:rsidRPr="00771F08">
        <w:rPr>
          <w:rFonts w:ascii="Times New Roman" w:hAnsi="Times New Roman" w:cs="Times New Roman"/>
          <w:szCs w:val="20"/>
          <w:lang w:val="en-GB"/>
        </w:rPr>
        <w:t xml:space="preserve">pecifically, the research objectives of the study are twofold: </w:t>
      </w:r>
      <w:r w:rsidR="0044347D" w:rsidRPr="00771F08">
        <w:rPr>
          <w:rFonts w:ascii="Times New Roman" w:hAnsi="Times New Roman" w:cs="Times New Roman"/>
          <w:szCs w:val="20"/>
          <w:lang w:val="en-GB"/>
        </w:rPr>
        <w:t>firstly</w:t>
      </w:r>
      <w:r w:rsidR="00635654" w:rsidRPr="00771F08">
        <w:rPr>
          <w:rFonts w:ascii="Times New Roman" w:hAnsi="Times New Roman" w:cs="Times New Roman"/>
          <w:szCs w:val="20"/>
          <w:lang w:val="en-GB"/>
        </w:rPr>
        <w:t>,</w:t>
      </w:r>
      <w:r w:rsidR="00E76F01" w:rsidRPr="00771F08">
        <w:rPr>
          <w:rFonts w:ascii="Times New Roman" w:hAnsi="Times New Roman" w:cs="Times New Roman"/>
          <w:szCs w:val="20"/>
          <w:lang w:val="en-GB"/>
        </w:rPr>
        <w:t xml:space="preserve"> </w:t>
      </w:r>
      <w:r w:rsidR="0072635F" w:rsidRPr="00771F08">
        <w:rPr>
          <w:rFonts w:ascii="Times New Roman" w:hAnsi="Times New Roman" w:cs="Times New Roman"/>
          <w:szCs w:val="20"/>
          <w:lang w:val="en-GB"/>
        </w:rPr>
        <w:t>to deepen the investigation of the alumni’s trust by identifying and testing a possible antecedent, namely engagement, and three outcomes, which are support, commitment, and attitude toward donations</w:t>
      </w:r>
      <w:r w:rsidR="0044347D" w:rsidRPr="00771F08">
        <w:rPr>
          <w:rFonts w:ascii="Times New Roman" w:hAnsi="Times New Roman" w:cs="Times New Roman"/>
          <w:szCs w:val="20"/>
          <w:lang w:val="en-GB"/>
        </w:rPr>
        <w:t xml:space="preserve">, </w:t>
      </w:r>
      <w:r w:rsidR="00A90F51" w:rsidRPr="00771F08">
        <w:rPr>
          <w:rFonts w:ascii="Times New Roman" w:hAnsi="Times New Roman" w:cs="Times New Roman"/>
          <w:szCs w:val="20"/>
          <w:lang w:val="en-GB"/>
        </w:rPr>
        <w:t>and s</w:t>
      </w:r>
      <w:r w:rsidR="0072635F" w:rsidRPr="00771F08">
        <w:rPr>
          <w:rFonts w:ascii="Times New Roman" w:hAnsi="Times New Roman" w:cs="Times New Roman"/>
          <w:szCs w:val="20"/>
          <w:lang w:val="en-GB"/>
        </w:rPr>
        <w:t>econd</w:t>
      </w:r>
      <w:r w:rsidR="0044347D" w:rsidRPr="00771F08">
        <w:rPr>
          <w:rFonts w:ascii="Times New Roman" w:hAnsi="Times New Roman" w:cs="Times New Roman"/>
          <w:szCs w:val="20"/>
          <w:lang w:val="en-GB"/>
        </w:rPr>
        <w:t>ly</w:t>
      </w:r>
      <w:r w:rsidR="00635654" w:rsidRPr="00771F08">
        <w:rPr>
          <w:rFonts w:ascii="Times New Roman" w:hAnsi="Times New Roman" w:cs="Times New Roman"/>
          <w:szCs w:val="20"/>
          <w:lang w:val="en-GB"/>
        </w:rPr>
        <w:t>,</w:t>
      </w:r>
      <w:r w:rsidR="0072635F" w:rsidRPr="00771F08">
        <w:rPr>
          <w:rFonts w:ascii="Times New Roman" w:hAnsi="Times New Roman" w:cs="Times New Roman"/>
          <w:szCs w:val="20"/>
          <w:lang w:val="en-GB"/>
        </w:rPr>
        <w:t xml:space="preserve"> </w:t>
      </w:r>
      <w:r w:rsidR="00A87E57" w:rsidRPr="00771F08">
        <w:rPr>
          <w:rFonts w:ascii="Times New Roman" w:hAnsi="Times New Roman" w:cs="Times New Roman"/>
          <w:szCs w:val="20"/>
          <w:lang w:val="en-GB"/>
        </w:rPr>
        <w:t xml:space="preserve">to </w:t>
      </w:r>
      <w:r w:rsidR="00727F74" w:rsidRPr="00771F08">
        <w:rPr>
          <w:rFonts w:ascii="Times New Roman" w:hAnsi="Times New Roman" w:cs="Times New Roman"/>
          <w:szCs w:val="20"/>
          <w:lang w:val="en-GB"/>
        </w:rPr>
        <w:t>analy</w:t>
      </w:r>
      <w:r w:rsidR="00771F08" w:rsidRPr="00771F08">
        <w:rPr>
          <w:rFonts w:ascii="Times New Roman" w:hAnsi="Times New Roman" w:cs="Times New Roman"/>
          <w:szCs w:val="20"/>
          <w:lang w:val="en-GB"/>
        </w:rPr>
        <w:t>s</w:t>
      </w:r>
      <w:r w:rsidR="00727F74" w:rsidRPr="00771F08">
        <w:rPr>
          <w:rFonts w:ascii="Times New Roman" w:hAnsi="Times New Roman" w:cs="Times New Roman"/>
          <w:szCs w:val="20"/>
          <w:lang w:val="en-GB"/>
        </w:rPr>
        <w:t>e</w:t>
      </w:r>
      <w:r w:rsidR="0072635F" w:rsidRPr="00771F08">
        <w:rPr>
          <w:rFonts w:ascii="Times New Roman" w:hAnsi="Times New Roman" w:cs="Times New Roman"/>
          <w:szCs w:val="20"/>
          <w:lang w:val="en-GB"/>
        </w:rPr>
        <w:t xml:space="preserve"> the possible relationships between commitment and support and attitude toward donations. </w:t>
      </w:r>
      <w:r w:rsidR="0044347D" w:rsidRPr="00771F08">
        <w:rPr>
          <w:rFonts w:ascii="Times New Roman" w:hAnsi="Times New Roman" w:cs="Times New Roman"/>
          <w:szCs w:val="20"/>
          <w:lang w:val="en-GB"/>
        </w:rPr>
        <w:t>By addressing these two objectives, t</w:t>
      </w:r>
      <w:r w:rsidR="00E76F01" w:rsidRPr="00771F08">
        <w:rPr>
          <w:rFonts w:ascii="Times New Roman" w:hAnsi="Times New Roman" w:cs="Times New Roman"/>
          <w:szCs w:val="20"/>
          <w:lang w:val="en-GB"/>
        </w:rPr>
        <w:t>h</w:t>
      </w:r>
      <w:r w:rsidR="0044347D" w:rsidRPr="00771F08">
        <w:rPr>
          <w:rFonts w:ascii="Times New Roman" w:hAnsi="Times New Roman" w:cs="Times New Roman"/>
          <w:szCs w:val="20"/>
          <w:lang w:val="en-GB"/>
        </w:rPr>
        <w:t>is</w:t>
      </w:r>
      <w:r w:rsidR="006A5447" w:rsidRPr="00771F08">
        <w:rPr>
          <w:rFonts w:ascii="Times New Roman" w:hAnsi="Times New Roman" w:cs="Times New Roman"/>
          <w:szCs w:val="20"/>
          <w:lang w:val="en-GB"/>
        </w:rPr>
        <w:t xml:space="preserve"> </w:t>
      </w:r>
      <w:r w:rsidR="0044347D" w:rsidRPr="00771F08">
        <w:rPr>
          <w:rFonts w:ascii="Times New Roman" w:hAnsi="Times New Roman" w:cs="Times New Roman"/>
          <w:szCs w:val="20"/>
          <w:lang w:val="en-GB"/>
        </w:rPr>
        <w:t xml:space="preserve">paper </w:t>
      </w:r>
      <w:r w:rsidR="00F42D7E" w:rsidRPr="00771F08">
        <w:rPr>
          <w:rFonts w:ascii="Times New Roman" w:hAnsi="Times New Roman" w:cs="Times New Roman"/>
          <w:szCs w:val="20"/>
          <w:lang w:val="en-GB"/>
        </w:rPr>
        <w:t xml:space="preserve">seeks to </w:t>
      </w:r>
      <w:r w:rsidR="00B61D14">
        <w:rPr>
          <w:rFonts w:ascii="Times New Roman" w:hAnsi="Times New Roman" w:cs="Times New Roman"/>
          <w:szCs w:val="20"/>
          <w:lang w:val="en-GB"/>
        </w:rPr>
        <w:t>make</w:t>
      </w:r>
      <w:r w:rsidR="00B61D14" w:rsidRPr="00771F08">
        <w:rPr>
          <w:rFonts w:ascii="Times New Roman" w:hAnsi="Times New Roman" w:cs="Times New Roman"/>
          <w:szCs w:val="20"/>
          <w:lang w:val="en-GB"/>
        </w:rPr>
        <w:t xml:space="preserve"> </w:t>
      </w:r>
      <w:r w:rsidR="00F42D7E" w:rsidRPr="00771F08">
        <w:rPr>
          <w:rFonts w:ascii="Times New Roman" w:hAnsi="Times New Roman" w:cs="Times New Roman"/>
          <w:szCs w:val="20"/>
          <w:lang w:val="en-GB"/>
        </w:rPr>
        <w:t xml:space="preserve">important contributions to the existing HE literature </w:t>
      </w:r>
      <w:r w:rsidR="0044347D" w:rsidRPr="00771F08">
        <w:rPr>
          <w:rFonts w:ascii="Times New Roman" w:hAnsi="Times New Roman" w:cs="Times New Roman"/>
          <w:szCs w:val="20"/>
          <w:lang w:val="en-GB"/>
        </w:rPr>
        <w:t xml:space="preserve">with regards to the underlying factors that encourage donations, which in turn </w:t>
      </w:r>
      <w:r w:rsidR="00B61D14">
        <w:rPr>
          <w:rFonts w:ascii="Times New Roman" w:hAnsi="Times New Roman" w:cs="Times New Roman"/>
          <w:szCs w:val="20"/>
          <w:lang w:val="en-GB"/>
        </w:rPr>
        <w:t>could</w:t>
      </w:r>
      <w:r w:rsidR="00B61D14" w:rsidRPr="00771F08">
        <w:rPr>
          <w:rFonts w:ascii="Times New Roman" w:hAnsi="Times New Roman" w:cs="Times New Roman"/>
          <w:szCs w:val="20"/>
          <w:lang w:val="en-GB"/>
        </w:rPr>
        <w:t xml:space="preserve"> </w:t>
      </w:r>
      <w:r w:rsidR="0044347D" w:rsidRPr="00771F08">
        <w:rPr>
          <w:rFonts w:ascii="Times New Roman" w:hAnsi="Times New Roman" w:cs="Times New Roman"/>
          <w:szCs w:val="20"/>
          <w:lang w:val="en-GB"/>
        </w:rPr>
        <w:t>have significant implications</w:t>
      </w:r>
      <w:r w:rsidR="00006B9E" w:rsidRPr="00771F08">
        <w:rPr>
          <w:rFonts w:ascii="Times New Roman" w:hAnsi="Times New Roman" w:cs="Times New Roman"/>
          <w:szCs w:val="20"/>
          <w:lang w:val="en-GB"/>
        </w:rPr>
        <w:t xml:space="preserve"> for practice</w:t>
      </w:r>
      <w:r w:rsidR="00F42D7E" w:rsidRPr="00771F08">
        <w:rPr>
          <w:rFonts w:ascii="Times New Roman" w:hAnsi="Times New Roman" w:cs="Times New Roman"/>
          <w:szCs w:val="20"/>
          <w:lang w:val="en-GB"/>
        </w:rPr>
        <w:t xml:space="preserve">. </w:t>
      </w:r>
      <w:r w:rsidR="0044347D" w:rsidRPr="00771F08">
        <w:rPr>
          <w:rFonts w:ascii="Times New Roman" w:hAnsi="Times New Roman" w:cs="Times New Roman"/>
          <w:szCs w:val="20"/>
          <w:lang w:val="en-GB"/>
        </w:rPr>
        <w:t>To this end, s</w:t>
      </w:r>
      <w:r w:rsidR="00374FC9" w:rsidRPr="00771F08">
        <w:rPr>
          <w:rFonts w:ascii="Times New Roman" w:hAnsi="Times New Roman" w:cs="Times New Roman"/>
          <w:szCs w:val="20"/>
          <w:lang w:val="en-GB"/>
        </w:rPr>
        <w:t>ix</w:t>
      </w:r>
      <w:r w:rsidR="0072635F" w:rsidRPr="00771F08">
        <w:rPr>
          <w:rFonts w:ascii="Times New Roman" w:hAnsi="Times New Roman" w:cs="Times New Roman"/>
          <w:szCs w:val="20"/>
          <w:lang w:val="en-GB"/>
        </w:rPr>
        <w:t xml:space="preserve"> hypotheses have been developed and tested through a structural equation model</w:t>
      </w:r>
      <w:r w:rsidR="00006B9E" w:rsidRPr="00771F08">
        <w:rPr>
          <w:rFonts w:ascii="Times New Roman" w:hAnsi="Times New Roman" w:cs="Times New Roman"/>
          <w:szCs w:val="20"/>
          <w:lang w:val="en-GB"/>
        </w:rPr>
        <w:t>,</w:t>
      </w:r>
      <w:r w:rsidR="0072635F" w:rsidRPr="00771F08">
        <w:rPr>
          <w:rFonts w:ascii="Times New Roman" w:hAnsi="Times New Roman" w:cs="Times New Roman"/>
          <w:szCs w:val="20"/>
          <w:lang w:val="en-GB"/>
        </w:rPr>
        <w:t xml:space="preserve"> </w:t>
      </w:r>
      <w:r w:rsidR="00632D81" w:rsidRPr="00771F08">
        <w:rPr>
          <w:rFonts w:ascii="Times New Roman" w:hAnsi="Times New Roman" w:cs="Times New Roman"/>
          <w:szCs w:val="20"/>
          <w:lang w:val="en-GB"/>
        </w:rPr>
        <w:t>with data coming from two countries</w:t>
      </w:r>
      <w:r w:rsidR="0072635F" w:rsidRPr="00771F08">
        <w:rPr>
          <w:rFonts w:ascii="Times New Roman" w:hAnsi="Times New Roman" w:cs="Times New Roman"/>
          <w:szCs w:val="20"/>
          <w:lang w:val="en-GB"/>
        </w:rPr>
        <w:t xml:space="preserve">. </w:t>
      </w:r>
      <w:r w:rsidR="0044347D" w:rsidRPr="00771F08">
        <w:rPr>
          <w:rFonts w:ascii="Times New Roman" w:hAnsi="Times New Roman" w:cs="Times New Roman"/>
          <w:szCs w:val="20"/>
          <w:lang w:val="en-GB"/>
        </w:rPr>
        <w:t>The</w:t>
      </w:r>
      <w:r w:rsidR="0072635F" w:rsidRPr="00771F08">
        <w:rPr>
          <w:rFonts w:ascii="Times New Roman" w:hAnsi="Times New Roman" w:cs="Times New Roman"/>
          <w:szCs w:val="20"/>
          <w:lang w:val="en-GB"/>
        </w:rPr>
        <w:t xml:space="preserve"> USA</w:t>
      </w:r>
      <w:r w:rsidR="0044347D" w:rsidRPr="00771F08">
        <w:rPr>
          <w:rFonts w:ascii="Times New Roman" w:hAnsi="Times New Roman" w:cs="Times New Roman"/>
          <w:szCs w:val="20"/>
          <w:lang w:val="en-GB"/>
        </w:rPr>
        <w:t xml:space="preserve"> has been selected because alumni donations are</w:t>
      </w:r>
      <w:r w:rsidR="0072635F" w:rsidRPr="00771F08">
        <w:rPr>
          <w:rFonts w:ascii="Times New Roman" w:hAnsi="Times New Roman" w:cs="Times New Roman"/>
          <w:szCs w:val="20"/>
          <w:lang w:val="en-GB"/>
        </w:rPr>
        <w:t xml:space="preserve"> widespread within a more market-oriented HE system</w:t>
      </w:r>
      <w:r w:rsidR="00632D81" w:rsidRPr="00771F08">
        <w:rPr>
          <w:rFonts w:ascii="Times New Roman" w:hAnsi="Times New Roman" w:cs="Times New Roman"/>
          <w:szCs w:val="20"/>
          <w:lang w:val="en-GB"/>
        </w:rPr>
        <w:t>. Hence, it acts a relative backdrop on which to establish a comparison.</w:t>
      </w:r>
      <w:r w:rsidR="0044347D" w:rsidRPr="00771F08">
        <w:rPr>
          <w:rFonts w:ascii="Times New Roman" w:hAnsi="Times New Roman" w:cs="Times New Roman"/>
          <w:szCs w:val="20"/>
          <w:lang w:val="en-GB"/>
        </w:rPr>
        <w:t xml:space="preserve"> On the other </w:t>
      </w:r>
      <w:r w:rsidR="00205F00" w:rsidRPr="00771F08">
        <w:rPr>
          <w:rFonts w:ascii="Times New Roman" w:hAnsi="Times New Roman" w:cs="Times New Roman"/>
          <w:szCs w:val="20"/>
          <w:lang w:val="en-GB"/>
        </w:rPr>
        <w:t>hand,</w:t>
      </w:r>
      <w:r w:rsidR="0044347D" w:rsidRPr="00771F08">
        <w:rPr>
          <w:rFonts w:ascii="Times New Roman" w:hAnsi="Times New Roman" w:cs="Times New Roman"/>
          <w:szCs w:val="20"/>
          <w:lang w:val="en-GB"/>
        </w:rPr>
        <w:t xml:space="preserve"> </w:t>
      </w:r>
      <w:r w:rsidR="0072635F" w:rsidRPr="00771F08">
        <w:rPr>
          <w:rFonts w:ascii="Times New Roman" w:hAnsi="Times New Roman" w:cs="Times New Roman"/>
          <w:szCs w:val="20"/>
          <w:lang w:val="en-GB"/>
        </w:rPr>
        <w:t>even though donations to universities exist</w:t>
      </w:r>
      <w:r w:rsidR="0044347D" w:rsidRPr="00771F08">
        <w:rPr>
          <w:rFonts w:ascii="Times New Roman" w:hAnsi="Times New Roman" w:cs="Times New Roman"/>
          <w:szCs w:val="20"/>
          <w:lang w:val="en-GB"/>
        </w:rPr>
        <w:t xml:space="preserve"> in Italy too</w:t>
      </w:r>
      <w:r w:rsidR="0072635F" w:rsidRPr="00771F08">
        <w:rPr>
          <w:rFonts w:ascii="Times New Roman" w:hAnsi="Times New Roman" w:cs="Times New Roman"/>
          <w:szCs w:val="20"/>
          <w:lang w:val="en-GB"/>
        </w:rPr>
        <w:t>, such a practice is not widespread and HE</w:t>
      </w:r>
      <w:r w:rsidR="00A90F51" w:rsidRPr="00771F08">
        <w:rPr>
          <w:rFonts w:ascii="Times New Roman" w:hAnsi="Times New Roman" w:cs="Times New Roman"/>
          <w:szCs w:val="20"/>
          <w:lang w:val="en-GB"/>
        </w:rPr>
        <w:t>Is</w:t>
      </w:r>
      <w:r w:rsidR="0072635F" w:rsidRPr="00771F08">
        <w:rPr>
          <w:rFonts w:ascii="Times New Roman" w:hAnsi="Times New Roman" w:cs="Times New Roman"/>
          <w:szCs w:val="20"/>
          <w:lang w:val="en-GB"/>
        </w:rPr>
        <w:t xml:space="preserve"> are primari</w:t>
      </w:r>
      <w:r w:rsidR="00A87E57" w:rsidRPr="00771F08">
        <w:rPr>
          <w:rFonts w:ascii="Times New Roman" w:hAnsi="Times New Roman" w:cs="Times New Roman"/>
          <w:szCs w:val="20"/>
          <w:lang w:val="en-GB"/>
        </w:rPr>
        <w:t>ly funded by the state (Baruch and Sang</w:t>
      </w:r>
      <w:r w:rsidR="0072635F" w:rsidRPr="00771F08">
        <w:rPr>
          <w:rFonts w:ascii="Times New Roman" w:hAnsi="Times New Roman" w:cs="Times New Roman"/>
          <w:szCs w:val="20"/>
          <w:lang w:val="en-GB"/>
        </w:rPr>
        <w:t xml:space="preserve"> 2012; Su</w:t>
      </w:r>
      <w:r w:rsidR="00A87E57" w:rsidRPr="00771F08">
        <w:rPr>
          <w:rFonts w:ascii="Times New Roman" w:hAnsi="Times New Roman" w:cs="Times New Roman"/>
          <w:szCs w:val="20"/>
          <w:lang w:val="en-GB"/>
        </w:rPr>
        <w:t>ng and Yang</w:t>
      </w:r>
      <w:r w:rsidR="0072635F" w:rsidRPr="00771F08">
        <w:rPr>
          <w:rFonts w:ascii="Times New Roman" w:hAnsi="Times New Roman" w:cs="Times New Roman"/>
          <w:szCs w:val="20"/>
          <w:lang w:val="en-GB"/>
        </w:rPr>
        <w:t xml:space="preserve"> 2009). </w:t>
      </w:r>
    </w:p>
    <w:p w14:paraId="62D7FC8E" w14:textId="0371BFCF" w:rsidR="00984954" w:rsidRPr="00771F08" w:rsidRDefault="0072635F" w:rsidP="00237956">
      <w:pPr>
        <w:spacing w:after="0" w:line="240" w:lineRule="auto"/>
        <w:ind w:left="567" w:right="1133"/>
        <w:rPr>
          <w:rFonts w:ascii="Times New Roman" w:hAnsi="Times New Roman" w:cs="Times New Roman"/>
          <w:szCs w:val="20"/>
          <w:lang w:val="en-GB"/>
        </w:rPr>
      </w:pPr>
      <w:r w:rsidRPr="00771F08">
        <w:rPr>
          <w:rFonts w:ascii="Times New Roman" w:hAnsi="Times New Roman" w:cs="Times New Roman"/>
          <w:szCs w:val="20"/>
          <w:lang w:val="en-GB"/>
        </w:rPr>
        <w:t xml:space="preserve">The remainder of the article is structured as follows: </w:t>
      </w:r>
      <w:r w:rsidR="0056471B" w:rsidRPr="00771F08">
        <w:rPr>
          <w:rFonts w:ascii="Times New Roman" w:hAnsi="Times New Roman" w:cs="Times New Roman"/>
          <w:szCs w:val="20"/>
          <w:lang w:val="en-GB"/>
        </w:rPr>
        <w:t>The next section</w:t>
      </w:r>
      <w:r w:rsidRPr="00771F08">
        <w:rPr>
          <w:rFonts w:ascii="Times New Roman" w:hAnsi="Times New Roman" w:cs="Times New Roman"/>
          <w:szCs w:val="20"/>
          <w:lang w:val="en-GB"/>
        </w:rPr>
        <w:t xml:space="preserve"> presents the hypothes</w:t>
      </w:r>
      <w:r w:rsidR="00A90F51" w:rsidRPr="00771F08">
        <w:rPr>
          <w:rFonts w:ascii="Times New Roman" w:hAnsi="Times New Roman" w:cs="Times New Roman"/>
          <w:szCs w:val="20"/>
          <w:lang w:val="en-GB"/>
        </w:rPr>
        <w:t>i</w:t>
      </w:r>
      <w:r w:rsidRPr="00771F08">
        <w:rPr>
          <w:rFonts w:ascii="Times New Roman" w:hAnsi="Times New Roman" w:cs="Times New Roman"/>
          <w:szCs w:val="20"/>
          <w:lang w:val="en-GB"/>
        </w:rPr>
        <w:t xml:space="preserve">s development </w:t>
      </w:r>
      <w:r w:rsidR="00E562C4" w:rsidRPr="00771F08">
        <w:rPr>
          <w:rFonts w:ascii="Times New Roman" w:hAnsi="Times New Roman" w:cs="Times New Roman"/>
          <w:szCs w:val="20"/>
          <w:lang w:val="en-GB"/>
        </w:rPr>
        <w:t>by discussing the</w:t>
      </w:r>
      <w:r w:rsidRPr="00771F08">
        <w:rPr>
          <w:rFonts w:ascii="Times New Roman" w:hAnsi="Times New Roman" w:cs="Times New Roman"/>
          <w:szCs w:val="20"/>
          <w:lang w:val="en-GB"/>
        </w:rPr>
        <w:t xml:space="preserve"> relevant literature. </w:t>
      </w:r>
      <w:r w:rsidR="0056471B" w:rsidRPr="00771F08">
        <w:rPr>
          <w:rFonts w:ascii="Times New Roman" w:hAnsi="Times New Roman" w:cs="Times New Roman"/>
          <w:szCs w:val="20"/>
          <w:lang w:val="en-GB"/>
        </w:rPr>
        <w:t xml:space="preserve">This is followed by </w:t>
      </w:r>
      <w:r w:rsidR="00FB172B" w:rsidRPr="00771F08">
        <w:rPr>
          <w:rFonts w:ascii="Times New Roman" w:hAnsi="Times New Roman" w:cs="Times New Roman"/>
          <w:szCs w:val="20"/>
          <w:lang w:val="en-GB"/>
        </w:rPr>
        <w:t xml:space="preserve">the </w:t>
      </w:r>
      <w:r w:rsidRPr="00771F08">
        <w:rPr>
          <w:rFonts w:ascii="Times New Roman" w:hAnsi="Times New Roman" w:cs="Times New Roman"/>
          <w:szCs w:val="20"/>
          <w:lang w:val="en-GB"/>
        </w:rPr>
        <w:t>methodology</w:t>
      </w:r>
      <w:r w:rsidR="00C17124" w:rsidRPr="00771F08">
        <w:rPr>
          <w:rFonts w:ascii="Times New Roman" w:hAnsi="Times New Roman" w:cs="Times New Roman"/>
          <w:szCs w:val="20"/>
          <w:lang w:val="en-GB"/>
        </w:rPr>
        <w:t xml:space="preserve"> </w:t>
      </w:r>
      <w:r w:rsidR="0056471B" w:rsidRPr="00771F08">
        <w:rPr>
          <w:rFonts w:ascii="Times New Roman" w:hAnsi="Times New Roman" w:cs="Times New Roman"/>
          <w:szCs w:val="20"/>
          <w:lang w:val="en-GB"/>
        </w:rPr>
        <w:t xml:space="preserve">and </w:t>
      </w:r>
      <w:r w:rsidRPr="00771F08">
        <w:rPr>
          <w:rFonts w:ascii="Times New Roman" w:hAnsi="Times New Roman" w:cs="Times New Roman"/>
          <w:szCs w:val="20"/>
          <w:lang w:val="en-GB"/>
        </w:rPr>
        <w:t xml:space="preserve">results. Finally, </w:t>
      </w:r>
      <w:r w:rsidR="0056471B" w:rsidRPr="00771F08">
        <w:rPr>
          <w:rFonts w:ascii="Times New Roman" w:hAnsi="Times New Roman" w:cs="Times New Roman"/>
          <w:szCs w:val="20"/>
          <w:lang w:val="en-GB"/>
        </w:rPr>
        <w:t>the last two s</w:t>
      </w:r>
      <w:r w:rsidRPr="00771F08">
        <w:rPr>
          <w:rFonts w:ascii="Times New Roman" w:hAnsi="Times New Roman" w:cs="Times New Roman"/>
          <w:szCs w:val="20"/>
          <w:lang w:val="en-GB"/>
        </w:rPr>
        <w:t xml:space="preserve">ections </w:t>
      </w:r>
      <w:r w:rsidR="0056471B" w:rsidRPr="00771F08">
        <w:rPr>
          <w:rFonts w:ascii="Times New Roman" w:hAnsi="Times New Roman" w:cs="Times New Roman"/>
          <w:szCs w:val="20"/>
          <w:lang w:val="en-GB"/>
        </w:rPr>
        <w:t xml:space="preserve">discuss the findings, </w:t>
      </w:r>
      <w:r w:rsidR="00FB172B" w:rsidRPr="00771F08">
        <w:rPr>
          <w:rFonts w:ascii="Times New Roman" w:hAnsi="Times New Roman" w:cs="Times New Roman"/>
          <w:szCs w:val="20"/>
          <w:lang w:val="en-GB"/>
        </w:rPr>
        <w:t xml:space="preserve">the </w:t>
      </w:r>
      <w:r w:rsidRPr="00771F08">
        <w:rPr>
          <w:rFonts w:ascii="Times New Roman" w:hAnsi="Times New Roman" w:cs="Times New Roman"/>
          <w:szCs w:val="20"/>
          <w:lang w:val="en-GB"/>
        </w:rPr>
        <w:t>theoretic</w:t>
      </w:r>
      <w:r w:rsidR="007F0F4F" w:rsidRPr="00771F08">
        <w:rPr>
          <w:rFonts w:ascii="Times New Roman" w:hAnsi="Times New Roman" w:cs="Times New Roman"/>
          <w:szCs w:val="20"/>
          <w:lang w:val="en-GB"/>
        </w:rPr>
        <w:t>al and managerial implications,</w:t>
      </w:r>
      <w:r w:rsidRPr="00771F08">
        <w:rPr>
          <w:rFonts w:ascii="Times New Roman" w:hAnsi="Times New Roman" w:cs="Times New Roman"/>
          <w:szCs w:val="20"/>
          <w:lang w:val="en-GB"/>
        </w:rPr>
        <w:t xml:space="preserve"> the limit</w:t>
      </w:r>
      <w:r w:rsidR="00E562C4" w:rsidRPr="00771F08">
        <w:rPr>
          <w:rFonts w:ascii="Times New Roman" w:hAnsi="Times New Roman" w:cs="Times New Roman"/>
          <w:szCs w:val="20"/>
          <w:lang w:val="en-GB"/>
        </w:rPr>
        <w:t>ations</w:t>
      </w:r>
      <w:r w:rsidR="009B36B4" w:rsidRPr="00771F08">
        <w:rPr>
          <w:rFonts w:ascii="Times New Roman" w:hAnsi="Times New Roman" w:cs="Times New Roman"/>
          <w:szCs w:val="20"/>
          <w:lang w:val="en-GB"/>
        </w:rPr>
        <w:t xml:space="preserve"> of the</w:t>
      </w:r>
      <w:r w:rsidRPr="00771F08">
        <w:rPr>
          <w:rFonts w:ascii="Times New Roman" w:hAnsi="Times New Roman" w:cs="Times New Roman"/>
          <w:szCs w:val="20"/>
          <w:lang w:val="en-GB"/>
        </w:rPr>
        <w:t xml:space="preserve"> work and </w:t>
      </w:r>
      <w:r w:rsidR="00E562C4" w:rsidRPr="00771F08">
        <w:rPr>
          <w:rFonts w:ascii="Times New Roman" w:hAnsi="Times New Roman" w:cs="Times New Roman"/>
          <w:szCs w:val="20"/>
          <w:lang w:val="en-GB"/>
        </w:rPr>
        <w:t xml:space="preserve">the </w:t>
      </w:r>
      <w:r w:rsidRPr="00771F08">
        <w:rPr>
          <w:rFonts w:ascii="Times New Roman" w:hAnsi="Times New Roman" w:cs="Times New Roman"/>
          <w:szCs w:val="20"/>
          <w:lang w:val="en-GB"/>
        </w:rPr>
        <w:t>potential directions for future research.</w:t>
      </w:r>
    </w:p>
    <w:p w14:paraId="1B2911DF" w14:textId="77777777" w:rsidR="008B404D" w:rsidRPr="00771F08" w:rsidRDefault="008B404D" w:rsidP="00237956">
      <w:pPr>
        <w:spacing w:after="0" w:line="240" w:lineRule="auto"/>
        <w:ind w:left="567" w:right="1133"/>
        <w:rPr>
          <w:rFonts w:ascii="Times New Roman" w:hAnsi="Times New Roman" w:cs="Times New Roman"/>
          <w:szCs w:val="20"/>
          <w:lang w:val="en-GB"/>
        </w:rPr>
      </w:pPr>
    </w:p>
    <w:p w14:paraId="5CEEAF3F" w14:textId="725B6B9E" w:rsidR="005F7D3C" w:rsidRPr="00771F08" w:rsidRDefault="005F7D3C" w:rsidP="00237956">
      <w:pPr>
        <w:pStyle w:val="ListParagraph"/>
        <w:numPr>
          <w:ilvl w:val="0"/>
          <w:numId w:val="3"/>
        </w:numPr>
        <w:spacing w:after="0" w:line="240" w:lineRule="auto"/>
        <w:ind w:right="1133"/>
        <w:rPr>
          <w:rFonts w:ascii="Times New Roman" w:hAnsi="Times New Roman" w:cs="Times New Roman"/>
          <w:b/>
          <w:lang w:val="en-GB"/>
        </w:rPr>
      </w:pPr>
      <w:r w:rsidRPr="00771F08">
        <w:rPr>
          <w:rFonts w:ascii="Times New Roman" w:hAnsi="Times New Roman" w:cs="Times New Roman"/>
          <w:b/>
          <w:lang w:val="en-GB"/>
        </w:rPr>
        <w:t>Background and hypothesis development</w:t>
      </w:r>
    </w:p>
    <w:p w14:paraId="0A4FD377" w14:textId="5D7C0856" w:rsidR="005F7D3C" w:rsidRPr="00771F08" w:rsidRDefault="00632D81" w:rsidP="00237956">
      <w:pPr>
        <w:pStyle w:val="ListParagraph"/>
        <w:numPr>
          <w:ilvl w:val="1"/>
          <w:numId w:val="4"/>
        </w:numPr>
        <w:spacing w:after="0" w:line="240" w:lineRule="auto"/>
        <w:ind w:left="993" w:right="1133" w:hanging="426"/>
        <w:jc w:val="both"/>
        <w:rPr>
          <w:rFonts w:ascii="Times New Roman" w:hAnsi="Times New Roman" w:cs="Times New Roman"/>
          <w:b/>
          <w:i/>
          <w:lang w:val="en-GB"/>
        </w:rPr>
      </w:pPr>
      <w:r w:rsidRPr="00771F08">
        <w:rPr>
          <w:rFonts w:ascii="Times New Roman" w:hAnsi="Times New Roman" w:cs="Times New Roman"/>
          <w:b/>
          <w:i/>
          <w:lang w:val="en-GB"/>
        </w:rPr>
        <w:t xml:space="preserve">Engagement and </w:t>
      </w:r>
      <w:r w:rsidR="00E57340" w:rsidRPr="00771F08">
        <w:rPr>
          <w:rFonts w:ascii="Times New Roman" w:hAnsi="Times New Roman" w:cs="Times New Roman"/>
          <w:b/>
          <w:i/>
          <w:lang w:val="en-GB"/>
        </w:rPr>
        <w:t>Trust in the HE context</w:t>
      </w:r>
      <w:r w:rsidRPr="00771F08">
        <w:rPr>
          <w:rFonts w:ascii="Times New Roman" w:hAnsi="Times New Roman" w:cs="Times New Roman"/>
          <w:b/>
          <w:i/>
          <w:lang w:val="en-GB"/>
        </w:rPr>
        <w:t xml:space="preserve"> </w:t>
      </w:r>
    </w:p>
    <w:p w14:paraId="7CF4B406" w14:textId="78ABB611" w:rsidR="008F6969" w:rsidRPr="00771F08" w:rsidRDefault="00632D81"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 xml:space="preserve">Engagement has been </w:t>
      </w:r>
      <w:r w:rsidR="00727F74" w:rsidRPr="00771F08">
        <w:rPr>
          <w:rFonts w:ascii="Times New Roman" w:hAnsi="Times New Roman" w:cs="Times New Roman"/>
          <w:lang w:val="en-GB"/>
        </w:rPr>
        <w:t>analy</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Pr="00771F08">
        <w:rPr>
          <w:rFonts w:ascii="Times New Roman" w:hAnsi="Times New Roman" w:cs="Times New Roman"/>
          <w:lang w:val="en-GB"/>
        </w:rPr>
        <w:t xml:space="preserve"> within multiple disciplines, such as marketing, sociology, political science, and educat</w:t>
      </w:r>
      <w:r w:rsidR="007D26D7" w:rsidRPr="00771F08">
        <w:rPr>
          <w:rFonts w:ascii="Times New Roman" w:hAnsi="Times New Roman" w:cs="Times New Roman"/>
          <w:lang w:val="en-GB"/>
        </w:rPr>
        <w:t>ional psychology (Brodie et al.</w:t>
      </w:r>
      <w:r w:rsidRPr="00771F08">
        <w:rPr>
          <w:rFonts w:ascii="Times New Roman" w:hAnsi="Times New Roman" w:cs="Times New Roman"/>
          <w:lang w:val="en-GB"/>
        </w:rPr>
        <w:t xml:space="preserve"> 2011). By specifically focusing on the HE context, different studies have investigated the influence of students’ engagement on their </w:t>
      </w:r>
      <w:r w:rsidR="00175ACB" w:rsidRPr="00771F08">
        <w:rPr>
          <w:rFonts w:ascii="Times New Roman" w:hAnsi="Times New Roman" w:cs="Times New Roman"/>
          <w:lang w:val="en-GB"/>
        </w:rPr>
        <w:t>behaviour</w:t>
      </w:r>
      <w:r w:rsidRPr="00771F08">
        <w:rPr>
          <w:rFonts w:ascii="Times New Roman" w:hAnsi="Times New Roman" w:cs="Times New Roman"/>
          <w:lang w:val="en-GB"/>
        </w:rPr>
        <w:t xml:space="preserve"> and attitude towards universities</w:t>
      </w:r>
      <w:r w:rsidR="00006B9E" w:rsidRPr="00771F08">
        <w:rPr>
          <w:rFonts w:ascii="Times New Roman" w:hAnsi="Times New Roman" w:cs="Times New Roman"/>
          <w:lang w:val="en-GB"/>
        </w:rPr>
        <w:t>,</w:t>
      </w:r>
      <w:r w:rsidRPr="00771F08">
        <w:rPr>
          <w:rFonts w:ascii="Times New Roman" w:hAnsi="Times New Roman" w:cs="Times New Roman"/>
          <w:lang w:val="en-GB"/>
        </w:rPr>
        <w:t xml:space="preserve"> </w:t>
      </w:r>
      <w:r w:rsidR="00960FD6" w:rsidRPr="00771F08">
        <w:rPr>
          <w:rFonts w:ascii="Times New Roman" w:hAnsi="Times New Roman" w:cs="Times New Roman"/>
          <w:lang w:val="en-GB"/>
        </w:rPr>
        <w:t xml:space="preserve">both during their studies (Baruch and Sang 2012; </w:t>
      </w:r>
      <w:proofErr w:type="spellStart"/>
      <w:r w:rsidR="00960FD6" w:rsidRPr="00771F08">
        <w:rPr>
          <w:rFonts w:ascii="Times New Roman" w:hAnsi="Times New Roman" w:cs="Times New Roman"/>
          <w:lang w:val="en-GB"/>
        </w:rPr>
        <w:t>Koranteng</w:t>
      </w:r>
      <w:proofErr w:type="spellEnd"/>
      <w:r w:rsidR="00960FD6" w:rsidRPr="00771F08">
        <w:rPr>
          <w:rFonts w:ascii="Times New Roman" w:hAnsi="Times New Roman" w:cs="Times New Roman"/>
          <w:lang w:val="en-GB"/>
        </w:rPr>
        <w:t xml:space="preserve"> et al., 2019; Sung and Yang 2009; </w:t>
      </w:r>
      <w:proofErr w:type="spellStart"/>
      <w:r w:rsidR="00960FD6" w:rsidRPr="00771F08">
        <w:rPr>
          <w:rFonts w:ascii="Times New Roman" w:hAnsi="Times New Roman" w:cs="Times New Roman"/>
          <w:lang w:val="en-GB"/>
        </w:rPr>
        <w:t>Weerts</w:t>
      </w:r>
      <w:proofErr w:type="spellEnd"/>
      <w:r w:rsidR="00960FD6" w:rsidRPr="00771F08">
        <w:rPr>
          <w:rFonts w:ascii="Times New Roman" w:hAnsi="Times New Roman" w:cs="Times New Roman"/>
          <w:lang w:val="en-GB"/>
        </w:rPr>
        <w:t xml:space="preserve"> and </w:t>
      </w:r>
      <w:proofErr w:type="spellStart"/>
      <w:r w:rsidR="00960FD6" w:rsidRPr="00771F08">
        <w:rPr>
          <w:rFonts w:ascii="Times New Roman" w:hAnsi="Times New Roman" w:cs="Times New Roman"/>
          <w:lang w:val="en-GB"/>
        </w:rPr>
        <w:t>Ronca</w:t>
      </w:r>
      <w:proofErr w:type="spellEnd"/>
      <w:r w:rsidR="00960FD6" w:rsidRPr="00771F08">
        <w:rPr>
          <w:rFonts w:ascii="Times New Roman" w:hAnsi="Times New Roman" w:cs="Times New Roman"/>
          <w:lang w:val="en-GB"/>
        </w:rPr>
        <w:t xml:space="preserve"> 2008</w:t>
      </w:r>
      <w:r w:rsidR="00FE4714" w:rsidRPr="00771F08">
        <w:rPr>
          <w:rFonts w:ascii="Times New Roman" w:hAnsi="Times New Roman" w:cs="Times New Roman"/>
          <w:lang w:val="en-GB"/>
        </w:rPr>
        <w:t xml:space="preserve">; </w:t>
      </w:r>
      <w:proofErr w:type="spellStart"/>
      <w:r w:rsidR="00FE4714" w:rsidRPr="00771F08">
        <w:rPr>
          <w:rFonts w:ascii="Times New Roman" w:hAnsi="Times New Roman" w:cs="Times New Roman"/>
          <w:lang w:val="en-GB"/>
        </w:rPr>
        <w:t>Snijders</w:t>
      </w:r>
      <w:proofErr w:type="spellEnd"/>
      <w:r w:rsidR="00FE4714" w:rsidRPr="00771F08">
        <w:rPr>
          <w:rFonts w:ascii="Times New Roman" w:hAnsi="Times New Roman" w:cs="Times New Roman"/>
          <w:lang w:val="en-GB"/>
        </w:rPr>
        <w:t xml:space="preserve"> et al., 2020</w:t>
      </w:r>
      <w:r w:rsidR="00960FD6" w:rsidRPr="00771F08">
        <w:rPr>
          <w:rFonts w:ascii="Times New Roman" w:hAnsi="Times New Roman" w:cs="Times New Roman"/>
          <w:lang w:val="en-GB"/>
        </w:rPr>
        <w:t xml:space="preserve">) and after their graduation </w:t>
      </w:r>
      <w:r w:rsidRPr="00771F08">
        <w:rPr>
          <w:rFonts w:ascii="Times New Roman" w:hAnsi="Times New Roman" w:cs="Times New Roman"/>
          <w:lang w:val="en-GB"/>
        </w:rPr>
        <w:t>(</w:t>
      </w:r>
      <w:proofErr w:type="spellStart"/>
      <w:r w:rsidRPr="00771F08">
        <w:rPr>
          <w:rFonts w:ascii="Times New Roman" w:hAnsi="Times New Roman" w:cs="Times New Roman"/>
          <w:lang w:val="en-GB"/>
        </w:rPr>
        <w:t>Snijders</w:t>
      </w:r>
      <w:proofErr w:type="spellEnd"/>
      <w:r w:rsidRPr="00771F08">
        <w:rPr>
          <w:rFonts w:ascii="Times New Roman" w:hAnsi="Times New Roman" w:cs="Times New Roman"/>
          <w:lang w:val="en-GB"/>
        </w:rPr>
        <w:t xml:space="preserve"> et al., 2019).  For instance, </w:t>
      </w:r>
      <w:proofErr w:type="spellStart"/>
      <w:r w:rsidRPr="00771F08">
        <w:rPr>
          <w:rFonts w:ascii="Times New Roman" w:hAnsi="Times New Roman" w:cs="Times New Roman"/>
          <w:lang w:val="en-GB"/>
        </w:rPr>
        <w:t>Weerts</w:t>
      </w:r>
      <w:proofErr w:type="spellEnd"/>
      <w:r w:rsidRPr="00771F08">
        <w:rPr>
          <w:rFonts w:ascii="Times New Roman" w:hAnsi="Times New Roman" w:cs="Times New Roman"/>
          <w:lang w:val="en-GB"/>
        </w:rPr>
        <w:t xml:space="preserve"> and </w:t>
      </w:r>
      <w:proofErr w:type="spellStart"/>
      <w:r w:rsidRPr="00771F08">
        <w:rPr>
          <w:rFonts w:ascii="Times New Roman" w:hAnsi="Times New Roman" w:cs="Times New Roman"/>
          <w:lang w:val="en-GB"/>
        </w:rPr>
        <w:t>Ronca</w:t>
      </w:r>
      <w:proofErr w:type="spellEnd"/>
      <w:r w:rsidRPr="00771F08">
        <w:rPr>
          <w:rFonts w:ascii="Times New Roman" w:hAnsi="Times New Roman" w:cs="Times New Roman"/>
          <w:lang w:val="en-GB"/>
        </w:rPr>
        <w:t xml:space="preserve"> (2008) </w:t>
      </w:r>
      <w:r w:rsidR="00727F74" w:rsidRPr="00771F08">
        <w:rPr>
          <w:rFonts w:ascii="Times New Roman" w:hAnsi="Times New Roman" w:cs="Times New Roman"/>
          <w:lang w:val="en-GB"/>
        </w:rPr>
        <w:t>analy</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Pr="00771F08">
        <w:rPr>
          <w:rFonts w:ascii="Times New Roman" w:hAnsi="Times New Roman" w:cs="Times New Roman"/>
          <w:lang w:val="en-GB"/>
        </w:rPr>
        <w:t xml:space="preserve"> the impact of students’ engagement with a college by highlighting the importance of the experiences that they had during their university course. Conceptually, the main aspects </w:t>
      </w:r>
      <w:r w:rsidR="00727F74" w:rsidRPr="00771F08">
        <w:rPr>
          <w:rFonts w:ascii="Times New Roman" w:hAnsi="Times New Roman" w:cs="Times New Roman"/>
          <w:lang w:val="en-GB"/>
        </w:rPr>
        <w:t>characteri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ing</w:t>
      </w:r>
      <w:r w:rsidRPr="00771F08">
        <w:rPr>
          <w:rFonts w:ascii="Times New Roman" w:hAnsi="Times New Roman" w:cs="Times New Roman"/>
          <w:lang w:val="en-GB"/>
        </w:rPr>
        <w:t xml:space="preserve"> the engagement construct concern the level of students’ academic and social involvement experienced with faculty and staff, the interactions with the alma mater, the exposure to diverse points of view, and the high quality of the academic programs. In this respect, engagement can be portrayed by the interactions experienced by students during their degree course (</w:t>
      </w:r>
      <w:proofErr w:type="spellStart"/>
      <w:r w:rsidRPr="00771F08">
        <w:rPr>
          <w:rFonts w:ascii="Times New Roman" w:hAnsi="Times New Roman" w:cs="Times New Roman"/>
          <w:lang w:val="en-GB"/>
        </w:rPr>
        <w:t>Weerts</w:t>
      </w:r>
      <w:proofErr w:type="spellEnd"/>
      <w:r w:rsidRPr="00771F08">
        <w:rPr>
          <w:rFonts w:ascii="Times New Roman" w:hAnsi="Times New Roman" w:cs="Times New Roman"/>
          <w:lang w:val="en-GB"/>
        </w:rPr>
        <w:t xml:space="preserve"> and </w:t>
      </w:r>
      <w:proofErr w:type="spellStart"/>
      <w:r w:rsidRPr="00771F08">
        <w:rPr>
          <w:rFonts w:ascii="Times New Roman" w:hAnsi="Times New Roman" w:cs="Times New Roman"/>
          <w:lang w:val="en-GB"/>
        </w:rPr>
        <w:t>Ronca</w:t>
      </w:r>
      <w:proofErr w:type="spellEnd"/>
      <w:r w:rsidRPr="00771F08">
        <w:rPr>
          <w:rFonts w:ascii="Times New Roman" w:hAnsi="Times New Roman" w:cs="Times New Roman"/>
          <w:lang w:val="en-GB"/>
        </w:rPr>
        <w:t xml:space="preserve"> 2008). As such, the quality of students’ experiences during their course (e.g. academic programs, relationships with the academic staff, and extra-curricular activities) becomes a key factor characteri</w:t>
      </w:r>
      <w:r w:rsidR="00B033C0" w:rsidRPr="00771F08">
        <w:rPr>
          <w:rFonts w:ascii="Times New Roman" w:hAnsi="Times New Roman" w:cs="Times New Roman"/>
          <w:lang w:val="en-GB"/>
        </w:rPr>
        <w:t>s</w:t>
      </w:r>
      <w:r w:rsidRPr="00771F08">
        <w:rPr>
          <w:rFonts w:ascii="Times New Roman" w:hAnsi="Times New Roman" w:cs="Times New Roman"/>
          <w:lang w:val="en-GB"/>
        </w:rPr>
        <w:t xml:space="preserve">ing their engagement </w:t>
      </w:r>
      <w:r w:rsidR="00FD76C2" w:rsidRPr="00771F08">
        <w:rPr>
          <w:rFonts w:ascii="Times New Roman" w:hAnsi="Times New Roman" w:cs="Times New Roman"/>
          <w:lang w:val="en-GB"/>
        </w:rPr>
        <w:t>with the u</w:t>
      </w:r>
      <w:r w:rsidR="007D26D7" w:rsidRPr="00771F08">
        <w:rPr>
          <w:rFonts w:ascii="Times New Roman" w:hAnsi="Times New Roman" w:cs="Times New Roman"/>
          <w:lang w:val="en-GB"/>
        </w:rPr>
        <w:t>niversity (Baruch and Sang</w:t>
      </w:r>
      <w:r w:rsidRPr="00771F08">
        <w:rPr>
          <w:rFonts w:ascii="Times New Roman" w:hAnsi="Times New Roman" w:cs="Times New Roman"/>
          <w:lang w:val="en-GB"/>
        </w:rPr>
        <w:t xml:space="preserve"> 2012)</w:t>
      </w:r>
      <w:r w:rsidR="0025454A" w:rsidRPr="00771F08">
        <w:rPr>
          <w:rFonts w:ascii="Times New Roman" w:hAnsi="Times New Roman" w:cs="Times New Roman"/>
          <w:lang w:val="en-GB"/>
        </w:rPr>
        <w:t>, both in relation to face to face interactions as well as via remote channels such as social media</w:t>
      </w:r>
      <w:r w:rsidR="00006B9E" w:rsidRPr="00771F08">
        <w:rPr>
          <w:rFonts w:ascii="Times New Roman" w:hAnsi="Times New Roman" w:cs="Times New Roman"/>
          <w:lang w:val="en-GB"/>
        </w:rPr>
        <w:t>,</w:t>
      </w:r>
      <w:r w:rsidR="0025454A" w:rsidRPr="00771F08">
        <w:rPr>
          <w:rFonts w:ascii="Times New Roman" w:hAnsi="Times New Roman" w:cs="Times New Roman"/>
          <w:lang w:val="en-GB"/>
        </w:rPr>
        <w:t xml:space="preserve"> with various levels of perceived quality of </w:t>
      </w:r>
      <w:r w:rsidR="008F6969" w:rsidRPr="00771F08">
        <w:rPr>
          <w:rFonts w:ascii="Times New Roman" w:hAnsi="Times New Roman" w:cs="Times New Roman"/>
          <w:lang w:val="en-GB"/>
        </w:rPr>
        <w:t>interaction</w:t>
      </w:r>
      <w:r w:rsidR="0025454A" w:rsidRPr="00771F08">
        <w:rPr>
          <w:rFonts w:ascii="Times New Roman" w:hAnsi="Times New Roman" w:cs="Times New Roman"/>
          <w:lang w:val="en-GB"/>
        </w:rPr>
        <w:t xml:space="preserve"> depending o</w:t>
      </w:r>
      <w:r w:rsidR="007D26D7" w:rsidRPr="00771F08">
        <w:rPr>
          <w:rFonts w:ascii="Times New Roman" w:hAnsi="Times New Roman" w:cs="Times New Roman"/>
          <w:lang w:val="en-GB"/>
        </w:rPr>
        <w:t>n the channel (</w:t>
      </w:r>
      <w:proofErr w:type="spellStart"/>
      <w:r w:rsidR="007D26D7" w:rsidRPr="00771F08">
        <w:rPr>
          <w:rFonts w:ascii="Times New Roman" w:hAnsi="Times New Roman" w:cs="Times New Roman"/>
          <w:lang w:val="en-GB"/>
        </w:rPr>
        <w:t>Koranteng</w:t>
      </w:r>
      <w:proofErr w:type="spellEnd"/>
      <w:r w:rsidR="007D26D7" w:rsidRPr="00771F08">
        <w:rPr>
          <w:rFonts w:ascii="Times New Roman" w:hAnsi="Times New Roman" w:cs="Times New Roman"/>
          <w:lang w:val="en-GB"/>
        </w:rPr>
        <w:t xml:space="preserve"> et al.</w:t>
      </w:r>
      <w:r w:rsidR="0025454A" w:rsidRPr="00771F08">
        <w:rPr>
          <w:rFonts w:ascii="Times New Roman" w:hAnsi="Times New Roman" w:cs="Times New Roman"/>
          <w:lang w:val="en-GB"/>
        </w:rPr>
        <w:t xml:space="preserve"> 2019)</w:t>
      </w:r>
      <w:r w:rsidRPr="00771F08">
        <w:rPr>
          <w:rFonts w:ascii="Times New Roman" w:hAnsi="Times New Roman" w:cs="Times New Roman"/>
          <w:lang w:val="en-GB"/>
        </w:rPr>
        <w:t>.</w:t>
      </w:r>
      <w:r w:rsidR="008F6969" w:rsidRPr="00771F08">
        <w:rPr>
          <w:rFonts w:ascii="Times New Roman" w:hAnsi="Times New Roman" w:cs="Times New Roman"/>
          <w:lang w:val="en-GB"/>
        </w:rPr>
        <w:t xml:space="preserve"> Hence, interactions </w:t>
      </w:r>
      <w:r w:rsidR="001D6248">
        <w:rPr>
          <w:rFonts w:ascii="Times New Roman" w:hAnsi="Times New Roman" w:cs="Times New Roman"/>
          <w:lang w:val="en-GB"/>
        </w:rPr>
        <w:t>that</w:t>
      </w:r>
      <w:r w:rsidR="008F6969" w:rsidRPr="00771F08">
        <w:rPr>
          <w:rFonts w:ascii="Times New Roman" w:hAnsi="Times New Roman" w:cs="Times New Roman"/>
          <w:lang w:val="en-GB"/>
        </w:rPr>
        <w:t xml:space="preserve"> facilitate a high quality of communication can enhance the e</w:t>
      </w:r>
      <w:r w:rsidR="00FD76C2" w:rsidRPr="00771F08">
        <w:rPr>
          <w:rFonts w:ascii="Times New Roman" w:hAnsi="Times New Roman" w:cs="Times New Roman"/>
          <w:lang w:val="en-GB"/>
        </w:rPr>
        <w:t>ngagement of students with the u</w:t>
      </w:r>
      <w:r w:rsidR="008F6969" w:rsidRPr="00771F08">
        <w:rPr>
          <w:rFonts w:ascii="Times New Roman" w:hAnsi="Times New Roman" w:cs="Times New Roman"/>
          <w:lang w:val="en-GB"/>
        </w:rPr>
        <w:t>niversity where a student studies (Sung and Yang 2009). This e</w:t>
      </w:r>
      <w:r w:rsidR="00E2030C" w:rsidRPr="00771F08">
        <w:rPr>
          <w:rFonts w:ascii="Times New Roman" w:hAnsi="Times New Roman" w:cs="Times New Roman"/>
          <w:lang w:val="en-GB"/>
        </w:rPr>
        <w:t xml:space="preserve">ngagement </w:t>
      </w:r>
      <w:r w:rsidR="008F6969" w:rsidRPr="00771F08">
        <w:rPr>
          <w:rFonts w:ascii="Times New Roman" w:hAnsi="Times New Roman" w:cs="Times New Roman"/>
          <w:lang w:val="en-GB"/>
        </w:rPr>
        <w:t xml:space="preserve">can in turn </w:t>
      </w:r>
      <w:r w:rsidR="00E2030C" w:rsidRPr="00771F08">
        <w:rPr>
          <w:rFonts w:ascii="Times New Roman" w:hAnsi="Times New Roman" w:cs="Times New Roman"/>
          <w:lang w:val="en-GB"/>
        </w:rPr>
        <w:t xml:space="preserve">result </w:t>
      </w:r>
      <w:r w:rsidR="00933ED7" w:rsidRPr="00771F08">
        <w:rPr>
          <w:rFonts w:ascii="Times New Roman" w:hAnsi="Times New Roman" w:cs="Times New Roman"/>
          <w:lang w:val="en-GB"/>
        </w:rPr>
        <w:t>in</w:t>
      </w:r>
      <w:r w:rsidR="00E2030C" w:rsidRPr="00771F08">
        <w:rPr>
          <w:rFonts w:ascii="Times New Roman" w:hAnsi="Times New Roman" w:cs="Times New Roman"/>
          <w:lang w:val="en-GB"/>
        </w:rPr>
        <w:t xml:space="preserve"> a </w:t>
      </w:r>
      <w:r w:rsidR="00933ED7" w:rsidRPr="00771F08">
        <w:rPr>
          <w:rFonts w:ascii="Times New Roman" w:hAnsi="Times New Roman" w:cs="Times New Roman"/>
          <w:lang w:val="en-GB"/>
        </w:rPr>
        <w:t>long-term</w:t>
      </w:r>
      <w:r w:rsidR="00E2030C" w:rsidRPr="00771F08">
        <w:rPr>
          <w:rFonts w:ascii="Times New Roman" w:hAnsi="Times New Roman" w:cs="Times New Roman"/>
          <w:lang w:val="en-GB"/>
        </w:rPr>
        <w:t xml:space="preserve"> relationship and trust</w:t>
      </w:r>
      <w:r w:rsidR="00FE4714" w:rsidRPr="00771F08">
        <w:rPr>
          <w:rFonts w:ascii="Times New Roman" w:hAnsi="Times New Roman" w:cs="Times New Roman"/>
          <w:lang w:val="en-GB"/>
        </w:rPr>
        <w:t xml:space="preserve"> (Heffernan </w:t>
      </w:r>
      <w:r w:rsidR="007D26D7" w:rsidRPr="00771F08">
        <w:rPr>
          <w:rFonts w:ascii="Times New Roman" w:hAnsi="Times New Roman" w:cs="Times New Roman"/>
          <w:lang w:val="en-GB"/>
        </w:rPr>
        <w:t>et al.</w:t>
      </w:r>
      <w:r w:rsidR="00933ED7" w:rsidRPr="00771F08">
        <w:rPr>
          <w:rFonts w:ascii="Times New Roman" w:hAnsi="Times New Roman" w:cs="Times New Roman"/>
          <w:lang w:val="en-GB"/>
        </w:rPr>
        <w:t xml:space="preserve"> 2018)</w:t>
      </w:r>
      <w:r w:rsidRPr="00771F08">
        <w:rPr>
          <w:rFonts w:ascii="Times New Roman" w:hAnsi="Times New Roman" w:cs="Times New Roman"/>
          <w:lang w:val="en-GB"/>
        </w:rPr>
        <w:t xml:space="preserve">. Rojas-Mendez et al. (2009) </w:t>
      </w:r>
      <w:r w:rsidR="00727F74" w:rsidRPr="00771F08">
        <w:rPr>
          <w:rFonts w:ascii="Times New Roman" w:hAnsi="Times New Roman" w:cs="Times New Roman"/>
          <w:lang w:val="en-GB"/>
        </w:rPr>
        <w:t>conceptuali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Pr="00771F08">
        <w:rPr>
          <w:rFonts w:ascii="Times New Roman" w:hAnsi="Times New Roman" w:cs="Times New Roman"/>
          <w:lang w:val="en-GB"/>
        </w:rPr>
        <w:t xml:space="preserve"> the personal experiences built with the institution as a fundamental antecedent of students’ trust</w:t>
      </w:r>
      <w:r w:rsidR="00FE4714" w:rsidRPr="00771F08">
        <w:rPr>
          <w:rFonts w:ascii="Times New Roman" w:hAnsi="Times New Roman" w:cs="Times New Roman"/>
          <w:lang w:val="en-GB"/>
        </w:rPr>
        <w:t xml:space="preserve"> alongside other positive outcomes</w:t>
      </w:r>
      <w:r w:rsidR="00B61D14">
        <w:rPr>
          <w:rFonts w:ascii="Times New Roman" w:hAnsi="Times New Roman" w:cs="Times New Roman"/>
          <w:lang w:val="en-GB"/>
        </w:rPr>
        <w:t>,</w:t>
      </w:r>
      <w:r w:rsidR="00FE4714" w:rsidRPr="00771F08">
        <w:rPr>
          <w:rFonts w:ascii="Times New Roman" w:hAnsi="Times New Roman" w:cs="Times New Roman"/>
          <w:lang w:val="en-GB"/>
        </w:rPr>
        <w:t xml:space="preserve"> such as loyalty (</w:t>
      </w:r>
      <w:proofErr w:type="spellStart"/>
      <w:r w:rsidR="00FE4714" w:rsidRPr="00771F08">
        <w:rPr>
          <w:rFonts w:ascii="Times New Roman" w:hAnsi="Times New Roman" w:cs="Times New Roman"/>
          <w:lang w:val="en-GB"/>
        </w:rPr>
        <w:t>Snijders</w:t>
      </w:r>
      <w:proofErr w:type="spellEnd"/>
      <w:r w:rsidR="00FE4714" w:rsidRPr="00771F08">
        <w:rPr>
          <w:rFonts w:ascii="Times New Roman" w:hAnsi="Times New Roman" w:cs="Times New Roman"/>
          <w:lang w:val="en-GB"/>
        </w:rPr>
        <w:t xml:space="preserve"> et al. 2020). This loyalty can lead to long-lasting relationships after the graduations of students</w:t>
      </w:r>
      <w:r w:rsidR="00006B9E" w:rsidRPr="00771F08">
        <w:rPr>
          <w:rFonts w:ascii="Times New Roman" w:hAnsi="Times New Roman" w:cs="Times New Roman"/>
          <w:lang w:val="en-GB"/>
        </w:rPr>
        <w:t>,</w:t>
      </w:r>
      <w:r w:rsidR="00FE4714" w:rsidRPr="00771F08">
        <w:rPr>
          <w:rFonts w:ascii="Times New Roman" w:hAnsi="Times New Roman" w:cs="Times New Roman"/>
          <w:lang w:val="en-GB"/>
        </w:rPr>
        <w:t xml:space="preserve"> translated </w:t>
      </w:r>
      <w:r w:rsidR="00006B9E" w:rsidRPr="00771F08">
        <w:rPr>
          <w:rFonts w:ascii="Times New Roman" w:hAnsi="Times New Roman" w:cs="Times New Roman"/>
          <w:lang w:val="en-GB"/>
        </w:rPr>
        <w:t>in</w:t>
      </w:r>
      <w:r w:rsidR="00FE4714" w:rsidRPr="00771F08">
        <w:rPr>
          <w:rFonts w:ascii="Times New Roman" w:hAnsi="Times New Roman" w:cs="Times New Roman"/>
          <w:lang w:val="en-GB"/>
        </w:rPr>
        <w:t>to monetary and non</w:t>
      </w:r>
      <w:r w:rsidR="00FD76C2" w:rsidRPr="00771F08">
        <w:rPr>
          <w:rFonts w:ascii="Times New Roman" w:hAnsi="Times New Roman" w:cs="Times New Roman"/>
          <w:lang w:val="en-GB"/>
        </w:rPr>
        <w:t>-monetary contributions to the u</w:t>
      </w:r>
      <w:r w:rsidR="00FE4714" w:rsidRPr="00771F08">
        <w:rPr>
          <w:rFonts w:ascii="Times New Roman" w:hAnsi="Times New Roman" w:cs="Times New Roman"/>
          <w:lang w:val="en-GB"/>
        </w:rPr>
        <w:t xml:space="preserve">niversity </w:t>
      </w:r>
      <w:r w:rsidR="007D26D7" w:rsidRPr="00771F08">
        <w:rPr>
          <w:rFonts w:ascii="Times New Roman" w:hAnsi="Times New Roman" w:cs="Times New Roman"/>
          <w:lang w:val="en-GB"/>
        </w:rPr>
        <w:t>(</w:t>
      </w:r>
      <w:proofErr w:type="spellStart"/>
      <w:r w:rsidR="007D26D7" w:rsidRPr="00771F08">
        <w:rPr>
          <w:rFonts w:ascii="Times New Roman" w:hAnsi="Times New Roman" w:cs="Times New Roman"/>
          <w:lang w:val="en-GB"/>
        </w:rPr>
        <w:t>Snijders</w:t>
      </w:r>
      <w:proofErr w:type="spellEnd"/>
      <w:r w:rsidR="007D26D7" w:rsidRPr="00771F08">
        <w:rPr>
          <w:rFonts w:ascii="Times New Roman" w:hAnsi="Times New Roman" w:cs="Times New Roman"/>
          <w:lang w:val="en-GB"/>
        </w:rPr>
        <w:t xml:space="preserve"> et al.</w:t>
      </w:r>
      <w:r w:rsidR="00FE4714" w:rsidRPr="00771F08">
        <w:rPr>
          <w:rFonts w:ascii="Times New Roman" w:hAnsi="Times New Roman" w:cs="Times New Roman"/>
          <w:lang w:val="en-GB"/>
        </w:rPr>
        <w:t xml:space="preserve"> 2019). </w:t>
      </w:r>
    </w:p>
    <w:p w14:paraId="1983E321" w14:textId="77777777" w:rsidR="003C69F9" w:rsidRDefault="00E2030C"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T</w:t>
      </w:r>
      <w:r w:rsidR="002B239E" w:rsidRPr="00771F08">
        <w:rPr>
          <w:rFonts w:ascii="Times New Roman" w:hAnsi="Times New Roman" w:cs="Times New Roman"/>
          <w:lang w:val="en-GB"/>
        </w:rPr>
        <w:t xml:space="preserve">he definition of trust has evolved over time and multiple </w:t>
      </w:r>
      <w:r w:rsidR="00501188" w:rsidRPr="00771F08">
        <w:rPr>
          <w:rFonts w:ascii="Times New Roman" w:hAnsi="Times New Roman" w:cs="Times New Roman"/>
          <w:lang w:val="en-GB"/>
        </w:rPr>
        <w:t>conceptuali</w:t>
      </w:r>
      <w:r w:rsidR="00771F08" w:rsidRPr="00771F08">
        <w:rPr>
          <w:rFonts w:ascii="Times New Roman" w:hAnsi="Times New Roman" w:cs="Times New Roman"/>
          <w:lang w:val="en-GB"/>
        </w:rPr>
        <w:t>s</w:t>
      </w:r>
      <w:r w:rsidR="00501188" w:rsidRPr="00771F08">
        <w:rPr>
          <w:rFonts w:ascii="Times New Roman" w:hAnsi="Times New Roman" w:cs="Times New Roman"/>
          <w:lang w:val="en-GB"/>
        </w:rPr>
        <w:t>ations</w:t>
      </w:r>
      <w:r w:rsidR="00984954" w:rsidRPr="00771F08">
        <w:rPr>
          <w:rFonts w:ascii="Times New Roman" w:hAnsi="Times New Roman" w:cs="Times New Roman"/>
          <w:lang w:val="en-GB"/>
        </w:rPr>
        <w:t xml:space="preserve"> have been proposed </w:t>
      </w:r>
      <w:r w:rsidRPr="00771F08">
        <w:rPr>
          <w:rFonts w:ascii="Times New Roman" w:hAnsi="Times New Roman" w:cs="Times New Roman"/>
          <w:lang w:val="en-GB"/>
        </w:rPr>
        <w:t xml:space="preserve">in the context of marketing </w:t>
      </w:r>
      <w:r w:rsidR="00984954" w:rsidRPr="00771F08">
        <w:rPr>
          <w:rFonts w:ascii="Times New Roman" w:hAnsi="Times New Roman" w:cs="Times New Roman"/>
          <w:lang w:val="en-GB"/>
        </w:rPr>
        <w:t>(</w:t>
      </w:r>
      <w:r w:rsidR="000E4D43" w:rsidRPr="00771F08">
        <w:rPr>
          <w:rFonts w:ascii="Times New Roman" w:hAnsi="Times New Roman" w:cs="Times New Roman"/>
          <w:lang w:val="en-GB"/>
        </w:rPr>
        <w:t>Wong</w:t>
      </w:r>
      <w:r w:rsidR="00984954" w:rsidRPr="00771F08">
        <w:rPr>
          <w:rFonts w:ascii="Times New Roman" w:hAnsi="Times New Roman" w:cs="Times New Roman"/>
          <w:lang w:val="en-GB"/>
        </w:rPr>
        <w:t xml:space="preserve"> and Ho</w:t>
      </w:r>
      <w:r w:rsidR="002B239E" w:rsidRPr="00771F08">
        <w:rPr>
          <w:rFonts w:ascii="Times New Roman" w:hAnsi="Times New Roman" w:cs="Times New Roman"/>
          <w:lang w:val="en-GB"/>
        </w:rPr>
        <w:t xml:space="preserve"> 2011</w:t>
      </w:r>
      <w:r w:rsidR="00C12BEB" w:rsidRPr="00771F08">
        <w:rPr>
          <w:rFonts w:ascii="Times New Roman" w:hAnsi="Times New Roman" w:cs="Times New Roman"/>
          <w:lang w:val="en-GB"/>
        </w:rPr>
        <w:t xml:space="preserve">; Schlesinger </w:t>
      </w:r>
      <w:proofErr w:type="spellStart"/>
      <w:r w:rsidR="00984954" w:rsidRPr="00771F08">
        <w:rPr>
          <w:rFonts w:ascii="Times New Roman" w:hAnsi="Times New Roman" w:cs="Times New Roman"/>
          <w:lang w:val="en-GB"/>
        </w:rPr>
        <w:t>Cervera</w:t>
      </w:r>
      <w:proofErr w:type="spellEnd"/>
      <w:r w:rsidR="00984954" w:rsidRPr="00771F08">
        <w:rPr>
          <w:rFonts w:ascii="Times New Roman" w:hAnsi="Times New Roman" w:cs="Times New Roman"/>
          <w:lang w:val="en-GB"/>
        </w:rPr>
        <w:t xml:space="preserve"> and</w:t>
      </w:r>
      <w:r w:rsidR="009D52E0" w:rsidRPr="00771F08">
        <w:rPr>
          <w:rFonts w:ascii="Times New Roman" w:hAnsi="Times New Roman" w:cs="Times New Roman"/>
          <w:lang w:val="en-GB"/>
        </w:rPr>
        <w:t xml:space="preserve"> Pérez-</w:t>
      </w:r>
      <w:proofErr w:type="spellStart"/>
      <w:r w:rsidR="009D52E0" w:rsidRPr="00771F08">
        <w:rPr>
          <w:rFonts w:ascii="Times New Roman" w:hAnsi="Times New Roman" w:cs="Times New Roman"/>
          <w:lang w:val="en-GB"/>
        </w:rPr>
        <w:t>Cabañero</w:t>
      </w:r>
      <w:proofErr w:type="spellEnd"/>
      <w:r w:rsidR="009D52E0" w:rsidRPr="00771F08">
        <w:rPr>
          <w:rFonts w:ascii="Times New Roman" w:hAnsi="Times New Roman" w:cs="Times New Roman"/>
          <w:lang w:val="en-GB"/>
        </w:rPr>
        <w:t xml:space="preserve"> </w:t>
      </w:r>
      <w:r w:rsidR="00C12BEB" w:rsidRPr="00771F08">
        <w:rPr>
          <w:rFonts w:ascii="Times New Roman" w:hAnsi="Times New Roman" w:cs="Times New Roman"/>
          <w:lang w:val="en-GB"/>
        </w:rPr>
        <w:t>2017</w:t>
      </w:r>
      <w:r w:rsidR="002B239E" w:rsidRPr="00771F08">
        <w:rPr>
          <w:rFonts w:ascii="Times New Roman" w:hAnsi="Times New Roman" w:cs="Times New Roman"/>
          <w:lang w:val="en-GB"/>
        </w:rPr>
        <w:t>).</w:t>
      </w:r>
      <w:r w:rsidR="002D785C" w:rsidRPr="00771F08">
        <w:rPr>
          <w:rFonts w:ascii="Times New Roman" w:hAnsi="Times New Roman" w:cs="Times New Roman"/>
          <w:lang w:val="en-GB"/>
        </w:rPr>
        <w:t xml:space="preserve"> </w:t>
      </w:r>
      <w:r w:rsidR="0044347D" w:rsidRPr="00771F08">
        <w:rPr>
          <w:rFonts w:ascii="Times New Roman" w:hAnsi="Times New Roman" w:cs="Times New Roman"/>
          <w:lang w:val="en-GB"/>
        </w:rPr>
        <w:t>S</w:t>
      </w:r>
      <w:r w:rsidR="002D785C" w:rsidRPr="00771F08">
        <w:rPr>
          <w:rFonts w:ascii="Times New Roman" w:hAnsi="Times New Roman" w:cs="Times New Roman"/>
          <w:lang w:val="en-GB"/>
        </w:rPr>
        <w:t>ome</w:t>
      </w:r>
      <w:r w:rsidR="002B239E" w:rsidRPr="00771F08">
        <w:rPr>
          <w:rFonts w:ascii="Times New Roman" w:hAnsi="Times New Roman" w:cs="Times New Roman"/>
          <w:lang w:val="en-GB"/>
        </w:rPr>
        <w:t xml:space="preserve"> authors define</w:t>
      </w:r>
      <w:r w:rsidR="002D785C" w:rsidRPr="00771F08">
        <w:rPr>
          <w:rFonts w:ascii="Times New Roman" w:hAnsi="Times New Roman" w:cs="Times New Roman"/>
          <w:lang w:val="en-GB"/>
        </w:rPr>
        <w:t>d</w:t>
      </w:r>
      <w:r w:rsidR="002B239E" w:rsidRPr="00771F08">
        <w:rPr>
          <w:rFonts w:ascii="Times New Roman" w:hAnsi="Times New Roman" w:cs="Times New Roman"/>
          <w:lang w:val="en-GB"/>
        </w:rPr>
        <w:t xml:space="preserve"> </w:t>
      </w:r>
      <w:r w:rsidR="0044347D" w:rsidRPr="00771F08">
        <w:rPr>
          <w:rFonts w:ascii="Times New Roman" w:hAnsi="Times New Roman" w:cs="Times New Roman"/>
          <w:lang w:val="en-GB"/>
        </w:rPr>
        <w:t>trust</w:t>
      </w:r>
      <w:r w:rsidR="002B239E" w:rsidRPr="00771F08">
        <w:rPr>
          <w:rFonts w:ascii="Times New Roman" w:hAnsi="Times New Roman" w:cs="Times New Roman"/>
          <w:lang w:val="en-GB"/>
        </w:rPr>
        <w:t xml:space="preserve"> as a kind of </w:t>
      </w:r>
      <w:r w:rsidR="00BC28D2" w:rsidRPr="00771F08">
        <w:rPr>
          <w:rFonts w:ascii="Times New Roman" w:hAnsi="Times New Roman" w:cs="Times New Roman"/>
          <w:lang w:val="en-GB"/>
        </w:rPr>
        <w:t xml:space="preserve">customers’ </w:t>
      </w:r>
      <w:r w:rsidR="002B239E" w:rsidRPr="00771F08">
        <w:rPr>
          <w:rFonts w:ascii="Times New Roman" w:hAnsi="Times New Roman" w:cs="Times New Roman"/>
          <w:lang w:val="en-GB"/>
        </w:rPr>
        <w:t>belief or confidence (</w:t>
      </w:r>
      <w:r w:rsidR="0099097C" w:rsidRPr="00771F08">
        <w:rPr>
          <w:rFonts w:ascii="Times New Roman" w:hAnsi="Times New Roman" w:cs="Times New Roman"/>
          <w:lang w:val="en-GB"/>
        </w:rPr>
        <w:t xml:space="preserve">Moorman et al. </w:t>
      </w:r>
      <w:r w:rsidR="00587372" w:rsidRPr="00771F08">
        <w:rPr>
          <w:rFonts w:ascii="Times New Roman" w:hAnsi="Times New Roman" w:cs="Times New Roman"/>
          <w:lang w:val="en-GB"/>
        </w:rPr>
        <w:t xml:space="preserve">1992; Morgan </w:t>
      </w:r>
      <w:r w:rsidR="0099097C" w:rsidRPr="00771F08">
        <w:rPr>
          <w:rFonts w:ascii="Times New Roman" w:hAnsi="Times New Roman" w:cs="Times New Roman"/>
          <w:lang w:val="en-GB"/>
        </w:rPr>
        <w:t xml:space="preserve">and Hunt </w:t>
      </w:r>
      <w:r w:rsidR="00A40C58" w:rsidRPr="00771F08">
        <w:rPr>
          <w:rFonts w:ascii="Times New Roman" w:hAnsi="Times New Roman" w:cs="Times New Roman"/>
          <w:lang w:val="en-GB"/>
        </w:rPr>
        <w:t xml:space="preserve">1994) that </w:t>
      </w:r>
      <w:r w:rsidR="00BC28D2" w:rsidRPr="00771F08">
        <w:rPr>
          <w:rFonts w:ascii="Times New Roman" w:hAnsi="Times New Roman" w:cs="Times New Roman"/>
          <w:lang w:val="en-GB"/>
        </w:rPr>
        <w:t xml:space="preserve">any future interaction with </w:t>
      </w:r>
      <w:r w:rsidR="00501188" w:rsidRPr="00771F08">
        <w:rPr>
          <w:rFonts w:ascii="Times New Roman" w:hAnsi="Times New Roman" w:cs="Times New Roman"/>
          <w:lang w:val="en-GB"/>
        </w:rPr>
        <w:t>organi</w:t>
      </w:r>
      <w:r w:rsidR="00771F08" w:rsidRPr="00771F08">
        <w:rPr>
          <w:rFonts w:ascii="Times New Roman" w:hAnsi="Times New Roman" w:cs="Times New Roman"/>
          <w:lang w:val="en-GB"/>
        </w:rPr>
        <w:t>s</w:t>
      </w:r>
      <w:r w:rsidR="00501188" w:rsidRPr="00771F08">
        <w:rPr>
          <w:rFonts w:ascii="Times New Roman" w:hAnsi="Times New Roman" w:cs="Times New Roman"/>
          <w:lang w:val="en-GB"/>
        </w:rPr>
        <w:t>ations</w:t>
      </w:r>
      <w:r w:rsidR="00E84A2A" w:rsidRPr="00771F08">
        <w:rPr>
          <w:rFonts w:ascii="Times New Roman" w:hAnsi="Times New Roman" w:cs="Times New Roman"/>
          <w:lang w:val="en-GB"/>
        </w:rPr>
        <w:t xml:space="preserve"> and firms will be identical and positive </w:t>
      </w:r>
      <w:r w:rsidR="0099097C" w:rsidRPr="00771F08">
        <w:rPr>
          <w:rFonts w:ascii="Times New Roman" w:hAnsi="Times New Roman" w:cs="Times New Roman"/>
          <w:lang w:val="en-GB"/>
        </w:rPr>
        <w:t>(Sultan and</w:t>
      </w:r>
      <w:r w:rsidR="00A40C58" w:rsidRPr="00771F08">
        <w:rPr>
          <w:rFonts w:ascii="Times New Roman" w:hAnsi="Times New Roman" w:cs="Times New Roman"/>
          <w:lang w:val="en-GB"/>
        </w:rPr>
        <w:t xml:space="preserve"> </w:t>
      </w:r>
      <w:r w:rsidR="0099097C" w:rsidRPr="00771F08">
        <w:rPr>
          <w:rFonts w:ascii="Times New Roman" w:hAnsi="Times New Roman" w:cs="Times New Roman"/>
          <w:lang w:val="en-GB"/>
        </w:rPr>
        <w:t xml:space="preserve">Wong </w:t>
      </w:r>
      <w:r w:rsidR="00A40C58" w:rsidRPr="00771F08">
        <w:rPr>
          <w:rFonts w:ascii="Times New Roman" w:hAnsi="Times New Roman" w:cs="Times New Roman"/>
          <w:lang w:val="en-GB"/>
        </w:rPr>
        <w:t xml:space="preserve">2012). </w:t>
      </w:r>
      <w:r w:rsidR="00BA5304" w:rsidRPr="00771F08">
        <w:rPr>
          <w:rFonts w:ascii="Times New Roman" w:hAnsi="Times New Roman" w:cs="Times New Roman"/>
          <w:lang w:val="en-GB"/>
        </w:rPr>
        <w:t>Other</w:t>
      </w:r>
      <w:r w:rsidR="002D785C" w:rsidRPr="00771F08">
        <w:rPr>
          <w:rFonts w:ascii="Times New Roman" w:hAnsi="Times New Roman" w:cs="Times New Roman"/>
          <w:lang w:val="en-GB"/>
        </w:rPr>
        <w:t xml:space="preserve"> researchers (Dowell</w:t>
      </w:r>
      <w:r w:rsidR="00B416D2" w:rsidRPr="00771F08">
        <w:rPr>
          <w:rFonts w:ascii="Times New Roman" w:hAnsi="Times New Roman" w:cs="Times New Roman"/>
          <w:lang w:val="en-GB"/>
        </w:rPr>
        <w:t xml:space="preserve"> et al. 2015; Morgan and Hunt</w:t>
      </w:r>
      <w:r w:rsidR="002D785C" w:rsidRPr="00771F08">
        <w:rPr>
          <w:rFonts w:ascii="Times New Roman" w:hAnsi="Times New Roman" w:cs="Times New Roman"/>
          <w:lang w:val="en-GB"/>
        </w:rPr>
        <w:t xml:space="preserve"> 1994) </w:t>
      </w:r>
      <w:r w:rsidR="00501188" w:rsidRPr="00771F08">
        <w:rPr>
          <w:rFonts w:ascii="Times New Roman" w:hAnsi="Times New Roman" w:cs="Times New Roman"/>
          <w:lang w:val="en-GB"/>
        </w:rPr>
        <w:t>conceptuali</w:t>
      </w:r>
      <w:r w:rsidR="00771F08" w:rsidRPr="00771F08">
        <w:rPr>
          <w:rFonts w:ascii="Times New Roman" w:hAnsi="Times New Roman" w:cs="Times New Roman"/>
          <w:lang w:val="en-GB"/>
        </w:rPr>
        <w:t>s</w:t>
      </w:r>
      <w:r w:rsidR="00501188" w:rsidRPr="00771F08">
        <w:rPr>
          <w:rFonts w:ascii="Times New Roman" w:hAnsi="Times New Roman" w:cs="Times New Roman"/>
          <w:lang w:val="en-GB"/>
        </w:rPr>
        <w:t>ed</w:t>
      </w:r>
      <w:r w:rsidR="002D785C" w:rsidRPr="00771F08">
        <w:rPr>
          <w:rFonts w:ascii="Times New Roman" w:hAnsi="Times New Roman" w:cs="Times New Roman"/>
          <w:lang w:val="en-GB"/>
        </w:rPr>
        <w:t xml:space="preserve"> trust as a consumer’s expectation that firms/</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ations</w:t>
      </w:r>
      <w:r w:rsidR="002D785C" w:rsidRPr="00771F08">
        <w:rPr>
          <w:rFonts w:ascii="Times New Roman" w:hAnsi="Times New Roman" w:cs="Times New Roman"/>
          <w:lang w:val="en-GB"/>
        </w:rPr>
        <w:t xml:space="preserve"> will not adopt opportunistic </w:t>
      </w:r>
      <w:r w:rsidR="00175ACB" w:rsidRPr="00771F08">
        <w:rPr>
          <w:rFonts w:ascii="Times New Roman" w:hAnsi="Times New Roman" w:cs="Times New Roman"/>
          <w:lang w:val="en-GB"/>
        </w:rPr>
        <w:t>behaviours</w:t>
      </w:r>
      <w:r w:rsidR="002D785C" w:rsidRPr="00771F08">
        <w:rPr>
          <w:rFonts w:ascii="Times New Roman" w:hAnsi="Times New Roman" w:cs="Times New Roman"/>
          <w:lang w:val="en-GB"/>
        </w:rPr>
        <w:t xml:space="preserve"> </w:t>
      </w:r>
      <w:r w:rsidR="00BA5304" w:rsidRPr="00771F08">
        <w:rPr>
          <w:rFonts w:ascii="Times New Roman" w:hAnsi="Times New Roman" w:cs="Times New Roman"/>
          <w:lang w:val="en-GB"/>
        </w:rPr>
        <w:lastRenderedPageBreak/>
        <w:t>and they will</w:t>
      </w:r>
      <w:r w:rsidR="002D785C" w:rsidRPr="00771F08">
        <w:rPr>
          <w:rFonts w:ascii="Times New Roman" w:hAnsi="Times New Roman" w:cs="Times New Roman"/>
          <w:lang w:val="en-GB"/>
        </w:rPr>
        <w:t xml:space="preserve"> offer products and services at </w:t>
      </w:r>
      <w:r w:rsidR="00BA5304" w:rsidRPr="00771F08">
        <w:rPr>
          <w:rFonts w:ascii="Times New Roman" w:hAnsi="Times New Roman" w:cs="Times New Roman"/>
          <w:lang w:val="en-GB"/>
        </w:rPr>
        <w:t xml:space="preserve">a level of </w:t>
      </w:r>
      <w:r w:rsidR="002D785C" w:rsidRPr="00771F08">
        <w:rPr>
          <w:rFonts w:ascii="Times New Roman" w:hAnsi="Times New Roman" w:cs="Times New Roman"/>
          <w:lang w:val="en-GB"/>
        </w:rPr>
        <w:t xml:space="preserve">quality expected by the consumer. </w:t>
      </w:r>
      <w:r w:rsidR="0099097C" w:rsidRPr="00771F08">
        <w:rPr>
          <w:rFonts w:ascii="Times New Roman" w:hAnsi="Times New Roman" w:cs="Times New Roman"/>
          <w:lang w:val="en-GB"/>
        </w:rPr>
        <w:t>Overall, t</w:t>
      </w:r>
      <w:r w:rsidR="002D785C" w:rsidRPr="00771F08">
        <w:rPr>
          <w:rFonts w:ascii="Times New Roman" w:hAnsi="Times New Roman" w:cs="Times New Roman"/>
          <w:lang w:val="en-GB"/>
        </w:rPr>
        <w:t xml:space="preserve">rust is perceived as a complex construct </w:t>
      </w:r>
      <w:r w:rsidR="00727F74" w:rsidRPr="00771F08">
        <w:rPr>
          <w:rFonts w:ascii="Times New Roman" w:hAnsi="Times New Roman" w:cs="Times New Roman"/>
          <w:lang w:val="en-GB"/>
        </w:rPr>
        <w:t>characteri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00B33CD8" w:rsidRPr="00771F08">
        <w:rPr>
          <w:rFonts w:ascii="Times New Roman" w:hAnsi="Times New Roman" w:cs="Times New Roman"/>
          <w:lang w:val="en-GB"/>
        </w:rPr>
        <w:t xml:space="preserve"> by two elements: a cognitive one, which is based on </w:t>
      </w:r>
      <w:r w:rsidR="00A27000" w:rsidRPr="00771F08">
        <w:rPr>
          <w:rFonts w:ascii="Times New Roman" w:hAnsi="Times New Roman" w:cs="Times New Roman"/>
          <w:lang w:val="en-GB"/>
        </w:rPr>
        <w:t xml:space="preserve">the </w:t>
      </w:r>
      <w:r w:rsidR="00B33CD8" w:rsidRPr="00771F08">
        <w:rPr>
          <w:rFonts w:ascii="Times New Roman" w:hAnsi="Times New Roman" w:cs="Times New Roman"/>
          <w:lang w:val="en-GB"/>
        </w:rPr>
        <w:t xml:space="preserve">consumer’s knowledge of the </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w:t>
      </w:r>
      <w:r w:rsidR="00B33CD8" w:rsidRPr="00771F08">
        <w:rPr>
          <w:rFonts w:ascii="Times New Roman" w:hAnsi="Times New Roman" w:cs="Times New Roman"/>
          <w:lang w:val="en-GB"/>
        </w:rPr>
        <w:t xml:space="preserve"> and its capacities, and an affective one, concerning the emotional connection that an individual develops over time with t</w:t>
      </w:r>
      <w:r w:rsidR="00EB54EE" w:rsidRPr="00771F08">
        <w:rPr>
          <w:rFonts w:ascii="Times New Roman" w:hAnsi="Times New Roman" w:cs="Times New Roman"/>
          <w:lang w:val="en-GB"/>
        </w:rPr>
        <w:t xml:space="preserve">he </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w:t>
      </w:r>
      <w:r w:rsidR="00EB54EE" w:rsidRPr="00771F08">
        <w:rPr>
          <w:rFonts w:ascii="Times New Roman" w:hAnsi="Times New Roman" w:cs="Times New Roman"/>
          <w:lang w:val="en-GB"/>
        </w:rPr>
        <w:t xml:space="preserve"> (Heffern</w:t>
      </w:r>
      <w:r w:rsidR="00B33CD8" w:rsidRPr="00771F08">
        <w:rPr>
          <w:rFonts w:ascii="Times New Roman" w:hAnsi="Times New Roman" w:cs="Times New Roman"/>
          <w:lang w:val="en-GB"/>
        </w:rPr>
        <w:t>an</w:t>
      </w:r>
      <w:r w:rsidR="00B416D2" w:rsidRPr="00771F08">
        <w:rPr>
          <w:rFonts w:ascii="Times New Roman" w:hAnsi="Times New Roman" w:cs="Times New Roman"/>
          <w:lang w:val="en-GB"/>
        </w:rPr>
        <w:t xml:space="preserve"> et al. </w:t>
      </w:r>
      <w:r w:rsidR="00B33CD8" w:rsidRPr="00771F08">
        <w:rPr>
          <w:rFonts w:ascii="Times New Roman" w:hAnsi="Times New Roman" w:cs="Times New Roman"/>
          <w:lang w:val="en-GB"/>
        </w:rPr>
        <w:t xml:space="preserve">2018). </w:t>
      </w:r>
    </w:p>
    <w:p w14:paraId="63C68464" w14:textId="65E72229" w:rsidR="00B13567" w:rsidRPr="00771F08" w:rsidRDefault="00B13567"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In the context of HE, Ghosh and colleagues (2001, p. 325) were the first to examine the role of trust. For them trust is “</w:t>
      </w:r>
      <w:r w:rsidRPr="00771F08">
        <w:rPr>
          <w:rFonts w:ascii="Times New Roman" w:hAnsi="Times New Roman" w:cs="Times New Roman"/>
          <w:i/>
          <w:iCs/>
          <w:lang w:val="en-GB"/>
        </w:rPr>
        <w:t>the degree to which a student is willing to rely on the institute to take appropriate steps that beneﬁt him and help him achieve his learning and career objectives</w:t>
      </w:r>
      <w:r w:rsidRPr="00771F08">
        <w:rPr>
          <w:rFonts w:ascii="Times New Roman" w:hAnsi="Times New Roman" w:cs="Times New Roman"/>
          <w:lang w:val="en-GB"/>
        </w:rPr>
        <w:t xml:space="preserve">”. Hence, the personal learning and student experience </w:t>
      </w:r>
      <w:r w:rsidR="00A27000" w:rsidRPr="00771F08">
        <w:rPr>
          <w:rFonts w:ascii="Times New Roman" w:hAnsi="Times New Roman" w:cs="Times New Roman"/>
          <w:lang w:val="en-GB"/>
        </w:rPr>
        <w:t>some</w:t>
      </w:r>
      <w:r w:rsidRPr="00771F08">
        <w:rPr>
          <w:rFonts w:ascii="Times New Roman" w:hAnsi="Times New Roman" w:cs="Times New Roman"/>
          <w:lang w:val="en-GB"/>
        </w:rPr>
        <w:t xml:space="preserve">one has while studying can lay the foundations for the </w:t>
      </w:r>
      <w:r w:rsidR="00933ED7" w:rsidRPr="00771F08">
        <w:rPr>
          <w:rFonts w:ascii="Times New Roman" w:hAnsi="Times New Roman" w:cs="Times New Roman"/>
          <w:lang w:val="en-GB"/>
        </w:rPr>
        <w:t>future relationship with their u</w:t>
      </w:r>
      <w:r w:rsidRPr="00771F08">
        <w:rPr>
          <w:rFonts w:ascii="Times New Roman" w:hAnsi="Times New Roman" w:cs="Times New Roman"/>
          <w:lang w:val="en-GB"/>
        </w:rPr>
        <w:t xml:space="preserve">niversity and positively influence their </w:t>
      </w:r>
      <w:r w:rsidR="00175ACB" w:rsidRPr="00771F08">
        <w:rPr>
          <w:rFonts w:ascii="Times New Roman" w:hAnsi="Times New Roman" w:cs="Times New Roman"/>
          <w:lang w:val="en-GB"/>
        </w:rPr>
        <w:t>behaviour</w:t>
      </w:r>
      <w:r w:rsidRPr="00771F08">
        <w:rPr>
          <w:rFonts w:ascii="Times New Roman" w:hAnsi="Times New Roman" w:cs="Times New Roman"/>
          <w:lang w:val="en-GB"/>
        </w:rPr>
        <w:t xml:space="preserve"> towards them (Hennig-</w:t>
      </w:r>
      <w:proofErr w:type="spellStart"/>
      <w:r w:rsidRPr="00771F08">
        <w:rPr>
          <w:rFonts w:ascii="Times New Roman" w:hAnsi="Times New Roman" w:cs="Times New Roman"/>
          <w:lang w:val="en-GB"/>
        </w:rPr>
        <w:t>Thurau</w:t>
      </w:r>
      <w:proofErr w:type="spellEnd"/>
      <w:r w:rsidRPr="00771F08">
        <w:rPr>
          <w:rFonts w:ascii="Times New Roman" w:hAnsi="Times New Roman" w:cs="Times New Roman"/>
          <w:lang w:val="en-GB"/>
        </w:rPr>
        <w:t xml:space="preserve"> et al. 2001). To this end</w:t>
      </w:r>
      <w:r w:rsidR="003C69F9">
        <w:rPr>
          <w:rFonts w:ascii="Times New Roman" w:hAnsi="Times New Roman" w:cs="Times New Roman"/>
          <w:lang w:val="en-GB"/>
        </w:rPr>
        <w:t>,</w:t>
      </w:r>
      <w:r w:rsidRPr="00771F08">
        <w:rPr>
          <w:rFonts w:ascii="Times New Roman" w:hAnsi="Times New Roman" w:cs="Times New Roman"/>
          <w:lang w:val="en-GB"/>
        </w:rPr>
        <w:t xml:space="preserve"> reliability and integrity are key dimensions of a trusted relationship as captured by Morgan and Hunt (1994, p. 23)</w:t>
      </w:r>
      <w:r w:rsidR="00A27000" w:rsidRPr="00771F08">
        <w:rPr>
          <w:rFonts w:ascii="Times New Roman" w:hAnsi="Times New Roman" w:cs="Times New Roman"/>
          <w:lang w:val="en-GB"/>
        </w:rPr>
        <w:t>,</w:t>
      </w:r>
      <w:r w:rsidRPr="00771F08">
        <w:rPr>
          <w:rFonts w:ascii="Times New Roman" w:hAnsi="Times New Roman" w:cs="Times New Roman"/>
          <w:lang w:val="en-GB"/>
        </w:rPr>
        <w:t xml:space="preserve"> who defined trust as “</w:t>
      </w:r>
      <w:r w:rsidRPr="00771F08">
        <w:rPr>
          <w:rFonts w:ascii="Times New Roman" w:hAnsi="Times New Roman" w:cs="Times New Roman"/>
          <w:i/>
          <w:iCs/>
          <w:lang w:val="en-GB"/>
        </w:rPr>
        <w:t>when one party has confidence in an exchange partner’s reliability and integrity</w:t>
      </w:r>
      <w:r w:rsidRPr="00771F08">
        <w:rPr>
          <w:rFonts w:ascii="Times New Roman" w:hAnsi="Times New Roman" w:cs="Times New Roman"/>
          <w:lang w:val="en-GB"/>
        </w:rPr>
        <w:t xml:space="preserve">”. This definition has been adopted by a number of studies in the educational context </w:t>
      </w:r>
      <w:r w:rsidR="000E4D43" w:rsidRPr="00771F08">
        <w:rPr>
          <w:rFonts w:ascii="Times New Roman" w:hAnsi="Times New Roman" w:cs="Times New Roman"/>
          <w:lang w:val="en-GB"/>
        </w:rPr>
        <w:t>which examined the role of trust in relationship commitment. Specifically, students</w:t>
      </w:r>
      <w:r w:rsidR="00992AF0" w:rsidRPr="00771F08">
        <w:rPr>
          <w:rFonts w:ascii="Times New Roman" w:hAnsi="Times New Roman" w:cs="Times New Roman"/>
          <w:lang w:val="en-GB"/>
        </w:rPr>
        <w:t>’</w:t>
      </w:r>
      <w:r w:rsidR="000E4D43" w:rsidRPr="00771F08">
        <w:rPr>
          <w:rFonts w:ascii="Times New Roman" w:hAnsi="Times New Roman" w:cs="Times New Roman"/>
          <w:lang w:val="en-GB"/>
        </w:rPr>
        <w:t xml:space="preserve"> trust </w:t>
      </w:r>
      <w:r w:rsidR="00A27000" w:rsidRPr="00771F08">
        <w:rPr>
          <w:rFonts w:ascii="Times New Roman" w:hAnsi="Times New Roman" w:cs="Times New Roman"/>
          <w:lang w:val="en-GB"/>
        </w:rPr>
        <w:t xml:space="preserve">in </w:t>
      </w:r>
      <w:r w:rsidR="000E4D43" w:rsidRPr="00771F08">
        <w:rPr>
          <w:rFonts w:ascii="Times New Roman" w:hAnsi="Times New Roman" w:cs="Times New Roman"/>
          <w:lang w:val="en-GB"/>
        </w:rPr>
        <w:t>the university is influenced by</w:t>
      </w:r>
      <w:r w:rsidR="00A27000" w:rsidRPr="00771F08">
        <w:rPr>
          <w:rFonts w:ascii="Times New Roman" w:hAnsi="Times New Roman" w:cs="Times New Roman"/>
          <w:lang w:val="en-GB"/>
        </w:rPr>
        <w:t>:</w:t>
      </w:r>
      <w:r w:rsidR="000E4D43" w:rsidRPr="00771F08">
        <w:rPr>
          <w:rFonts w:ascii="Times New Roman" w:hAnsi="Times New Roman" w:cs="Times New Roman"/>
          <w:lang w:val="en-GB"/>
        </w:rPr>
        <w:t xml:space="preserve"> the common and shared values between them and the </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w:t>
      </w:r>
      <w:r w:rsidR="000E4D43" w:rsidRPr="00771F08">
        <w:rPr>
          <w:rFonts w:ascii="Times New Roman" w:hAnsi="Times New Roman" w:cs="Times New Roman"/>
          <w:lang w:val="en-GB"/>
        </w:rPr>
        <w:t xml:space="preserve"> </w:t>
      </w:r>
      <w:r w:rsidRPr="00771F08">
        <w:rPr>
          <w:rFonts w:ascii="Times New Roman" w:hAnsi="Times New Roman" w:cs="Times New Roman"/>
          <w:lang w:val="en-GB"/>
        </w:rPr>
        <w:t>(</w:t>
      </w:r>
      <w:r w:rsidR="000E4D43" w:rsidRPr="00771F08">
        <w:rPr>
          <w:rFonts w:ascii="Times New Roman" w:hAnsi="Times New Roman" w:cs="Times New Roman"/>
          <w:lang w:val="en-GB"/>
        </w:rPr>
        <w:t>Wong</w:t>
      </w:r>
      <w:r w:rsidRPr="00771F08">
        <w:rPr>
          <w:rFonts w:ascii="Times New Roman" w:hAnsi="Times New Roman" w:cs="Times New Roman"/>
          <w:lang w:val="en-GB"/>
        </w:rPr>
        <w:t xml:space="preserve"> and Ho 2011</w:t>
      </w:r>
      <w:r w:rsidR="000E4D43" w:rsidRPr="00771F08">
        <w:rPr>
          <w:rFonts w:ascii="Times New Roman" w:hAnsi="Times New Roman" w:cs="Times New Roman"/>
          <w:lang w:val="en-GB"/>
        </w:rPr>
        <w:t>)</w:t>
      </w:r>
      <w:r w:rsidR="00A27000" w:rsidRPr="00771F08">
        <w:rPr>
          <w:rFonts w:ascii="Times New Roman" w:hAnsi="Times New Roman" w:cs="Times New Roman"/>
          <w:lang w:val="en-GB"/>
        </w:rPr>
        <w:t>;</w:t>
      </w:r>
      <w:r w:rsidR="0023344B" w:rsidRPr="00771F08">
        <w:rPr>
          <w:rFonts w:ascii="Times New Roman" w:hAnsi="Times New Roman" w:cs="Times New Roman"/>
          <w:lang w:val="en-GB"/>
        </w:rPr>
        <w:t xml:space="preserve"> their emotional connection with the </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w:t>
      </w:r>
      <w:r w:rsidR="00CD05D4" w:rsidRPr="00771F08">
        <w:rPr>
          <w:rFonts w:ascii="Times New Roman" w:hAnsi="Times New Roman" w:cs="Times New Roman"/>
          <w:szCs w:val="24"/>
          <w:lang w:val="en-GB"/>
        </w:rPr>
        <w:t xml:space="preserve"> (</w:t>
      </w:r>
      <w:proofErr w:type="spellStart"/>
      <w:r w:rsidR="00CD05D4" w:rsidRPr="00771F08">
        <w:rPr>
          <w:rFonts w:ascii="Times New Roman" w:hAnsi="Times New Roman" w:cs="Times New Roman"/>
          <w:szCs w:val="24"/>
          <w:lang w:val="en-GB"/>
        </w:rPr>
        <w:t>Komljenovic</w:t>
      </w:r>
      <w:proofErr w:type="spellEnd"/>
      <w:r w:rsidR="00CD05D4" w:rsidRPr="00771F08">
        <w:rPr>
          <w:rFonts w:ascii="Times New Roman" w:hAnsi="Times New Roman" w:cs="Times New Roman"/>
          <w:lang w:val="en-GB"/>
        </w:rPr>
        <w:t xml:space="preserve"> 2019</w:t>
      </w:r>
      <w:r w:rsidR="0023344B" w:rsidRPr="00771F08">
        <w:rPr>
          <w:rFonts w:ascii="Times New Roman" w:hAnsi="Times New Roman" w:cs="Times New Roman"/>
          <w:lang w:val="en-GB"/>
        </w:rPr>
        <w:t>);</w:t>
      </w:r>
      <w:r w:rsidR="00B1266E" w:rsidRPr="00771F08">
        <w:rPr>
          <w:rFonts w:ascii="Times New Roman" w:hAnsi="Times New Roman" w:cs="Times New Roman"/>
          <w:lang w:val="en-GB"/>
        </w:rPr>
        <w:t xml:space="preserve"> the perceived quality of teaching and other services that students receive (Hennig-</w:t>
      </w:r>
      <w:proofErr w:type="spellStart"/>
      <w:r w:rsidR="00B1266E" w:rsidRPr="00771F08">
        <w:rPr>
          <w:rFonts w:ascii="Times New Roman" w:hAnsi="Times New Roman" w:cs="Times New Roman"/>
          <w:lang w:val="en-GB"/>
        </w:rPr>
        <w:t>Thurau</w:t>
      </w:r>
      <w:proofErr w:type="spellEnd"/>
      <w:r w:rsidR="00B1266E" w:rsidRPr="00771F08">
        <w:rPr>
          <w:rFonts w:ascii="Times New Roman" w:hAnsi="Times New Roman" w:cs="Times New Roman"/>
          <w:lang w:val="en-GB"/>
        </w:rPr>
        <w:t xml:space="preserve"> et al. 2001)</w:t>
      </w:r>
      <w:r w:rsidR="00B42422" w:rsidRPr="00771F08">
        <w:rPr>
          <w:rFonts w:ascii="Times New Roman" w:hAnsi="Times New Roman" w:cs="Times New Roman"/>
          <w:lang w:val="en-GB"/>
        </w:rPr>
        <w:t>; as well as their overall satisfaction</w:t>
      </w:r>
      <w:r w:rsidR="00B1266E" w:rsidRPr="00771F08">
        <w:rPr>
          <w:rFonts w:ascii="Times New Roman" w:hAnsi="Times New Roman" w:cs="Times New Roman"/>
          <w:lang w:val="en-GB"/>
        </w:rPr>
        <w:t>.</w:t>
      </w:r>
      <w:r w:rsidR="00B42422" w:rsidRPr="00771F08">
        <w:rPr>
          <w:rFonts w:ascii="Times New Roman" w:hAnsi="Times New Roman" w:cs="Times New Roman"/>
          <w:lang w:val="en-GB"/>
        </w:rPr>
        <w:t xml:space="preserve"> Trust in turn can have a signific</w:t>
      </w:r>
      <w:r w:rsidR="00992AF0" w:rsidRPr="00771F08">
        <w:rPr>
          <w:rFonts w:ascii="Times New Roman" w:hAnsi="Times New Roman" w:cs="Times New Roman"/>
          <w:lang w:val="en-GB"/>
        </w:rPr>
        <w:t>ant</w:t>
      </w:r>
      <w:r w:rsidR="00B42422" w:rsidRPr="00771F08">
        <w:rPr>
          <w:rFonts w:ascii="Times New Roman" w:hAnsi="Times New Roman" w:cs="Times New Roman"/>
          <w:lang w:val="en-GB"/>
        </w:rPr>
        <w:t xml:space="preserve"> effect on the loyalty that students feel towards the institution (</w:t>
      </w:r>
      <w:r w:rsidRPr="00771F08">
        <w:rPr>
          <w:rFonts w:ascii="Times New Roman" w:hAnsi="Times New Roman" w:cs="Times New Roman"/>
          <w:lang w:val="en-GB"/>
        </w:rPr>
        <w:t>Ro</w:t>
      </w:r>
      <w:r w:rsidR="005A397A" w:rsidRPr="00771F08">
        <w:rPr>
          <w:rFonts w:ascii="Times New Roman" w:hAnsi="Times New Roman" w:cs="Times New Roman"/>
          <w:lang w:val="en-GB"/>
        </w:rPr>
        <w:t>j</w:t>
      </w:r>
      <w:r w:rsidRPr="00771F08">
        <w:rPr>
          <w:rFonts w:ascii="Times New Roman" w:hAnsi="Times New Roman" w:cs="Times New Roman"/>
          <w:lang w:val="en-GB"/>
        </w:rPr>
        <w:t>as-Mendez et al. 2009)</w:t>
      </w:r>
      <w:r w:rsidR="00B42422" w:rsidRPr="00771F08">
        <w:rPr>
          <w:rFonts w:ascii="Times New Roman" w:hAnsi="Times New Roman" w:cs="Times New Roman"/>
          <w:lang w:val="en-GB"/>
        </w:rPr>
        <w:t xml:space="preserve">. Trust can also </w:t>
      </w:r>
      <w:r w:rsidR="00A27000" w:rsidRPr="00771F08">
        <w:rPr>
          <w:rFonts w:ascii="Times New Roman" w:hAnsi="Times New Roman" w:cs="Times New Roman"/>
          <w:lang w:val="en-GB"/>
        </w:rPr>
        <w:t xml:space="preserve">be </w:t>
      </w:r>
      <w:r w:rsidR="00B42422" w:rsidRPr="00771F08">
        <w:rPr>
          <w:rFonts w:ascii="Times New Roman" w:hAnsi="Times New Roman" w:cs="Times New Roman"/>
          <w:lang w:val="en-GB"/>
        </w:rPr>
        <w:t>built after graduation by encouraging interaction</w:t>
      </w:r>
      <w:r w:rsidR="00FD76C2" w:rsidRPr="00771F08">
        <w:rPr>
          <w:rFonts w:ascii="Times New Roman" w:hAnsi="Times New Roman" w:cs="Times New Roman"/>
          <w:lang w:val="en-GB"/>
        </w:rPr>
        <w:t xml:space="preserve"> between the graduates and the u</w:t>
      </w:r>
      <w:r w:rsidR="00B42422" w:rsidRPr="00771F08">
        <w:rPr>
          <w:rFonts w:ascii="Times New Roman" w:hAnsi="Times New Roman" w:cs="Times New Roman"/>
          <w:lang w:val="en-GB"/>
        </w:rPr>
        <w:t>niversity by promoting respect, responsibility and reciprocity (H</w:t>
      </w:r>
      <w:r w:rsidR="00CD05D4" w:rsidRPr="00771F08">
        <w:rPr>
          <w:rFonts w:ascii="Times New Roman" w:hAnsi="Times New Roman" w:cs="Times New Roman"/>
          <w:lang w:val="en-GB"/>
        </w:rPr>
        <w:t>arrison 2018</w:t>
      </w:r>
      <w:r w:rsidR="00B42422" w:rsidRPr="00771F08">
        <w:rPr>
          <w:rFonts w:ascii="Times New Roman" w:hAnsi="Times New Roman" w:cs="Times New Roman"/>
          <w:lang w:val="en-GB"/>
        </w:rPr>
        <w:t>).</w:t>
      </w:r>
    </w:p>
    <w:p w14:paraId="244043DA" w14:textId="5A244BC2" w:rsidR="00E2030C" w:rsidRPr="00771F08" w:rsidRDefault="00B13567"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Given the above</w:t>
      </w:r>
      <w:r w:rsidR="00E2030C" w:rsidRPr="00771F08">
        <w:rPr>
          <w:rFonts w:ascii="Times New Roman" w:hAnsi="Times New Roman" w:cs="Times New Roman"/>
          <w:lang w:val="en-GB"/>
        </w:rPr>
        <w:t>, it is expected that the higher the level of students’ engagement with the university, the higher their trust toward it is. We thus formulate the first hypothesis as follows:</w:t>
      </w:r>
    </w:p>
    <w:p w14:paraId="4BDB73A7" w14:textId="51E4B0B4" w:rsidR="006E44A5" w:rsidRPr="00771F08" w:rsidRDefault="00D62D8D" w:rsidP="00237956">
      <w:pPr>
        <w:spacing w:after="0" w:line="240" w:lineRule="auto"/>
        <w:ind w:left="567" w:right="1133"/>
        <w:rPr>
          <w:rFonts w:ascii="Times New Roman" w:hAnsi="Times New Roman" w:cs="Times New Roman"/>
          <w:i/>
          <w:lang w:val="en-GB"/>
        </w:rPr>
      </w:pPr>
      <w:r w:rsidRPr="00771F08">
        <w:rPr>
          <w:rFonts w:ascii="Times New Roman" w:hAnsi="Times New Roman" w:cs="Times New Roman"/>
          <w:b/>
          <w:lang w:val="en-GB"/>
        </w:rPr>
        <w:t>H1</w:t>
      </w:r>
      <w:r w:rsidRPr="00771F08">
        <w:rPr>
          <w:rFonts w:ascii="Times New Roman" w:hAnsi="Times New Roman" w:cs="Times New Roman"/>
          <w:lang w:val="en-GB"/>
        </w:rPr>
        <w:t xml:space="preserve">. </w:t>
      </w:r>
      <w:r w:rsidR="006C0604" w:rsidRPr="00771F08">
        <w:rPr>
          <w:rFonts w:ascii="Times New Roman" w:hAnsi="Times New Roman" w:cs="Times New Roman"/>
          <w:i/>
          <w:iCs/>
          <w:lang w:val="en-GB"/>
        </w:rPr>
        <w:t xml:space="preserve">Prior </w:t>
      </w:r>
      <w:r w:rsidR="000B025B" w:rsidRPr="00771F08">
        <w:rPr>
          <w:rFonts w:ascii="Times New Roman" w:hAnsi="Times New Roman" w:cs="Times New Roman"/>
          <w:i/>
          <w:lang w:val="en-GB"/>
        </w:rPr>
        <w:t>engagement with the u</w:t>
      </w:r>
      <w:r w:rsidR="006C0604" w:rsidRPr="00771F08">
        <w:rPr>
          <w:rFonts w:ascii="Times New Roman" w:hAnsi="Times New Roman" w:cs="Times New Roman"/>
          <w:i/>
          <w:lang w:val="en-GB"/>
        </w:rPr>
        <w:t xml:space="preserve">niversity </w:t>
      </w:r>
      <w:r w:rsidRPr="00771F08">
        <w:rPr>
          <w:rFonts w:ascii="Times New Roman" w:hAnsi="Times New Roman" w:cs="Times New Roman"/>
          <w:i/>
          <w:lang w:val="en-GB"/>
        </w:rPr>
        <w:t>positively influences trust</w:t>
      </w:r>
      <w:r w:rsidR="006C0604" w:rsidRPr="00771F08">
        <w:rPr>
          <w:rFonts w:ascii="Times New Roman" w:hAnsi="Times New Roman" w:cs="Times New Roman"/>
          <w:i/>
          <w:lang w:val="en-GB"/>
        </w:rPr>
        <w:t xml:space="preserve"> towards it</w:t>
      </w:r>
      <w:r w:rsidRPr="00771F08">
        <w:rPr>
          <w:rFonts w:ascii="Times New Roman" w:hAnsi="Times New Roman" w:cs="Times New Roman"/>
          <w:i/>
          <w:lang w:val="en-GB"/>
        </w:rPr>
        <w:t xml:space="preserve">. </w:t>
      </w:r>
    </w:p>
    <w:p w14:paraId="4D5BBC09" w14:textId="77777777" w:rsidR="007D26D7" w:rsidRPr="00771F08" w:rsidRDefault="007D26D7" w:rsidP="00237956">
      <w:pPr>
        <w:spacing w:after="0" w:line="240" w:lineRule="auto"/>
        <w:ind w:left="567" w:right="1133"/>
        <w:rPr>
          <w:rFonts w:ascii="Times New Roman" w:hAnsi="Times New Roman" w:cs="Times New Roman"/>
          <w:i/>
          <w:lang w:val="en-GB"/>
        </w:rPr>
      </w:pPr>
    </w:p>
    <w:p w14:paraId="5D7A1B35" w14:textId="07F2EEAD" w:rsidR="00054FC5" w:rsidRPr="00771F08" w:rsidRDefault="001D2A98" w:rsidP="00237956">
      <w:pPr>
        <w:spacing w:after="0" w:line="240" w:lineRule="auto"/>
        <w:ind w:left="567" w:right="1133"/>
        <w:rPr>
          <w:rFonts w:ascii="Times New Roman" w:hAnsi="Times New Roman" w:cs="Times New Roman"/>
          <w:b/>
          <w:i/>
          <w:lang w:val="en-GB"/>
        </w:rPr>
      </w:pPr>
      <w:r w:rsidRPr="00771F08">
        <w:rPr>
          <w:rFonts w:ascii="Times New Roman" w:hAnsi="Times New Roman" w:cs="Times New Roman"/>
          <w:b/>
          <w:i/>
          <w:lang w:val="en-GB"/>
        </w:rPr>
        <w:t>2.</w:t>
      </w:r>
      <w:r w:rsidR="003154B5" w:rsidRPr="00771F08">
        <w:rPr>
          <w:rFonts w:ascii="Times New Roman" w:hAnsi="Times New Roman" w:cs="Times New Roman"/>
          <w:b/>
          <w:i/>
          <w:lang w:val="en-GB"/>
        </w:rPr>
        <w:t>2</w:t>
      </w:r>
      <w:r w:rsidR="00054FC5" w:rsidRPr="00771F08">
        <w:rPr>
          <w:rFonts w:ascii="Times New Roman" w:hAnsi="Times New Roman" w:cs="Times New Roman"/>
          <w:b/>
          <w:i/>
          <w:lang w:val="en-GB"/>
        </w:rPr>
        <w:t xml:space="preserve"> Attitude toward donations</w:t>
      </w:r>
    </w:p>
    <w:p w14:paraId="0DABE7B6" w14:textId="5A16A051" w:rsidR="007F7D7E" w:rsidRPr="00771F08" w:rsidRDefault="003C6838"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 xml:space="preserve">Faced with the extremely competitive marketplace </w:t>
      </w:r>
      <w:r w:rsidR="00501188" w:rsidRPr="00771F08">
        <w:rPr>
          <w:rFonts w:ascii="Times New Roman" w:hAnsi="Times New Roman" w:cs="Times New Roman"/>
          <w:lang w:val="en-GB"/>
        </w:rPr>
        <w:t>characteri</w:t>
      </w:r>
      <w:r w:rsidR="00771F08" w:rsidRPr="00771F08">
        <w:rPr>
          <w:rFonts w:ascii="Times New Roman" w:hAnsi="Times New Roman" w:cs="Times New Roman"/>
          <w:lang w:val="en-GB"/>
        </w:rPr>
        <w:t>s</w:t>
      </w:r>
      <w:r w:rsidR="00501188" w:rsidRPr="00771F08">
        <w:rPr>
          <w:rFonts w:ascii="Times New Roman" w:hAnsi="Times New Roman" w:cs="Times New Roman"/>
          <w:lang w:val="en-GB"/>
        </w:rPr>
        <w:t>ing</w:t>
      </w:r>
      <w:r w:rsidRPr="00771F08">
        <w:rPr>
          <w:rFonts w:ascii="Times New Roman" w:hAnsi="Times New Roman" w:cs="Times New Roman"/>
          <w:lang w:val="en-GB"/>
        </w:rPr>
        <w:t xml:space="preserve"> the HE context, institutions and universities are increasingly searching for new strategies to connect with their graduates and seeking ways in which they can contribute to the institution</w:t>
      </w:r>
      <w:r w:rsidR="005A1148" w:rsidRPr="00771F08">
        <w:rPr>
          <w:rFonts w:ascii="Times New Roman" w:hAnsi="Times New Roman" w:cs="Times New Roman"/>
          <w:lang w:val="en-GB"/>
        </w:rPr>
        <w:t xml:space="preserve"> (Johnson</w:t>
      </w:r>
      <w:r w:rsidRPr="00771F08">
        <w:rPr>
          <w:rFonts w:ascii="Times New Roman" w:hAnsi="Times New Roman" w:cs="Times New Roman"/>
          <w:lang w:val="en-GB"/>
        </w:rPr>
        <w:t xml:space="preserve"> </w:t>
      </w:r>
      <w:r w:rsidR="005A1148" w:rsidRPr="00771F08">
        <w:rPr>
          <w:rFonts w:ascii="Times New Roman" w:hAnsi="Times New Roman" w:cs="Times New Roman"/>
          <w:lang w:val="en-GB"/>
        </w:rPr>
        <w:t xml:space="preserve">et al. 2010; </w:t>
      </w:r>
      <w:proofErr w:type="spellStart"/>
      <w:r w:rsidR="005A1148" w:rsidRPr="00771F08">
        <w:rPr>
          <w:rFonts w:ascii="Times New Roman" w:hAnsi="Times New Roman" w:cs="Times New Roman"/>
          <w:lang w:val="en-GB"/>
        </w:rPr>
        <w:t>Weert</w:t>
      </w:r>
      <w:proofErr w:type="spellEnd"/>
      <w:r w:rsidR="005A1148" w:rsidRPr="00771F08">
        <w:rPr>
          <w:rFonts w:ascii="Times New Roman" w:hAnsi="Times New Roman" w:cs="Times New Roman"/>
          <w:lang w:val="en-GB"/>
        </w:rPr>
        <w:t xml:space="preserve"> and </w:t>
      </w:r>
      <w:proofErr w:type="spellStart"/>
      <w:r w:rsidR="005A1148" w:rsidRPr="00771F08">
        <w:rPr>
          <w:rFonts w:ascii="Times New Roman" w:hAnsi="Times New Roman" w:cs="Times New Roman"/>
          <w:lang w:val="en-GB"/>
        </w:rPr>
        <w:t>Ronca</w:t>
      </w:r>
      <w:proofErr w:type="spellEnd"/>
      <w:r w:rsidR="005A1148" w:rsidRPr="00771F08">
        <w:rPr>
          <w:rFonts w:ascii="Times New Roman" w:hAnsi="Times New Roman" w:cs="Times New Roman"/>
          <w:lang w:val="en-GB"/>
        </w:rPr>
        <w:t xml:space="preserve"> </w:t>
      </w:r>
      <w:r w:rsidRPr="00771F08">
        <w:rPr>
          <w:rFonts w:ascii="Times New Roman" w:hAnsi="Times New Roman" w:cs="Times New Roman"/>
          <w:lang w:val="en-GB"/>
        </w:rPr>
        <w:t xml:space="preserve">2008). </w:t>
      </w:r>
      <w:r w:rsidR="001832CF" w:rsidRPr="00771F08">
        <w:rPr>
          <w:rFonts w:ascii="Times New Roman" w:hAnsi="Times New Roman" w:cs="Times New Roman"/>
          <w:lang w:val="en-GB"/>
        </w:rPr>
        <w:t xml:space="preserve">Such </w:t>
      </w:r>
      <w:r w:rsidR="00A27000" w:rsidRPr="00771F08">
        <w:rPr>
          <w:rFonts w:ascii="Times New Roman" w:hAnsi="Times New Roman" w:cs="Times New Roman"/>
          <w:lang w:val="en-GB"/>
        </w:rPr>
        <w:t xml:space="preserve">methods </w:t>
      </w:r>
      <w:r w:rsidR="001832CF" w:rsidRPr="00771F08">
        <w:rPr>
          <w:rFonts w:ascii="Times New Roman" w:hAnsi="Times New Roman" w:cs="Times New Roman"/>
          <w:lang w:val="en-GB"/>
        </w:rPr>
        <w:t>may involve tools that are typically used in the commercial sphere, such as crowdfunding</w:t>
      </w:r>
      <w:r w:rsidR="00A27000" w:rsidRPr="00771F08">
        <w:rPr>
          <w:rFonts w:ascii="Times New Roman" w:hAnsi="Times New Roman" w:cs="Times New Roman"/>
          <w:lang w:val="en-GB"/>
        </w:rPr>
        <w:t>,</w:t>
      </w:r>
      <w:r w:rsidR="001832CF" w:rsidRPr="00771F08">
        <w:rPr>
          <w:rFonts w:ascii="Times New Roman" w:hAnsi="Times New Roman" w:cs="Times New Roman"/>
          <w:lang w:val="en-GB"/>
        </w:rPr>
        <w:t xml:space="preserve"> and go beyond the typical scope of donations (Cho et al, 2019). Irrespective of the mechanism or channel </w:t>
      </w:r>
      <w:r w:rsidR="00A27000" w:rsidRPr="00771F08">
        <w:rPr>
          <w:rFonts w:ascii="Times New Roman" w:hAnsi="Times New Roman" w:cs="Times New Roman"/>
          <w:lang w:val="en-GB"/>
        </w:rPr>
        <w:t xml:space="preserve">by which </w:t>
      </w:r>
      <w:r w:rsidR="001832CF" w:rsidRPr="00771F08">
        <w:rPr>
          <w:rFonts w:ascii="Times New Roman" w:hAnsi="Times New Roman" w:cs="Times New Roman"/>
          <w:lang w:val="en-GB"/>
        </w:rPr>
        <w:t>money is raised, it also worth noting that</w:t>
      </w:r>
      <w:r w:rsidRPr="00771F08">
        <w:rPr>
          <w:rFonts w:ascii="Times New Roman" w:hAnsi="Times New Roman" w:cs="Times New Roman"/>
          <w:lang w:val="en-GB"/>
        </w:rPr>
        <w:t xml:space="preserve"> the widespread credit crunch of recent years </w:t>
      </w:r>
      <w:r w:rsidR="001832CF" w:rsidRPr="00771F08">
        <w:rPr>
          <w:rFonts w:ascii="Times New Roman" w:hAnsi="Times New Roman" w:cs="Times New Roman"/>
          <w:lang w:val="en-GB"/>
        </w:rPr>
        <w:t xml:space="preserve">has </w:t>
      </w:r>
      <w:r w:rsidRPr="00771F08">
        <w:rPr>
          <w:rFonts w:ascii="Times New Roman" w:hAnsi="Times New Roman" w:cs="Times New Roman"/>
          <w:lang w:val="en-GB"/>
        </w:rPr>
        <w:t>led to a reduction in the level of donation</w:t>
      </w:r>
      <w:r w:rsidR="00FA07D6" w:rsidRPr="00771F08">
        <w:rPr>
          <w:rFonts w:ascii="Times New Roman" w:hAnsi="Times New Roman" w:cs="Times New Roman"/>
          <w:lang w:val="en-GB"/>
        </w:rPr>
        <w:t>s for all universities (</w:t>
      </w:r>
      <w:r w:rsidR="007043B4" w:rsidRPr="00771F08">
        <w:rPr>
          <w:rFonts w:ascii="Times New Roman" w:hAnsi="Times New Roman" w:cs="Times New Roman"/>
          <w:lang w:val="en-GB"/>
        </w:rPr>
        <w:t xml:space="preserve">Gallo, 2018; </w:t>
      </w:r>
      <w:r w:rsidR="00FA07D6" w:rsidRPr="00771F08">
        <w:rPr>
          <w:rFonts w:ascii="Times New Roman" w:hAnsi="Times New Roman" w:cs="Times New Roman"/>
          <w:lang w:val="en-GB"/>
        </w:rPr>
        <w:t>Baruch and Sang</w:t>
      </w:r>
      <w:r w:rsidRPr="00771F08">
        <w:rPr>
          <w:rFonts w:ascii="Times New Roman" w:hAnsi="Times New Roman" w:cs="Times New Roman"/>
          <w:lang w:val="en-GB"/>
        </w:rPr>
        <w:t xml:space="preserve"> 2012). In this respect, additional income sources other than tuition fees </w:t>
      </w:r>
      <w:r w:rsidR="001832CF" w:rsidRPr="00771F08">
        <w:rPr>
          <w:rFonts w:ascii="Times New Roman" w:hAnsi="Times New Roman" w:cs="Times New Roman"/>
          <w:lang w:val="en-GB"/>
        </w:rPr>
        <w:t xml:space="preserve">are of </w:t>
      </w:r>
      <w:r w:rsidR="00B033C0" w:rsidRPr="00771F08">
        <w:rPr>
          <w:rFonts w:ascii="Times New Roman" w:hAnsi="Times New Roman" w:cs="Times New Roman"/>
          <w:lang w:val="en-GB"/>
        </w:rPr>
        <w:t>relatively</w:t>
      </w:r>
      <w:r w:rsidR="001832CF" w:rsidRPr="00771F08">
        <w:rPr>
          <w:rFonts w:ascii="Times New Roman" w:hAnsi="Times New Roman" w:cs="Times New Roman"/>
          <w:lang w:val="en-GB"/>
        </w:rPr>
        <w:t xml:space="preserve"> higher importance</w:t>
      </w:r>
      <w:r w:rsidRPr="00771F08">
        <w:rPr>
          <w:rFonts w:ascii="Times New Roman" w:hAnsi="Times New Roman" w:cs="Times New Roman"/>
          <w:lang w:val="en-GB"/>
        </w:rPr>
        <w:t xml:space="preserve"> for the </w:t>
      </w:r>
      <w:r w:rsidR="00FA07D6" w:rsidRPr="00771F08">
        <w:rPr>
          <w:rFonts w:ascii="Times New Roman" w:hAnsi="Times New Roman" w:cs="Times New Roman"/>
          <w:lang w:val="en-GB"/>
        </w:rPr>
        <w:t>HEIs</w:t>
      </w:r>
      <w:r w:rsidR="001832CF" w:rsidRPr="00771F08">
        <w:rPr>
          <w:rFonts w:ascii="Times New Roman" w:hAnsi="Times New Roman" w:cs="Times New Roman"/>
          <w:lang w:val="en-GB"/>
        </w:rPr>
        <w:t xml:space="preserve"> as they help diversify income streams and avoid over reliance on tuition fees</w:t>
      </w:r>
      <w:r w:rsidRPr="00771F08">
        <w:rPr>
          <w:rFonts w:ascii="Times New Roman" w:hAnsi="Times New Roman" w:cs="Times New Roman"/>
          <w:lang w:val="en-GB"/>
        </w:rPr>
        <w:t>. In particular, alumni donations have become a fundamental</w:t>
      </w:r>
      <w:r w:rsidR="00014F2F" w:rsidRPr="00771F08">
        <w:rPr>
          <w:rFonts w:ascii="Times New Roman" w:hAnsi="Times New Roman" w:cs="Times New Roman"/>
          <w:lang w:val="en-GB"/>
        </w:rPr>
        <w:t xml:space="preserve"> part of these sources (Baruch and Sang, 2012; </w:t>
      </w:r>
      <w:proofErr w:type="spellStart"/>
      <w:r w:rsidR="00014F2F" w:rsidRPr="00771F08">
        <w:rPr>
          <w:rFonts w:ascii="Times New Roman" w:hAnsi="Times New Roman" w:cs="Times New Roman"/>
          <w:lang w:val="en-GB"/>
        </w:rPr>
        <w:t>Bastedo</w:t>
      </w:r>
      <w:proofErr w:type="spellEnd"/>
      <w:r w:rsidR="00014F2F" w:rsidRPr="00771F08">
        <w:rPr>
          <w:rFonts w:ascii="Times New Roman" w:hAnsi="Times New Roman" w:cs="Times New Roman"/>
          <w:lang w:val="en-GB"/>
        </w:rPr>
        <w:t xml:space="preserve"> et al.</w:t>
      </w:r>
      <w:r w:rsidRPr="00771F08">
        <w:rPr>
          <w:rFonts w:ascii="Times New Roman" w:hAnsi="Times New Roman" w:cs="Times New Roman"/>
          <w:lang w:val="en-GB"/>
        </w:rPr>
        <w:t xml:space="preserve"> 2014</w:t>
      </w:r>
      <w:r w:rsidR="00014F2F" w:rsidRPr="00771F08">
        <w:rPr>
          <w:rFonts w:ascii="Times New Roman" w:hAnsi="Times New Roman" w:cs="Times New Roman"/>
          <w:lang w:val="en-GB"/>
        </w:rPr>
        <w:t xml:space="preserve">; </w:t>
      </w:r>
      <w:r w:rsidR="00EA4961" w:rsidRPr="00771F08">
        <w:rPr>
          <w:rFonts w:ascii="Times New Roman" w:hAnsi="Times New Roman" w:cs="Times New Roman"/>
          <w:lang w:val="en-GB"/>
        </w:rPr>
        <w:t>Dennis et al</w:t>
      </w:r>
      <w:r w:rsidR="00014F2F" w:rsidRPr="00771F08">
        <w:rPr>
          <w:rFonts w:ascii="Times New Roman" w:hAnsi="Times New Roman" w:cs="Times New Roman"/>
          <w:lang w:val="en-GB"/>
        </w:rPr>
        <w:t xml:space="preserve"> 2016</w:t>
      </w:r>
      <w:r w:rsidRPr="00771F08">
        <w:rPr>
          <w:rFonts w:ascii="Times New Roman" w:hAnsi="Times New Roman" w:cs="Times New Roman"/>
          <w:lang w:val="en-GB"/>
        </w:rPr>
        <w:t>).</w:t>
      </w:r>
      <w:r w:rsidR="007043B4" w:rsidRPr="00771F08">
        <w:rPr>
          <w:rFonts w:ascii="Times New Roman" w:hAnsi="Times New Roman" w:cs="Times New Roman"/>
          <w:lang w:val="en-GB"/>
        </w:rPr>
        <w:t xml:space="preserve"> </w:t>
      </w:r>
      <w:r w:rsidRPr="00771F08">
        <w:rPr>
          <w:rFonts w:ascii="Times New Roman" w:hAnsi="Times New Roman" w:cs="Times New Roman"/>
          <w:lang w:val="en-GB"/>
        </w:rPr>
        <w:t>For this reason, the interest of scholars in alumni attitude toward donations has been growing increasingly</w:t>
      </w:r>
      <w:r w:rsidR="00A27000" w:rsidRPr="00771F08">
        <w:rPr>
          <w:rFonts w:ascii="Times New Roman" w:hAnsi="Times New Roman" w:cs="Times New Roman"/>
          <w:lang w:val="en-GB"/>
        </w:rPr>
        <w:t>,</w:t>
      </w:r>
      <w:r w:rsidRPr="00771F08">
        <w:rPr>
          <w:rFonts w:ascii="Times New Roman" w:hAnsi="Times New Roman" w:cs="Times New Roman"/>
          <w:lang w:val="en-GB"/>
        </w:rPr>
        <w:t xml:space="preserve"> especially in </w:t>
      </w:r>
      <w:r w:rsidR="00014F2F" w:rsidRPr="00771F08">
        <w:rPr>
          <w:rFonts w:ascii="Times New Roman" w:hAnsi="Times New Roman" w:cs="Times New Roman"/>
          <w:lang w:val="en-GB"/>
        </w:rPr>
        <w:t>recent years (Stephenson and Yerger</w:t>
      </w:r>
      <w:r w:rsidRPr="00771F08">
        <w:rPr>
          <w:rFonts w:ascii="Times New Roman" w:hAnsi="Times New Roman" w:cs="Times New Roman"/>
          <w:lang w:val="en-GB"/>
        </w:rPr>
        <w:t xml:space="preserve"> 2014). </w:t>
      </w:r>
      <w:r w:rsidR="001578F6" w:rsidRPr="00771F08">
        <w:rPr>
          <w:rFonts w:ascii="Times New Roman" w:hAnsi="Times New Roman" w:cs="Times New Roman"/>
          <w:lang w:val="en-GB"/>
        </w:rPr>
        <w:t>In</w:t>
      </w:r>
      <w:r w:rsidR="006D535C" w:rsidRPr="00771F08">
        <w:rPr>
          <w:rFonts w:ascii="Times New Roman" w:hAnsi="Times New Roman" w:cs="Times New Roman"/>
          <w:lang w:val="en-GB"/>
        </w:rPr>
        <w:t>deed</w:t>
      </w:r>
      <w:r w:rsidR="001578F6" w:rsidRPr="00771F08">
        <w:rPr>
          <w:rFonts w:ascii="Times New Roman" w:hAnsi="Times New Roman" w:cs="Times New Roman"/>
          <w:lang w:val="en-GB"/>
        </w:rPr>
        <w:t xml:space="preserve">, over the past two decades, </w:t>
      </w:r>
      <w:r w:rsidR="00A53D42" w:rsidRPr="00771F08">
        <w:rPr>
          <w:rFonts w:ascii="Times New Roman" w:hAnsi="Times New Roman" w:cs="Times New Roman"/>
          <w:lang w:val="en-GB"/>
        </w:rPr>
        <w:t xml:space="preserve">several </w:t>
      </w:r>
      <w:r w:rsidR="001578F6" w:rsidRPr="00771F08">
        <w:rPr>
          <w:rFonts w:ascii="Times New Roman" w:hAnsi="Times New Roman" w:cs="Times New Roman"/>
          <w:lang w:val="en-GB"/>
        </w:rPr>
        <w:t xml:space="preserve">authors have attempted to identify </w:t>
      </w:r>
      <w:r w:rsidR="00A0669E" w:rsidRPr="00771F08">
        <w:rPr>
          <w:rFonts w:ascii="Times New Roman" w:hAnsi="Times New Roman" w:cs="Times New Roman"/>
          <w:lang w:val="en-GB"/>
        </w:rPr>
        <w:t>the main factors leading alumni to dona</w:t>
      </w:r>
      <w:r w:rsidR="00014F2F" w:rsidRPr="00771F08">
        <w:rPr>
          <w:rFonts w:ascii="Times New Roman" w:hAnsi="Times New Roman" w:cs="Times New Roman"/>
          <w:lang w:val="en-GB"/>
        </w:rPr>
        <w:t>te to their alma mater (</w:t>
      </w:r>
      <w:proofErr w:type="spellStart"/>
      <w:r w:rsidR="00014F2F" w:rsidRPr="00771F08">
        <w:rPr>
          <w:rFonts w:ascii="Times New Roman" w:hAnsi="Times New Roman" w:cs="Times New Roman"/>
          <w:lang w:val="en-GB"/>
        </w:rPr>
        <w:t>Weerts</w:t>
      </w:r>
      <w:proofErr w:type="spellEnd"/>
      <w:r w:rsidR="00014F2F" w:rsidRPr="00771F08">
        <w:rPr>
          <w:rFonts w:ascii="Times New Roman" w:hAnsi="Times New Roman" w:cs="Times New Roman"/>
          <w:lang w:val="en-GB"/>
        </w:rPr>
        <w:t xml:space="preserve"> and </w:t>
      </w:r>
      <w:proofErr w:type="spellStart"/>
      <w:r w:rsidR="00014F2F" w:rsidRPr="00771F08">
        <w:rPr>
          <w:rFonts w:ascii="Times New Roman" w:hAnsi="Times New Roman" w:cs="Times New Roman"/>
          <w:lang w:val="en-GB"/>
        </w:rPr>
        <w:t>Ronca</w:t>
      </w:r>
      <w:proofErr w:type="spellEnd"/>
      <w:r w:rsidR="00A0669E" w:rsidRPr="00771F08">
        <w:rPr>
          <w:rFonts w:ascii="Times New Roman" w:hAnsi="Times New Roman" w:cs="Times New Roman"/>
          <w:lang w:val="en-GB"/>
        </w:rPr>
        <w:t xml:space="preserve"> 2008). </w:t>
      </w:r>
      <w:r w:rsidR="00573E9D" w:rsidRPr="00771F08">
        <w:rPr>
          <w:rFonts w:ascii="Times New Roman" w:hAnsi="Times New Roman" w:cs="Times New Roman"/>
          <w:lang w:val="en-GB"/>
        </w:rPr>
        <w:t>Other</w:t>
      </w:r>
      <w:r w:rsidR="0076487A" w:rsidRPr="00771F08">
        <w:rPr>
          <w:rFonts w:ascii="Times New Roman" w:hAnsi="Times New Roman" w:cs="Times New Roman"/>
          <w:lang w:val="en-GB"/>
        </w:rPr>
        <w:t xml:space="preserve"> studies</w:t>
      </w:r>
      <w:r w:rsidR="006B1D96" w:rsidRPr="00771F08">
        <w:rPr>
          <w:rFonts w:ascii="Times New Roman" w:hAnsi="Times New Roman" w:cs="Times New Roman"/>
          <w:lang w:val="en-GB"/>
        </w:rPr>
        <w:t xml:space="preserve"> investigated </w:t>
      </w:r>
      <w:r w:rsidR="00314342" w:rsidRPr="00771F08">
        <w:rPr>
          <w:rFonts w:ascii="Times New Roman" w:hAnsi="Times New Roman" w:cs="Times New Roman"/>
          <w:lang w:val="en-GB"/>
        </w:rPr>
        <w:t>socio-economic variables, such as income and education, past giving, sector of employment, type of ﬁnancial aid received</w:t>
      </w:r>
      <w:r w:rsidR="00015B95" w:rsidRPr="00771F08">
        <w:rPr>
          <w:rFonts w:ascii="Times New Roman" w:hAnsi="Times New Roman" w:cs="Times New Roman"/>
          <w:lang w:val="en-GB"/>
        </w:rPr>
        <w:t xml:space="preserve">, </w:t>
      </w:r>
      <w:r w:rsidR="00B00407" w:rsidRPr="00771F08">
        <w:rPr>
          <w:rFonts w:ascii="Times New Roman" w:hAnsi="Times New Roman" w:cs="Times New Roman"/>
          <w:lang w:val="en-GB"/>
        </w:rPr>
        <w:t xml:space="preserve">as well as </w:t>
      </w:r>
      <w:r w:rsidR="00314342" w:rsidRPr="00771F08">
        <w:rPr>
          <w:rFonts w:ascii="Times New Roman" w:hAnsi="Times New Roman" w:cs="Times New Roman"/>
          <w:lang w:val="en-GB"/>
        </w:rPr>
        <w:t xml:space="preserve">demographic </w:t>
      </w:r>
      <w:r w:rsidR="003B6010" w:rsidRPr="00771F08">
        <w:rPr>
          <w:rFonts w:ascii="Times New Roman" w:hAnsi="Times New Roman" w:cs="Times New Roman"/>
          <w:lang w:val="en-GB"/>
        </w:rPr>
        <w:t>indicators</w:t>
      </w:r>
      <w:r w:rsidR="00314342" w:rsidRPr="00771F08">
        <w:rPr>
          <w:rFonts w:ascii="Times New Roman" w:hAnsi="Times New Roman" w:cs="Times New Roman"/>
          <w:lang w:val="en-GB"/>
        </w:rPr>
        <w:t xml:space="preserve"> (</w:t>
      </w:r>
      <w:proofErr w:type="spellStart"/>
      <w:r w:rsidR="00E0759F" w:rsidRPr="00771F08">
        <w:rPr>
          <w:rFonts w:ascii="Times New Roman" w:hAnsi="Times New Roman" w:cs="Times New Roman"/>
          <w:lang w:val="en-GB"/>
        </w:rPr>
        <w:t>Gunslaus</w:t>
      </w:r>
      <w:proofErr w:type="spellEnd"/>
      <w:r w:rsidR="0076487A" w:rsidRPr="00771F08">
        <w:rPr>
          <w:rFonts w:ascii="Times New Roman" w:hAnsi="Times New Roman" w:cs="Times New Roman"/>
          <w:lang w:val="en-GB"/>
        </w:rPr>
        <w:t xml:space="preserve"> 2004; </w:t>
      </w:r>
      <w:r w:rsidR="00E0759F" w:rsidRPr="00771F08">
        <w:rPr>
          <w:rFonts w:ascii="Times New Roman" w:hAnsi="Times New Roman" w:cs="Times New Roman"/>
          <w:lang w:val="en-GB"/>
        </w:rPr>
        <w:t xml:space="preserve">Newman and </w:t>
      </w:r>
      <w:proofErr w:type="spellStart"/>
      <w:r w:rsidR="00E0759F" w:rsidRPr="00771F08">
        <w:rPr>
          <w:rFonts w:ascii="Times New Roman" w:hAnsi="Times New Roman" w:cs="Times New Roman"/>
          <w:lang w:val="en-GB"/>
        </w:rPr>
        <w:t>Petrosko</w:t>
      </w:r>
      <w:proofErr w:type="spellEnd"/>
      <w:r w:rsidR="00314342" w:rsidRPr="00771F08">
        <w:rPr>
          <w:rFonts w:ascii="Times New Roman" w:hAnsi="Times New Roman" w:cs="Times New Roman"/>
          <w:lang w:val="en-GB"/>
        </w:rPr>
        <w:t xml:space="preserve"> 2011</w:t>
      </w:r>
      <w:r w:rsidR="00E0759F" w:rsidRPr="00771F08">
        <w:rPr>
          <w:rFonts w:ascii="Times New Roman" w:hAnsi="Times New Roman" w:cs="Times New Roman"/>
          <w:lang w:val="en-GB"/>
        </w:rPr>
        <w:t xml:space="preserve">; </w:t>
      </w:r>
      <w:proofErr w:type="spellStart"/>
      <w:r w:rsidR="00E0759F" w:rsidRPr="00771F08">
        <w:rPr>
          <w:rFonts w:ascii="Times New Roman" w:hAnsi="Times New Roman" w:cs="Times New Roman"/>
          <w:lang w:val="en-GB"/>
        </w:rPr>
        <w:t>Wunnava</w:t>
      </w:r>
      <w:proofErr w:type="spellEnd"/>
      <w:r w:rsidR="00E0759F" w:rsidRPr="00771F08">
        <w:rPr>
          <w:rFonts w:ascii="Times New Roman" w:hAnsi="Times New Roman" w:cs="Times New Roman"/>
          <w:lang w:val="en-GB"/>
        </w:rPr>
        <w:t xml:space="preserve"> and </w:t>
      </w:r>
      <w:proofErr w:type="spellStart"/>
      <w:r w:rsidR="00E0759F" w:rsidRPr="00771F08">
        <w:rPr>
          <w:rFonts w:ascii="Times New Roman" w:hAnsi="Times New Roman" w:cs="Times New Roman"/>
          <w:lang w:val="en-GB"/>
        </w:rPr>
        <w:t>Lauze</w:t>
      </w:r>
      <w:proofErr w:type="spellEnd"/>
      <w:r w:rsidR="0076487A" w:rsidRPr="00771F08">
        <w:rPr>
          <w:rFonts w:ascii="Times New Roman" w:hAnsi="Times New Roman" w:cs="Times New Roman"/>
          <w:lang w:val="en-GB"/>
        </w:rPr>
        <w:t xml:space="preserve"> 2001</w:t>
      </w:r>
      <w:r w:rsidR="00314342" w:rsidRPr="00771F08">
        <w:rPr>
          <w:rFonts w:ascii="Times New Roman" w:hAnsi="Times New Roman" w:cs="Times New Roman"/>
          <w:lang w:val="en-GB"/>
        </w:rPr>
        <w:t xml:space="preserve">), </w:t>
      </w:r>
      <w:r w:rsidR="00D96770" w:rsidRPr="00771F08">
        <w:rPr>
          <w:rFonts w:ascii="Times New Roman" w:hAnsi="Times New Roman" w:cs="Times New Roman"/>
          <w:lang w:val="en-GB"/>
        </w:rPr>
        <w:t>such as age, ethnicity, income, gender, residence</w:t>
      </w:r>
      <w:r w:rsidR="00314342" w:rsidRPr="00771F08">
        <w:rPr>
          <w:rFonts w:ascii="Times New Roman" w:hAnsi="Times New Roman" w:cs="Times New Roman"/>
          <w:lang w:val="en-GB"/>
        </w:rPr>
        <w:t>,</w:t>
      </w:r>
      <w:r w:rsidR="00D96770" w:rsidRPr="00771F08">
        <w:rPr>
          <w:rFonts w:ascii="Times New Roman" w:hAnsi="Times New Roman" w:cs="Times New Roman"/>
          <w:lang w:val="en-GB"/>
        </w:rPr>
        <w:t xml:space="preserve"> marital status </w:t>
      </w:r>
      <w:r w:rsidR="00A7693E" w:rsidRPr="00771F08">
        <w:rPr>
          <w:rFonts w:ascii="Times New Roman" w:hAnsi="Times New Roman" w:cs="Times New Roman"/>
          <w:lang w:val="en-GB"/>
        </w:rPr>
        <w:t>(</w:t>
      </w:r>
      <w:r w:rsidR="00E0759F" w:rsidRPr="00771F08">
        <w:rPr>
          <w:rFonts w:ascii="Times New Roman" w:hAnsi="Times New Roman" w:cs="Times New Roman"/>
          <w:lang w:val="en-GB"/>
        </w:rPr>
        <w:t>Clotfelter</w:t>
      </w:r>
      <w:r w:rsidR="00615915" w:rsidRPr="00771F08">
        <w:rPr>
          <w:rFonts w:ascii="Times New Roman" w:hAnsi="Times New Roman" w:cs="Times New Roman"/>
          <w:lang w:val="en-GB"/>
        </w:rPr>
        <w:t xml:space="preserve"> 2003</w:t>
      </w:r>
      <w:r w:rsidR="00E0759F" w:rsidRPr="00771F08">
        <w:rPr>
          <w:rFonts w:ascii="Times New Roman" w:hAnsi="Times New Roman" w:cs="Times New Roman"/>
          <w:lang w:val="en-GB"/>
        </w:rPr>
        <w:t xml:space="preserve">; </w:t>
      </w:r>
      <w:r w:rsidR="00294589" w:rsidRPr="00771F08">
        <w:rPr>
          <w:rFonts w:ascii="Times New Roman" w:hAnsi="Times New Roman" w:cs="Times New Roman"/>
          <w:lang w:val="en-GB"/>
        </w:rPr>
        <w:t xml:space="preserve">Drezner 2018; </w:t>
      </w:r>
      <w:r w:rsidR="00E0759F" w:rsidRPr="00771F08">
        <w:rPr>
          <w:rFonts w:ascii="Times New Roman" w:hAnsi="Times New Roman" w:cs="Times New Roman"/>
          <w:lang w:val="en-GB"/>
        </w:rPr>
        <w:t>Holmes</w:t>
      </w:r>
      <w:r w:rsidR="00995D1E" w:rsidRPr="00771F08">
        <w:rPr>
          <w:rFonts w:ascii="Times New Roman" w:hAnsi="Times New Roman" w:cs="Times New Roman"/>
          <w:lang w:val="en-GB"/>
        </w:rPr>
        <w:t xml:space="preserve"> 200</w:t>
      </w:r>
      <w:r w:rsidR="00615915" w:rsidRPr="00771F08">
        <w:rPr>
          <w:rFonts w:ascii="Times New Roman" w:hAnsi="Times New Roman" w:cs="Times New Roman"/>
          <w:lang w:val="en-GB"/>
        </w:rPr>
        <w:t>9</w:t>
      </w:r>
      <w:r w:rsidR="00995D1E" w:rsidRPr="00771F08">
        <w:rPr>
          <w:rFonts w:ascii="Times New Roman" w:hAnsi="Times New Roman" w:cs="Times New Roman"/>
          <w:lang w:val="en-GB"/>
        </w:rPr>
        <w:t xml:space="preserve">; </w:t>
      </w:r>
      <w:proofErr w:type="spellStart"/>
      <w:r w:rsidR="00E0759F" w:rsidRPr="00771F08">
        <w:rPr>
          <w:rFonts w:ascii="Times New Roman" w:hAnsi="Times New Roman" w:cs="Times New Roman"/>
          <w:lang w:val="en-GB"/>
        </w:rPr>
        <w:t>Hueston</w:t>
      </w:r>
      <w:proofErr w:type="spellEnd"/>
      <w:r w:rsidR="00DA353C" w:rsidRPr="00771F08">
        <w:rPr>
          <w:rFonts w:ascii="Times New Roman" w:hAnsi="Times New Roman" w:cs="Times New Roman"/>
          <w:lang w:val="en-GB"/>
        </w:rPr>
        <w:t xml:space="preserve"> 1992; </w:t>
      </w:r>
      <w:proofErr w:type="spellStart"/>
      <w:r w:rsidR="00E0759F" w:rsidRPr="00771F08">
        <w:rPr>
          <w:rFonts w:ascii="Times New Roman" w:hAnsi="Times New Roman" w:cs="Times New Roman"/>
          <w:lang w:val="en-GB"/>
        </w:rPr>
        <w:t>Okunade</w:t>
      </w:r>
      <w:proofErr w:type="spellEnd"/>
      <w:r w:rsidR="00E0759F" w:rsidRPr="00771F08">
        <w:rPr>
          <w:rFonts w:ascii="Times New Roman" w:hAnsi="Times New Roman" w:cs="Times New Roman"/>
          <w:lang w:val="en-GB"/>
        </w:rPr>
        <w:t xml:space="preserve"> and </w:t>
      </w:r>
      <w:proofErr w:type="spellStart"/>
      <w:r w:rsidR="00E0759F" w:rsidRPr="00771F08">
        <w:rPr>
          <w:rFonts w:ascii="Times New Roman" w:hAnsi="Times New Roman" w:cs="Times New Roman"/>
          <w:lang w:val="en-GB"/>
        </w:rPr>
        <w:t>Berl</w:t>
      </w:r>
      <w:proofErr w:type="spellEnd"/>
      <w:r w:rsidR="00615915" w:rsidRPr="00771F08">
        <w:rPr>
          <w:rFonts w:ascii="Times New Roman" w:hAnsi="Times New Roman" w:cs="Times New Roman"/>
          <w:lang w:val="en-GB"/>
        </w:rPr>
        <w:t xml:space="preserve"> 1997</w:t>
      </w:r>
      <w:r w:rsidR="00E0759F" w:rsidRPr="00771F08">
        <w:rPr>
          <w:rFonts w:ascii="Times New Roman" w:hAnsi="Times New Roman" w:cs="Times New Roman"/>
          <w:lang w:val="en-GB"/>
        </w:rPr>
        <w:t xml:space="preserve">; </w:t>
      </w:r>
      <w:proofErr w:type="spellStart"/>
      <w:r w:rsidR="00E0759F" w:rsidRPr="00771F08">
        <w:rPr>
          <w:rFonts w:ascii="Times New Roman" w:hAnsi="Times New Roman" w:cs="Times New Roman"/>
          <w:lang w:val="en-GB"/>
        </w:rPr>
        <w:t>Weert</w:t>
      </w:r>
      <w:proofErr w:type="spellEnd"/>
      <w:r w:rsidR="00E0759F" w:rsidRPr="00771F08">
        <w:rPr>
          <w:rFonts w:ascii="Times New Roman" w:hAnsi="Times New Roman" w:cs="Times New Roman"/>
          <w:lang w:val="en-GB"/>
        </w:rPr>
        <w:t xml:space="preserve"> and</w:t>
      </w:r>
      <w:r w:rsidR="00404235" w:rsidRPr="00771F08">
        <w:rPr>
          <w:rFonts w:ascii="Times New Roman" w:hAnsi="Times New Roman" w:cs="Times New Roman"/>
          <w:lang w:val="en-GB"/>
        </w:rPr>
        <w:t xml:space="preserve"> </w:t>
      </w:r>
      <w:proofErr w:type="spellStart"/>
      <w:r w:rsidR="00E0759F" w:rsidRPr="00771F08">
        <w:rPr>
          <w:rFonts w:ascii="Times New Roman" w:hAnsi="Times New Roman" w:cs="Times New Roman"/>
          <w:lang w:val="en-GB"/>
        </w:rPr>
        <w:t>Ronca</w:t>
      </w:r>
      <w:proofErr w:type="spellEnd"/>
      <w:r w:rsidR="00404235" w:rsidRPr="00771F08">
        <w:rPr>
          <w:rFonts w:ascii="Times New Roman" w:hAnsi="Times New Roman" w:cs="Times New Roman"/>
          <w:lang w:val="en-GB"/>
        </w:rPr>
        <w:t xml:space="preserve"> 2008</w:t>
      </w:r>
      <w:r w:rsidR="00DA353C" w:rsidRPr="00771F08">
        <w:rPr>
          <w:rFonts w:ascii="Times New Roman" w:hAnsi="Times New Roman" w:cs="Times New Roman"/>
          <w:lang w:val="en-GB"/>
        </w:rPr>
        <w:t xml:space="preserve">). </w:t>
      </w:r>
      <w:r w:rsidR="00BD6E3E" w:rsidRPr="00771F08">
        <w:rPr>
          <w:rFonts w:ascii="Times New Roman" w:hAnsi="Times New Roman" w:cs="Times New Roman"/>
          <w:lang w:val="en-GB"/>
        </w:rPr>
        <w:t xml:space="preserve">Other </w:t>
      </w:r>
      <w:r w:rsidR="00015B95" w:rsidRPr="00771F08">
        <w:rPr>
          <w:rFonts w:ascii="Times New Roman" w:hAnsi="Times New Roman" w:cs="Times New Roman"/>
          <w:lang w:val="en-GB"/>
        </w:rPr>
        <w:t xml:space="preserve">researchers focused their attention on </w:t>
      </w:r>
      <w:r w:rsidR="00175ACB" w:rsidRPr="00771F08">
        <w:rPr>
          <w:rFonts w:ascii="Times New Roman" w:hAnsi="Times New Roman" w:cs="Times New Roman"/>
          <w:lang w:val="en-GB"/>
        </w:rPr>
        <w:t>behavioural</w:t>
      </w:r>
      <w:r w:rsidR="00015B95" w:rsidRPr="00771F08">
        <w:rPr>
          <w:rFonts w:ascii="Times New Roman" w:hAnsi="Times New Roman" w:cs="Times New Roman"/>
          <w:lang w:val="en-GB"/>
        </w:rPr>
        <w:t xml:space="preserve"> </w:t>
      </w:r>
      <w:r w:rsidR="006D4F4F" w:rsidRPr="00771F08">
        <w:rPr>
          <w:rFonts w:ascii="Times New Roman" w:hAnsi="Times New Roman" w:cs="Times New Roman"/>
          <w:lang w:val="en-GB"/>
        </w:rPr>
        <w:t xml:space="preserve">factors, </w:t>
      </w:r>
      <w:r w:rsidR="00015B95" w:rsidRPr="00771F08">
        <w:rPr>
          <w:rFonts w:ascii="Times New Roman" w:hAnsi="Times New Roman" w:cs="Times New Roman"/>
          <w:lang w:val="en-GB"/>
        </w:rPr>
        <w:t>such as volunteering for the college, membership in alumni chapters, and reu</w:t>
      </w:r>
      <w:r w:rsidR="00A1342F" w:rsidRPr="00771F08">
        <w:rPr>
          <w:rFonts w:ascii="Times New Roman" w:hAnsi="Times New Roman" w:cs="Times New Roman"/>
          <w:lang w:val="en-GB"/>
        </w:rPr>
        <w:t>nion attendance (Durango-Cohen and Balasubramanian</w:t>
      </w:r>
      <w:r w:rsidR="00015B95" w:rsidRPr="00771F08">
        <w:rPr>
          <w:rFonts w:ascii="Times New Roman" w:hAnsi="Times New Roman" w:cs="Times New Roman"/>
          <w:lang w:val="en-GB"/>
        </w:rPr>
        <w:t xml:space="preserve"> 2015).</w:t>
      </w:r>
      <w:r w:rsidR="00015B95" w:rsidRPr="00771F08">
        <w:rPr>
          <w:rFonts w:ascii="Arial" w:hAnsi="Arial" w:cs="Arial"/>
          <w:sz w:val="18"/>
          <w:szCs w:val="20"/>
          <w:shd w:val="clear" w:color="auto" w:fill="FFFFFF"/>
          <w:lang w:val="en-GB"/>
        </w:rPr>
        <w:t xml:space="preserve"> </w:t>
      </w:r>
      <w:r w:rsidR="005F07B9" w:rsidRPr="00771F08">
        <w:rPr>
          <w:rFonts w:ascii="Times New Roman" w:hAnsi="Times New Roman" w:cs="Times New Roman"/>
          <w:lang w:val="en-GB"/>
        </w:rPr>
        <w:t xml:space="preserve">Furthermore, </w:t>
      </w:r>
      <w:r w:rsidR="001540D6" w:rsidRPr="00771F08">
        <w:rPr>
          <w:rFonts w:ascii="Times New Roman" w:hAnsi="Times New Roman" w:cs="Times New Roman"/>
          <w:lang w:val="en-GB"/>
        </w:rPr>
        <w:t>characteristics related to institutions and universities have</w:t>
      </w:r>
      <w:r w:rsidR="00BD6E3E" w:rsidRPr="00771F08">
        <w:rPr>
          <w:rFonts w:ascii="Times New Roman" w:hAnsi="Times New Roman" w:cs="Times New Roman"/>
          <w:lang w:val="en-GB"/>
        </w:rPr>
        <w:t xml:space="preserve"> </w:t>
      </w:r>
      <w:r w:rsidR="001540D6" w:rsidRPr="00771F08">
        <w:rPr>
          <w:rFonts w:ascii="Times New Roman" w:hAnsi="Times New Roman" w:cs="Times New Roman"/>
          <w:lang w:val="en-GB"/>
        </w:rPr>
        <w:t>been investigated</w:t>
      </w:r>
      <w:r w:rsidR="000A2714" w:rsidRPr="00771F08">
        <w:rPr>
          <w:rFonts w:ascii="Times New Roman" w:hAnsi="Times New Roman" w:cs="Times New Roman"/>
          <w:lang w:val="en-GB"/>
        </w:rPr>
        <w:t>, such as</w:t>
      </w:r>
      <w:r w:rsidR="00314342" w:rsidRPr="00771F08">
        <w:rPr>
          <w:rFonts w:ascii="Times New Roman" w:hAnsi="Times New Roman" w:cs="Times New Roman"/>
          <w:lang w:val="en-GB"/>
        </w:rPr>
        <w:t xml:space="preserve"> size, type of institution, or endowment value</w:t>
      </w:r>
      <w:r w:rsidR="000C6F6A" w:rsidRPr="00771F08">
        <w:rPr>
          <w:rFonts w:ascii="Times New Roman" w:hAnsi="Times New Roman" w:cs="Times New Roman"/>
          <w:lang w:val="en-GB"/>
        </w:rPr>
        <w:t xml:space="preserve">. </w:t>
      </w:r>
      <w:r w:rsidRPr="00771F08">
        <w:rPr>
          <w:rFonts w:ascii="Times New Roman" w:hAnsi="Times New Roman" w:cs="Times New Roman"/>
          <w:lang w:val="en-GB"/>
        </w:rPr>
        <w:t xml:space="preserve">For instance, </w:t>
      </w:r>
      <w:proofErr w:type="spellStart"/>
      <w:r w:rsidRPr="00771F08">
        <w:rPr>
          <w:rFonts w:ascii="Times New Roman" w:hAnsi="Times New Roman" w:cs="Times New Roman"/>
          <w:lang w:val="en-GB"/>
        </w:rPr>
        <w:t>McAlexander</w:t>
      </w:r>
      <w:proofErr w:type="spellEnd"/>
      <w:r w:rsidRPr="00771F08">
        <w:rPr>
          <w:rFonts w:ascii="Times New Roman" w:hAnsi="Times New Roman" w:cs="Times New Roman"/>
          <w:lang w:val="en-GB"/>
        </w:rPr>
        <w:t xml:space="preserve"> and Koenig (2010) found that alumni who belong to smaller institutions feel more integrated and inclined to support their university community than </w:t>
      </w:r>
      <w:r w:rsidRPr="00771F08">
        <w:rPr>
          <w:rFonts w:ascii="Times New Roman" w:hAnsi="Times New Roman" w:cs="Times New Roman"/>
          <w:lang w:val="en-GB"/>
        </w:rPr>
        <w:lastRenderedPageBreak/>
        <w:t xml:space="preserve">do graduates of larger institutions. </w:t>
      </w:r>
      <w:r w:rsidR="00527A86" w:rsidRPr="00771F08">
        <w:rPr>
          <w:rFonts w:ascii="Times New Roman" w:hAnsi="Times New Roman" w:cs="Times New Roman"/>
          <w:color w:val="000000" w:themeColor="text1"/>
          <w:lang w:val="en-GB"/>
        </w:rPr>
        <w:t>Similarly, past work has examined how institutional reputation can potentially impact attitude and in turn support and donations</w:t>
      </w:r>
      <w:r w:rsidR="00527A86" w:rsidRPr="00771F08">
        <w:rPr>
          <w:rFonts w:ascii="Times New Roman" w:hAnsi="Times New Roman" w:cs="Times New Roman"/>
          <w:lang w:val="en-GB"/>
        </w:rPr>
        <w:t xml:space="preserve"> </w:t>
      </w:r>
      <w:r w:rsidR="002A7025" w:rsidRPr="00771F08">
        <w:rPr>
          <w:rFonts w:ascii="Times New Roman" w:hAnsi="Times New Roman" w:cs="Times New Roman"/>
          <w:lang w:val="en-GB"/>
        </w:rPr>
        <w:t>(</w:t>
      </w:r>
      <w:proofErr w:type="spellStart"/>
      <w:r w:rsidR="002A7025" w:rsidRPr="00771F08">
        <w:rPr>
          <w:rFonts w:ascii="Times New Roman" w:hAnsi="Times New Roman" w:cs="Times New Roman"/>
          <w:lang w:val="en-GB"/>
        </w:rPr>
        <w:t>Shaari</w:t>
      </w:r>
      <w:proofErr w:type="spellEnd"/>
      <w:r w:rsidR="002A7025" w:rsidRPr="00771F08">
        <w:rPr>
          <w:rFonts w:ascii="Times New Roman" w:hAnsi="Times New Roman" w:cs="Times New Roman"/>
          <w:lang w:val="en-GB"/>
        </w:rPr>
        <w:t xml:space="preserve"> et al</w:t>
      </w:r>
      <w:r w:rsidR="007D26D7" w:rsidRPr="00771F08">
        <w:rPr>
          <w:rFonts w:ascii="Times New Roman" w:hAnsi="Times New Roman" w:cs="Times New Roman"/>
          <w:lang w:val="en-GB"/>
        </w:rPr>
        <w:t>.</w:t>
      </w:r>
      <w:r w:rsidR="002A7025" w:rsidRPr="00771F08">
        <w:rPr>
          <w:rFonts w:ascii="Times New Roman" w:hAnsi="Times New Roman" w:cs="Times New Roman"/>
          <w:lang w:val="en-GB"/>
        </w:rPr>
        <w:t xml:space="preserve"> 2019).</w:t>
      </w:r>
      <w:r w:rsidR="00584AA9" w:rsidRPr="00771F08">
        <w:rPr>
          <w:rFonts w:ascii="Times New Roman" w:hAnsi="Times New Roman" w:cs="Times New Roman"/>
          <w:lang w:val="en-GB"/>
        </w:rPr>
        <w:t xml:space="preserve"> </w:t>
      </w:r>
      <w:r w:rsidR="005C3593" w:rsidRPr="00771F08">
        <w:rPr>
          <w:rFonts w:ascii="Times New Roman" w:hAnsi="Times New Roman" w:cs="Times New Roman"/>
          <w:lang w:val="en-GB"/>
        </w:rPr>
        <w:t>Finally, work ha</w:t>
      </w:r>
      <w:r w:rsidR="00F77545" w:rsidRPr="00771F08">
        <w:rPr>
          <w:rFonts w:ascii="Times New Roman" w:hAnsi="Times New Roman" w:cs="Times New Roman"/>
          <w:lang w:val="en-GB"/>
        </w:rPr>
        <w:t>s</w:t>
      </w:r>
      <w:r w:rsidR="005C3593" w:rsidRPr="00771F08">
        <w:rPr>
          <w:rFonts w:ascii="Times New Roman" w:hAnsi="Times New Roman" w:cs="Times New Roman"/>
          <w:lang w:val="en-GB"/>
        </w:rPr>
        <w:t xml:space="preserve"> </w:t>
      </w:r>
      <w:r w:rsidR="00DB479E" w:rsidRPr="00771F08">
        <w:rPr>
          <w:rFonts w:ascii="Times New Roman" w:hAnsi="Times New Roman" w:cs="Times New Roman"/>
          <w:lang w:val="en-GB"/>
        </w:rPr>
        <w:t xml:space="preserve">specifically investigated </w:t>
      </w:r>
      <w:r w:rsidR="00FC75C1" w:rsidRPr="00771F08">
        <w:rPr>
          <w:rFonts w:ascii="Times New Roman" w:hAnsi="Times New Roman" w:cs="Times New Roman"/>
          <w:lang w:val="en-GB"/>
        </w:rPr>
        <w:t>the social exchange factors, such as</w:t>
      </w:r>
      <w:r w:rsidR="005C3593" w:rsidRPr="00771F08">
        <w:rPr>
          <w:rFonts w:ascii="Times New Roman" w:hAnsi="Times New Roman" w:cs="Times New Roman"/>
          <w:lang w:val="en-GB"/>
        </w:rPr>
        <w:t xml:space="preserve"> the experiences </w:t>
      </w:r>
      <w:r w:rsidR="00A27000" w:rsidRPr="00771F08">
        <w:rPr>
          <w:rFonts w:ascii="Times New Roman" w:hAnsi="Times New Roman" w:cs="Times New Roman"/>
          <w:lang w:val="en-GB"/>
        </w:rPr>
        <w:t xml:space="preserve">undergone </w:t>
      </w:r>
      <w:r w:rsidR="005C3593" w:rsidRPr="00771F08">
        <w:rPr>
          <w:rFonts w:ascii="Times New Roman" w:hAnsi="Times New Roman" w:cs="Times New Roman"/>
          <w:lang w:val="en-GB"/>
        </w:rPr>
        <w:t>by alumni during their university course</w:t>
      </w:r>
      <w:r w:rsidR="002B6799" w:rsidRPr="00771F08">
        <w:rPr>
          <w:rFonts w:ascii="Times New Roman" w:hAnsi="Times New Roman" w:cs="Times New Roman"/>
          <w:lang w:val="en-GB"/>
        </w:rPr>
        <w:t xml:space="preserve">, the quality of education, career gains, </w:t>
      </w:r>
      <w:r w:rsidR="00883E57" w:rsidRPr="00771F08">
        <w:rPr>
          <w:rFonts w:ascii="Times New Roman" w:hAnsi="Times New Roman" w:cs="Times New Roman"/>
          <w:lang w:val="en-GB"/>
        </w:rPr>
        <w:t xml:space="preserve">and </w:t>
      </w:r>
      <w:r w:rsidR="009238A8" w:rsidRPr="00771F08">
        <w:rPr>
          <w:rFonts w:ascii="Times New Roman" w:hAnsi="Times New Roman" w:cs="Times New Roman"/>
          <w:lang w:val="en-GB"/>
        </w:rPr>
        <w:t>social connections</w:t>
      </w:r>
      <w:r w:rsidR="00584AA9" w:rsidRPr="00771F08">
        <w:rPr>
          <w:rFonts w:ascii="Times New Roman" w:hAnsi="Times New Roman" w:cs="Times New Roman"/>
          <w:lang w:val="en-GB"/>
        </w:rPr>
        <w:t>, satisfaction with student affairs and campus resources</w:t>
      </w:r>
      <w:r w:rsidR="009238A8" w:rsidRPr="00771F08">
        <w:rPr>
          <w:rFonts w:ascii="Times New Roman" w:hAnsi="Times New Roman" w:cs="Times New Roman"/>
          <w:lang w:val="en-GB"/>
        </w:rPr>
        <w:t xml:space="preserve"> (Leslie and Ramey 1988; </w:t>
      </w:r>
      <w:r w:rsidR="007D26D7" w:rsidRPr="00771F08">
        <w:rPr>
          <w:rFonts w:ascii="Times New Roman" w:hAnsi="Times New Roman" w:cs="Times New Roman"/>
          <w:lang w:val="en-GB"/>
        </w:rPr>
        <w:t>Stephenson and Yerger</w:t>
      </w:r>
      <w:r w:rsidR="00584AA9" w:rsidRPr="00771F08">
        <w:rPr>
          <w:rFonts w:ascii="Times New Roman" w:hAnsi="Times New Roman" w:cs="Times New Roman"/>
          <w:lang w:val="en-GB"/>
        </w:rPr>
        <w:t xml:space="preserve"> 2015; </w:t>
      </w:r>
      <w:r w:rsidR="009238A8" w:rsidRPr="00771F08">
        <w:rPr>
          <w:rFonts w:ascii="Times New Roman" w:hAnsi="Times New Roman" w:cs="Times New Roman"/>
          <w:lang w:val="en-GB"/>
        </w:rPr>
        <w:t>Taylor and Martin</w:t>
      </w:r>
      <w:r w:rsidR="002B6799" w:rsidRPr="00771F08">
        <w:rPr>
          <w:rFonts w:ascii="Times New Roman" w:hAnsi="Times New Roman" w:cs="Times New Roman"/>
          <w:lang w:val="en-GB"/>
        </w:rPr>
        <w:t xml:space="preserve"> 1995)</w:t>
      </w:r>
      <w:r w:rsidR="00F22B93" w:rsidRPr="00771F08">
        <w:rPr>
          <w:rFonts w:ascii="Times New Roman" w:hAnsi="Times New Roman" w:cs="Times New Roman"/>
          <w:lang w:val="en-GB"/>
        </w:rPr>
        <w:t xml:space="preserve">. </w:t>
      </w:r>
      <w:r w:rsidR="006D535C" w:rsidRPr="00771F08">
        <w:rPr>
          <w:rFonts w:ascii="Times New Roman" w:hAnsi="Times New Roman" w:cs="Times New Roman"/>
          <w:lang w:val="en-GB"/>
        </w:rPr>
        <w:t>Notably</w:t>
      </w:r>
      <w:r w:rsidR="005F07B9" w:rsidRPr="00771F08">
        <w:rPr>
          <w:rFonts w:ascii="Times New Roman" w:hAnsi="Times New Roman" w:cs="Times New Roman"/>
          <w:lang w:val="en-GB"/>
        </w:rPr>
        <w:t xml:space="preserve">, </w:t>
      </w:r>
      <w:r w:rsidR="00841B5F" w:rsidRPr="00771F08">
        <w:rPr>
          <w:rFonts w:ascii="Times New Roman" w:hAnsi="Times New Roman" w:cs="Times New Roman"/>
          <w:lang w:val="en-GB"/>
        </w:rPr>
        <w:t xml:space="preserve">social exchange theory proposes that alumni attitude toward donations is in part influenced </w:t>
      </w:r>
      <w:r w:rsidR="00CC66D8" w:rsidRPr="00771F08">
        <w:rPr>
          <w:rFonts w:ascii="Times New Roman" w:hAnsi="Times New Roman" w:cs="Times New Roman"/>
          <w:lang w:val="en-GB"/>
        </w:rPr>
        <w:t xml:space="preserve">by their perceptions </w:t>
      </w:r>
      <w:r w:rsidR="00C40306" w:rsidRPr="00771F08">
        <w:rPr>
          <w:rFonts w:ascii="Times New Roman" w:hAnsi="Times New Roman" w:cs="Times New Roman"/>
          <w:lang w:val="en-GB"/>
        </w:rPr>
        <w:t xml:space="preserve">of the quality of their past experiences </w:t>
      </w:r>
      <w:r w:rsidR="00E66933" w:rsidRPr="00771F08">
        <w:rPr>
          <w:rFonts w:ascii="Times New Roman" w:hAnsi="Times New Roman" w:cs="Times New Roman"/>
          <w:lang w:val="en-GB"/>
        </w:rPr>
        <w:t>with the university</w:t>
      </w:r>
      <w:r w:rsidR="009238A8" w:rsidRPr="00771F08">
        <w:rPr>
          <w:rFonts w:ascii="Times New Roman" w:hAnsi="Times New Roman" w:cs="Times New Roman"/>
          <w:lang w:val="en-GB"/>
        </w:rPr>
        <w:t xml:space="preserve"> (Clotfelter</w:t>
      </w:r>
      <w:r w:rsidR="001B6466" w:rsidRPr="00771F08">
        <w:rPr>
          <w:rFonts w:ascii="Times New Roman" w:hAnsi="Times New Roman" w:cs="Times New Roman"/>
          <w:lang w:val="en-GB"/>
        </w:rPr>
        <w:t xml:space="preserve"> 2003</w:t>
      </w:r>
      <w:r w:rsidR="009238A8" w:rsidRPr="00771F08">
        <w:rPr>
          <w:rFonts w:ascii="Times New Roman" w:hAnsi="Times New Roman" w:cs="Times New Roman"/>
          <w:lang w:val="en-GB"/>
        </w:rPr>
        <w:t xml:space="preserve">; </w:t>
      </w:r>
      <w:proofErr w:type="spellStart"/>
      <w:r w:rsidR="009238A8" w:rsidRPr="00771F08">
        <w:rPr>
          <w:rFonts w:ascii="Times New Roman" w:hAnsi="Times New Roman" w:cs="Times New Roman"/>
          <w:lang w:val="en-GB"/>
        </w:rPr>
        <w:t>Weerts</w:t>
      </w:r>
      <w:proofErr w:type="spellEnd"/>
      <w:r w:rsidR="009238A8" w:rsidRPr="00771F08">
        <w:rPr>
          <w:rFonts w:ascii="Times New Roman" w:hAnsi="Times New Roman" w:cs="Times New Roman"/>
          <w:lang w:val="en-GB"/>
        </w:rPr>
        <w:t xml:space="preserve"> and </w:t>
      </w:r>
      <w:proofErr w:type="spellStart"/>
      <w:r w:rsidR="009238A8" w:rsidRPr="00771F08">
        <w:rPr>
          <w:rFonts w:ascii="Times New Roman" w:hAnsi="Times New Roman" w:cs="Times New Roman"/>
          <w:lang w:val="en-GB"/>
        </w:rPr>
        <w:t>Ronca</w:t>
      </w:r>
      <w:proofErr w:type="spellEnd"/>
      <w:r w:rsidR="00837CD9" w:rsidRPr="00771F08">
        <w:rPr>
          <w:rFonts w:ascii="Times New Roman" w:hAnsi="Times New Roman" w:cs="Times New Roman"/>
          <w:lang w:val="en-GB"/>
        </w:rPr>
        <w:t xml:space="preserve"> 2008</w:t>
      </w:r>
      <w:r w:rsidR="00E81C73" w:rsidRPr="00771F08">
        <w:rPr>
          <w:rFonts w:ascii="Times New Roman" w:hAnsi="Times New Roman" w:cs="Times New Roman"/>
          <w:lang w:val="en-GB"/>
        </w:rPr>
        <w:t>)</w:t>
      </w:r>
      <w:r w:rsidR="00E66933" w:rsidRPr="00771F08">
        <w:rPr>
          <w:rFonts w:ascii="Times New Roman" w:hAnsi="Times New Roman" w:cs="Times New Roman"/>
          <w:lang w:val="en-GB"/>
        </w:rPr>
        <w:t xml:space="preserve">. </w:t>
      </w:r>
    </w:p>
    <w:p w14:paraId="07EC7B74" w14:textId="09975918" w:rsidR="00370ABF" w:rsidRPr="00771F08" w:rsidRDefault="005C3593"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Starting from thes</w:t>
      </w:r>
      <w:r w:rsidR="0046127E" w:rsidRPr="00771F08">
        <w:rPr>
          <w:rFonts w:ascii="Times New Roman" w:hAnsi="Times New Roman" w:cs="Times New Roman"/>
          <w:lang w:val="en-GB"/>
        </w:rPr>
        <w:t xml:space="preserve">e assumptions and from the need </w:t>
      </w:r>
      <w:r w:rsidRPr="00771F08">
        <w:rPr>
          <w:rFonts w:ascii="Times New Roman" w:hAnsi="Times New Roman" w:cs="Times New Roman"/>
          <w:lang w:val="en-GB"/>
        </w:rPr>
        <w:t>to identify additional factors that may explain the alumni intention of donati</w:t>
      </w:r>
      <w:r w:rsidR="00AC6C39" w:rsidRPr="00771F08">
        <w:rPr>
          <w:rFonts w:ascii="Times New Roman" w:hAnsi="Times New Roman" w:cs="Times New Roman"/>
          <w:lang w:val="en-GB"/>
        </w:rPr>
        <w:t>ng to their alma mater (Baruch and Sang</w:t>
      </w:r>
      <w:r w:rsidRPr="00771F08">
        <w:rPr>
          <w:rFonts w:ascii="Times New Roman" w:hAnsi="Times New Roman" w:cs="Times New Roman"/>
          <w:lang w:val="en-GB"/>
        </w:rPr>
        <w:t xml:space="preserve"> 2012), </w:t>
      </w:r>
      <w:r w:rsidR="00073015" w:rsidRPr="00771F08">
        <w:rPr>
          <w:rFonts w:ascii="Times New Roman" w:hAnsi="Times New Roman" w:cs="Times New Roman"/>
          <w:lang w:val="en-GB"/>
        </w:rPr>
        <w:t xml:space="preserve">in the present study the trust construct has been investigated as </w:t>
      </w:r>
      <w:r w:rsidR="00396E08" w:rsidRPr="00771F08">
        <w:rPr>
          <w:rFonts w:ascii="Times New Roman" w:hAnsi="Times New Roman" w:cs="Times New Roman"/>
          <w:lang w:val="en-GB"/>
        </w:rPr>
        <w:t xml:space="preserve">a </w:t>
      </w:r>
      <w:r w:rsidR="00073015" w:rsidRPr="00771F08">
        <w:rPr>
          <w:rFonts w:ascii="Times New Roman" w:hAnsi="Times New Roman" w:cs="Times New Roman"/>
          <w:lang w:val="en-GB"/>
        </w:rPr>
        <w:t xml:space="preserve">possible predictor of alumni attitude toward donations. </w:t>
      </w:r>
      <w:r w:rsidR="00634F98" w:rsidRPr="00771F08">
        <w:rPr>
          <w:rFonts w:ascii="Times New Roman" w:hAnsi="Times New Roman" w:cs="Times New Roman"/>
          <w:lang w:val="en-GB"/>
        </w:rPr>
        <w:t xml:space="preserve">In this way, </w:t>
      </w:r>
      <w:r w:rsidR="00FC75C1" w:rsidRPr="00771F08">
        <w:rPr>
          <w:rFonts w:ascii="Times New Roman" w:hAnsi="Times New Roman" w:cs="Times New Roman"/>
          <w:lang w:val="en-GB"/>
        </w:rPr>
        <w:t xml:space="preserve">the work aims to enrich the literature focused on the identification of </w:t>
      </w:r>
      <w:r w:rsidR="00923C48" w:rsidRPr="00771F08">
        <w:rPr>
          <w:rFonts w:ascii="Times New Roman" w:hAnsi="Times New Roman" w:cs="Times New Roman"/>
          <w:lang w:val="en-GB"/>
        </w:rPr>
        <w:t>additional</w:t>
      </w:r>
      <w:r w:rsidR="00FC75C1" w:rsidRPr="00771F08">
        <w:rPr>
          <w:rFonts w:ascii="Times New Roman" w:hAnsi="Times New Roman" w:cs="Times New Roman"/>
          <w:lang w:val="en-GB"/>
        </w:rPr>
        <w:t xml:space="preserve"> social exchange factors leading alumni to donate to their university. </w:t>
      </w:r>
      <w:proofErr w:type="spellStart"/>
      <w:r w:rsidR="001A6F19" w:rsidRPr="00771F08">
        <w:rPr>
          <w:rFonts w:ascii="Times New Roman" w:hAnsi="Times New Roman" w:cs="Times New Roman"/>
          <w:lang w:val="en-GB"/>
        </w:rPr>
        <w:t>Sargeant</w:t>
      </w:r>
      <w:proofErr w:type="spellEnd"/>
      <w:r w:rsidR="001A6F19" w:rsidRPr="00771F08">
        <w:rPr>
          <w:rFonts w:ascii="Times New Roman" w:hAnsi="Times New Roman" w:cs="Times New Roman"/>
          <w:lang w:val="en-GB"/>
        </w:rPr>
        <w:t xml:space="preserve"> and Lee (2004) found how trust plays a key role in facilitating the stimulation of monetary donations</w:t>
      </w:r>
      <w:r w:rsidR="006C0604" w:rsidRPr="00771F08">
        <w:rPr>
          <w:rFonts w:ascii="Times New Roman" w:hAnsi="Times New Roman" w:cs="Times New Roman"/>
          <w:lang w:val="en-GB"/>
        </w:rPr>
        <w:t>, while</w:t>
      </w:r>
      <w:r w:rsidR="001A6F19" w:rsidRPr="00771F08">
        <w:rPr>
          <w:rFonts w:ascii="Times New Roman" w:hAnsi="Times New Roman" w:cs="Times New Roman"/>
          <w:lang w:val="en-GB"/>
        </w:rPr>
        <w:t xml:space="preserve"> </w:t>
      </w:r>
      <w:r w:rsidR="002858ED" w:rsidRPr="00771F08">
        <w:rPr>
          <w:rFonts w:ascii="Times New Roman" w:hAnsi="Times New Roman" w:cs="Times New Roman"/>
          <w:lang w:val="en-GB"/>
        </w:rPr>
        <w:t>Melendez (2001</w:t>
      </w:r>
      <w:r w:rsidR="002B5E38" w:rsidRPr="00771F08">
        <w:rPr>
          <w:rFonts w:ascii="Times New Roman" w:hAnsi="Times New Roman" w:cs="Times New Roman"/>
          <w:lang w:val="en-GB"/>
        </w:rPr>
        <w:t>, p. 121</w:t>
      </w:r>
      <w:r w:rsidR="00C95E80">
        <w:rPr>
          <w:rFonts w:ascii="Times New Roman" w:hAnsi="Times New Roman" w:cs="Times New Roman"/>
          <w:lang w:val="en-GB"/>
        </w:rPr>
        <w:t xml:space="preserve">) </w:t>
      </w:r>
      <w:r w:rsidR="006C0604" w:rsidRPr="00771F08">
        <w:rPr>
          <w:rFonts w:ascii="Times New Roman" w:hAnsi="Times New Roman" w:cs="Times New Roman"/>
          <w:lang w:val="en-GB"/>
        </w:rPr>
        <w:t xml:space="preserve">suggested that </w:t>
      </w:r>
      <w:r w:rsidR="002B5E38" w:rsidRPr="00771F08">
        <w:rPr>
          <w:rFonts w:ascii="Times New Roman" w:hAnsi="Times New Roman" w:cs="Times New Roman"/>
          <w:lang w:val="en-GB"/>
        </w:rPr>
        <w:t>“</w:t>
      </w:r>
      <w:r w:rsidR="002858ED" w:rsidRPr="00771F08">
        <w:rPr>
          <w:rFonts w:ascii="Times New Roman" w:hAnsi="Times New Roman" w:cs="Times New Roman"/>
          <w:i/>
          <w:iCs/>
          <w:lang w:val="en-GB"/>
        </w:rPr>
        <w:t xml:space="preserve">donors </w:t>
      </w:r>
      <w:r w:rsidR="002B5E38" w:rsidRPr="00771F08">
        <w:rPr>
          <w:rFonts w:ascii="Times New Roman" w:hAnsi="Times New Roman" w:cs="Times New Roman"/>
          <w:i/>
          <w:iCs/>
          <w:lang w:val="en-GB"/>
        </w:rPr>
        <w:t xml:space="preserve">do not </w:t>
      </w:r>
      <w:r w:rsidR="001A6F19" w:rsidRPr="00771F08">
        <w:rPr>
          <w:rFonts w:ascii="Times New Roman" w:hAnsi="Times New Roman" w:cs="Times New Roman"/>
          <w:i/>
          <w:iCs/>
          <w:lang w:val="en-GB"/>
        </w:rPr>
        <w:t>contribute to organi</w:t>
      </w:r>
      <w:r w:rsidR="00B033C0" w:rsidRPr="00771F08">
        <w:rPr>
          <w:rFonts w:ascii="Times New Roman" w:hAnsi="Times New Roman" w:cs="Times New Roman"/>
          <w:i/>
          <w:iCs/>
          <w:lang w:val="en-GB"/>
        </w:rPr>
        <w:t>s</w:t>
      </w:r>
      <w:r w:rsidR="001A6F19" w:rsidRPr="00771F08">
        <w:rPr>
          <w:rFonts w:ascii="Times New Roman" w:hAnsi="Times New Roman" w:cs="Times New Roman"/>
          <w:i/>
          <w:iCs/>
          <w:lang w:val="en-GB"/>
        </w:rPr>
        <w:t>ations they do not trust and about which they do not feel confident</w:t>
      </w:r>
      <w:r w:rsidR="001A6F19" w:rsidRPr="00771F08">
        <w:rPr>
          <w:rFonts w:ascii="Times New Roman" w:hAnsi="Times New Roman" w:cs="Times New Roman"/>
          <w:lang w:val="en-GB"/>
        </w:rPr>
        <w:t>”</w:t>
      </w:r>
      <w:r w:rsidR="00584AA9" w:rsidRPr="00771F08">
        <w:rPr>
          <w:rFonts w:ascii="Times New Roman" w:hAnsi="Times New Roman" w:cs="Times New Roman"/>
          <w:lang w:val="en-GB"/>
        </w:rPr>
        <w:t xml:space="preserve">. </w:t>
      </w:r>
      <w:r w:rsidR="003C6838" w:rsidRPr="00771F08">
        <w:rPr>
          <w:rFonts w:ascii="Times New Roman" w:hAnsi="Times New Roman" w:cs="Times New Roman"/>
          <w:lang w:val="en-GB"/>
        </w:rPr>
        <w:t>B</w:t>
      </w:r>
      <w:r w:rsidR="00615A54" w:rsidRPr="00771F08">
        <w:rPr>
          <w:rFonts w:ascii="Times New Roman" w:hAnsi="Times New Roman" w:cs="Times New Roman"/>
          <w:lang w:val="en-GB"/>
        </w:rPr>
        <w:t xml:space="preserve">ased on these findings, </w:t>
      </w:r>
      <w:r w:rsidR="00F77545" w:rsidRPr="00771F08">
        <w:rPr>
          <w:rFonts w:ascii="Times New Roman" w:hAnsi="Times New Roman" w:cs="Times New Roman"/>
          <w:lang w:val="en-GB"/>
        </w:rPr>
        <w:t>we</w:t>
      </w:r>
      <w:r w:rsidR="00615A54" w:rsidRPr="00771F08">
        <w:rPr>
          <w:rFonts w:ascii="Times New Roman" w:hAnsi="Times New Roman" w:cs="Times New Roman"/>
          <w:lang w:val="en-GB"/>
        </w:rPr>
        <w:t xml:space="preserve"> </w:t>
      </w:r>
      <w:r w:rsidR="00727F74" w:rsidRPr="00771F08">
        <w:rPr>
          <w:rFonts w:ascii="Times New Roman" w:hAnsi="Times New Roman" w:cs="Times New Roman"/>
          <w:lang w:val="en-GB"/>
        </w:rPr>
        <w:t>hypothesi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w:t>
      </w:r>
      <w:r w:rsidR="00615A54" w:rsidRPr="00771F08">
        <w:rPr>
          <w:rFonts w:ascii="Times New Roman" w:hAnsi="Times New Roman" w:cs="Times New Roman"/>
          <w:lang w:val="en-GB"/>
        </w:rPr>
        <w:t xml:space="preserve"> that trust can lead to </w:t>
      </w:r>
      <w:r w:rsidR="00B033C0" w:rsidRPr="00771F08">
        <w:rPr>
          <w:rFonts w:ascii="Times New Roman" w:hAnsi="Times New Roman" w:cs="Times New Roman"/>
          <w:lang w:val="en-GB"/>
        </w:rPr>
        <w:t xml:space="preserve">more positive </w:t>
      </w:r>
      <w:r w:rsidR="00615A54" w:rsidRPr="00771F08">
        <w:rPr>
          <w:rFonts w:ascii="Times New Roman" w:hAnsi="Times New Roman" w:cs="Times New Roman"/>
          <w:lang w:val="en-GB"/>
        </w:rPr>
        <w:t>attitudes toward donations</w:t>
      </w:r>
      <w:r w:rsidR="00F25319" w:rsidRPr="00771F08">
        <w:rPr>
          <w:rFonts w:ascii="Times New Roman" w:hAnsi="Times New Roman" w:cs="Times New Roman"/>
          <w:lang w:val="en-GB"/>
        </w:rPr>
        <w:t>,</w:t>
      </w:r>
      <w:r w:rsidR="00F25319" w:rsidRPr="00771F08">
        <w:rPr>
          <w:sz w:val="20"/>
          <w:lang w:val="en-GB"/>
        </w:rPr>
        <w:t xml:space="preserve"> </w:t>
      </w:r>
      <w:r w:rsidR="00F25319" w:rsidRPr="00771F08">
        <w:rPr>
          <w:rFonts w:ascii="Times New Roman" w:hAnsi="Times New Roman" w:cs="Times New Roman"/>
          <w:lang w:val="en-GB"/>
        </w:rPr>
        <w:t>also in the HE context</w:t>
      </w:r>
      <w:r w:rsidR="00615A54" w:rsidRPr="00771F08">
        <w:rPr>
          <w:rFonts w:ascii="Times New Roman" w:hAnsi="Times New Roman" w:cs="Times New Roman"/>
          <w:lang w:val="en-GB"/>
        </w:rPr>
        <w:t xml:space="preserve">. </w:t>
      </w:r>
      <w:r w:rsidR="00BD76A7" w:rsidRPr="00771F08">
        <w:rPr>
          <w:rFonts w:ascii="Times New Roman" w:hAnsi="Times New Roman" w:cs="Times New Roman"/>
          <w:lang w:val="en-GB"/>
        </w:rPr>
        <w:t xml:space="preserve">In particular, as stated above, </w:t>
      </w:r>
      <w:r w:rsidR="00964366" w:rsidRPr="00771F08">
        <w:rPr>
          <w:rFonts w:ascii="Times New Roman" w:hAnsi="Times New Roman" w:cs="Times New Roman"/>
          <w:lang w:val="en-GB"/>
        </w:rPr>
        <w:t xml:space="preserve">trust </w:t>
      </w:r>
      <w:r w:rsidR="000F0025" w:rsidRPr="00771F08">
        <w:rPr>
          <w:rFonts w:ascii="Times New Roman" w:hAnsi="Times New Roman" w:cs="Times New Roman"/>
          <w:lang w:val="en-GB"/>
        </w:rPr>
        <w:t>within this sector</w:t>
      </w:r>
      <w:r w:rsidR="00964366" w:rsidRPr="00771F08">
        <w:rPr>
          <w:rFonts w:ascii="Times New Roman" w:hAnsi="Times New Roman" w:cs="Times New Roman"/>
          <w:lang w:val="en-GB"/>
        </w:rPr>
        <w:t xml:space="preserve"> </w:t>
      </w:r>
      <w:r w:rsidR="0013390A" w:rsidRPr="00771F08">
        <w:rPr>
          <w:rFonts w:ascii="Times New Roman" w:hAnsi="Times New Roman" w:cs="Times New Roman"/>
          <w:lang w:val="en-GB"/>
        </w:rPr>
        <w:t>can be perceived as a feeling that grows</w:t>
      </w:r>
      <w:r w:rsidR="00396E08" w:rsidRPr="00771F08">
        <w:rPr>
          <w:rFonts w:ascii="Times New Roman" w:hAnsi="Times New Roman" w:cs="Times New Roman"/>
          <w:lang w:val="en-GB"/>
        </w:rPr>
        <w:t xml:space="preserve"> </w:t>
      </w:r>
      <w:r w:rsidR="0013390A" w:rsidRPr="00771F08">
        <w:rPr>
          <w:rFonts w:ascii="Times New Roman" w:hAnsi="Times New Roman" w:cs="Times New Roman"/>
          <w:lang w:val="en-GB"/>
        </w:rPr>
        <w:t xml:space="preserve">as students </w:t>
      </w:r>
      <w:r w:rsidR="00A27000" w:rsidRPr="00771F08">
        <w:rPr>
          <w:rFonts w:ascii="Times New Roman" w:hAnsi="Times New Roman" w:cs="Times New Roman"/>
          <w:lang w:val="en-GB"/>
        </w:rPr>
        <w:t xml:space="preserve">undergo </w:t>
      </w:r>
      <w:r w:rsidR="0013390A" w:rsidRPr="00771F08">
        <w:rPr>
          <w:rFonts w:ascii="Times New Roman" w:hAnsi="Times New Roman" w:cs="Times New Roman"/>
          <w:lang w:val="en-GB"/>
        </w:rPr>
        <w:t>positive experiences with their university</w:t>
      </w:r>
      <w:r w:rsidR="00EA26DE" w:rsidRPr="00771F08">
        <w:rPr>
          <w:rFonts w:ascii="Times New Roman" w:hAnsi="Times New Roman" w:cs="Times New Roman"/>
          <w:lang w:val="en-GB"/>
        </w:rPr>
        <w:t xml:space="preserve"> </w:t>
      </w:r>
      <w:r w:rsidR="00C3402A" w:rsidRPr="00771F08">
        <w:rPr>
          <w:rFonts w:ascii="Times New Roman" w:hAnsi="Times New Roman" w:cs="Times New Roman"/>
          <w:lang w:val="en-GB"/>
        </w:rPr>
        <w:t>(Heffern</w:t>
      </w:r>
      <w:r w:rsidR="00210E5E" w:rsidRPr="00771F08">
        <w:rPr>
          <w:rFonts w:ascii="Times New Roman" w:hAnsi="Times New Roman" w:cs="Times New Roman"/>
          <w:lang w:val="en-GB"/>
        </w:rPr>
        <w:t>an</w:t>
      </w:r>
      <w:r w:rsidR="00AC6C39" w:rsidRPr="00771F08">
        <w:rPr>
          <w:rFonts w:ascii="Times New Roman" w:hAnsi="Times New Roman" w:cs="Times New Roman"/>
          <w:lang w:val="en-GB"/>
        </w:rPr>
        <w:t xml:space="preserve"> et al. 2018</w:t>
      </w:r>
      <w:r w:rsidR="00210E5E" w:rsidRPr="00771F08">
        <w:rPr>
          <w:rFonts w:ascii="Times New Roman" w:hAnsi="Times New Roman" w:cs="Times New Roman"/>
          <w:lang w:val="en-GB"/>
        </w:rPr>
        <w:t xml:space="preserve">). </w:t>
      </w:r>
      <w:r w:rsidR="00EE2D9D" w:rsidRPr="00771F08">
        <w:rPr>
          <w:rFonts w:ascii="Times New Roman" w:hAnsi="Times New Roman" w:cs="Times New Roman"/>
          <w:lang w:val="en-GB"/>
        </w:rPr>
        <w:t>By also c</w:t>
      </w:r>
      <w:r w:rsidR="005603C3" w:rsidRPr="00771F08">
        <w:rPr>
          <w:rFonts w:ascii="Times New Roman" w:hAnsi="Times New Roman" w:cs="Times New Roman"/>
          <w:lang w:val="en-GB"/>
        </w:rPr>
        <w:t xml:space="preserve">onsidering that </w:t>
      </w:r>
      <w:r w:rsidR="00396E08" w:rsidRPr="00771F08">
        <w:rPr>
          <w:rFonts w:ascii="Times New Roman" w:hAnsi="Times New Roman" w:cs="Times New Roman"/>
          <w:lang w:val="en-GB"/>
        </w:rPr>
        <w:t xml:space="preserve">the </w:t>
      </w:r>
      <w:r w:rsidR="00155074" w:rsidRPr="00771F08">
        <w:rPr>
          <w:rFonts w:ascii="Times New Roman" w:hAnsi="Times New Roman" w:cs="Times New Roman"/>
          <w:lang w:val="en-GB"/>
        </w:rPr>
        <w:t xml:space="preserve">alumni attitude toward donations </w:t>
      </w:r>
      <w:r w:rsidR="00EE2D9D" w:rsidRPr="00771F08">
        <w:rPr>
          <w:rFonts w:ascii="Times New Roman" w:hAnsi="Times New Roman" w:cs="Times New Roman"/>
          <w:lang w:val="en-GB"/>
        </w:rPr>
        <w:t xml:space="preserve">is influenced by the quality of past experiences </w:t>
      </w:r>
      <w:r w:rsidR="00396E08" w:rsidRPr="00771F08">
        <w:rPr>
          <w:rFonts w:ascii="Times New Roman" w:hAnsi="Times New Roman" w:cs="Times New Roman"/>
          <w:lang w:val="en-GB"/>
        </w:rPr>
        <w:t>they</w:t>
      </w:r>
      <w:r w:rsidR="00EE2D9D" w:rsidRPr="00771F08">
        <w:rPr>
          <w:rFonts w:ascii="Times New Roman" w:hAnsi="Times New Roman" w:cs="Times New Roman"/>
          <w:lang w:val="en-GB"/>
        </w:rPr>
        <w:t xml:space="preserve"> </w:t>
      </w:r>
      <w:r w:rsidR="00A27000" w:rsidRPr="00771F08">
        <w:rPr>
          <w:rFonts w:ascii="Times New Roman" w:hAnsi="Times New Roman" w:cs="Times New Roman"/>
          <w:lang w:val="en-GB"/>
        </w:rPr>
        <w:t xml:space="preserve">had </w:t>
      </w:r>
      <w:r w:rsidR="00EE2D9D" w:rsidRPr="00771F08">
        <w:rPr>
          <w:rFonts w:ascii="Times New Roman" w:hAnsi="Times New Roman" w:cs="Times New Roman"/>
          <w:lang w:val="en-GB"/>
        </w:rPr>
        <w:t xml:space="preserve">during their university course </w:t>
      </w:r>
      <w:r w:rsidR="00E76C55" w:rsidRPr="00771F08">
        <w:rPr>
          <w:rFonts w:ascii="Times New Roman" w:hAnsi="Times New Roman" w:cs="Times New Roman"/>
          <w:lang w:val="en-GB"/>
        </w:rPr>
        <w:t>(</w:t>
      </w:r>
      <w:proofErr w:type="spellStart"/>
      <w:r w:rsidR="00314635" w:rsidRPr="00771F08">
        <w:rPr>
          <w:rFonts w:ascii="Times New Roman" w:hAnsi="Times New Roman" w:cs="Times New Roman"/>
          <w:lang w:val="en-GB"/>
        </w:rPr>
        <w:t>Weerts</w:t>
      </w:r>
      <w:proofErr w:type="spellEnd"/>
      <w:r w:rsidR="00314635" w:rsidRPr="00771F08">
        <w:rPr>
          <w:rFonts w:ascii="Times New Roman" w:hAnsi="Times New Roman" w:cs="Times New Roman"/>
          <w:lang w:val="en-GB"/>
        </w:rPr>
        <w:t xml:space="preserve"> and </w:t>
      </w:r>
      <w:proofErr w:type="spellStart"/>
      <w:r w:rsidR="00314635" w:rsidRPr="00771F08">
        <w:rPr>
          <w:rFonts w:ascii="Times New Roman" w:hAnsi="Times New Roman" w:cs="Times New Roman"/>
          <w:lang w:val="en-GB"/>
        </w:rPr>
        <w:t>Ronca</w:t>
      </w:r>
      <w:proofErr w:type="spellEnd"/>
      <w:r w:rsidR="00314635" w:rsidRPr="00771F08">
        <w:rPr>
          <w:rFonts w:ascii="Times New Roman" w:hAnsi="Times New Roman" w:cs="Times New Roman"/>
          <w:lang w:val="en-GB"/>
        </w:rPr>
        <w:t xml:space="preserve"> </w:t>
      </w:r>
      <w:r w:rsidR="00C06D2C" w:rsidRPr="00771F08">
        <w:rPr>
          <w:rFonts w:ascii="Times New Roman" w:hAnsi="Times New Roman" w:cs="Times New Roman"/>
          <w:lang w:val="en-GB"/>
        </w:rPr>
        <w:t>2008)</w:t>
      </w:r>
      <w:r w:rsidR="00EE2D9D" w:rsidRPr="00771F08">
        <w:rPr>
          <w:rFonts w:ascii="Times New Roman" w:hAnsi="Times New Roman" w:cs="Times New Roman"/>
          <w:lang w:val="en-GB"/>
        </w:rPr>
        <w:t xml:space="preserve">, it could be assumed that the better </w:t>
      </w:r>
      <w:r w:rsidR="0041747A" w:rsidRPr="00771F08">
        <w:rPr>
          <w:rFonts w:ascii="Times New Roman" w:hAnsi="Times New Roman" w:cs="Times New Roman"/>
          <w:lang w:val="en-GB"/>
        </w:rPr>
        <w:t xml:space="preserve">the experiences </w:t>
      </w:r>
      <w:r w:rsidR="00A27000" w:rsidRPr="00771F08">
        <w:rPr>
          <w:rFonts w:ascii="Times New Roman" w:hAnsi="Times New Roman" w:cs="Times New Roman"/>
          <w:lang w:val="en-GB"/>
        </w:rPr>
        <w:t xml:space="preserve">undergone </w:t>
      </w:r>
      <w:r w:rsidR="0041747A" w:rsidRPr="00771F08">
        <w:rPr>
          <w:rFonts w:ascii="Times New Roman" w:hAnsi="Times New Roman" w:cs="Times New Roman"/>
          <w:lang w:val="en-GB"/>
        </w:rPr>
        <w:t xml:space="preserve">by alumni during their university course, the higher the level of alumni’s trust toward their university, the </w:t>
      </w:r>
      <w:r w:rsidR="00B033C0" w:rsidRPr="00771F08">
        <w:rPr>
          <w:rFonts w:ascii="Times New Roman" w:hAnsi="Times New Roman" w:cs="Times New Roman"/>
          <w:lang w:val="en-GB"/>
        </w:rPr>
        <w:t>more positive</w:t>
      </w:r>
      <w:r w:rsidR="0041747A" w:rsidRPr="00771F08">
        <w:rPr>
          <w:rFonts w:ascii="Times New Roman" w:hAnsi="Times New Roman" w:cs="Times New Roman"/>
          <w:lang w:val="en-GB"/>
        </w:rPr>
        <w:t xml:space="preserve"> their attitude toward donation is. </w:t>
      </w:r>
      <w:r w:rsidR="00573E9D" w:rsidRPr="00771F08">
        <w:rPr>
          <w:rFonts w:ascii="Times New Roman" w:hAnsi="Times New Roman" w:cs="Times New Roman"/>
          <w:lang w:val="en-GB"/>
        </w:rPr>
        <w:t>T</w:t>
      </w:r>
      <w:r w:rsidR="0041747A" w:rsidRPr="00771F08">
        <w:rPr>
          <w:rFonts w:ascii="Times New Roman" w:hAnsi="Times New Roman" w:cs="Times New Roman"/>
          <w:lang w:val="en-GB"/>
        </w:rPr>
        <w:t>his</w:t>
      </w:r>
      <w:r w:rsidR="00573E9D" w:rsidRPr="00771F08">
        <w:rPr>
          <w:rFonts w:ascii="Times New Roman" w:hAnsi="Times New Roman" w:cs="Times New Roman"/>
          <w:lang w:val="en-GB"/>
        </w:rPr>
        <w:t xml:space="preserve"> argument</w:t>
      </w:r>
      <w:r w:rsidR="0041747A" w:rsidRPr="00771F08">
        <w:rPr>
          <w:rFonts w:ascii="Times New Roman" w:hAnsi="Times New Roman" w:cs="Times New Roman"/>
          <w:lang w:val="en-GB"/>
        </w:rPr>
        <w:t xml:space="preserve"> leads to the second hypothesis:</w:t>
      </w:r>
    </w:p>
    <w:p w14:paraId="55AEC08E" w14:textId="13F14C92" w:rsidR="0041747A" w:rsidRPr="00771F08" w:rsidRDefault="0041747A" w:rsidP="00237956">
      <w:pPr>
        <w:spacing w:after="0" w:line="240" w:lineRule="auto"/>
        <w:ind w:left="567" w:right="1133"/>
        <w:rPr>
          <w:rFonts w:ascii="Times New Roman" w:hAnsi="Times New Roman" w:cs="Times New Roman"/>
          <w:i/>
          <w:lang w:val="en-GB"/>
        </w:rPr>
      </w:pPr>
      <w:r w:rsidRPr="00771F08">
        <w:rPr>
          <w:rFonts w:ascii="Times New Roman" w:hAnsi="Times New Roman" w:cs="Times New Roman"/>
          <w:b/>
          <w:lang w:val="en-GB"/>
        </w:rPr>
        <w:t>H2</w:t>
      </w:r>
      <w:r w:rsidRPr="00771F08">
        <w:rPr>
          <w:rFonts w:ascii="Times New Roman" w:hAnsi="Times New Roman" w:cs="Times New Roman"/>
          <w:lang w:val="en-GB"/>
        </w:rPr>
        <w:t xml:space="preserve">. </w:t>
      </w:r>
      <w:r w:rsidRPr="00771F08">
        <w:rPr>
          <w:rFonts w:ascii="Times New Roman" w:hAnsi="Times New Roman" w:cs="Times New Roman"/>
          <w:i/>
          <w:lang w:val="en-GB"/>
        </w:rPr>
        <w:t xml:space="preserve">Trust </w:t>
      </w:r>
      <w:r w:rsidR="006C0604" w:rsidRPr="00771F08">
        <w:rPr>
          <w:rFonts w:ascii="Times New Roman" w:hAnsi="Times New Roman" w:cs="Times New Roman"/>
          <w:i/>
          <w:lang w:val="en-GB"/>
        </w:rPr>
        <w:t xml:space="preserve">towards the </w:t>
      </w:r>
      <w:r w:rsidR="000B025B" w:rsidRPr="00771F08">
        <w:rPr>
          <w:rFonts w:ascii="Times New Roman" w:hAnsi="Times New Roman" w:cs="Times New Roman"/>
          <w:i/>
          <w:lang w:val="en-GB"/>
        </w:rPr>
        <w:t>u</w:t>
      </w:r>
      <w:r w:rsidR="006C0604" w:rsidRPr="00771F08">
        <w:rPr>
          <w:rFonts w:ascii="Times New Roman" w:hAnsi="Times New Roman" w:cs="Times New Roman"/>
          <w:i/>
          <w:lang w:val="en-GB"/>
        </w:rPr>
        <w:t xml:space="preserve">niversity </w:t>
      </w:r>
      <w:r w:rsidRPr="00771F08">
        <w:rPr>
          <w:rFonts w:ascii="Times New Roman" w:hAnsi="Times New Roman" w:cs="Times New Roman"/>
          <w:i/>
          <w:lang w:val="en-GB"/>
        </w:rPr>
        <w:t xml:space="preserve">positively influences attitude toward donations. </w:t>
      </w:r>
    </w:p>
    <w:p w14:paraId="4B7849D4" w14:textId="77777777" w:rsidR="007D26D7" w:rsidRPr="00771F08" w:rsidRDefault="007D26D7" w:rsidP="00237956">
      <w:pPr>
        <w:spacing w:after="0" w:line="240" w:lineRule="auto"/>
        <w:ind w:left="567" w:right="1133"/>
        <w:rPr>
          <w:rFonts w:ascii="Times New Roman" w:hAnsi="Times New Roman" w:cs="Times New Roman"/>
          <w:b/>
          <w:i/>
          <w:lang w:val="en-GB"/>
        </w:rPr>
      </w:pPr>
    </w:p>
    <w:p w14:paraId="35E81EAA" w14:textId="638A4B51" w:rsidR="001C75EF" w:rsidRPr="00771F08" w:rsidRDefault="0002100F" w:rsidP="00237956">
      <w:pPr>
        <w:spacing w:after="0" w:line="240" w:lineRule="auto"/>
        <w:ind w:left="567" w:right="1133"/>
        <w:rPr>
          <w:rFonts w:ascii="Times New Roman" w:hAnsi="Times New Roman" w:cs="Times New Roman"/>
          <w:b/>
          <w:i/>
          <w:lang w:val="en-GB"/>
        </w:rPr>
      </w:pPr>
      <w:r w:rsidRPr="00771F08">
        <w:rPr>
          <w:rFonts w:ascii="Times New Roman" w:hAnsi="Times New Roman" w:cs="Times New Roman"/>
          <w:b/>
          <w:i/>
          <w:lang w:val="en-GB"/>
        </w:rPr>
        <w:t>2.</w:t>
      </w:r>
      <w:r w:rsidR="003154B5" w:rsidRPr="00771F08">
        <w:rPr>
          <w:rFonts w:ascii="Times New Roman" w:hAnsi="Times New Roman" w:cs="Times New Roman"/>
          <w:b/>
          <w:i/>
          <w:lang w:val="en-GB"/>
        </w:rPr>
        <w:t xml:space="preserve">3 </w:t>
      </w:r>
      <w:r w:rsidRPr="00771F08">
        <w:rPr>
          <w:rFonts w:ascii="Times New Roman" w:hAnsi="Times New Roman" w:cs="Times New Roman"/>
          <w:b/>
          <w:i/>
          <w:lang w:val="en-GB"/>
        </w:rPr>
        <w:t>Support</w:t>
      </w:r>
    </w:p>
    <w:p w14:paraId="1A8FAE53" w14:textId="7F3EAA66" w:rsidR="006D535C" w:rsidRPr="00771F08" w:rsidRDefault="009158F9"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In the HE context, the concept of support refers to the active participation</w:t>
      </w:r>
      <w:r w:rsidR="00F90D22" w:rsidRPr="00771F08">
        <w:rPr>
          <w:rFonts w:ascii="Times New Roman" w:hAnsi="Times New Roman" w:cs="Times New Roman"/>
          <w:lang w:val="en-GB"/>
        </w:rPr>
        <w:t xml:space="preserve"> of</w:t>
      </w:r>
      <w:r w:rsidRPr="00771F08">
        <w:rPr>
          <w:rFonts w:ascii="Times New Roman" w:hAnsi="Times New Roman" w:cs="Times New Roman"/>
          <w:lang w:val="en-GB"/>
        </w:rPr>
        <w:t xml:space="preserve"> </w:t>
      </w:r>
      <w:r w:rsidR="00F90D22" w:rsidRPr="00771F08">
        <w:rPr>
          <w:rFonts w:ascii="Times New Roman" w:hAnsi="Times New Roman" w:cs="Times New Roman"/>
          <w:lang w:val="en-GB"/>
        </w:rPr>
        <w:t xml:space="preserve">alumni </w:t>
      </w:r>
      <w:r w:rsidRPr="00771F08">
        <w:rPr>
          <w:rFonts w:ascii="Times New Roman" w:hAnsi="Times New Roman" w:cs="Times New Roman"/>
          <w:lang w:val="en-GB"/>
        </w:rPr>
        <w:t xml:space="preserve">who decide to </w:t>
      </w:r>
      <w:r w:rsidR="003C6838" w:rsidRPr="00771F08">
        <w:rPr>
          <w:rFonts w:ascii="Times New Roman" w:hAnsi="Times New Roman" w:cs="Times New Roman"/>
          <w:lang w:val="en-GB"/>
        </w:rPr>
        <w:t>support</w:t>
      </w:r>
      <w:r w:rsidR="00B66BBA" w:rsidRPr="00771F08">
        <w:rPr>
          <w:rFonts w:ascii="Times New Roman" w:hAnsi="Times New Roman" w:cs="Times New Roman"/>
          <w:lang w:val="en-GB"/>
        </w:rPr>
        <w:t xml:space="preserve"> their univer</w:t>
      </w:r>
      <w:r w:rsidR="00370ABF" w:rsidRPr="00771F08">
        <w:rPr>
          <w:rFonts w:ascii="Times New Roman" w:hAnsi="Times New Roman" w:cs="Times New Roman"/>
          <w:lang w:val="en-GB"/>
        </w:rPr>
        <w:t>sity beyond graduation (</w:t>
      </w:r>
      <w:proofErr w:type="spellStart"/>
      <w:r w:rsidR="00370ABF" w:rsidRPr="00771F08">
        <w:rPr>
          <w:rFonts w:ascii="Times New Roman" w:hAnsi="Times New Roman" w:cs="Times New Roman"/>
          <w:lang w:val="en-GB"/>
        </w:rPr>
        <w:t>Weerts</w:t>
      </w:r>
      <w:proofErr w:type="spellEnd"/>
      <w:r w:rsidR="00370ABF" w:rsidRPr="00771F08">
        <w:rPr>
          <w:rFonts w:ascii="Times New Roman" w:hAnsi="Times New Roman" w:cs="Times New Roman"/>
          <w:lang w:val="en-GB"/>
        </w:rPr>
        <w:t xml:space="preserve"> and </w:t>
      </w:r>
      <w:proofErr w:type="spellStart"/>
      <w:r w:rsidR="00370ABF" w:rsidRPr="00771F08">
        <w:rPr>
          <w:rFonts w:ascii="Times New Roman" w:hAnsi="Times New Roman" w:cs="Times New Roman"/>
          <w:lang w:val="en-GB"/>
        </w:rPr>
        <w:t>Ronca</w:t>
      </w:r>
      <w:proofErr w:type="spellEnd"/>
      <w:r w:rsidR="00B66BBA" w:rsidRPr="00771F08">
        <w:rPr>
          <w:rFonts w:ascii="Times New Roman" w:hAnsi="Times New Roman" w:cs="Times New Roman"/>
          <w:lang w:val="en-GB"/>
        </w:rPr>
        <w:t xml:space="preserve"> 2008).</w:t>
      </w:r>
      <w:r w:rsidR="007043B4" w:rsidRPr="00771F08">
        <w:rPr>
          <w:rFonts w:ascii="Times New Roman" w:hAnsi="Times New Roman" w:cs="Times New Roman"/>
          <w:lang w:val="en-GB"/>
        </w:rPr>
        <w:t xml:space="preserve"> In addition to welcoming philanthropic donations, HE Institutions often consider alumni as a key enabler to contribute to the mission and vision of the </w:t>
      </w:r>
      <w:r w:rsidR="00FD76C2" w:rsidRPr="00771F08">
        <w:rPr>
          <w:rFonts w:ascii="Times New Roman" w:hAnsi="Times New Roman" w:cs="Times New Roman"/>
          <w:lang w:val="en-GB"/>
        </w:rPr>
        <w:t>u</w:t>
      </w:r>
      <w:r w:rsidR="007043B4" w:rsidRPr="00771F08">
        <w:rPr>
          <w:rFonts w:ascii="Times New Roman" w:hAnsi="Times New Roman" w:cs="Times New Roman"/>
          <w:lang w:val="en-GB"/>
        </w:rPr>
        <w:t>niversity</w:t>
      </w:r>
      <w:r w:rsidR="004263AC" w:rsidRPr="00771F08">
        <w:rPr>
          <w:rFonts w:ascii="Times New Roman" w:hAnsi="Times New Roman" w:cs="Times New Roman"/>
          <w:lang w:val="en-GB"/>
        </w:rPr>
        <w:t xml:space="preserve"> via various no</w:t>
      </w:r>
      <w:r w:rsidR="007D26D7" w:rsidRPr="00771F08">
        <w:rPr>
          <w:rFonts w:ascii="Times New Roman" w:hAnsi="Times New Roman" w:cs="Times New Roman"/>
          <w:lang w:val="en-GB"/>
        </w:rPr>
        <w:t>n-monetary forms of support, e.</w:t>
      </w:r>
      <w:r w:rsidR="004263AC" w:rsidRPr="00771F08">
        <w:rPr>
          <w:rFonts w:ascii="Times New Roman" w:hAnsi="Times New Roman" w:cs="Times New Roman"/>
          <w:lang w:val="en-GB"/>
        </w:rPr>
        <w:t>g.</w:t>
      </w:r>
      <w:r w:rsidR="007043B4" w:rsidRPr="00771F08">
        <w:rPr>
          <w:rFonts w:ascii="Times New Roman" w:hAnsi="Times New Roman" w:cs="Times New Roman"/>
          <w:lang w:val="en-GB"/>
        </w:rPr>
        <w:t xml:space="preserve"> their time (Gallo 2018)</w:t>
      </w:r>
      <w:r w:rsidR="00A27000" w:rsidRPr="00771F08">
        <w:rPr>
          <w:rFonts w:ascii="Times New Roman" w:hAnsi="Times New Roman" w:cs="Times New Roman"/>
          <w:lang w:val="en-GB"/>
        </w:rPr>
        <w:t>,</w:t>
      </w:r>
      <w:r w:rsidR="007043B4" w:rsidRPr="00771F08">
        <w:rPr>
          <w:rFonts w:ascii="Times New Roman" w:hAnsi="Times New Roman" w:cs="Times New Roman"/>
          <w:lang w:val="en-GB"/>
        </w:rPr>
        <w:t xml:space="preserve"> which can be invested in a number of different activities</w:t>
      </w:r>
      <w:r w:rsidR="004263AC" w:rsidRPr="00771F08">
        <w:rPr>
          <w:rFonts w:ascii="Times New Roman" w:hAnsi="Times New Roman" w:cs="Times New Roman"/>
          <w:lang w:val="en-GB"/>
        </w:rPr>
        <w:t>, or by promoting the university to potential students (Sung and Yang 2009).</w:t>
      </w:r>
      <w:r w:rsidR="00B66BBA" w:rsidRPr="00771F08">
        <w:rPr>
          <w:rFonts w:ascii="Times New Roman" w:hAnsi="Times New Roman" w:cs="Times New Roman"/>
          <w:lang w:val="en-GB"/>
        </w:rPr>
        <w:t xml:space="preserve"> </w:t>
      </w:r>
      <w:r w:rsidR="00980D86" w:rsidRPr="00771F08">
        <w:rPr>
          <w:rFonts w:ascii="Times New Roman" w:hAnsi="Times New Roman" w:cs="Times New Roman"/>
          <w:lang w:val="en-GB"/>
        </w:rPr>
        <w:t>A</w:t>
      </w:r>
      <w:r w:rsidR="00B66BBA" w:rsidRPr="00771F08">
        <w:rPr>
          <w:rFonts w:ascii="Times New Roman" w:hAnsi="Times New Roman" w:cs="Times New Roman"/>
          <w:lang w:val="en-GB"/>
        </w:rPr>
        <w:t xml:space="preserve">lumni can support their alma mater in multiple ways: </w:t>
      </w:r>
      <w:r w:rsidR="004D274E" w:rsidRPr="00771F08">
        <w:rPr>
          <w:rFonts w:ascii="Times New Roman" w:hAnsi="Times New Roman" w:cs="Times New Roman"/>
          <w:lang w:val="en-GB"/>
        </w:rPr>
        <w:t xml:space="preserve">e.g. </w:t>
      </w:r>
      <w:r w:rsidR="00B66BBA" w:rsidRPr="00771F08">
        <w:rPr>
          <w:rFonts w:ascii="Times New Roman" w:hAnsi="Times New Roman" w:cs="Times New Roman"/>
          <w:lang w:val="en-GB"/>
        </w:rPr>
        <w:t>by attending alumni events, assuming the role of mentor to students, collaborating with</w:t>
      </w:r>
      <w:r w:rsidR="006D535C" w:rsidRPr="00771F08">
        <w:rPr>
          <w:rFonts w:ascii="Times New Roman" w:hAnsi="Times New Roman" w:cs="Times New Roman"/>
          <w:lang w:val="en-GB"/>
        </w:rPr>
        <w:t xml:space="preserve"> </w:t>
      </w:r>
      <w:r w:rsidR="00A27000" w:rsidRPr="00771F08">
        <w:rPr>
          <w:rFonts w:ascii="Times New Roman" w:hAnsi="Times New Roman" w:cs="Times New Roman"/>
          <w:lang w:val="en-GB"/>
        </w:rPr>
        <w:t xml:space="preserve">the </w:t>
      </w:r>
      <w:r w:rsidR="006D535C" w:rsidRPr="00771F08">
        <w:rPr>
          <w:rFonts w:ascii="Times New Roman" w:hAnsi="Times New Roman" w:cs="Times New Roman"/>
          <w:lang w:val="en-GB"/>
        </w:rPr>
        <w:t>university's academ</w:t>
      </w:r>
      <w:r w:rsidR="00B66BBA" w:rsidRPr="00771F08">
        <w:rPr>
          <w:rFonts w:ascii="Times New Roman" w:hAnsi="Times New Roman" w:cs="Times New Roman"/>
          <w:lang w:val="en-GB"/>
        </w:rPr>
        <w:t>ic staff,</w:t>
      </w:r>
      <w:r w:rsidR="006D535C" w:rsidRPr="00771F08">
        <w:rPr>
          <w:rFonts w:ascii="Times New Roman" w:hAnsi="Times New Roman" w:cs="Times New Roman"/>
          <w:lang w:val="en-GB"/>
        </w:rPr>
        <w:t xml:space="preserve"> participating </w:t>
      </w:r>
      <w:r w:rsidR="00B66BBA" w:rsidRPr="00771F08">
        <w:rPr>
          <w:rFonts w:ascii="Times New Roman" w:hAnsi="Times New Roman" w:cs="Times New Roman"/>
          <w:lang w:val="en-GB"/>
        </w:rPr>
        <w:t>in research projects,</w:t>
      </w:r>
      <w:r w:rsidR="006D535C" w:rsidRPr="00771F08">
        <w:rPr>
          <w:rFonts w:ascii="Times New Roman" w:hAnsi="Times New Roman" w:cs="Times New Roman"/>
          <w:lang w:val="en-GB"/>
        </w:rPr>
        <w:t xml:space="preserve"> </w:t>
      </w:r>
      <w:r w:rsidR="00B66BBA" w:rsidRPr="00771F08">
        <w:rPr>
          <w:rFonts w:ascii="Times New Roman" w:hAnsi="Times New Roman" w:cs="Times New Roman"/>
          <w:lang w:val="en-GB"/>
        </w:rPr>
        <w:t xml:space="preserve">or </w:t>
      </w:r>
      <w:r w:rsidR="006D535C" w:rsidRPr="00771F08">
        <w:rPr>
          <w:rFonts w:ascii="Times New Roman" w:hAnsi="Times New Roman" w:cs="Times New Roman"/>
          <w:lang w:val="en-GB"/>
        </w:rPr>
        <w:t>becoming a volunteer for the university</w:t>
      </w:r>
      <w:r w:rsidR="00B66BBA" w:rsidRPr="00771F08">
        <w:rPr>
          <w:rFonts w:ascii="Times New Roman" w:hAnsi="Times New Roman" w:cs="Times New Roman"/>
          <w:lang w:val="en-GB"/>
        </w:rPr>
        <w:t xml:space="preserve"> </w:t>
      </w:r>
      <w:r w:rsidR="00370ABF" w:rsidRPr="00771F08">
        <w:rPr>
          <w:rFonts w:ascii="Times New Roman" w:hAnsi="Times New Roman" w:cs="Times New Roman"/>
          <w:lang w:val="en-GB"/>
        </w:rPr>
        <w:t>(</w:t>
      </w:r>
      <w:proofErr w:type="spellStart"/>
      <w:r w:rsidR="00370ABF" w:rsidRPr="00771F08">
        <w:rPr>
          <w:rFonts w:ascii="Times New Roman" w:hAnsi="Times New Roman" w:cs="Times New Roman"/>
          <w:lang w:val="en-GB"/>
        </w:rPr>
        <w:t>Mael</w:t>
      </w:r>
      <w:proofErr w:type="spellEnd"/>
      <w:r w:rsidR="00370ABF" w:rsidRPr="00771F08">
        <w:rPr>
          <w:rFonts w:ascii="Times New Roman" w:hAnsi="Times New Roman" w:cs="Times New Roman"/>
          <w:lang w:val="en-GB"/>
        </w:rPr>
        <w:t xml:space="preserve"> and </w:t>
      </w:r>
      <w:proofErr w:type="spellStart"/>
      <w:r w:rsidR="00370ABF" w:rsidRPr="00771F08">
        <w:rPr>
          <w:rFonts w:ascii="Times New Roman" w:hAnsi="Times New Roman" w:cs="Times New Roman"/>
          <w:lang w:val="en-GB"/>
        </w:rPr>
        <w:t>Ashforth</w:t>
      </w:r>
      <w:proofErr w:type="spellEnd"/>
      <w:r w:rsidR="00370ABF" w:rsidRPr="00771F08">
        <w:rPr>
          <w:rFonts w:ascii="Times New Roman" w:hAnsi="Times New Roman" w:cs="Times New Roman"/>
          <w:lang w:val="en-GB"/>
        </w:rPr>
        <w:t xml:space="preserve"> 1992; </w:t>
      </w:r>
      <w:proofErr w:type="spellStart"/>
      <w:r w:rsidR="00370ABF" w:rsidRPr="00771F08">
        <w:rPr>
          <w:rFonts w:ascii="Times New Roman" w:hAnsi="Times New Roman" w:cs="Times New Roman"/>
          <w:lang w:val="en-GB"/>
        </w:rPr>
        <w:t>McDearmon</w:t>
      </w:r>
      <w:proofErr w:type="spellEnd"/>
      <w:r w:rsidR="006D535C" w:rsidRPr="00771F08">
        <w:rPr>
          <w:rFonts w:ascii="Times New Roman" w:hAnsi="Times New Roman" w:cs="Times New Roman"/>
          <w:lang w:val="en-GB"/>
        </w:rPr>
        <w:t xml:space="preserve"> 2013</w:t>
      </w:r>
      <w:r w:rsidR="00370ABF" w:rsidRPr="00771F08">
        <w:rPr>
          <w:rFonts w:ascii="Times New Roman" w:hAnsi="Times New Roman" w:cs="Times New Roman"/>
          <w:lang w:val="en-GB"/>
        </w:rPr>
        <w:t>; Sung and Yang</w:t>
      </w:r>
      <w:r w:rsidR="004B18BF" w:rsidRPr="00771F08">
        <w:rPr>
          <w:rFonts w:ascii="Times New Roman" w:hAnsi="Times New Roman" w:cs="Times New Roman"/>
          <w:lang w:val="en-GB"/>
        </w:rPr>
        <w:t xml:space="preserve"> 2009</w:t>
      </w:r>
      <w:r w:rsidR="006D535C" w:rsidRPr="00771F08">
        <w:rPr>
          <w:rFonts w:ascii="Times New Roman" w:hAnsi="Times New Roman" w:cs="Times New Roman"/>
          <w:lang w:val="en-GB"/>
        </w:rPr>
        <w:t xml:space="preserve">). As stated by </w:t>
      </w:r>
      <w:proofErr w:type="spellStart"/>
      <w:r w:rsidR="006D535C" w:rsidRPr="00771F08">
        <w:rPr>
          <w:rFonts w:ascii="Times New Roman" w:hAnsi="Times New Roman" w:cs="Times New Roman"/>
          <w:lang w:val="en-GB"/>
        </w:rPr>
        <w:t>Weerts</w:t>
      </w:r>
      <w:proofErr w:type="spellEnd"/>
      <w:r w:rsidR="006D535C" w:rsidRPr="00771F08">
        <w:rPr>
          <w:rFonts w:ascii="Times New Roman" w:hAnsi="Times New Roman" w:cs="Times New Roman"/>
          <w:lang w:val="en-GB"/>
        </w:rPr>
        <w:t xml:space="preserve"> and </w:t>
      </w:r>
      <w:proofErr w:type="spellStart"/>
      <w:r w:rsidR="006D535C" w:rsidRPr="00771F08">
        <w:rPr>
          <w:rFonts w:ascii="Times New Roman" w:hAnsi="Times New Roman" w:cs="Times New Roman"/>
          <w:lang w:val="en-GB"/>
        </w:rPr>
        <w:t>Ronca</w:t>
      </w:r>
      <w:proofErr w:type="spellEnd"/>
      <w:r w:rsidR="006D535C" w:rsidRPr="00771F08">
        <w:rPr>
          <w:rFonts w:ascii="Times New Roman" w:hAnsi="Times New Roman" w:cs="Times New Roman"/>
          <w:lang w:val="en-GB"/>
        </w:rPr>
        <w:t xml:space="preserve"> (2008), alumni volunteers represent valuable assets to their institutions. Through their professional and social networks, they can lend their experience, help formulate strategic directions for the institution and act as mentors, recruiters</w:t>
      </w:r>
      <w:r w:rsidR="00A00015" w:rsidRPr="00771F08">
        <w:rPr>
          <w:rFonts w:ascii="Times New Roman" w:hAnsi="Times New Roman" w:cs="Times New Roman"/>
          <w:lang w:val="en-GB"/>
        </w:rPr>
        <w:t>,</w:t>
      </w:r>
      <w:r w:rsidR="00370ABF" w:rsidRPr="00771F08">
        <w:rPr>
          <w:rFonts w:ascii="Times New Roman" w:hAnsi="Times New Roman" w:cs="Times New Roman"/>
          <w:lang w:val="en-GB"/>
        </w:rPr>
        <w:t xml:space="preserve"> and club leaders</w:t>
      </w:r>
      <w:r w:rsidR="006D535C" w:rsidRPr="00771F08">
        <w:rPr>
          <w:rFonts w:ascii="Times New Roman" w:hAnsi="Times New Roman" w:cs="Times New Roman"/>
          <w:lang w:val="en-GB"/>
        </w:rPr>
        <w:t xml:space="preserve">. </w:t>
      </w:r>
    </w:p>
    <w:p w14:paraId="265AFD43" w14:textId="0A7EBD74" w:rsidR="003C6838" w:rsidRPr="00771F08" w:rsidRDefault="003C6838"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Based on the relevance of alumni as a critical source of support for HEIs</w:t>
      </w:r>
      <w:r w:rsidR="005756DD" w:rsidRPr="00771F08">
        <w:rPr>
          <w:rFonts w:ascii="Times New Roman" w:hAnsi="Times New Roman" w:cs="Times New Roman"/>
          <w:lang w:val="en-GB"/>
        </w:rPr>
        <w:t xml:space="preserve"> (</w:t>
      </w:r>
      <w:proofErr w:type="spellStart"/>
      <w:r w:rsidR="005756DD" w:rsidRPr="00771F08">
        <w:rPr>
          <w:rFonts w:ascii="Times New Roman" w:hAnsi="Times New Roman" w:cs="Times New Roman"/>
          <w:lang w:val="en-GB"/>
        </w:rPr>
        <w:t>Mael</w:t>
      </w:r>
      <w:proofErr w:type="spellEnd"/>
      <w:r w:rsidR="005756DD" w:rsidRPr="00771F08">
        <w:rPr>
          <w:rFonts w:ascii="Times New Roman" w:hAnsi="Times New Roman" w:cs="Times New Roman"/>
          <w:lang w:val="en-GB"/>
        </w:rPr>
        <w:t xml:space="preserve"> and </w:t>
      </w:r>
      <w:proofErr w:type="spellStart"/>
      <w:r w:rsidR="005756DD" w:rsidRPr="00771F08">
        <w:rPr>
          <w:rFonts w:ascii="Times New Roman" w:hAnsi="Times New Roman" w:cs="Times New Roman"/>
          <w:lang w:val="en-GB"/>
        </w:rPr>
        <w:t>Ashforth</w:t>
      </w:r>
      <w:proofErr w:type="spellEnd"/>
      <w:r w:rsidR="005756DD" w:rsidRPr="00771F08">
        <w:rPr>
          <w:rFonts w:ascii="Times New Roman" w:hAnsi="Times New Roman" w:cs="Times New Roman"/>
          <w:lang w:val="en-GB"/>
        </w:rPr>
        <w:t xml:space="preserve"> </w:t>
      </w:r>
      <w:r w:rsidRPr="00771F08">
        <w:rPr>
          <w:rFonts w:ascii="Times New Roman" w:hAnsi="Times New Roman" w:cs="Times New Roman"/>
          <w:lang w:val="en-GB"/>
        </w:rPr>
        <w:t>1992), different studies have attempted to identify the main factors leading to the creation of supportive alumni-university l</w:t>
      </w:r>
      <w:r w:rsidR="005756DD" w:rsidRPr="00771F08">
        <w:rPr>
          <w:rFonts w:ascii="Times New Roman" w:hAnsi="Times New Roman" w:cs="Times New Roman"/>
          <w:lang w:val="en-GB"/>
        </w:rPr>
        <w:t>ong-term relationships (</w:t>
      </w:r>
      <w:proofErr w:type="spellStart"/>
      <w:r w:rsidR="005756DD" w:rsidRPr="00771F08">
        <w:rPr>
          <w:rFonts w:ascii="Times New Roman" w:hAnsi="Times New Roman" w:cs="Times New Roman"/>
          <w:lang w:val="en-GB"/>
        </w:rPr>
        <w:t>Weerts</w:t>
      </w:r>
      <w:proofErr w:type="spellEnd"/>
      <w:r w:rsidR="005756DD" w:rsidRPr="00771F08">
        <w:rPr>
          <w:rFonts w:ascii="Times New Roman" w:hAnsi="Times New Roman" w:cs="Times New Roman"/>
          <w:lang w:val="en-GB"/>
        </w:rPr>
        <w:t xml:space="preserve"> and </w:t>
      </w:r>
      <w:proofErr w:type="spellStart"/>
      <w:r w:rsidR="005756DD" w:rsidRPr="00771F08">
        <w:rPr>
          <w:rFonts w:ascii="Times New Roman" w:hAnsi="Times New Roman" w:cs="Times New Roman"/>
          <w:lang w:val="en-GB"/>
        </w:rPr>
        <w:t>Ronca</w:t>
      </w:r>
      <w:proofErr w:type="spellEnd"/>
      <w:r w:rsidRPr="00771F08">
        <w:rPr>
          <w:rFonts w:ascii="Times New Roman" w:hAnsi="Times New Roman" w:cs="Times New Roman"/>
          <w:lang w:val="en-GB"/>
        </w:rPr>
        <w:t xml:space="preserve"> 2008). In particular</w:t>
      </w:r>
      <w:r w:rsidR="005756DD" w:rsidRPr="00771F08">
        <w:rPr>
          <w:rFonts w:ascii="Times New Roman" w:hAnsi="Times New Roman" w:cs="Times New Roman"/>
          <w:lang w:val="en-GB"/>
        </w:rPr>
        <w:t>, emotional attachment</w:t>
      </w:r>
      <w:r w:rsidRPr="00771F08">
        <w:rPr>
          <w:rFonts w:ascii="Times New Roman" w:hAnsi="Times New Roman" w:cs="Times New Roman"/>
          <w:lang w:val="en-GB"/>
        </w:rPr>
        <w:t>, the high quality of e</w:t>
      </w:r>
      <w:r w:rsidR="005756DD" w:rsidRPr="00771F08">
        <w:rPr>
          <w:rFonts w:ascii="Times New Roman" w:hAnsi="Times New Roman" w:cs="Times New Roman"/>
          <w:lang w:val="en-GB"/>
        </w:rPr>
        <w:t>ducational experiences (</w:t>
      </w:r>
      <w:proofErr w:type="spellStart"/>
      <w:r w:rsidR="005756DD" w:rsidRPr="00771F08">
        <w:rPr>
          <w:rFonts w:ascii="Times New Roman" w:hAnsi="Times New Roman" w:cs="Times New Roman"/>
          <w:lang w:val="en-GB"/>
        </w:rPr>
        <w:t>Weerts</w:t>
      </w:r>
      <w:proofErr w:type="spellEnd"/>
      <w:r w:rsidR="005756DD" w:rsidRPr="00771F08">
        <w:rPr>
          <w:rFonts w:ascii="Times New Roman" w:hAnsi="Times New Roman" w:cs="Times New Roman"/>
          <w:lang w:val="en-GB"/>
        </w:rPr>
        <w:t xml:space="preserve"> and </w:t>
      </w:r>
      <w:proofErr w:type="spellStart"/>
      <w:r w:rsidR="005756DD" w:rsidRPr="00771F08">
        <w:rPr>
          <w:rFonts w:ascii="Times New Roman" w:hAnsi="Times New Roman" w:cs="Times New Roman"/>
          <w:lang w:val="en-GB"/>
        </w:rPr>
        <w:t>Ronca</w:t>
      </w:r>
      <w:proofErr w:type="spellEnd"/>
      <w:r w:rsidR="005756DD" w:rsidRPr="00771F08">
        <w:rPr>
          <w:rFonts w:ascii="Times New Roman" w:hAnsi="Times New Roman" w:cs="Times New Roman"/>
          <w:lang w:val="en-GB"/>
        </w:rPr>
        <w:t xml:space="preserve"> </w:t>
      </w:r>
      <w:r w:rsidRPr="00771F08">
        <w:rPr>
          <w:rFonts w:ascii="Times New Roman" w:hAnsi="Times New Roman" w:cs="Times New Roman"/>
          <w:lang w:val="en-GB"/>
        </w:rPr>
        <w:t>200</w:t>
      </w:r>
      <w:r w:rsidR="005756DD" w:rsidRPr="00771F08">
        <w:rPr>
          <w:rFonts w:ascii="Times New Roman" w:hAnsi="Times New Roman" w:cs="Times New Roman"/>
          <w:lang w:val="en-GB"/>
        </w:rPr>
        <w:t>8), and loyalty (Hennig-</w:t>
      </w:r>
      <w:proofErr w:type="spellStart"/>
      <w:r w:rsidR="005756DD" w:rsidRPr="00771F08">
        <w:rPr>
          <w:rFonts w:ascii="Times New Roman" w:hAnsi="Times New Roman" w:cs="Times New Roman"/>
          <w:lang w:val="en-GB"/>
        </w:rPr>
        <w:t>Thurau</w:t>
      </w:r>
      <w:proofErr w:type="spellEnd"/>
      <w:r w:rsidR="005756DD" w:rsidRPr="00771F08">
        <w:rPr>
          <w:rFonts w:ascii="Times New Roman" w:hAnsi="Times New Roman" w:cs="Times New Roman"/>
          <w:lang w:val="en-GB"/>
        </w:rPr>
        <w:t xml:space="preserve"> et al. </w:t>
      </w:r>
      <w:r w:rsidRPr="00771F08">
        <w:rPr>
          <w:rFonts w:ascii="Times New Roman" w:hAnsi="Times New Roman" w:cs="Times New Roman"/>
          <w:lang w:val="en-GB"/>
        </w:rPr>
        <w:t xml:space="preserve">2001) are some of the main antecedents of alumni support identified in the literature. </w:t>
      </w:r>
      <w:r w:rsidR="00EC3FED" w:rsidRPr="00771F08">
        <w:rPr>
          <w:rFonts w:ascii="Times New Roman" w:hAnsi="Times New Roman" w:cs="Times New Roman"/>
          <w:lang w:val="en-GB"/>
        </w:rPr>
        <w:t xml:space="preserve">Such student experience can be of </w:t>
      </w:r>
      <w:r w:rsidR="00A27000" w:rsidRPr="00771F08">
        <w:rPr>
          <w:rFonts w:ascii="Times New Roman" w:hAnsi="Times New Roman" w:cs="Times New Roman"/>
          <w:lang w:val="en-GB"/>
        </w:rPr>
        <w:t xml:space="preserve">a </w:t>
      </w:r>
      <w:r w:rsidR="00EC3FED" w:rsidRPr="00771F08">
        <w:rPr>
          <w:rFonts w:ascii="Times New Roman" w:hAnsi="Times New Roman" w:cs="Times New Roman"/>
          <w:lang w:val="en-GB"/>
        </w:rPr>
        <w:t>very personal nature and even be the result of unconscious motives (Drezner and Garvey 2016).</w:t>
      </w:r>
    </w:p>
    <w:p w14:paraId="28B4B43D" w14:textId="6E74AB20" w:rsidR="00B55D61" w:rsidRPr="00771F08" w:rsidRDefault="003C6838"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B</w:t>
      </w:r>
      <w:r w:rsidR="0044423D" w:rsidRPr="00771F08">
        <w:rPr>
          <w:rFonts w:ascii="Times New Roman" w:hAnsi="Times New Roman" w:cs="Times New Roman"/>
          <w:lang w:val="en-GB"/>
        </w:rPr>
        <w:t>y</w:t>
      </w:r>
      <w:r w:rsidR="009A3327" w:rsidRPr="00771F08">
        <w:rPr>
          <w:sz w:val="20"/>
          <w:lang w:val="en-GB"/>
        </w:rPr>
        <w:t xml:space="preserve"> </w:t>
      </w:r>
      <w:r w:rsidR="009A3327" w:rsidRPr="00771F08">
        <w:rPr>
          <w:rFonts w:ascii="Times New Roman" w:hAnsi="Times New Roman" w:cs="Times New Roman"/>
          <w:lang w:val="en-GB"/>
        </w:rPr>
        <w:t xml:space="preserve">underlining the key role of trust in building and maintaining long-term relations between alumni and their alma mater, </w:t>
      </w:r>
      <w:r w:rsidR="005756DD" w:rsidRPr="00771F08">
        <w:rPr>
          <w:rFonts w:ascii="Times New Roman" w:hAnsi="Times New Roman" w:cs="Times New Roman"/>
          <w:lang w:val="en-GB"/>
        </w:rPr>
        <w:t xml:space="preserve">Ghosh and colleagues </w:t>
      </w:r>
      <w:r w:rsidR="0044423D" w:rsidRPr="00771F08">
        <w:rPr>
          <w:rFonts w:ascii="Times New Roman" w:hAnsi="Times New Roman" w:cs="Times New Roman"/>
          <w:lang w:val="en-GB"/>
        </w:rPr>
        <w:t xml:space="preserve">(2001) </w:t>
      </w:r>
      <w:r w:rsidR="001113C0" w:rsidRPr="00771F08">
        <w:rPr>
          <w:rFonts w:ascii="Times New Roman" w:hAnsi="Times New Roman" w:cs="Times New Roman"/>
          <w:lang w:val="en-GB"/>
        </w:rPr>
        <w:t xml:space="preserve">confirmed the strategic implication, for universities, of having alumni who trust and consequently support them. </w:t>
      </w:r>
      <w:r w:rsidR="00B55D61" w:rsidRPr="00771F08">
        <w:rPr>
          <w:rFonts w:ascii="Times New Roman" w:hAnsi="Times New Roman" w:cs="Times New Roman"/>
          <w:lang w:val="en-GB"/>
        </w:rPr>
        <w:t xml:space="preserve">Therefore, it could be </w:t>
      </w:r>
      <w:r w:rsidR="00727F74" w:rsidRPr="00771F08">
        <w:rPr>
          <w:rFonts w:ascii="Times New Roman" w:hAnsi="Times New Roman" w:cs="Times New Roman"/>
          <w:lang w:val="en-GB"/>
        </w:rPr>
        <w:t>hypothesi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00B55D61" w:rsidRPr="00771F08">
        <w:rPr>
          <w:rFonts w:ascii="Times New Roman" w:hAnsi="Times New Roman" w:cs="Times New Roman"/>
          <w:lang w:val="en-GB"/>
        </w:rPr>
        <w:t xml:space="preserve"> that the more </w:t>
      </w:r>
      <w:r w:rsidR="00934DD2" w:rsidRPr="00771F08">
        <w:rPr>
          <w:rFonts w:ascii="Times New Roman" w:hAnsi="Times New Roman" w:cs="Times New Roman"/>
          <w:lang w:val="en-GB"/>
        </w:rPr>
        <w:t xml:space="preserve">the </w:t>
      </w:r>
      <w:r w:rsidR="00B55D61" w:rsidRPr="00771F08">
        <w:rPr>
          <w:rFonts w:ascii="Times New Roman" w:hAnsi="Times New Roman" w:cs="Times New Roman"/>
          <w:lang w:val="en-GB"/>
        </w:rPr>
        <w:t xml:space="preserve">alumni are confident </w:t>
      </w:r>
      <w:r w:rsidR="00B61D14">
        <w:rPr>
          <w:rFonts w:ascii="Times New Roman" w:hAnsi="Times New Roman" w:cs="Times New Roman"/>
          <w:lang w:val="en-GB"/>
        </w:rPr>
        <w:t>about</w:t>
      </w:r>
      <w:r w:rsidR="00B61D14" w:rsidRPr="00771F08">
        <w:rPr>
          <w:rFonts w:ascii="Times New Roman" w:hAnsi="Times New Roman" w:cs="Times New Roman"/>
          <w:lang w:val="en-GB"/>
        </w:rPr>
        <w:t xml:space="preserve"> </w:t>
      </w:r>
      <w:r w:rsidR="00B55D61" w:rsidRPr="00771F08">
        <w:rPr>
          <w:rFonts w:ascii="Times New Roman" w:hAnsi="Times New Roman" w:cs="Times New Roman"/>
          <w:lang w:val="en-GB"/>
        </w:rPr>
        <w:t>their alma mater, the more they will support it. Hence:</w:t>
      </w:r>
    </w:p>
    <w:p w14:paraId="3E78E603" w14:textId="22097C24" w:rsidR="00B55D61" w:rsidRPr="00771F08" w:rsidRDefault="00B55D61" w:rsidP="00237956">
      <w:pPr>
        <w:spacing w:after="0" w:line="240" w:lineRule="auto"/>
        <w:ind w:left="567" w:right="1133"/>
        <w:rPr>
          <w:rFonts w:ascii="Times New Roman" w:hAnsi="Times New Roman" w:cs="Times New Roman"/>
          <w:i/>
          <w:lang w:val="en-GB"/>
        </w:rPr>
      </w:pPr>
      <w:r w:rsidRPr="00771F08">
        <w:rPr>
          <w:rFonts w:ascii="Times New Roman" w:hAnsi="Times New Roman" w:cs="Times New Roman"/>
          <w:b/>
          <w:lang w:val="en-GB"/>
        </w:rPr>
        <w:lastRenderedPageBreak/>
        <w:t>H3</w:t>
      </w:r>
      <w:r w:rsidRPr="00771F08">
        <w:rPr>
          <w:rFonts w:ascii="Times New Roman" w:hAnsi="Times New Roman" w:cs="Times New Roman"/>
          <w:lang w:val="en-GB"/>
        </w:rPr>
        <w:t xml:space="preserve">. </w:t>
      </w:r>
      <w:r w:rsidRPr="00771F08">
        <w:rPr>
          <w:rFonts w:ascii="Times New Roman" w:hAnsi="Times New Roman" w:cs="Times New Roman"/>
          <w:i/>
          <w:lang w:val="en-GB"/>
        </w:rPr>
        <w:t>Trust</w:t>
      </w:r>
      <w:r w:rsidR="000B025B" w:rsidRPr="00771F08">
        <w:rPr>
          <w:rFonts w:ascii="Times New Roman" w:hAnsi="Times New Roman" w:cs="Times New Roman"/>
          <w:i/>
          <w:lang w:val="en-GB"/>
        </w:rPr>
        <w:t xml:space="preserve"> towards the u</w:t>
      </w:r>
      <w:r w:rsidR="006C0604" w:rsidRPr="00771F08">
        <w:rPr>
          <w:rFonts w:ascii="Times New Roman" w:hAnsi="Times New Roman" w:cs="Times New Roman"/>
          <w:i/>
          <w:lang w:val="en-GB"/>
        </w:rPr>
        <w:t>niversity</w:t>
      </w:r>
      <w:r w:rsidRPr="00771F08">
        <w:rPr>
          <w:rFonts w:ascii="Times New Roman" w:hAnsi="Times New Roman" w:cs="Times New Roman"/>
          <w:i/>
          <w:lang w:val="en-GB"/>
        </w:rPr>
        <w:t xml:space="preserve"> positively influences support</w:t>
      </w:r>
      <w:r w:rsidR="00854106" w:rsidRPr="00771F08">
        <w:rPr>
          <w:rFonts w:ascii="Times New Roman" w:hAnsi="Times New Roman" w:cs="Times New Roman"/>
          <w:i/>
          <w:lang w:val="en-GB"/>
        </w:rPr>
        <w:t>.</w:t>
      </w:r>
    </w:p>
    <w:p w14:paraId="1599AE79" w14:textId="77777777" w:rsidR="007D26D7" w:rsidRPr="00771F08" w:rsidRDefault="007D26D7" w:rsidP="00237956">
      <w:pPr>
        <w:spacing w:after="0" w:line="240" w:lineRule="auto"/>
        <w:ind w:left="567" w:right="1133"/>
        <w:rPr>
          <w:rFonts w:ascii="Times New Roman" w:hAnsi="Times New Roman" w:cs="Times New Roman"/>
          <w:lang w:val="en-GB"/>
        </w:rPr>
      </w:pPr>
    </w:p>
    <w:p w14:paraId="3C157486" w14:textId="229B12DC" w:rsidR="000E7262" w:rsidRPr="00771F08" w:rsidRDefault="0075535F"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 xml:space="preserve">In addition, </w:t>
      </w:r>
      <w:r w:rsidR="007A4E35" w:rsidRPr="00771F08">
        <w:rPr>
          <w:rFonts w:ascii="Times New Roman" w:hAnsi="Times New Roman" w:cs="Times New Roman"/>
          <w:lang w:val="en-GB"/>
        </w:rPr>
        <w:t xml:space="preserve">graduates of a university can make monetary contributions to their </w:t>
      </w:r>
      <w:r w:rsidR="00304FE0" w:rsidRPr="00771F08">
        <w:rPr>
          <w:rFonts w:ascii="Times New Roman" w:hAnsi="Times New Roman" w:cs="Times New Roman"/>
          <w:lang w:val="en-GB"/>
        </w:rPr>
        <w:t>u</w:t>
      </w:r>
      <w:r w:rsidR="007A4E35" w:rsidRPr="00771F08">
        <w:rPr>
          <w:rFonts w:ascii="Times New Roman" w:hAnsi="Times New Roman" w:cs="Times New Roman"/>
          <w:lang w:val="en-GB"/>
        </w:rPr>
        <w:t>niversity</w:t>
      </w:r>
      <w:r w:rsidR="00304FE0" w:rsidRPr="00771F08">
        <w:rPr>
          <w:rFonts w:ascii="Times New Roman" w:hAnsi="Times New Roman" w:cs="Times New Roman"/>
          <w:lang w:val="en-GB"/>
        </w:rPr>
        <w:t>.</w:t>
      </w:r>
      <w:r w:rsidR="007A4E35" w:rsidRPr="00771F08">
        <w:rPr>
          <w:rFonts w:ascii="Times New Roman" w:hAnsi="Times New Roman" w:cs="Times New Roman"/>
          <w:lang w:val="en-GB"/>
        </w:rPr>
        <w:t xml:space="preserve"> Previous literature</w:t>
      </w:r>
      <w:r w:rsidR="00FC5EA8" w:rsidRPr="00771F08">
        <w:rPr>
          <w:rFonts w:ascii="Times New Roman" w:hAnsi="Times New Roman" w:cs="Times New Roman"/>
          <w:lang w:val="en-GB"/>
        </w:rPr>
        <w:t xml:space="preserve"> </w:t>
      </w:r>
      <w:r w:rsidR="007A4E35" w:rsidRPr="00771F08">
        <w:rPr>
          <w:rFonts w:ascii="Times New Roman" w:hAnsi="Times New Roman" w:cs="Times New Roman"/>
          <w:lang w:val="en-GB"/>
        </w:rPr>
        <w:t xml:space="preserve">suggests that undergraduates who have a close relationship with their </w:t>
      </w:r>
      <w:r w:rsidR="00304FE0" w:rsidRPr="00771F08">
        <w:rPr>
          <w:rFonts w:ascii="Times New Roman" w:hAnsi="Times New Roman" w:cs="Times New Roman"/>
          <w:lang w:val="en-GB"/>
        </w:rPr>
        <w:t>u</w:t>
      </w:r>
      <w:r w:rsidR="007A4E35" w:rsidRPr="00771F08">
        <w:rPr>
          <w:rFonts w:ascii="Times New Roman" w:hAnsi="Times New Roman" w:cs="Times New Roman"/>
          <w:lang w:val="en-GB"/>
        </w:rPr>
        <w:t xml:space="preserve">niversity while studying are more likely to become donors </w:t>
      </w:r>
      <w:r w:rsidR="007D26D7" w:rsidRPr="00771F08">
        <w:rPr>
          <w:rFonts w:ascii="Times New Roman" w:hAnsi="Times New Roman" w:cs="Times New Roman"/>
          <w:lang w:val="en-GB"/>
        </w:rPr>
        <w:t>after graduation (Sung and Yang</w:t>
      </w:r>
      <w:r w:rsidR="007A4E35" w:rsidRPr="00771F08">
        <w:rPr>
          <w:rFonts w:ascii="Times New Roman" w:hAnsi="Times New Roman" w:cs="Times New Roman"/>
          <w:lang w:val="en-GB"/>
        </w:rPr>
        <w:t xml:space="preserve"> 2009).</w:t>
      </w:r>
      <w:r w:rsidR="007E7561" w:rsidRPr="00771F08">
        <w:rPr>
          <w:rFonts w:ascii="Times New Roman" w:hAnsi="Times New Roman" w:cs="Times New Roman"/>
          <w:lang w:val="en-GB"/>
        </w:rPr>
        <w:t xml:space="preserve"> However, strong relationships between students and their </w:t>
      </w:r>
      <w:r w:rsidR="00304FE0" w:rsidRPr="00771F08">
        <w:rPr>
          <w:rFonts w:ascii="Times New Roman" w:hAnsi="Times New Roman" w:cs="Times New Roman"/>
          <w:lang w:val="en-GB"/>
        </w:rPr>
        <w:t>u</w:t>
      </w:r>
      <w:r w:rsidR="007E7561" w:rsidRPr="00771F08">
        <w:rPr>
          <w:rFonts w:ascii="Times New Roman" w:hAnsi="Times New Roman" w:cs="Times New Roman"/>
          <w:lang w:val="en-GB"/>
        </w:rPr>
        <w:t>niversity can continue after graduation by enhancing reciprocity an</w:t>
      </w:r>
      <w:r w:rsidR="007D26D7" w:rsidRPr="00771F08">
        <w:rPr>
          <w:rFonts w:ascii="Times New Roman" w:hAnsi="Times New Roman" w:cs="Times New Roman"/>
          <w:lang w:val="en-GB"/>
        </w:rPr>
        <w:t>d trust (Harrison</w:t>
      </w:r>
      <w:r w:rsidR="007E7561" w:rsidRPr="00771F08">
        <w:rPr>
          <w:rFonts w:ascii="Times New Roman" w:hAnsi="Times New Roman" w:cs="Times New Roman"/>
          <w:lang w:val="en-GB"/>
        </w:rPr>
        <w:t xml:space="preserve"> 2018). Hence</w:t>
      </w:r>
      <w:r w:rsidR="00A27000" w:rsidRPr="00771F08">
        <w:rPr>
          <w:rFonts w:ascii="Times New Roman" w:hAnsi="Times New Roman" w:cs="Times New Roman"/>
          <w:lang w:val="en-GB"/>
        </w:rPr>
        <w:t>,</w:t>
      </w:r>
      <w:r w:rsidR="007E7561" w:rsidRPr="00771F08">
        <w:rPr>
          <w:rFonts w:ascii="Times New Roman" w:hAnsi="Times New Roman" w:cs="Times New Roman"/>
          <w:lang w:val="en-GB"/>
        </w:rPr>
        <w:t xml:space="preserve"> we </w:t>
      </w:r>
      <w:r w:rsidR="00727F74" w:rsidRPr="00771F08">
        <w:rPr>
          <w:rFonts w:ascii="Times New Roman" w:hAnsi="Times New Roman" w:cs="Times New Roman"/>
          <w:lang w:val="en-GB"/>
        </w:rPr>
        <w:t>hypothesi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w:t>
      </w:r>
      <w:r w:rsidR="007E7561" w:rsidRPr="00771F08">
        <w:rPr>
          <w:rFonts w:ascii="Times New Roman" w:hAnsi="Times New Roman" w:cs="Times New Roman"/>
          <w:lang w:val="en-GB"/>
        </w:rPr>
        <w:t xml:space="preserve"> that the stronger the supportive </w:t>
      </w:r>
      <w:r w:rsidR="00175ACB" w:rsidRPr="00771F08">
        <w:rPr>
          <w:rFonts w:ascii="Times New Roman" w:hAnsi="Times New Roman" w:cs="Times New Roman"/>
          <w:lang w:val="en-GB"/>
        </w:rPr>
        <w:t>behaviour</w:t>
      </w:r>
      <w:r w:rsidR="007E7561" w:rsidRPr="00771F08">
        <w:rPr>
          <w:rFonts w:ascii="Times New Roman" w:hAnsi="Times New Roman" w:cs="Times New Roman"/>
          <w:lang w:val="en-GB"/>
        </w:rPr>
        <w:t xml:space="preserve"> in </w:t>
      </w:r>
      <w:r w:rsidR="00A27000" w:rsidRPr="00771F08">
        <w:rPr>
          <w:rFonts w:ascii="Times New Roman" w:hAnsi="Times New Roman" w:cs="Times New Roman"/>
          <w:lang w:val="en-GB"/>
        </w:rPr>
        <w:t>the</w:t>
      </w:r>
      <w:r w:rsidR="007E7561" w:rsidRPr="00771F08">
        <w:rPr>
          <w:rFonts w:ascii="Times New Roman" w:hAnsi="Times New Roman" w:cs="Times New Roman"/>
          <w:lang w:val="en-GB"/>
        </w:rPr>
        <w:t xml:space="preserve"> form of non-monetary contributions the more likely </w:t>
      </w:r>
      <w:r w:rsidR="00A27000" w:rsidRPr="00771F08">
        <w:rPr>
          <w:rFonts w:ascii="Times New Roman" w:hAnsi="Times New Roman" w:cs="Times New Roman"/>
          <w:lang w:val="en-GB"/>
        </w:rPr>
        <w:t xml:space="preserve">are </w:t>
      </w:r>
      <w:r w:rsidR="007E7561" w:rsidRPr="00771F08">
        <w:rPr>
          <w:rFonts w:ascii="Times New Roman" w:hAnsi="Times New Roman" w:cs="Times New Roman"/>
          <w:lang w:val="en-GB"/>
        </w:rPr>
        <w:t>positive attitude</w:t>
      </w:r>
      <w:r w:rsidR="00A27000" w:rsidRPr="00771F08">
        <w:rPr>
          <w:rFonts w:ascii="Times New Roman" w:hAnsi="Times New Roman" w:cs="Times New Roman"/>
          <w:lang w:val="en-GB"/>
        </w:rPr>
        <w:t>s</w:t>
      </w:r>
      <w:r w:rsidR="007E7561" w:rsidRPr="00771F08">
        <w:rPr>
          <w:rFonts w:ascii="Times New Roman" w:hAnsi="Times New Roman" w:cs="Times New Roman"/>
          <w:lang w:val="en-GB"/>
        </w:rPr>
        <w:t xml:space="preserve"> towards donating to the university.</w:t>
      </w:r>
      <w:r w:rsidR="00FC5EA8" w:rsidRPr="00771F08">
        <w:rPr>
          <w:rFonts w:ascii="Times New Roman" w:hAnsi="Times New Roman" w:cs="Times New Roman"/>
          <w:lang w:val="en-GB"/>
        </w:rPr>
        <w:t xml:space="preserve"> </w:t>
      </w:r>
      <w:r w:rsidR="00C17124" w:rsidRPr="00771F08">
        <w:rPr>
          <w:rFonts w:ascii="Times New Roman" w:hAnsi="Times New Roman" w:cs="Times New Roman"/>
          <w:lang w:val="en-GB"/>
        </w:rPr>
        <w:t>A</w:t>
      </w:r>
      <w:r w:rsidR="00F0244A" w:rsidRPr="00771F08">
        <w:rPr>
          <w:rFonts w:ascii="Times New Roman" w:hAnsi="Times New Roman" w:cs="Times New Roman"/>
          <w:lang w:val="en-GB"/>
        </w:rPr>
        <w:t xml:space="preserve">lumni who actively support </w:t>
      </w:r>
      <w:r w:rsidR="00A27000" w:rsidRPr="00771F08">
        <w:rPr>
          <w:rFonts w:ascii="Times New Roman" w:hAnsi="Times New Roman" w:cs="Times New Roman"/>
          <w:lang w:val="en-GB"/>
        </w:rPr>
        <w:t xml:space="preserve">the </w:t>
      </w:r>
      <w:r w:rsidR="00F0244A" w:rsidRPr="00771F08">
        <w:rPr>
          <w:rFonts w:ascii="Times New Roman" w:hAnsi="Times New Roman" w:cs="Times New Roman"/>
          <w:lang w:val="en-GB"/>
        </w:rPr>
        <w:t>university’s activities are expected to be more philanthropic and consequently more inclined to sustain their alma mater from an economic perspective</w:t>
      </w:r>
      <w:r w:rsidR="007D26D7" w:rsidRPr="00771F08">
        <w:rPr>
          <w:rFonts w:ascii="Times New Roman" w:hAnsi="Times New Roman" w:cs="Times New Roman"/>
          <w:lang w:val="en-GB"/>
        </w:rPr>
        <w:t xml:space="preserve"> (Newman and </w:t>
      </w:r>
      <w:proofErr w:type="spellStart"/>
      <w:r w:rsidR="007D26D7" w:rsidRPr="00771F08">
        <w:rPr>
          <w:rFonts w:ascii="Times New Roman" w:hAnsi="Times New Roman" w:cs="Times New Roman"/>
          <w:lang w:val="en-GB"/>
        </w:rPr>
        <w:t>Petrosko</w:t>
      </w:r>
      <w:proofErr w:type="spellEnd"/>
      <w:r w:rsidR="00C17124" w:rsidRPr="00771F08">
        <w:rPr>
          <w:rFonts w:ascii="Times New Roman" w:hAnsi="Times New Roman" w:cs="Times New Roman"/>
          <w:lang w:val="en-GB"/>
        </w:rPr>
        <w:t xml:space="preserve"> 2011)</w:t>
      </w:r>
      <w:r w:rsidR="00FC5EA8" w:rsidRPr="00771F08">
        <w:rPr>
          <w:rFonts w:ascii="Times New Roman" w:hAnsi="Times New Roman" w:cs="Times New Roman"/>
          <w:lang w:val="en-GB"/>
        </w:rPr>
        <w:t xml:space="preserve">. </w:t>
      </w:r>
      <w:r w:rsidR="00711A74" w:rsidRPr="00771F08">
        <w:rPr>
          <w:rFonts w:ascii="Times New Roman" w:hAnsi="Times New Roman" w:cs="Times New Roman"/>
          <w:lang w:val="en-GB"/>
        </w:rPr>
        <w:t xml:space="preserve">Similarly, Taylor and Martin (1995) have identified how alumni are generally more involved in </w:t>
      </w:r>
      <w:r w:rsidR="00A27000" w:rsidRPr="00771F08">
        <w:rPr>
          <w:rFonts w:ascii="Times New Roman" w:hAnsi="Times New Roman" w:cs="Times New Roman"/>
          <w:lang w:val="en-GB"/>
        </w:rPr>
        <w:t xml:space="preserve">being </w:t>
      </w:r>
      <w:r w:rsidR="00711A74" w:rsidRPr="00771F08">
        <w:rPr>
          <w:rFonts w:ascii="Times New Roman" w:hAnsi="Times New Roman" w:cs="Times New Roman"/>
          <w:lang w:val="en-GB"/>
        </w:rPr>
        <w:t>active donor</w:t>
      </w:r>
      <w:r w:rsidR="00A27000" w:rsidRPr="00771F08">
        <w:rPr>
          <w:rFonts w:ascii="Times New Roman" w:hAnsi="Times New Roman" w:cs="Times New Roman"/>
          <w:lang w:val="en-GB"/>
        </w:rPr>
        <w:t>s</w:t>
      </w:r>
      <w:r w:rsidR="00711A74" w:rsidRPr="00771F08">
        <w:rPr>
          <w:rFonts w:ascii="Times New Roman" w:hAnsi="Times New Roman" w:cs="Times New Roman"/>
          <w:lang w:val="en-GB"/>
        </w:rPr>
        <w:t xml:space="preserve"> when they are active in </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ing</w:t>
      </w:r>
      <w:r w:rsidR="00711A74" w:rsidRPr="00771F08">
        <w:rPr>
          <w:rFonts w:ascii="Times New Roman" w:hAnsi="Times New Roman" w:cs="Times New Roman"/>
          <w:lang w:val="en-GB"/>
        </w:rPr>
        <w:t xml:space="preserve"> </w:t>
      </w:r>
      <w:r w:rsidR="00A27000" w:rsidRPr="00771F08">
        <w:rPr>
          <w:rFonts w:ascii="Times New Roman" w:hAnsi="Times New Roman" w:cs="Times New Roman"/>
          <w:lang w:val="en-GB"/>
        </w:rPr>
        <w:t xml:space="preserve">the </w:t>
      </w:r>
      <w:r w:rsidR="00711A74" w:rsidRPr="00771F08">
        <w:rPr>
          <w:rFonts w:ascii="Times New Roman" w:hAnsi="Times New Roman" w:cs="Times New Roman"/>
          <w:lang w:val="en-GB"/>
        </w:rPr>
        <w:t>university’s activities</w:t>
      </w:r>
      <w:r w:rsidR="00A27000" w:rsidRPr="00771F08">
        <w:rPr>
          <w:rFonts w:ascii="Times New Roman" w:hAnsi="Times New Roman" w:cs="Times New Roman"/>
          <w:lang w:val="en-GB"/>
        </w:rPr>
        <w:t>,</w:t>
      </w:r>
      <w:r w:rsidR="00711A74" w:rsidRPr="00771F08">
        <w:rPr>
          <w:rFonts w:ascii="Times New Roman" w:hAnsi="Times New Roman" w:cs="Times New Roman"/>
          <w:lang w:val="en-GB"/>
        </w:rPr>
        <w:t xml:space="preserve"> like for instance sporting events (</w:t>
      </w:r>
      <w:bookmarkStart w:id="0" w:name="_Hlk38017876"/>
      <w:r w:rsidR="00711A74" w:rsidRPr="00771F08">
        <w:rPr>
          <w:rFonts w:ascii="Times New Roman" w:hAnsi="Times New Roman" w:cs="Times New Roman"/>
          <w:lang w:val="en-GB"/>
        </w:rPr>
        <w:t xml:space="preserve">Diaz Vidal and </w:t>
      </w:r>
      <w:proofErr w:type="spellStart"/>
      <w:r w:rsidR="00711A74" w:rsidRPr="00771F08">
        <w:rPr>
          <w:rFonts w:ascii="Times New Roman" w:hAnsi="Times New Roman" w:cs="Times New Roman"/>
          <w:lang w:val="en-GB"/>
        </w:rPr>
        <w:t>Pittz</w:t>
      </w:r>
      <w:proofErr w:type="spellEnd"/>
      <w:r w:rsidR="00711A74" w:rsidRPr="00771F08">
        <w:rPr>
          <w:rFonts w:ascii="Times New Roman" w:hAnsi="Times New Roman" w:cs="Times New Roman"/>
          <w:lang w:val="en-GB"/>
        </w:rPr>
        <w:t xml:space="preserve"> 2019</w:t>
      </w:r>
      <w:bookmarkEnd w:id="0"/>
      <w:r w:rsidR="00711A74" w:rsidRPr="00771F08">
        <w:rPr>
          <w:rFonts w:ascii="Times New Roman" w:hAnsi="Times New Roman" w:cs="Times New Roman"/>
          <w:lang w:val="en-GB"/>
        </w:rPr>
        <w:t>).</w:t>
      </w:r>
    </w:p>
    <w:p w14:paraId="769B5E92" w14:textId="218296C3" w:rsidR="0075535F" w:rsidRPr="00771F08" w:rsidRDefault="0075535F"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Based on this, the fourth hypothesis is formulated:</w:t>
      </w:r>
    </w:p>
    <w:p w14:paraId="71F7CD22" w14:textId="3918A6A3" w:rsidR="005F07B9" w:rsidRPr="00771F08" w:rsidRDefault="00D36417" w:rsidP="00237956">
      <w:pPr>
        <w:spacing w:after="0" w:line="240" w:lineRule="auto"/>
        <w:ind w:left="567" w:right="1133"/>
        <w:rPr>
          <w:rFonts w:ascii="Times New Roman" w:hAnsi="Times New Roman" w:cs="Times New Roman"/>
          <w:i/>
          <w:sz w:val="20"/>
          <w:lang w:val="en-GB"/>
        </w:rPr>
      </w:pPr>
      <w:r w:rsidRPr="00771F08">
        <w:rPr>
          <w:rFonts w:ascii="Times New Roman" w:hAnsi="Times New Roman" w:cs="Times New Roman"/>
          <w:b/>
          <w:lang w:val="en-GB"/>
        </w:rPr>
        <w:t>H4</w:t>
      </w:r>
      <w:r w:rsidR="006D535C" w:rsidRPr="00771F08">
        <w:rPr>
          <w:rFonts w:ascii="Times New Roman" w:hAnsi="Times New Roman" w:cs="Times New Roman"/>
          <w:lang w:val="en-GB"/>
        </w:rPr>
        <w:t xml:space="preserve">. </w:t>
      </w:r>
      <w:r w:rsidRPr="00771F08">
        <w:rPr>
          <w:rFonts w:ascii="Times New Roman" w:hAnsi="Times New Roman" w:cs="Times New Roman"/>
          <w:i/>
          <w:lang w:val="en-GB"/>
        </w:rPr>
        <w:t>S</w:t>
      </w:r>
      <w:r w:rsidR="006D535C" w:rsidRPr="00771F08">
        <w:rPr>
          <w:rFonts w:ascii="Times New Roman" w:hAnsi="Times New Roman" w:cs="Times New Roman"/>
          <w:i/>
          <w:lang w:val="en-GB"/>
        </w:rPr>
        <w:t xml:space="preserve">upport </w:t>
      </w:r>
      <w:r w:rsidR="006C0604" w:rsidRPr="00771F08">
        <w:rPr>
          <w:rFonts w:ascii="Times New Roman" w:hAnsi="Times New Roman" w:cs="Times New Roman"/>
          <w:i/>
          <w:lang w:val="en-GB"/>
        </w:rPr>
        <w:t xml:space="preserve">for the </w:t>
      </w:r>
      <w:r w:rsidR="000B025B" w:rsidRPr="00771F08">
        <w:rPr>
          <w:rFonts w:ascii="Times New Roman" w:hAnsi="Times New Roman" w:cs="Times New Roman"/>
          <w:i/>
          <w:lang w:val="en-GB"/>
        </w:rPr>
        <w:t>u</w:t>
      </w:r>
      <w:r w:rsidR="006C0604" w:rsidRPr="00771F08">
        <w:rPr>
          <w:rFonts w:ascii="Times New Roman" w:hAnsi="Times New Roman" w:cs="Times New Roman"/>
          <w:i/>
          <w:lang w:val="en-GB"/>
        </w:rPr>
        <w:t xml:space="preserve">niversity </w:t>
      </w:r>
      <w:r w:rsidR="006D535C" w:rsidRPr="00771F08">
        <w:rPr>
          <w:rFonts w:ascii="Times New Roman" w:hAnsi="Times New Roman" w:cs="Times New Roman"/>
          <w:i/>
          <w:lang w:val="en-GB"/>
        </w:rPr>
        <w:t>positively influences attitude toward donations</w:t>
      </w:r>
      <w:r w:rsidR="006D535C" w:rsidRPr="00771F08">
        <w:rPr>
          <w:rFonts w:ascii="Times New Roman" w:hAnsi="Times New Roman" w:cs="Times New Roman"/>
          <w:lang w:val="en-GB"/>
        </w:rPr>
        <w:t>.</w:t>
      </w:r>
      <w:r w:rsidR="006D535C" w:rsidRPr="00771F08">
        <w:rPr>
          <w:rFonts w:ascii="Times New Roman" w:hAnsi="Times New Roman" w:cs="Times New Roman"/>
          <w:i/>
          <w:sz w:val="20"/>
          <w:lang w:val="en-GB"/>
        </w:rPr>
        <w:tab/>
      </w:r>
    </w:p>
    <w:p w14:paraId="037DE1E0" w14:textId="77777777" w:rsidR="00C96483" w:rsidRPr="00771F08" w:rsidRDefault="00C96483" w:rsidP="00237956">
      <w:pPr>
        <w:spacing w:after="0" w:line="240" w:lineRule="auto"/>
        <w:ind w:left="567" w:right="1133"/>
        <w:rPr>
          <w:rFonts w:ascii="Times New Roman" w:hAnsi="Times New Roman" w:cs="Times New Roman"/>
          <w:i/>
          <w:sz w:val="20"/>
          <w:lang w:val="en-GB"/>
        </w:rPr>
      </w:pPr>
    </w:p>
    <w:p w14:paraId="26914EC6" w14:textId="3B533D54" w:rsidR="0002100F" w:rsidRPr="00771F08" w:rsidRDefault="007F2855" w:rsidP="00237956">
      <w:pPr>
        <w:spacing w:after="0" w:line="240" w:lineRule="auto"/>
        <w:ind w:left="567" w:right="1133"/>
        <w:rPr>
          <w:rFonts w:ascii="Times New Roman" w:hAnsi="Times New Roman" w:cs="Times New Roman"/>
          <w:b/>
          <w:i/>
          <w:lang w:val="en-GB"/>
        </w:rPr>
      </w:pPr>
      <w:r w:rsidRPr="00771F08">
        <w:rPr>
          <w:rFonts w:ascii="Times New Roman" w:hAnsi="Times New Roman" w:cs="Times New Roman"/>
          <w:b/>
          <w:i/>
          <w:lang w:val="en-GB"/>
        </w:rPr>
        <w:t>2.</w:t>
      </w:r>
      <w:r w:rsidR="003154B5" w:rsidRPr="00771F08">
        <w:rPr>
          <w:rFonts w:ascii="Times New Roman" w:hAnsi="Times New Roman" w:cs="Times New Roman"/>
          <w:b/>
          <w:i/>
          <w:lang w:val="en-GB"/>
        </w:rPr>
        <w:t xml:space="preserve">4 </w:t>
      </w:r>
      <w:r w:rsidRPr="00771F08">
        <w:rPr>
          <w:rFonts w:ascii="Times New Roman" w:hAnsi="Times New Roman" w:cs="Times New Roman"/>
          <w:b/>
          <w:i/>
          <w:lang w:val="en-GB"/>
        </w:rPr>
        <w:t>Commitment</w:t>
      </w:r>
    </w:p>
    <w:p w14:paraId="7558FD54" w14:textId="1BDCFF53" w:rsidR="002E6E31" w:rsidRPr="00771F08" w:rsidRDefault="00A25711" w:rsidP="00237956">
      <w:pPr>
        <w:spacing w:after="0" w:line="240" w:lineRule="auto"/>
        <w:ind w:left="567" w:right="1133"/>
        <w:rPr>
          <w:rFonts w:ascii="Times New Roman" w:hAnsi="Times New Roman" w:cs="Times New Roman"/>
          <w:strike/>
          <w:lang w:val="en-GB"/>
        </w:rPr>
      </w:pPr>
      <w:r w:rsidRPr="00771F08">
        <w:rPr>
          <w:rFonts w:ascii="Times New Roman" w:hAnsi="Times New Roman" w:cs="Times New Roman"/>
          <w:lang w:val="en-GB"/>
        </w:rPr>
        <w:t>Previous literature (Johnson et al. 2010; Poole</w:t>
      </w:r>
      <w:r w:rsidR="002E6E31" w:rsidRPr="00771F08">
        <w:rPr>
          <w:rFonts w:ascii="Times New Roman" w:hAnsi="Times New Roman" w:cs="Times New Roman"/>
          <w:lang w:val="en-GB"/>
        </w:rPr>
        <w:t xml:space="preserve"> 2017) has identified three different forms of commitment that a person can experience with an </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w:t>
      </w:r>
      <w:r w:rsidR="002E6E31" w:rsidRPr="00771F08">
        <w:rPr>
          <w:rFonts w:ascii="Times New Roman" w:hAnsi="Times New Roman" w:cs="Times New Roman"/>
          <w:lang w:val="en-GB"/>
        </w:rPr>
        <w:t xml:space="preserve">: [1] affective commitment, related to the emotive connection towards the </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w:t>
      </w:r>
      <w:r w:rsidR="002E6E31" w:rsidRPr="00771F08">
        <w:rPr>
          <w:rFonts w:ascii="Times New Roman" w:hAnsi="Times New Roman" w:cs="Times New Roman"/>
          <w:lang w:val="en-GB"/>
        </w:rPr>
        <w:t>; [2] continuance commitment, namely a connection based on the fact that the costs of maintaining the relationship are less than the costs of ending it; and [3] normative commitment, which represents a sense of obligation to maintain the relationship. However, most studies consider affective commitment as the form that is most likely to occur in consumer-</w:t>
      </w:r>
      <w:r w:rsidR="00727F74" w:rsidRPr="00771F08">
        <w:rPr>
          <w:rFonts w:ascii="Times New Roman" w:hAnsi="Times New Roman" w:cs="Times New Roman"/>
          <w:lang w:val="en-GB"/>
        </w:rPr>
        <w:t>organi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ation</w:t>
      </w:r>
      <w:r w:rsidR="002E6E31" w:rsidRPr="00771F08">
        <w:rPr>
          <w:rFonts w:ascii="Times New Roman" w:hAnsi="Times New Roman" w:cs="Times New Roman"/>
          <w:lang w:val="en-GB"/>
        </w:rPr>
        <w:t xml:space="preserve"> relationships (</w:t>
      </w:r>
      <w:r w:rsidR="00435A47" w:rsidRPr="00771F08">
        <w:rPr>
          <w:rFonts w:ascii="Times New Roman" w:hAnsi="Times New Roman" w:cs="Times New Roman"/>
          <w:lang w:val="en-GB"/>
        </w:rPr>
        <w:t>Sung and Yang</w:t>
      </w:r>
      <w:r w:rsidR="002E6E31" w:rsidRPr="00771F08">
        <w:rPr>
          <w:rFonts w:ascii="Times New Roman" w:hAnsi="Times New Roman" w:cs="Times New Roman"/>
          <w:lang w:val="en-GB"/>
        </w:rPr>
        <w:t xml:space="preserve"> 2009). Affective commitment represents a connection that makes it possible to increase loyalty, positive word-of-mouth, consumers’ participation</w:t>
      </w:r>
      <w:r w:rsidR="000F4DE0" w:rsidRPr="00771F08">
        <w:rPr>
          <w:rFonts w:ascii="Times New Roman" w:hAnsi="Times New Roman" w:cs="Times New Roman"/>
          <w:lang w:val="en-GB"/>
        </w:rPr>
        <w:t>,</w:t>
      </w:r>
      <w:r w:rsidR="002E6E31" w:rsidRPr="00771F08">
        <w:rPr>
          <w:rFonts w:ascii="Times New Roman" w:hAnsi="Times New Roman" w:cs="Times New Roman"/>
          <w:lang w:val="en-GB"/>
        </w:rPr>
        <w:t xml:space="preserve"> and volunteering</w:t>
      </w:r>
      <w:r w:rsidR="00435A47" w:rsidRPr="00771F08">
        <w:rPr>
          <w:rFonts w:ascii="Times New Roman" w:hAnsi="Times New Roman" w:cs="Times New Roman"/>
          <w:lang w:val="en-GB"/>
        </w:rPr>
        <w:t xml:space="preserve"> (Poole 2017)</w:t>
      </w:r>
      <w:r w:rsidR="002E6E31" w:rsidRPr="00771F08">
        <w:rPr>
          <w:rFonts w:ascii="Times New Roman" w:hAnsi="Times New Roman" w:cs="Times New Roman"/>
          <w:lang w:val="en-GB"/>
        </w:rPr>
        <w:t xml:space="preserve">. </w:t>
      </w:r>
    </w:p>
    <w:p w14:paraId="78E9C960" w14:textId="31151508" w:rsidR="001079AF" w:rsidRPr="00771F08" w:rsidRDefault="002E6E31"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 xml:space="preserve">In the HE context, </w:t>
      </w:r>
      <w:r w:rsidR="00D115BA" w:rsidRPr="00771F08">
        <w:rPr>
          <w:rFonts w:ascii="Times New Roman" w:hAnsi="Times New Roman" w:cs="Times New Roman"/>
          <w:lang w:val="en-GB"/>
        </w:rPr>
        <w:t xml:space="preserve">affective </w:t>
      </w:r>
      <w:r w:rsidRPr="00771F08">
        <w:rPr>
          <w:rFonts w:ascii="Times New Roman" w:hAnsi="Times New Roman" w:cs="Times New Roman"/>
          <w:lang w:val="en-GB"/>
        </w:rPr>
        <w:t>commitment represents a key factor (</w:t>
      </w:r>
      <w:r w:rsidR="00A66F47" w:rsidRPr="00771F08">
        <w:rPr>
          <w:rFonts w:ascii="Times New Roman" w:hAnsi="Times New Roman" w:cs="Times New Roman"/>
          <w:lang w:val="en-GB"/>
        </w:rPr>
        <w:t xml:space="preserve">Schlesinger et al. 2017; </w:t>
      </w:r>
      <w:proofErr w:type="spellStart"/>
      <w:r w:rsidR="00A66F47" w:rsidRPr="00771F08">
        <w:rPr>
          <w:rFonts w:ascii="Times New Roman" w:hAnsi="Times New Roman" w:cs="Times New Roman"/>
          <w:lang w:val="en-GB"/>
        </w:rPr>
        <w:t>Weerts</w:t>
      </w:r>
      <w:proofErr w:type="spellEnd"/>
      <w:r w:rsidR="00A66F47" w:rsidRPr="00771F08">
        <w:rPr>
          <w:rFonts w:ascii="Times New Roman" w:hAnsi="Times New Roman" w:cs="Times New Roman"/>
          <w:lang w:val="en-GB"/>
        </w:rPr>
        <w:t xml:space="preserve"> and </w:t>
      </w:r>
      <w:proofErr w:type="spellStart"/>
      <w:r w:rsidR="00A66F47" w:rsidRPr="00771F08">
        <w:rPr>
          <w:rFonts w:ascii="Times New Roman" w:hAnsi="Times New Roman" w:cs="Times New Roman"/>
          <w:lang w:val="en-GB"/>
        </w:rPr>
        <w:t>Ronca</w:t>
      </w:r>
      <w:proofErr w:type="spellEnd"/>
      <w:r w:rsidRPr="00771F08">
        <w:rPr>
          <w:rFonts w:ascii="Times New Roman" w:hAnsi="Times New Roman" w:cs="Times New Roman"/>
          <w:lang w:val="en-GB"/>
        </w:rPr>
        <w:t xml:space="preserve"> 2008), since it is viewed as a student’s belief that a continuous </w:t>
      </w:r>
      <w:r w:rsidRPr="00237956">
        <w:rPr>
          <w:rFonts w:ascii="Times New Roman" w:hAnsi="Times New Roman" w:cs="Times New Roman"/>
          <w:lang w:val="en-GB"/>
        </w:rPr>
        <w:t xml:space="preserve">relationship with their alma mater is so significant </w:t>
      </w:r>
      <w:r w:rsidR="00A27000" w:rsidRPr="00237956">
        <w:rPr>
          <w:rFonts w:ascii="Times New Roman" w:hAnsi="Times New Roman" w:cs="Times New Roman"/>
          <w:lang w:val="en-GB"/>
        </w:rPr>
        <w:t>that it</w:t>
      </w:r>
      <w:r w:rsidRPr="00237956">
        <w:rPr>
          <w:rFonts w:ascii="Times New Roman" w:hAnsi="Times New Roman" w:cs="Times New Roman"/>
          <w:lang w:val="en-GB"/>
        </w:rPr>
        <w:t xml:space="preserve"> justif</w:t>
      </w:r>
      <w:r w:rsidR="00A27000" w:rsidRPr="00237956">
        <w:rPr>
          <w:rFonts w:ascii="Times New Roman" w:hAnsi="Times New Roman" w:cs="Times New Roman"/>
          <w:lang w:val="en-GB"/>
        </w:rPr>
        <w:t>ies</w:t>
      </w:r>
      <w:r w:rsidRPr="00237956">
        <w:rPr>
          <w:rFonts w:ascii="Times New Roman" w:hAnsi="Times New Roman" w:cs="Times New Roman"/>
          <w:lang w:val="en-GB"/>
        </w:rPr>
        <w:t xml:space="preserve"> maximum effort in orde</w:t>
      </w:r>
      <w:r w:rsidR="00BB73B7" w:rsidRPr="00237956">
        <w:rPr>
          <w:rFonts w:ascii="Times New Roman" w:hAnsi="Times New Roman" w:cs="Times New Roman"/>
          <w:lang w:val="en-GB"/>
        </w:rPr>
        <w:t>r to maintain it (</w:t>
      </w:r>
      <w:r w:rsidR="00EA4961" w:rsidRPr="00237956">
        <w:rPr>
          <w:rFonts w:ascii="Times New Roman" w:hAnsi="Times New Roman" w:cs="Times New Roman"/>
          <w:lang w:val="en-GB"/>
        </w:rPr>
        <w:t>Dennis et al</w:t>
      </w:r>
      <w:r w:rsidR="00BB73B7" w:rsidRPr="00237956">
        <w:rPr>
          <w:rFonts w:ascii="Times New Roman" w:hAnsi="Times New Roman" w:cs="Times New Roman"/>
          <w:lang w:val="en-GB"/>
        </w:rPr>
        <w:t xml:space="preserve"> 2016; Johnson et al. </w:t>
      </w:r>
      <w:r w:rsidRPr="00237956">
        <w:rPr>
          <w:rFonts w:ascii="Times New Roman" w:hAnsi="Times New Roman" w:cs="Times New Roman"/>
          <w:lang w:val="en-GB"/>
        </w:rPr>
        <w:t>2010</w:t>
      </w:r>
      <w:r w:rsidR="00BB73B7" w:rsidRPr="00237956">
        <w:rPr>
          <w:rFonts w:ascii="Times New Roman" w:hAnsi="Times New Roman" w:cs="Times New Roman"/>
          <w:lang w:val="en-GB"/>
        </w:rPr>
        <w:t>; Jillapalli and Jillapalli</w:t>
      </w:r>
      <w:r w:rsidR="004874E4" w:rsidRPr="00237956">
        <w:rPr>
          <w:rFonts w:ascii="Times New Roman" w:hAnsi="Times New Roman" w:cs="Times New Roman"/>
          <w:lang w:val="en-GB"/>
        </w:rPr>
        <w:t xml:space="preserve"> 2014</w:t>
      </w:r>
      <w:r w:rsidR="00771F08" w:rsidRPr="00237956">
        <w:rPr>
          <w:rFonts w:ascii="Times New Roman" w:hAnsi="Times New Roman" w:cs="Times New Roman"/>
          <w:lang w:val="en-GB"/>
        </w:rPr>
        <w:t>; Pedro et al, 2020</w:t>
      </w:r>
      <w:r w:rsidRPr="00237956">
        <w:rPr>
          <w:rFonts w:ascii="Times New Roman" w:hAnsi="Times New Roman" w:cs="Times New Roman"/>
          <w:lang w:val="en-GB"/>
        </w:rPr>
        <w:t>).</w:t>
      </w:r>
      <w:r w:rsidRPr="00771F08">
        <w:rPr>
          <w:rFonts w:ascii="Times New Roman" w:hAnsi="Times New Roman" w:cs="Times New Roman"/>
          <w:lang w:val="en-GB"/>
        </w:rPr>
        <w:t xml:space="preserve"> </w:t>
      </w:r>
    </w:p>
    <w:p w14:paraId="5BA0FA60" w14:textId="0CD5DBB2" w:rsidR="00DD5DB5" w:rsidRPr="00771F08" w:rsidRDefault="00270357"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 xml:space="preserve">By focusing on </w:t>
      </w:r>
      <w:r w:rsidR="00943ABA" w:rsidRPr="00771F08">
        <w:rPr>
          <w:rFonts w:ascii="Times New Roman" w:hAnsi="Times New Roman" w:cs="Times New Roman"/>
          <w:lang w:val="en-GB"/>
        </w:rPr>
        <w:t xml:space="preserve">commitment’s </w:t>
      </w:r>
      <w:r w:rsidR="00980D86" w:rsidRPr="00771F08">
        <w:rPr>
          <w:rFonts w:ascii="Times New Roman" w:hAnsi="Times New Roman" w:cs="Times New Roman"/>
          <w:lang w:val="en-GB"/>
        </w:rPr>
        <w:t xml:space="preserve">possible </w:t>
      </w:r>
      <w:r w:rsidR="00943ABA" w:rsidRPr="00771F08">
        <w:rPr>
          <w:rFonts w:ascii="Times New Roman" w:hAnsi="Times New Roman" w:cs="Times New Roman"/>
          <w:lang w:val="en-GB"/>
        </w:rPr>
        <w:t>antecedents, some authors (</w:t>
      </w:r>
      <w:r w:rsidR="00EA4961" w:rsidRPr="00771F08">
        <w:rPr>
          <w:rFonts w:ascii="Times New Roman" w:hAnsi="Times New Roman" w:cs="Times New Roman"/>
          <w:lang w:val="en-GB"/>
        </w:rPr>
        <w:t>Dennis et al</w:t>
      </w:r>
      <w:r w:rsidR="00AF4395" w:rsidRPr="00771F08">
        <w:rPr>
          <w:rFonts w:ascii="Times New Roman" w:hAnsi="Times New Roman" w:cs="Times New Roman"/>
          <w:lang w:val="en-GB"/>
        </w:rPr>
        <w:t xml:space="preserve"> </w:t>
      </w:r>
      <w:r w:rsidR="00673C36" w:rsidRPr="00771F08">
        <w:rPr>
          <w:rFonts w:ascii="Times New Roman" w:hAnsi="Times New Roman" w:cs="Times New Roman"/>
          <w:lang w:val="en-GB"/>
        </w:rPr>
        <w:t>2016;</w:t>
      </w:r>
      <w:r w:rsidR="005C485C" w:rsidRPr="00771F08">
        <w:rPr>
          <w:rFonts w:ascii="Times New Roman" w:hAnsi="Times New Roman" w:cs="Times New Roman"/>
          <w:lang w:val="en-GB"/>
        </w:rPr>
        <w:t xml:space="preserve"> </w:t>
      </w:r>
      <w:r w:rsidR="001079AF" w:rsidRPr="00771F08">
        <w:rPr>
          <w:rFonts w:ascii="Times New Roman" w:hAnsi="Times New Roman" w:cs="Times New Roman"/>
          <w:lang w:val="en-GB"/>
        </w:rPr>
        <w:t>Frasquet et al.</w:t>
      </w:r>
      <w:r w:rsidR="00EF6D68" w:rsidRPr="00771F08">
        <w:rPr>
          <w:rFonts w:ascii="Times New Roman" w:hAnsi="Times New Roman" w:cs="Times New Roman"/>
          <w:lang w:val="en-GB"/>
        </w:rPr>
        <w:t xml:space="preserve"> 2012; </w:t>
      </w:r>
      <w:r w:rsidR="001079AF" w:rsidRPr="00771F08">
        <w:rPr>
          <w:rFonts w:ascii="Times New Roman" w:hAnsi="Times New Roman" w:cs="Times New Roman"/>
          <w:lang w:val="en-GB"/>
        </w:rPr>
        <w:t>Hennig-</w:t>
      </w:r>
      <w:proofErr w:type="spellStart"/>
      <w:r w:rsidR="001079AF" w:rsidRPr="00771F08">
        <w:rPr>
          <w:rFonts w:ascii="Times New Roman" w:hAnsi="Times New Roman" w:cs="Times New Roman"/>
          <w:lang w:val="en-GB"/>
        </w:rPr>
        <w:t>Thurau</w:t>
      </w:r>
      <w:proofErr w:type="spellEnd"/>
      <w:r w:rsidR="001079AF" w:rsidRPr="00771F08">
        <w:rPr>
          <w:rFonts w:ascii="Times New Roman" w:hAnsi="Times New Roman" w:cs="Times New Roman"/>
          <w:lang w:val="en-GB"/>
        </w:rPr>
        <w:t xml:space="preserve"> et al. </w:t>
      </w:r>
      <w:r w:rsidR="005C485C" w:rsidRPr="00771F08">
        <w:rPr>
          <w:rFonts w:ascii="Times New Roman" w:hAnsi="Times New Roman" w:cs="Times New Roman"/>
          <w:lang w:val="en-GB"/>
        </w:rPr>
        <w:t>2001;</w:t>
      </w:r>
      <w:r w:rsidR="001079AF" w:rsidRPr="00771F08">
        <w:rPr>
          <w:rFonts w:ascii="Times New Roman" w:hAnsi="Times New Roman" w:cs="Times New Roman"/>
          <w:lang w:val="en-GB"/>
        </w:rPr>
        <w:t xml:space="preserve"> Jillapalli and Jillapalli </w:t>
      </w:r>
      <w:r w:rsidR="00673C36" w:rsidRPr="00771F08">
        <w:rPr>
          <w:rFonts w:ascii="Times New Roman" w:hAnsi="Times New Roman" w:cs="Times New Roman"/>
          <w:lang w:val="en-GB"/>
        </w:rPr>
        <w:t>2014</w:t>
      </w:r>
      <w:r w:rsidR="001079AF" w:rsidRPr="00771F08">
        <w:rPr>
          <w:rFonts w:ascii="Times New Roman" w:hAnsi="Times New Roman" w:cs="Times New Roman"/>
          <w:lang w:val="en-GB"/>
        </w:rPr>
        <w:t>; Rojas-Mendez et al. 2009; Schlesinger et al.</w:t>
      </w:r>
      <w:r w:rsidR="0092443E" w:rsidRPr="00771F08">
        <w:rPr>
          <w:rFonts w:ascii="Times New Roman" w:hAnsi="Times New Roman" w:cs="Times New Roman"/>
          <w:lang w:val="en-GB"/>
        </w:rPr>
        <w:t xml:space="preserve"> 2017</w:t>
      </w:r>
      <w:r w:rsidR="00673C36" w:rsidRPr="00771F08">
        <w:rPr>
          <w:rFonts w:ascii="Times New Roman" w:hAnsi="Times New Roman" w:cs="Times New Roman"/>
          <w:lang w:val="en-GB"/>
        </w:rPr>
        <w:t>)</w:t>
      </w:r>
      <w:r w:rsidR="0075535F" w:rsidRPr="00771F08">
        <w:rPr>
          <w:rFonts w:ascii="Times New Roman" w:hAnsi="Times New Roman" w:cs="Times New Roman"/>
          <w:lang w:val="en-GB"/>
        </w:rPr>
        <w:t xml:space="preserve"> have</w:t>
      </w:r>
      <w:r w:rsidR="00673C36" w:rsidRPr="00771F08">
        <w:rPr>
          <w:rFonts w:ascii="Times New Roman" w:hAnsi="Times New Roman" w:cs="Times New Roman"/>
          <w:lang w:val="en-GB"/>
        </w:rPr>
        <w:t xml:space="preserve"> </w:t>
      </w:r>
      <w:r w:rsidR="00727F74" w:rsidRPr="00771F08">
        <w:rPr>
          <w:rFonts w:ascii="Times New Roman" w:hAnsi="Times New Roman" w:cs="Times New Roman"/>
          <w:lang w:val="en-GB"/>
        </w:rPr>
        <w:t>analy</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002A45D5" w:rsidRPr="00771F08">
        <w:rPr>
          <w:rFonts w:ascii="Times New Roman" w:hAnsi="Times New Roman" w:cs="Times New Roman"/>
          <w:lang w:val="en-GB"/>
        </w:rPr>
        <w:t xml:space="preserve"> the role of trust in reducing anxieties and dissonances in the HE relationships. </w:t>
      </w:r>
      <w:r w:rsidR="00820DE8" w:rsidRPr="00771F08">
        <w:rPr>
          <w:rFonts w:ascii="Times New Roman" w:hAnsi="Times New Roman" w:cs="Times New Roman"/>
          <w:lang w:val="en-GB"/>
        </w:rPr>
        <w:t>W</w:t>
      </w:r>
      <w:r w:rsidR="002A45D5" w:rsidRPr="00771F08">
        <w:rPr>
          <w:rFonts w:ascii="Times New Roman" w:hAnsi="Times New Roman" w:cs="Times New Roman"/>
          <w:lang w:val="en-GB"/>
        </w:rPr>
        <w:t xml:space="preserve">hen students develop trust </w:t>
      </w:r>
      <w:r w:rsidR="00B61D14">
        <w:rPr>
          <w:rFonts w:ascii="Times New Roman" w:hAnsi="Times New Roman" w:cs="Times New Roman"/>
          <w:lang w:val="en-GB"/>
        </w:rPr>
        <w:t>in</w:t>
      </w:r>
      <w:r w:rsidR="00B61D14" w:rsidRPr="00771F08">
        <w:rPr>
          <w:rFonts w:ascii="Times New Roman" w:hAnsi="Times New Roman" w:cs="Times New Roman"/>
          <w:lang w:val="en-GB"/>
        </w:rPr>
        <w:t xml:space="preserve"> </w:t>
      </w:r>
      <w:r w:rsidR="0074112F" w:rsidRPr="00771F08">
        <w:rPr>
          <w:rFonts w:ascii="Times New Roman" w:hAnsi="Times New Roman" w:cs="Times New Roman"/>
          <w:lang w:val="en-GB"/>
        </w:rPr>
        <w:t>their institution during their degree course, it will be easier for them to build committed relationship</w:t>
      </w:r>
      <w:r w:rsidR="00820DE8" w:rsidRPr="00771F08">
        <w:rPr>
          <w:rFonts w:ascii="Times New Roman" w:hAnsi="Times New Roman" w:cs="Times New Roman"/>
          <w:lang w:val="en-GB"/>
        </w:rPr>
        <w:t>s</w:t>
      </w:r>
      <w:r w:rsidR="0074112F" w:rsidRPr="00771F08">
        <w:rPr>
          <w:rFonts w:ascii="Times New Roman" w:hAnsi="Times New Roman" w:cs="Times New Roman"/>
          <w:lang w:val="en-GB"/>
        </w:rPr>
        <w:t xml:space="preserve"> with</w:t>
      </w:r>
      <w:r w:rsidR="001079AF" w:rsidRPr="00771F08">
        <w:rPr>
          <w:rFonts w:ascii="Times New Roman" w:hAnsi="Times New Roman" w:cs="Times New Roman"/>
          <w:lang w:val="en-GB"/>
        </w:rPr>
        <w:t xml:space="preserve"> it (</w:t>
      </w:r>
      <w:proofErr w:type="spellStart"/>
      <w:r w:rsidR="000F5291">
        <w:rPr>
          <w:rFonts w:ascii="Times New Roman" w:hAnsi="Times New Roman" w:cs="Times New Roman"/>
          <w:lang w:val="en-GB"/>
        </w:rPr>
        <w:t>Dass</w:t>
      </w:r>
      <w:proofErr w:type="spellEnd"/>
      <w:r w:rsidR="000F5291">
        <w:rPr>
          <w:rFonts w:ascii="Times New Roman" w:hAnsi="Times New Roman" w:cs="Times New Roman"/>
          <w:lang w:val="en-GB"/>
        </w:rPr>
        <w:t xml:space="preserve"> et al. 2020; </w:t>
      </w:r>
      <w:r w:rsidR="001079AF" w:rsidRPr="00771F08">
        <w:rPr>
          <w:rFonts w:ascii="Times New Roman" w:hAnsi="Times New Roman" w:cs="Times New Roman"/>
          <w:lang w:val="en-GB"/>
        </w:rPr>
        <w:t>Jillapalli and Jillapalli</w:t>
      </w:r>
      <w:r w:rsidR="0074112F" w:rsidRPr="00771F08">
        <w:rPr>
          <w:rFonts w:ascii="Times New Roman" w:hAnsi="Times New Roman" w:cs="Times New Roman"/>
          <w:lang w:val="en-GB"/>
        </w:rPr>
        <w:t xml:space="preserve"> 2014</w:t>
      </w:r>
      <w:r w:rsidR="000F5291">
        <w:rPr>
          <w:rFonts w:ascii="Times New Roman" w:hAnsi="Times New Roman" w:cs="Times New Roman"/>
          <w:lang w:val="en-GB"/>
        </w:rPr>
        <w:t>; Pinar et al. 2020; Yousaf et al. 2020</w:t>
      </w:r>
      <w:r w:rsidR="0074112F" w:rsidRPr="00771F08">
        <w:rPr>
          <w:rFonts w:ascii="Times New Roman" w:hAnsi="Times New Roman" w:cs="Times New Roman"/>
          <w:lang w:val="en-GB"/>
        </w:rPr>
        <w:t>)</w:t>
      </w:r>
      <w:r w:rsidR="000F4DE0" w:rsidRPr="00771F08">
        <w:rPr>
          <w:rFonts w:ascii="Times New Roman" w:hAnsi="Times New Roman" w:cs="Times New Roman"/>
          <w:lang w:val="en-GB"/>
        </w:rPr>
        <w:t>,</w:t>
      </w:r>
      <w:r w:rsidR="0074112F" w:rsidRPr="00771F08">
        <w:rPr>
          <w:rFonts w:ascii="Times New Roman" w:hAnsi="Times New Roman" w:cs="Times New Roman"/>
          <w:lang w:val="en-GB"/>
        </w:rPr>
        <w:t xml:space="preserve"> </w:t>
      </w:r>
      <w:r w:rsidR="00820DE8" w:rsidRPr="00771F08">
        <w:rPr>
          <w:rFonts w:ascii="Times New Roman" w:hAnsi="Times New Roman" w:cs="Times New Roman"/>
          <w:lang w:val="en-GB"/>
        </w:rPr>
        <w:t xml:space="preserve">which may extend </w:t>
      </w:r>
      <w:r w:rsidR="0074112F" w:rsidRPr="00771F08">
        <w:rPr>
          <w:rFonts w:ascii="Times New Roman" w:hAnsi="Times New Roman" w:cs="Times New Roman"/>
          <w:lang w:val="en-GB"/>
        </w:rPr>
        <w:t xml:space="preserve">beyond their graduation. </w:t>
      </w:r>
      <w:r w:rsidR="00634AFA" w:rsidRPr="00771F08">
        <w:rPr>
          <w:rFonts w:ascii="Times New Roman" w:hAnsi="Times New Roman" w:cs="Times New Roman"/>
          <w:lang w:val="en-GB"/>
        </w:rPr>
        <w:t xml:space="preserve">Moreover, </w:t>
      </w:r>
      <w:r w:rsidR="00EA4961" w:rsidRPr="00771F08">
        <w:rPr>
          <w:rFonts w:ascii="Times New Roman" w:hAnsi="Times New Roman" w:cs="Times New Roman"/>
          <w:lang w:val="en-GB"/>
        </w:rPr>
        <w:t>Dennis et al</w:t>
      </w:r>
      <w:r w:rsidR="00AF4395" w:rsidRPr="00771F08">
        <w:rPr>
          <w:rFonts w:ascii="Times New Roman" w:hAnsi="Times New Roman" w:cs="Times New Roman"/>
          <w:lang w:val="en-GB"/>
        </w:rPr>
        <w:t xml:space="preserve"> </w:t>
      </w:r>
      <w:r w:rsidR="00A0043D" w:rsidRPr="00771F08">
        <w:rPr>
          <w:rFonts w:ascii="Times New Roman" w:hAnsi="Times New Roman" w:cs="Times New Roman"/>
          <w:lang w:val="en-GB"/>
        </w:rPr>
        <w:t xml:space="preserve">(2016) found </w:t>
      </w:r>
      <w:r w:rsidR="00820DE8" w:rsidRPr="00771F08">
        <w:rPr>
          <w:rFonts w:ascii="Times New Roman" w:hAnsi="Times New Roman" w:cs="Times New Roman"/>
          <w:lang w:val="en-GB"/>
        </w:rPr>
        <w:t>that</w:t>
      </w:r>
      <w:r w:rsidR="00634AFA" w:rsidRPr="00771F08">
        <w:rPr>
          <w:rFonts w:ascii="Times New Roman" w:hAnsi="Times New Roman" w:cs="Times New Roman"/>
          <w:lang w:val="en-GB"/>
        </w:rPr>
        <w:t xml:space="preserve"> trust can enhance the efficiency of a relationship with a consequent positive effect on </w:t>
      </w:r>
      <w:r w:rsidR="001079AF" w:rsidRPr="00771F08">
        <w:rPr>
          <w:rFonts w:ascii="Times New Roman" w:hAnsi="Times New Roman" w:cs="Times New Roman"/>
          <w:lang w:val="en-GB"/>
        </w:rPr>
        <w:t xml:space="preserve">satisfaction </w:t>
      </w:r>
      <w:r w:rsidR="00DD5DB5" w:rsidRPr="00771F08">
        <w:rPr>
          <w:rFonts w:ascii="Times New Roman" w:hAnsi="Times New Roman" w:cs="Times New Roman"/>
          <w:lang w:val="en-GB"/>
        </w:rPr>
        <w:t>and commitment.</w:t>
      </w:r>
    </w:p>
    <w:p w14:paraId="705070EC" w14:textId="1DD41FA7" w:rsidR="00270357" w:rsidRPr="00771F08" w:rsidRDefault="009B247F"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 xml:space="preserve">Based on these findings, it could be </w:t>
      </w:r>
      <w:r w:rsidR="00727F74" w:rsidRPr="00771F08">
        <w:rPr>
          <w:rFonts w:ascii="Times New Roman" w:hAnsi="Times New Roman" w:cs="Times New Roman"/>
          <w:lang w:val="en-GB"/>
        </w:rPr>
        <w:t>hypothesi</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Pr="00771F08">
        <w:rPr>
          <w:rFonts w:ascii="Times New Roman" w:hAnsi="Times New Roman" w:cs="Times New Roman"/>
          <w:lang w:val="en-GB"/>
        </w:rPr>
        <w:t xml:space="preserve"> that the more </w:t>
      </w:r>
      <w:r w:rsidR="00820DE8" w:rsidRPr="00771F08">
        <w:rPr>
          <w:rFonts w:ascii="Times New Roman" w:hAnsi="Times New Roman" w:cs="Times New Roman"/>
          <w:lang w:val="en-GB"/>
        </w:rPr>
        <w:t xml:space="preserve">a </w:t>
      </w:r>
      <w:r w:rsidRPr="00771F08">
        <w:rPr>
          <w:rFonts w:ascii="Times New Roman" w:hAnsi="Times New Roman" w:cs="Times New Roman"/>
          <w:lang w:val="en-GB"/>
        </w:rPr>
        <w:t>university is</w:t>
      </w:r>
      <w:r w:rsidR="00820DE8" w:rsidRPr="00771F08">
        <w:rPr>
          <w:rFonts w:ascii="Times New Roman" w:hAnsi="Times New Roman" w:cs="Times New Roman"/>
          <w:lang w:val="en-GB"/>
        </w:rPr>
        <w:t xml:space="preserve"> trusted</w:t>
      </w:r>
      <w:r w:rsidRPr="00771F08">
        <w:rPr>
          <w:rFonts w:ascii="Times New Roman" w:hAnsi="Times New Roman" w:cs="Times New Roman"/>
          <w:lang w:val="en-GB"/>
        </w:rPr>
        <w:t xml:space="preserve">, the higher </w:t>
      </w:r>
      <w:r w:rsidR="00820DE8" w:rsidRPr="00771F08">
        <w:rPr>
          <w:rFonts w:ascii="Times New Roman" w:hAnsi="Times New Roman" w:cs="Times New Roman"/>
          <w:lang w:val="en-GB"/>
        </w:rPr>
        <w:t xml:space="preserve">is </w:t>
      </w:r>
      <w:r w:rsidRPr="00771F08">
        <w:rPr>
          <w:rFonts w:ascii="Times New Roman" w:hAnsi="Times New Roman" w:cs="Times New Roman"/>
          <w:lang w:val="en-GB"/>
        </w:rPr>
        <w:t>the level of alumni commitment toward</w:t>
      </w:r>
      <w:r w:rsidR="00820DE8" w:rsidRPr="00771F08">
        <w:rPr>
          <w:rFonts w:ascii="Times New Roman" w:hAnsi="Times New Roman" w:cs="Times New Roman"/>
          <w:lang w:val="en-GB"/>
        </w:rPr>
        <w:t>s</w:t>
      </w:r>
      <w:r w:rsidR="00A0043D" w:rsidRPr="00771F08">
        <w:rPr>
          <w:rFonts w:ascii="Times New Roman" w:hAnsi="Times New Roman" w:cs="Times New Roman"/>
          <w:lang w:val="en-GB"/>
        </w:rPr>
        <w:t xml:space="preserve"> it</w:t>
      </w:r>
      <w:r w:rsidRPr="00771F08">
        <w:rPr>
          <w:rFonts w:ascii="Times New Roman" w:hAnsi="Times New Roman" w:cs="Times New Roman"/>
          <w:lang w:val="en-GB"/>
        </w:rPr>
        <w:t xml:space="preserve">. </w:t>
      </w:r>
    </w:p>
    <w:p w14:paraId="22EB3686" w14:textId="4B9C0B1C" w:rsidR="008C61C6" w:rsidRPr="00771F08" w:rsidRDefault="00820DE8"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This leads to</w:t>
      </w:r>
      <w:r w:rsidR="00A0043D" w:rsidRPr="00771F08">
        <w:rPr>
          <w:rFonts w:ascii="Times New Roman" w:hAnsi="Times New Roman" w:cs="Times New Roman"/>
          <w:lang w:val="en-GB"/>
        </w:rPr>
        <w:t xml:space="preserve"> the following hypothesis</w:t>
      </w:r>
      <w:r w:rsidR="009B247F" w:rsidRPr="00771F08">
        <w:rPr>
          <w:rFonts w:ascii="Times New Roman" w:hAnsi="Times New Roman" w:cs="Times New Roman"/>
          <w:lang w:val="en-GB"/>
        </w:rPr>
        <w:t>:</w:t>
      </w:r>
    </w:p>
    <w:p w14:paraId="7DB710D9" w14:textId="4350E145" w:rsidR="009B247F" w:rsidRPr="00771F08" w:rsidRDefault="009B247F"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b/>
          <w:lang w:val="en-GB"/>
        </w:rPr>
        <w:t>H5</w:t>
      </w:r>
      <w:r w:rsidRPr="00771F08">
        <w:rPr>
          <w:rFonts w:ascii="Times New Roman" w:hAnsi="Times New Roman" w:cs="Times New Roman"/>
          <w:lang w:val="en-GB"/>
        </w:rPr>
        <w:t xml:space="preserve">. </w:t>
      </w:r>
      <w:r w:rsidRPr="00771F08">
        <w:rPr>
          <w:rFonts w:ascii="Times New Roman" w:hAnsi="Times New Roman" w:cs="Times New Roman"/>
          <w:i/>
          <w:lang w:val="en-GB"/>
        </w:rPr>
        <w:t xml:space="preserve">Trust </w:t>
      </w:r>
      <w:r w:rsidR="006C0604" w:rsidRPr="00771F08">
        <w:rPr>
          <w:rFonts w:ascii="Times New Roman" w:hAnsi="Times New Roman" w:cs="Times New Roman"/>
          <w:i/>
          <w:lang w:val="en-GB"/>
        </w:rPr>
        <w:t xml:space="preserve">towards the </w:t>
      </w:r>
      <w:r w:rsidR="00304FE0" w:rsidRPr="00771F08">
        <w:rPr>
          <w:rFonts w:ascii="Times New Roman" w:hAnsi="Times New Roman" w:cs="Times New Roman"/>
          <w:i/>
          <w:lang w:val="en-GB"/>
        </w:rPr>
        <w:t>u</w:t>
      </w:r>
      <w:r w:rsidR="006C0604" w:rsidRPr="00771F08">
        <w:rPr>
          <w:rFonts w:ascii="Times New Roman" w:hAnsi="Times New Roman" w:cs="Times New Roman"/>
          <w:i/>
          <w:lang w:val="en-GB"/>
        </w:rPr>
        <w:t xml:space="preserve">niversity </w:t>
      </w:r>
      <w:r w:rsidRPr="00771F08">
        <w:rPr>
          <w:rFonts w:ascii="Times New Roman" w:hAnsi="Times New Roman" w:cs="Times New Roman"/>
          <w:i/>
          <w:lang w:val="en-GB"/>
        </w:rPr>
        <w:t>positively influences commitment</w:t>
      </w:r>
      <w:r w:rsidR="006C0604" w:rsidRPr="00771F08">
        <w:rPr>
          <w:rFonts w:ascii="Times New Roman" w:hAnsi="Times New Roman" w:cs="Times New Roman"/>
          <w:i/>
          <w:lang w:val="en-GB"/>
        </w:rPr>
        <w:t xml:space="preserve"> to the </w:t>
      </w:r>
      <w:r w:rsidR="00304FE0" w:rsidRPr="00771F08">
        <w:rPr>
          <w:rFonts w:ascii="Times New Roman" w:hAnsi="Times New Roman" w:cs="Times New Roman"/>
          <w:i/>
          <w:lang w:val="en-GB"/>
        </w:rPr>
        <w:t>u</w:t>
      </w:r>
      <w:r w:rsidR="006C0604" w:rsidRPr="00771F08">
        <w:rPr>
          <w:rFonts w:ascii="Times New Roman" w:hAnsi="Times New Roman" w:cs="Times New Roman"/>
          <w:i/>
          <w:lang w:val="en-GB"/>
        </w:rPr>
        <w:t>niversity</w:t>
      </w:r>
      <w:r w:rsidR="00802E87" w:rsidRPr="00771F08">
        <w:rPr>
          <w:rFonts w:ascii="Times New Roman" w:hAnsi="Times New Roman" w:cs="Times New Roman"/>
          <w:i/>
          <w:lang w:val="en-GB"/>
        </w:rPr>
        <w:t>.</w:t>
      </w:r>
    </w:p>
    <w:p w14:paraId="4640E767" w14:textId="77777777" w:rsidR="008C61C6" w:rsidRPr="00771F08" w:rsidRDefault="008C61C6" w:rsidP="00237956">
      <w:pPr>
        <w:spacing w:after="0" w:line="240" w:lineRule="auto"/>
        <w:ind w:left="567" w:right="1133"/>
        <w:rPr>
          <w:rFonts w:ascii="Times New Roman" w:hAnsi="Times New Roman" w:cs="Times New Roman"/>
          <w:lang w:val="en-GB"/>
        </w:rPr>
      </w:pPr>
    </w:p>
    <w:p w14:paraId="695DAEDA" w14:textId="52225E7D" w:rsidR="002E6E31" w:rsidRPr="00771F08" w:rsidRDefault="0075535F"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Previous literature</w:t>
      </w:r>
      <w:r w:rsidR="00890B9E" w:rsidRPr="00771F08">
        <w:rPr>
          <w:rFonts w:ascii="Times New Roman" w:hAnsi="Times New Roman" w:cs="Times New Roman"/>
          <w:lang w:val="en-GB"/>
        </w:rPr>
        <w:t xml:space="preserve"> (Balaji et al. 2016; Jillapalli and Jillapalli 2014</w:t>
      </w:r>
      <w:r w:rsidRPr="00771F08">
        <w:rPr>
          <w:rFonts w:ascii="Times New Roman" w:hAnsi="Times New Roman" w:cs="Times New Roman"/>
          <w:lang w:val="en-GB"/>
        </w:rPr>
        <w:t>) attempted to identify the main outcomes resulting from the development of committed relationships between alumni and their university. Notably, past studies provided evidence as to how commitment can create a strong sense of alumni identification with their university, thus motivating the alumni to maintain the relationship with their alma mater and to continue their postgraduate studies at the same institution (</w:t>
      </w:r>
      <w:proofErr w:type="spellStart"/>
      <w:r w:rsidR="00F10C7F" w:rsidRPr="00771F08">
        <w:rPr>
          <w:rFonts w:ascii="Times New Roman" w:hAnsi="Times New Roman" w:cs="Times New Roman"/>
          <w:lang w:val="en-GB"/>
        </w:rPr>
        <w:t>Perin</w:t>
      </w:r>
      <w:proofErr w:type="spellEnd"/>
      <w:r w:rsidR="00F10C7F" w:rsidRPr="00771F08">
        <w:rPr>
          <w:rFonts w:ascii="Times New Roman" w:hAnsi="Times New Roman" w:cs="Times New Roman"/>
          <w:lang w:val="en-GB"/>
        </w:rPr>
        <w:t xml:space="preserve"> et al.</w:t>
      </w:r>
      <w:r w:rsidRPr="00771F08">
        <w:rPr>
          <w:rFonts w:ascii="Times New Roman" w:hAnsi="Times New Roman" w:cs="Times New Roman"/>
          <w:lang w:val="en-GB"/>
        </w:rPr>
        <w:t xml:space="preserve"> 2012).</w:t>
      </w:r>
      <w:r w:rsidR="002E6E31" w:rsidRPr="00771F08">
        <w:rPr>
          <w:rFonts w:ascii="Times New Roman" w:hAnsi="Times New Roman" w:cs="Times New Roman"/>
          <w:lang w:val="en-GB"/>
        </w:rPr>
        <w:t xml:space="preserve"> In addition, commitment has been found to increase loyalty, relationships with the institution, participation, positive word-of-mouth</w:t>
      </w:r>
      <w:r w:rsidR="000E59F9" w:rsidRPr="00771F08">
        <w:rPr>
          <w:rFonts w:ascii="Times New Roman" w:hAnsi="Times New Roman" w:cs="Times New Roman"/>
          <w:lang w:val="en-GB"/>
        </w:rPr>
        <w:t>, and volunteering</w:t>
      </w:r>
      <w:r w:rsidR="00F10C7F" w:rsidRPr="00771F08">
        <w:rPr>
          <w:rFonts w:ascii="Times New Roman" w:hAnsi="Times New Roman" w:cs="Times New Roman"/>
          <w:lang w:val="en-GB"/>
        </w:rPr>
        <w:t xml:space="preserve"> (Jillapalli and Jillapalli</w:t>
      </w:r>
      <w:r w:rsidR="003902EF" w:rsidRPr="00771F08">
        <w:rPr>
          <w:rFonts w:ascii="Times New Roman" w:hAnsi="Times New Roman" w:cs="Times New Roman"/>
          <w:lang w:val="en-GB"/>
        </w:rPr>
        <w:t xml:space="preserve"> 2014).</w:t>
      </w:r>
      <w:r w:rsidR="002E6E31" w:rsidRPr="00771F08">
        <w:rPr>
          <w:rFonts w:ascii="Times New Roman" w:hAnsi="Times New Roman" w:cs="Times New Roman"/>
          <w:lang w:val="en-GB"/>
        </w:rPr>
        <w:t xml:space="preserve"> </w:t>
      </w:r>
      <w:r w:rsidR="00ED47A2" w:rsidRPr="00771F08">
        <w:rPr>
          <w:rFonts w:ascii="Times New Roman" w:hAnsi="Times New Roman" w:cs="Times New Roman"/>
          <w:lang w:val="en-GB"/>
        </w:rPr>
        <w:lastRenderedPageBreak/>
        <w:t>Moreover, Poole (2017) detected how passionate a</w:t>
      </w:r>
      <w:r w:rsidR="008A3600">
        <w:rPr>
          <w:rFonts w:ascii="Times New Roman" w:hAnsi="Times New Roman" w:cs="Times New Roman"/>
          <w:lang w:val="en-GB"/>
        </w:rPr>
        <w:t xml:space="preserve">nd very committed graduates are </w:t>
      </w:r>
      <w:r w:rsidR="00ED47A2" w:rsidRPr="00771F08">
        <w:rPr>
          <w:rFonts w:ascii="Times New Roman" w:hAnsi="Times New Roman" w:cs="Times New Roman"/>
          <w:lang w:val="en-GB"/>
        </w:rPr>
        <w:t>generally more active supporters in different way</w:t>
      </w:r>
      <w:r w:rsidR="00820DE8" w:rsidRPr="00771F08">
        <w:rPr>
          <w:rFonts w:ascii="Times New Roman" w:hAnsi="Times New Roman" w:cs="Times New Roman"/>
          <w:lang w:val="en-GB"/>
        </w:rPr>
        <w:t>s</w:t>
      </w:r>
      <w:r w:rsidR="00ED47A2" w:rsidRPr="00771F08">
        <w:rPr>
          <w:rFonts w:ascii="Times New Roman" w:hAnsi="Times New Roman" w:cs="Times New Roman"/>
          <w:lang w:val="en-GB"/>
        </w:rPr>
        <w:t xml:space="preserve">. </w:t>
      </w:r>
      <w:r w:rsidR="000C5447" w:rsidRPr="00771F08">
        <w:rPr>
          <w:rFonts w:ascii="Times New Roman" w:hAnsi="Times New Roman" w:cs="Times New Roman"/>
          <w:lang w:val="en-GB"/>
        </w:rPr>
        <w:t>In particular, b</w:t>
      </w:r>
      <w:r w:rsidR="00ED47A2" w:rsidRPr="00771F08">
        <w:rPr>
          <w:rFonts w:ascii="Times New Roman" w:hAnsi="Times New Roman" w:cs="Times New Roman"/>
          <w:lang w:val="en-GB"/>
        </w:rPr>
        <w:t xml:space="preserve">y </w:t>
      </w:r>
      <w:r w:rsidR="000C5447" w:rsidRPr="00771F08">
        <w:rPr>
          <w:rFonts w:ascii="Times New Roman" w:hAnsi="Times New Roman" w:cs="Times New Roman"/>
          <w:lang w:val="en-GB"/>
        </w:rPr>
        <w:t xml:space="preserve">specifically </w:t>
      </w:r>
      <w:r w:rsidR="00ED47A2" w:rsidRPr="00771F08">
        <w:rPr>
          <w:rFonts w:ascii="Times New Roman" w:hAnsi="Times New Roman" w:cs="Times New Roman"/>
          <w:lang w:val="en-GB"/>
        </w:rPr>
        <w:t>focusing on the alumni intent</w:t>
      </w:r>
      <w:r w:rsidRPr="00771F08">
        <w:rPr>
          <w:rFonts w:ascii="Times New Roman" w:hAnsi="Times New Roman" w:cs="Times New Roman"/>
          <w:lang w:val="en-GB"/>
        </w:rPr>
        <w:t>ion</w:t>
      </w:r>
      <w:r w:rsidR="00ED47A2" w:rsidRPr="00771F08">
        <w:rPr>
          <w:rFonts w:ascii="Times New Roman" w:hAnsi="Times New Roman" w:cs="Times New Roman"/>
          <w:lang w:val="en-GB"/>
        </w:rPr>
        <w:t xml:space="preserve"> to make donations, </w:t>
      </w:r>
      <w:r w:rsidR="00A60526" w:rsidRPr="00771F08">
        <w:rPr>
          <w:rFonts w:ascii="Times New Roman" w:hAnsi="Times New Roman" w:cs="Times New Roman"/>
          <w:lang w:val="en-GB"/>
        </w:rPr>
        <w:t>Baruch and Sang (2012</w:t>
      </w:r>
      <w:r w:rsidR="00ED47A2" w:rsidRPr="00771F08">
        <w:rPr>
          <w:rFonts w:ascii="Times New Roman" w:hAnsi="Times New Roman" w:cs="Times New Roman"/>
          <w:lang w:val="en-GB"/>
        </w:rPr>
        <w:t xml:space="preserve">) suggested that </w:t>
      </w:r>
      <w:r w:rsidR="00A60526" w:rsidRPr="00771F08">
        <w:rPr>
          <w:rFonts w:ascii="Times New Roman" w:hAnsi="Times New Roman" w:cs="Times New Roman"/>
          <w:lang w:val="en-GB"/>
        </w:rPr>
        <w:t xml:space="preserve">alumni commitment </w:t>
      </w:r>
      <w:r w:rsidR="00ED47A2" w:rsidRPr="00771F08">
        <w:rPr>
          <w:rFonts w:ascii="Times New Roman" w:hAnsi="Times New Roman" w:cs="Times New Roman"/>
          <w:lang w:val="en-GB"/>
        </w:rPr>
        <w:t xml:space="preserve">can contribute to this specific attitude. Starting from these findings, </w:t>
      </w:r>
      <w:r w:rsidR="002E6E31" w:rsidRPr="00771F08">
        <w:rPr>
          <w:rFonts w:ascii="Times New Roman" w:hAnsi="Times New Roman" w:cs="Times New Roman"/>
          <w:lang w:val="en-GB"/>
        </w:rPr>
        <w:t>we</w:t>
      </w:r>
      <w:r w:rsidR="00ED47A2" w:rsidRPr="00771F08">
        <w:rPr>
          <w:rFonts w:ascii="Times New Roman" w:hAnsi="Times New Roman" w:cs="Times New Roman"/>
          <w:lang w:val="en-GB"/>
        </w:rPr>
        <w:t xml:space="preserve"> </w:t>
      </w:r>
      <w:r w:rsidR="002E6E31" w:rsidRPr="00771F08">
        <w:rPr>
          <w:rFonts w:ascii="Times New Roman" w:hAnsi="Times New Roman" w:cs="Times New Roman"/>
          <w:lang w:val="en-GB"/>
        </w:rPr>
        <w:t xml:space="preserve">expect that a higher level of commitment leads to </w:t>
      </w:r>
      <w:r w:rsidR="00A13E8C" w:rsidRPr="00771F08">
        <w:rPr>
          <w:rFonts w:ascii="Times New Roman" w:hAnsi="Times New Roman" w:cs="Times New Roman"/>
          <w:lang w:val="en-GB"/>
        </w:rPr>
        <w:t xml:space="preserve">a </w:t>
      </w:r>
      <w:r w:rsidRPr="00771F08">
        <w:rPr>
          <w:rFonts w:ascii="Times New Roman" w:hAnsi="Times New Roman" w:cs="Times New Roman"/>
          <w:lang w:val="en-GB"/>
        </w:rPr>
        <w:t>more positive</w:t>
      </w:r>
      <w:r w:rsidR="00A13E8C" w:rsidRPr="00771F08">
        <w:rPr>
          <w:rFonts w:ascii="Times New Roman" w:hAnsi="Times New Roman" w:cs="Times New Roman"/>
          <w:lang w:val="en-GB"/>
        </w:rPr>
        <w:t xml:space="preserve"> </w:t>
      </w:r>
      <w:r w:rsidR="002E6E31" w:rsidRPr="00771F08">
        <w:rPr>
          <w:rFonts w:ascii="Times New Roman" w:hAnsi="Times New Roman" w:cs="Times New Roman"/>
          <w:lang w:val="en-GB"/>
        </w:rPr>
        <w:t>attitude toward donations. Therefore:</w:t>
      </w:r>
    </w:p>
    <w:p w14:paraId="72F452F4" w14:textId="10DEDC3A" w:rsidR="002E6E31" w:rsidRPr="00771F08" w:rsidRDefault="00C62675" w:rsidP="00237956">
      <w:pPr>
        <w:spacing w:after="0" w:line="240" w:lineRule="auto"/>
        <w:ind w:left="567" w:right="1133"/>
        <w:rPr>
          <w:rFonts w:ascii="Times New Roman" w:hAnsi="Times New Roman" w:cs="Times New Roman"/>
          <w:i/>
          <w:lang w:val="en-GB"/>
        </w:rPr>
      </w:pPr>
      <w:r w:rsidRPr="00771F08">
        <w:rPr>
          <w:rFonts w:ascii="Times New Roman" w:hAnsi="Times New Roman" w:cs="Times New Roman"/>
          <w:b/>
          <w:lang w:val="en-GB"/>
        </w:rPr>
        <w:t>H6</w:t>
      </w:r>
      <w:r w:rsidR="002E6E31" w:rsidRPr="00771F08">
        <w:rPr>
          <w:rFonts w:ascii="Times New Roman" w:hAnsi="Times New Roman" w:cs="Times New Roman"/>
          <w:lang w:val="en-GB"/>
        </w:rPr>
        <w:t xml:space="preserve">. </w:t>
      </w:r>
      <w:r w:rsidR="002E6E31" w:rsidRPr="00771F08">
        <w:rPr>
          <w:rFonts w:ascii="Times New Roman" w:hAnsi="Times New Roman" w:cs="Times New Roman"/>
          <w:i/>
          <w:lang w:val="en-GB"/>
        </w:rPr>
        <w:t>Commitment</w:t>
      </w:r>
      <w:r w:rsidR="006C0604" w:rsidRPr="00771F08">
        <w:rPr>
          <w:rFonts w:ascii="Times New Roman" w:hAnsi="Times New Roman" w:cs="Times New Roman"/>
          <w:i/>
          <w:lang w:val="en-GB"/>
        </w:rPr>
        <w:t xml:space="preserve"> to the </w:t>
      </w:r>
      <w:r w:rsidR="00304FE0" w:rsidRPr="00771F08">
        <w:rPr>
          <w:rFonts w:ascii="Times New Roman" w:hAnsi="Times New Roman" w:cs="Times New Roman"/>
          <w:i/>
          <w:lang w:val="en-GB"/>
        </w:rPr>
        <w:t>u</w:t>
      </w:r>
      <w:r w:rsidR="006C0604" w:rsidRPr="00771F08">
        <w:rPr>
          <w:rFonts w:ascii="Times New Roman" w:hAnsi="Times New Roman" w:cs="Times New Roman"/>
          <w:i/>
          <w:lang w:val="en-GB"/>
        </w:rPr>
        <w:t>niversity</w:t>
      </w:r>
      <w:r w:rsidR="002E6E31" w:rsidRPr="00771F08">
        <w:rPr>
          <w:rFonts w:ascii="Times New Roman" w:hAnsi="Times New Roman" w:cs="Times New Roman"/>
          <w:i/>
          <w:lang w:val="en-GB"/>
        </w:rPr>
        <w:t xml:space="preserve"> positively influences attitude toward donations. </w:t>
      </w:r>
    </w:p>
    <w:p w14:paraId="1C6DE43C" w14:textId="77777777" w:rsidR="009C27EF" w:rsidRPr="00771F08" w:rsidRDefault="009C27EF" w:rsidP="00237956">
      <w:pPr>
        <w:spacing w:after="0" w:line="240" w:lineRule="auto"/>
        <w:ind w:left="567" w:right="1133"/>
        <w:rPr>
          <w:rFonts w:ascii="Times New Roman" w:hAnsi="Times New Roman" w:cs="Times New Roman"/>
          <w:sz w:val="24"/>
          <w:lang w:val="en-GB"/>
        </w:rPr>
      </w:pPr>
    </w:p>
    <w:p w14:paraId="78B52377" w14:textId="2C538DA6" w:rsidR="00DE69FD" w:rsidRPr="00771F08" w:rsidRDefault="00DE69FD"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lang w:val="en-GB"/>
        </w:rPr>
        <w:t xml:space="preserve">Figure 1 presents the conceptual model and the related hypotheses. </w:t>
      </w:r>
    </w:p>
    <w:p w14:paraId="224ECDCA" w14:textId="7C6638C9" w:rsidR="004F0E9C" w:rsidRPr="00771F08" w:rsidRDefault="004F0E9C"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b/>
          <w:lang w:val="en-GB"/>
        </w:rPr>
        <w:t>Fig. 1</w:t>
      </w:r>
      <w:r w:rsidRPr="00771F08">
        <w:rPr>
          <w:rFonts w:ascii="Times New Roman" w:hAnsi="Times New Roman" w:cs="Times New Roman"/>
          <w:lang w:val="en-GB"/>
        </w:rPr>
        <w:t xml:space="preserve">. Proposed conceptual framework </w:t>
      </w:r>
    </w:p>
    <w:p w14:paraId="37AA92FA" w14:textId="10AC0B5D" w:rsidR="004F0E9C" w:rsidRPr="00771F08" w:rsidRDefault="004F0E9C" w:rsidP="00237956">
      <w:pPr>
        <w:spacing w:after="0" w:line="240" w:lineRule="auto"/>
        <w:ind w:left="567" w:right="1133"/>
        <w:rPr>
          <w:rFonts w:ascii="Times New Roman" w:hAnsi="Times New Roman" w:cs="Times New Roman"/>
          <w:lang w:val="en-GB"/>
        </w:rPr>
      </w:pPr>
      <w:r w:rsidRPr="00771F08">
        <w:rPr>
          <w:rFonts w:ascii="Times New Roman" w:hAnsi="Times New Roman" w:cs="Times New Roman"/>
          <w:noProof/>
          <w:lang w:eastAsia="it-IT"/>
        </w:rPr>
        <w:drawing>
          <wp:inline distT="0" distB="0" distL="0" distR="0" wp14:anchorId="5422255D" wp14:editId="5C91DEEC">
            <wp:extent cx="5869125" cy="230400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9125" cy="2304000"/>
                    </a:xfrm>
                    <a:prstGeom prst="rect">
                      <a:avLst/>
                    </a:prstGeom>
                    <a:noFill/>
                  </pic:spPr>
                </pic:pic>
              </a:graphicData>
            </a:graphic>
          </wp:inline>
        </w:drawing>
      </w:r>
    </w:p>
    <w:p w14:paraId="333CB345" w14:textId="77777777" w:rsidR="003154B5" w:rsidRPr="00771F08" w:rsidRDefault="003154B5" w:rsidP="00237956">
      <w:pPr>
        <w:spacing w:after="0" w:line="240" w:lineRule="auto"/>
        <w:ind w:left="567" w:right="1133"/>
        <w:rPr>
          <w:rFonts w:ascii="Times New Roman" w:hAnsi="Times New Roman" w:cs="Times New Roman"/>
          <w:lang w:val="en-GB"/>
        </w:rPr>
      </w:pPr>
    </w:p>
    <w:p w14:paraId="4C4EACBC" w14:textId="16EA373B" w:rsidR="00642941" w:rsidRPr="00771F08" w:rsidRDefault="00BE5B80" w:rsidP="00237956">
      <w:pPr>
        <w:pStyle w:val="ListParagraph"/>
        <w:numPr>
          <w:ilvl w:val="0"/>
          <w:numId w:val="3"/>
        </w:numPr>
        <w:spacing w:after="0" w:line="240" w:lineRule="auto"/>
        <w:ind w:right="990"/>
        <w:rPr>
          <w:rFonts w:ascii="Times New Roman" w:hAnsi="Times New Roman" w:cs="Times New Roman"/>
          <w:b/>
          <w:szCs w:val="24"/>
          <w:lang w:val="en-GB"/>
        </w:rPr>
      </w:pPr>
      <w:r w:rsidRPr="00771F08">
        <w:rPr>
          <w:rFonts w:ascii="Times New Roman" w:hAnsi="Times New Roman" w:cs="Times New Roman"/>
          <w:b/>
          <w:szCs w:val="24"/>
          <w:lang w:val="en-GB"/>
        </w:rPr>
        <w:t>Research method</w:t>
      </w:r>
    </w:p>
    <w:p w14:paraId="61F1D225" w14:textId="77777777" w:rsidR="00291FCA" w:rsidRPr="00771F08" w:rsidRDefault="00291FCA" w:rsidP="00237956">
      <w:pPr>
        <w:spacing w:after="0" w:line="240" w:lineRule="auto"/>
        <w:ind w:left="567"/>
        <w:rPr>
          <w:rFonts w:ascii="Times New Roman" w:hAnsi="Times New Roman" w:cs="Times New Roman"/>
          <w:b/>
          <w:i/>
          <w:szCs w:val="24"/>
          <w:lang w:val="en-GB"/>
        </w:rPr>
      </w:pPr>
      <w:r w:rsidRPr="00771F08">
        <w:rPr>
          <w:rFonts w:ascii="Times New Roman" w:hAnsi="Times New Roman" w:cs="Times New Roman"/>
          <w:b/>
          <w:i/>
          <w:szCs w:val="24"/>
          <w:lang w:val="en-GB"/>
        </w:rPr>
        <w:t>3.1 Data collection</w:t>
      </w:r>
    </w:p>
    <w:p w14:paraId="14954D5F" w14:textId="3A845296" w:rsidR="004F1223" w:rsidRPr="00771F08" w:rsidRDefault="005F0DBF" w:rsidP="00237956">
      <w:pPr>
        <w:autoSpaceDE w:val="0"/>
        <w:autoSpaceDN w:val="0"/>
        <w:adjustRightInd w:val="0"/>
        <w:spacing w:after="0" w:line="240" w:lineRule="auto"/>
        <w:ind w:left="567" w:right="1133"/>
        <w:rPr>
          <w:rFonts w:ascii="Times New Roman" w:hAnsi="Times New Roman" w:cs="Times New Roman"/>
          <w:lang w:val="en-GB"/>
        </w:rPr>
      </w:pPr>
      <w:r w:rsidRPr="00771F08">
        <w:rPr>
          <w:rFonts w:ascii="Times New Roman" w:hAnsi="Times New Roman" w:cs="Times New Roman"/>
          <w:szCs w:val="24"/>
          <w:lang w:val="en-GB"/>
        </w:rPr>
        <w:t xml:space="preserve">The study was carried out in </w:t>
      </w:r>
      <w:r w:rsidR="00CE65A2" w:rsidRPr="00771F08">
        <w:rPr>
          <w:rFonts w:ascii="Times New Roman" w:hAnsi="Times New Roman" w:cs="Times New Roman"/>
          <w:szCs w:val="24"/>
          <w:lang w:val="en-GB"/>
        </w:rPr>
        <w:t xml:space="preserve">two countries, </w:t>
      </w:r>
      <w:r w:rsidR="00F74DDA" w:rsidRPr="00771F08">
        <w:rPr>
          <w:rFonts w:ascii="Times New Roman" w:hAnsi="Times New Roman" w:cs="Times New Roman"/>
          <w:szCs w:val="24"/>
          <w:lang w:val="en-GB"/>
        </w:rPr>
        <w:t>namely</w:t>
      </w:r>
      <w:r w:rsidRPr="00771F08">
        <w:rPr>
          <w:rFonts w:ascii="Times New Roman" w:hAnsi="Times New Roman" w:cs="Times New Roman"/>
          <w:szCs w:val="24"/>
          <w:lang w:val="en-GB"/>
        </w:rPr>
        <w:t xml:space="preserve"> </w:t>
      </w:r>
      <w:r w:rsidR="001E15EF" w:rsidRPr="00771F08">
        <w:rPr>
          <w:rFonts w:ascii="Times New Roman" w:hAnsi="Times New Roman" w:cs="Times New Roman"/>
          <w:szCs w:val="24"/>
          <w:lang w:val="en-GB"/>
        </w:rPr>
        <w:t xml:space="preserve">the </w:t>
      </w:r>
      <w:r w:rsidRPr="00771F08">
        <w:rPr>
          <w:rFonts w:ascii="Times New Roman" w:hAnsi="Times New Roman" w:cs="Times New Roman"/>
          <w:szCs w:val="24"/>
          <w:lang w:val="en-GB"/>
        </w:rPr>
        <w:t>US and Italy</w:t>
      </w:r>
      <w:r w:rsidR="008C5A7E"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w:t>
      </w:r>
      <w:r w:rsidR="008C5A7E" w:rsidRPr="00771F08">
        <w:rPr>
          <w:rFonts w:ascii="Times New Roman" w:hAnsi="Times New Roman" w:cs="Times New Roman"/>
          <w:szCs w:val="24"/>
          <w:lang w:val="en-GB"/>
        </w:rPr>
        <w:t>Collecting data from more than one country to test a model is not necessary but</w:t>
      </w:r>
      <w:r w:rsidR="00D95D38" w:rsidRPr="00771F08">
        <w:rPr>
          <w:rFonts w:ascii="Times New Roman" w:hAnsi="Times New Roman" w:cs="Times New Roman"/>
          <w:szCs w:val="24"/>
          <w:lang w:val="en-GB"/>
        </w:rPr>
        <w:t>,</w:t>
      </w:r>
      <w:r w:rsidR="008C5A7E" w:rsidRPr="00771F08">
        <w:rPr>
          <w:rFonts w:ascii="Times New Roman" w:hAnsi="Times New Roman" w:cs="Times New Roman"/>
          <w:szCs w:val="24"/>
          <w:lang w:val="en-GB"/>
        </w:rPr>
        <w:t xml:space="preserve"> </w:t>
      </w:r>
      <w:r w:rsidR="00D80CD5" w:rsidRPr="00771F08">
        <w:rPr>
          <w:rFonts w:ascii="Times New Roman" w:hAnsi="Times New Roman" w:cs="Times New Roman"/>
          <w:szCs w:val="24"/>
          <w:lang w:val="en-GB"/>
        </w:rPr>
        <w:t xml:space="preserve">nevertheless, </w:t>
      </w:r>
      <w:r w:rsidR="00D95D38" w:rsidRPr="00771F08">
        <w:rPr>
          <w:rFonts w:ascii="Times New Roman" w:hAnsi="Times New Roman" w:cs="Times New Roman"/>
          <w:szCs w:val="24"/>
          <w:lang w:val="en-GB"/>
        </w:rPr>
        <w:t xml:space="preserve">it </w:t>
      </w:r>
      <w:r w:rsidR="00D80CD5" w:rsidRPr="00771F08">
        <w:rPr>
          <w:rFonts w:ascii="Times New Roman" w:hAnsi="Times New Roman" w:cs="Times New Roman"/>
          <w:szCs w:val="24"/>
          <w:lang w:val="en-GB"/>
        </w:rPr>
        <w:t>helps to confirm</w:t>
      </w:r>
      <w:r w:rsidR="001A4541" w:rsidRPr="00771F08">
        <w:rPr>
          <w:rFonts w:ascii="Times New Roman" w:hAnsi="Times New Roman" w:cs="Times New Roman"/>
          <w:szCs w:val="24"/>
          <w:lang w:val="en-GB"/>
        </w:rPr>
        <w:t xml:space="preserve"> the stability of the model</w:t>
      </w:r>
      <w:r w:rsidR="00CE65A2" w:rsidRPr="00771F08">
        <w:rPr>
          <w:rFonts w:ascii="Times New Roman" w:hAnsi="Times New Roman" w:cs="Times New Roman"/>
          <w:szCs w:val="24"/>
          <w:lang w:val="en-GB"/>
        </w:rPr>
        <w:t xml:space="preserve"> </w:t>
      </w:r>
      <w:r w:rsidR="00CE65A2" w:rsidRPr="00771F08">
        <w:rPr>
          <w:rFonts w:ascii="Times New Roman" w:hAnsi="Times New Roman" w:cs="Times New Roman"/>
          <w:szCs w:val="24"/>
          <w:lang w:val="en-GB"/>
        </w:rPr>
        <w:fldChar w:fldCharType="begin" w:fldLock="1"/>
      </w:r>
      <w:r w:rsidR="00CE65A2" w:rsidRPr="00771F08">
        <w:rPr>
          <w:rFonts w:ascii="Times New Roman" w:hAnsi="Times New Roman" w:cs="Times New Roman"/>
          <w:szCs w:val="24"/>
          <w:lang w:val="en-GB"/>
        </w:rPr>
        <w:instrText>ADDIN CSL_CITATION { "citationItems" : [ { "id" : "ITEM-1", "itemData" : { "DOI" : "10.1108/02651331011088245", "ISSN" : "0265-1335", "abstract" : "Purpose \u2013 The paper seeks to provide guidance for those who have data from multiple countries and are considering writing a comparative or cross\u2010cultural/national research paper.Design/methodology/approach \u2013 The approach taken is an essay format.Findings \u2013 International comparative marketing research studies are often rejected from the International Marketing Review because authors develop theory for which they have inappropriate data.Research limitations/implications \u2013 Research models need to be commensurate with the data available. Models that claim to assess how nation\u2010level variables of interest differentially drive beliefs, attitudes, and behaviors across countries, and yet only test the models using samples from two or three countries are not appropriate. Appropriate solutions for researchers seeking to undertake international comparative research are suggested.Originality/value \u2013 The paper provides researchers with insights into successful strategies for publishing international comparative research.", "author" : [ { "dropping-particle" : "", "family" : "Cadogan", "given" : "John", "non-dropping-particle" : "", "parse-names" : false, "suffix" : "" } ], "container-title" : "International Marketing Review", "id" : "ITEM-1", "issue" : "6", "issued" : { "date-parts" : [ [ "2010", "11", "2" ] ] }, "page" : "601-605", "publisher" : "Emerald Group Publishing Limited", "title" : "Comparative, cross\u2010cultural, and cross\u2010national research", "type" : "article-journal", "volume" : "27" }, "uris" : [ "http://www.mendeley.com/documents/?uuid=75441ca0-1acb-36e3-bf68-42c83d69d2b4" ] } ], "mendeley" : { "formattedCitation" : "(Cadogan, 2010)", "plainTextFormattedCitation" : "(Cadogan, 2010)", "previouslyFormattedCitation" : "(Cadogan, 2010)" }, "properties" : { "noteIndex" : 0 }, "schema" : "https://github.com/citation-style-language/schema/raw/master/csl-citation.json" }</w:instrText>
      </w:r>
      <w:r w:rsidR="00CE65A2" w:rsidRPr="00771F08">
        <w:rPr>
          <w:rFonts w:ascii="Times New Roman" w:hAnsi="Times New Roman" w:cs="Times New Roman"/>
          <w:szCs w:val="24"/>
          <w:lang w:val="en-GB"/>
        </w:rPr>
        <w:fldChar w:fldCharType="separate"/>
      </w:r>
      <w:r w:rsidR="008A0A9C" w:rsidRPr="00771F08">
        <w:rPr>
          <w:rFonts w:ascii="Times New Roman" w:hAnsi="Times New Roman" w:cs="Times New Roman"/>
          <w:szCs w:val="24"/>
          <w:lang w:val="en-GB"/>
        </w:rPr>
        <w:t>(Cadogan</w:t>
      </w:r>
      <w:r w:rsidR="00CE65A2" w:rsidRPr="00771F08">
        <w:rPr>
          <w:rFonts w:ascii="Times New Roman" w:hAnsi="Times New Roman" w:cs="Times New Roman"/>
          <w:szCs w:val="24"/>
          <w:lang w:val="en-GB"/>
        </w:rPr>
        <w:t xml:space="preserve"> 2010)</w:t>
      </w:r>
      <w:r w:rsidR="00CE65A2" w:rsidRPr="00771F08">
        <w:rPr>
          <w:rFonts w:ascii="Times New Roman" w:hAnsi="Times New Roman" w:cs="Times New Roman"/>
          <w:szCs w:val="24"/>
          <w:lang w:val="en-GB"/>
        </w:rPr>
        <w:fldChar w:fldCharType="end"/>
      </w:r>
      <w:r w:rsidR="00CE65A2" w:rsidRPr="00771F08">
        <w:rPr>
          <w:rFonts w:ascii="Times New Roman" w:hAnsi="Times New Roman" w:cs="Times New Roman"/>
          <w:szCs w:val="24"/>
          <w:lang w:val="en-GB"/>
        </w:rPr>
        <w:t xml:space="preserve">. </w:t>
      </w:r>
      <w:r w:rsidR="00D95D38" w:rsidRPr="00771F08">
        <w:rPr>
          <w:rFonts w:ascii="Times New Roman" w:hAnsi="Times New Roman" w:cs="Times New Roman"/>
          <w:szCs w:val="24"/>
          <w:lang w:val="en-GB"/>
        </w:rPr>
        <w:t xml:space="preserve">The </w:t>
      </w:r>
      <w:r w:rsidR="008571E4" w:rsidRPr="00771F08">
        <w:rPr>
          <w:rFonts w:ascii="Times New Roman" w:hAnsi="Times New Roman" w:cs="Times New Roman"/>
          <w:szCs w:val="24"/>
          <w:lang w:val="en-GB"/>
        </w:rPr>
        <w:t xml:space="preserve">US and Italy were chosen </w:t>
      </w:r>
      <w:r w:rsidR="009D3BF6" w:rsidRPr="00771F08">
        <w:rPr>
          <w:rFonts w:ascii="Times New Roman" w:hAnsi="Times New Roman" w:cs="Times New Roman"/>
          <w:szCs w:val="24"/>
          <w:lang w:val="en-GB"/>
        </w:rPr>
        <w:t xml:space="preserve">in order to take advantage of the contrast in the HE contexts between the two countries </w:t>
      </w:r>
      <w:r w:rsidR="008A0A9C" w:rsidRPr="00771F08">
        <w:rPr>
          <w:rFonts w:ascii="Times New Roman" w:hAnsi="Times New Roman" w:cs="Times New Roman"/>
          <w:szCs w:val="24"/>
          <w:lang w:val="en-GB"/>
        </w:rPr>
        <w:t>(Clark and Cullen</w:t>
      </w:r>
      <w:r w:rsidR="009D3BF6" w:rsidRPr="00771F08">
        <w:rPr>
          <w:rFonts w:ascii="Times New Roman" w:hAnsi="Times New Roman" w:cs="Times New Roman"/>
          <w:szCs w:val="24"/>
          <w:lang w:val="en-GB"/>
        </w:rPr>
        <w:t xml:space="preserve"> 2016). </w:t>
      </w:r>
      <w:r w:rsidR="00935B0E" w:rsidRPr="00771F08">
        <w:rPr>
          <w:rFonts w:ascii="Times New Roman" w:hAnsi="Times New Roman" w:cs="Times New Roman"/>
          <w:szCs w:val="24"/>
          <w:lang w:val="en-GB"/>
        </w:rPr>
        <w:t>T</w:t>
      </w:r>
      <w:r w:rsidR="004B5665" w:rsidRPr="00771F08">
        <w:rPr>
          <w:rFonts w:ascii="Times New Roman" w:hAnsi="Times New Roman" w:cs="Times New Roman"/>
          <w:szCs w:val="24"/>
          <w:lang w:val="en-GB"/>
        </w:rPr>
        <w:t>he US</w:t>
      </w:r>
      <w:r w:rsidR="00935B0E" w:rsidRPr="00771F08">
        <w:rPr>
          <w:rFonts w:ascii="Times New Roman" w:hAnsi="Times New Roman" w:cs="Times New Roman"/>
          <w:szCs w:val="24"/>
          <w:lang w:val="en-GB"/>
        </w:rPr>
        <w:t xml:space="preserve"> was selected as</w:t>
      </w:r>
      <w:r w:rsidR="00984347" w:rsidRPr="00771F08">
        <w:rPr>
          <w:rFonts w:ascii="Times New Roman" w:hAnsi="Times New Roman" w:cs="Times New Roman"/>
          <w:szCs w:val="24"/>
          <w:lang w:val="en-GB"/>
        </w:rPr>
        <w:t xml:space="preserve"> HE</w:t>
      </w:r>
      <w:r w:rsidR="00D9590A" w:rsidRPr="00771F08">
        <w:rPr>
          <w:rFonts w:ascii="Times New Roman" w:hAnsi="Times New Roman" w:cs="Times New Roman"/>
          <w:szCs w:val="24"/>
          <w:lang w:val="en-GB"/>
        </w:rPr>
        <w:t>Is</w:t>
      </w:r>
      <w:r w:rsidR="009E63DC" w:rsidRPr="00771F08">
        <w:rPr>
          <w:rFonts w:ascii="Times New Roman" w:hAnsi="Times New Roman" w:cs="Times New Roman"/>
          <w:szCs w:val="24"/>
          <w:lang w:val="en-GB"/>
        </w:rPr>
        <w:t xml:space="preserve"> in this</w:t>
      </w:r>
      <w:r w:rsidR="00F74DDA" w:rsidRPr="00771F08">
        <w:rPr>
          <w:rFonts w:ascii="Times New Roman" w:hAnsi="Times New Roman" w:cs="Times New Roman"/>
          <w:szCs w:val="24"/>
          <w:lang w:val="en-GB"/>
        </w:rPr>
        <w:t xml:space="preserve"> country</w:t>
      </w:r>
      <w:r w:rsidR="004B5665" w:rsidRPr="00771F08">
        <w:rPr>
          <w:rFonts w:ascii="Times New Roman" w:hAnsi="Times New Roman" w:cs="Times New Roman"/>
          <w:szCs w:val="24"/>
          <w:lang w:val="en-GB"/>
        </w:rPr>
        <w:t xml:space="preserve"> </w:t>
      </w:r>
      <w:r w:rsidR="00891728" w:rsidRPr="00771F08">
        <w:rPr>
          <w:rFonts w:ascii="Times New Roman" w:hAnsi="Times New Roman" w:cs="Times New Roman"/>
          <w:szCs w:val="24"/>
          <w:lang w:val="en-GB"/>
        </w:rPr>
        <w:t xml:space="preserve">have </w:t>
      </w:r>
      <w:r w:rsidR="004B5665" w:rsidRPr="00771F08">
        <w:rPr>
          <w:rFonts w:ascii="Times New Roman" w:hAnsi="Times New Roman" w:cs="Times New Roman"/>
          <w:szCs w:val="24"/>
          <w:lang w:val="en-GB"/>
        </w:rPr>
        <w:t>strong</w:t>
      </w:r>
      <w:r w:rsidR="00935B0E" w:rsidRPr="00771F08">
        <w:rPr>
          <w:rFonts w:ascii="Times New Roman" w:hAnsi="Times New Roman" w:cs="Times New Roman"/>
          <w:szCs w:val="24"/>
          <w:lang w:val="en-GB"/>
        </w:rPr>
        <w:t xml:space="preserve"> </w:t>
      </w:r>
      <w:r w:rsidR="004B5665" w:rsidRPr="00771F08">
        <w:rPr>
          <w:rFonts w:ascii="Times New Roman" w:hAnsi="Times New Roman" w:cs="Times New Roman"/>
          <w:szCs w:val="24"/>
          <w:lang w:val="en-GB"/>
        </w:rPr>
        <w:t>global brands</w:t>
      </w:r>
      <w:r w:rsidR="00935B0E" w:rsidRPr="00771F08">
        <w:rPr>
          <w:rFonts w:ascii="Times New Roman" w:hAnsi="Times New Roman" w:cs="Times New Roman"/>
          <w:szCs w:val="24"/>
          <w:lang w:val="en-GB"/>
        </w:rPr>
        <w:t>,</w:t>
      </w:r>
      <w:r w:rsidR="004B5665" w:rsidRPr="00771F08">
        <w:rPr>
          <w:rFonts w:ascii="Times New Roman" w:hAnsi="Times New Roman" w:cs="Times New Roman"/>
          <w:szCs w:val="24"/>
          <w:lang w:val="en-GB"/>
        </w:rPr>
        <w:t xml:space="preserve"> </w:t>
      </w:r>
      <w:r w:rsidR="00602502" w:rsidRPr="00771F08">
        <w:rPr>
          <w:rFonts w:ascii="Times New Roman" w:hAnsi="Times New Roman" w:cs="Times New Roman"/>
          <w:szCs w:val="24"/>
          <w:lang w:val="en-GB"/>
        </w:rPr>
        <w:t>high levels of</w:t>
      </w:r>
      <w:r w:rsidR="004B5665" w:rsidRPr="00771F08">
        <w:rPr>
          <w:rFonts w:ascii="Times New Roman" w:hAnsi="Times New Roman" w:cs="Times New Roman"/>
          <w:szCs w:val="24"/>
          <w:lang w:val="en-GB"/>
        </w:rPr>
        <w:t xml:space="preserve"> engagement</w:t>
      </w:r>
      <w:r w:rsidR="0018503D" w:rsidRPr="00771F08">
        <w:rPr>
          <w:rFonts w:ascii="Times New Roman" w:hAnsi="Times New Roman" w:cs="Times New Roman"/>
          <w:szCs w:val="24"/>
          <w:lang w:val="en-GB"/>
        </w:rPr>
        <w:t>,</w:t>
      </w:r>
      <w:r w:rsidR="004B5665" w:rsidRPr="00771F08">
        <w:rPr>
          <w:rFonts w:ascii="Times New Roman" w:hAnsi="Times New Roman" w:cs="Times New Roman"/>
          <w:szCs w:val="24"/>
          <w:lang w:val="en-GB"/>
        </w:rPr>
        <w:t xml:space="preserve"> and </w:t>
      </w:r>
      <w:r w:rsidR="007B7EC4" w:rsidRPr="00771F08">
        <w:rPr>
          <w:rFonts w:ascii="Times New Roman" w:hAnsi="Times New Roman" w:cs="Times New Roman"/>
          <w:szCs w:val="24"/>
          <w:lang w:val="en-GB"/>
        </w:rPr>
        <w:t xml:space="preserve">very </w:t>
      </w:r>
      <w:r w:rsidR="00D9590A" w:rsidRPr="00771F08">
        <w:rPr>
          <w:rFonts w:ascii="Times New Roman" w:hAnsi="Times New Roman" w:cs="Times New Roman"/>
          <w:szCs w:val="24"/>
          <w:lang w:val="en-GB"/>
        </w:rPr>
        <w:t>positive</w:t>
      </w:r>
      <w:r w:rsidR="007B7EC4" w:rsidRPr="00771F08">
        <w:rPr>
          <w:rFonts w:ascii="Times New Roman" w:hAnsi="Times New Roman" w:cs="Times New Roman"/>
          <w:szCs w:val="24"/>
          <w:lang w:val="en-GB"/>
        </w:rPr>
        <w:t xml:space="preserve"> attitude</w:t>
      </w:r>
      <w:r w:rsidR="00F7323B" w:rsidRPr="00771F08">
        <w:rPr>
          <w:rFonts w:ascii="Times New Roman" w:hAnsi="Times New Roman" w:cs="Times New Roman"/>
          <w:szCs w:val="24"/>
          <w:lang w:val="en-GB"/>
        </w:rPr>
        <w:t>s</w:t>
      </w:r>
      <w:r w:rsidR="007B7EC4" w:rsidRPr="00771F08">
        <w:rPr>
          <w:rFonts w:ascii="Times New Roman" w:hAnsi="Times New Roman" w:cs="Times New Roman"/>
          <w:szCs w:val="24"/>
          <w:lang w:val="en-GB"/>
        </w:rPr>
        <w:t xml:space="preserve"> toward</w:t>
      </w:r>
      <w:r w:rsidR="00F7323B" w:rsidRPr="00771F08">
        <w:rPr>
          <w:rFonts w:ascii="Times New Roman" w:hAnsi="Times New Roman" w:cs="Times New Roman"/>
          <w:szCs w:val="24"/>
          <w:lang w:val="en-GB"/>
        </w:rPr>
        <w:t>s</w:t>
      </w:r>
      <w:r w:rsidR="007B7EC4" w:rsidRPr="00771F08">
        <w:rPr>
          <w:rFonts w:ascii="Times New Roman" w:hAnsi="Times New Roman" w:cs="Times New Roman"/>
          <w:szCs w:val="24"/>
          <w:lang w:val="en-GB"/>
        </w:rPr>
        <w:t xml:space="preserve"> </w:t>
      </w:r>
      <w:r w:rsidR="004B5665" w:rsidRPr="00771F08">
        <w:rPr>
          <w:rFonts w:ascii="Times New Roman" w:hAnsi="Times New Roman" w:cs="Times New Roman"/>
          <w:szCs w:val="24"/>
          <w:lang w:val="en-GB"/>
        </w:rPr>
        <w:t>donation</w:t>
      </w:r>
      <w:r w:rsidR="007B7EC4" w:rsidRPr="00771F08">
        <w:rPr>
          <w:rFonts w:ascii="Times New Roman" w:hAnsi="Times New Roman" w:cs="Times New Roman"/>
          <w:szCs w:val="24"/>
          <w:lang w:val="en-GB"/>
        </w:rPr>
        <w:t xml:space="preserve"> </w:t>
      </w:r>
      <w:r w:rsidR="008A0A9C" w:rsidRPr="00771F08">
        <w:rPr>
          <w:rFonts w:ascii="Times New Roman" w:hAnsi="Times New Roman" w:cs="Times New Roman"/>
          <w:szCs w:val="24"/>
          <w:lang w:val="en-GB"/>
        </w:rPr>
        <w:t>(McDonald</w:t>
      </w:r>
      <w:r w:rsidR="004B5665" w:rsidRPr="00771F08">
        <w:rPr>
          <w:rFonts w:ascii="Times New Roman" w:hAnsi="Times New Roman" w:cs="Times New Roman"/>
          <w:szCs w:val="24"/>
          <w:lang w:val="en-GB"/>
        </w:rPr>
        <w:t xml:space="preserve"> 2014</w:t>
      </w:r>
      <w:r w:rsidR="00941D8E" w:rsidRPr="00771F08">
        <w:rPr>
          <w:rFonts w:ascii="Times New Roman" w:hAnsi="Times New Roman" w:cs="Times New Roman"/>
          <w:szCs w:val="24"/>
          <w:lang w:val="en-GB"/>
        </w:rPr>
        <w:t>; Drezner 2019</w:t>
      </w:r>
      <w:r w:rsidR="004B5665" w:rsidRPr="00771F08">
        <w:rPr>
          <w:rFonts w:ascii="Times New Roman" w:hAnsi="Times New Roman" w:cs="Times New Roman"/>
          <w:szCs w:val="24"/>
          <w:lang w:val="en-GB"/>
        </w:rPr>
        <w:t>).</w:t>
      </w:r>
      <w:r w:rsidR="00223023" w:rsidRPr="00771F08">
        <w:rPr>
          <w:rFonts w:ascii="Times New Roman" w:hAnsi="Times New Roman" w:cs="Times New Roman"/>
          <w:szCs w:val="24"/>
          <w:lang w:val="en-GB"/>
        </w:rPr>
        <w:t xml:space="preserve"> </w:t>
      </w:r>
      <w:r w:rsidR="00D510DE" w:rsidRPr="00771F08">
        <w:rPr>
          <w:rFonts w:ascii="Times New Roman" w:hAnsi="Times New Roman" w:cs="Times New Roman"/>
          <w:szCs w:val="24"/>
          <w:lang w:val="en-GB"/>
        </w:rPr>
        <w:t xml:space="preserve">In particular, </w:t>
      </w:r>
      <w:r w:rsidR="0018503D" w:rsidRPr="00771F08">
        <w:rPr>
          <w:rFonts w:ascii="Times New Roman" w:hAnsi="Times New Roman" w:cs="Times New Roman"/>
          <w:szCs w:val="24"/>
          <w:lang w:val="en-GB"/>
        </w:rPr>
        <w:t>as regards th</w:t>
      </w:r>
      <w:r w:rsidR="00D9590A" w:rsidRPr="00771F08">
        <w:rPr>
          <w:rFonts w:ascii="Times New Roman" w:hAnsi="Times New Roman" w:cs="Times New Roman"/>
          <w:szCs w:val="24"/>
          <w:lang w:val="en-GB"/>
        </w:rPr>
        <w:t>e</w:t>
      </w:r>
      <w:r w:rsidR="0018503D" w:rsidRPr="00771F08">
        <w:rPr>
          <w:rFonts w:ascii="Times New Roman" w:hAnsi="Times New Roman" w:cs="Times New Roman"/>
          <w:szCs w:val="24"/>
          <w:lang w:val="en-GB"/>
        </w:rPr>
        <w:t xml:space="preserve"> last aspect</w:t>
      </w:r>
      <w:r w:rsidR="00E16EC0" w:rsidRPr="00771F08">
        <w:rPr>
          <w:rFonts w:ascii="Times New Roman" w:hAnsi="Times New Roman" w:cs="Times New Roman"/>
          <w:szCs w:val="24"/>
          <w:lang w:val="en-GB"/>
        </w:rPr>
        <w:t xml:space="preserve">, </w:t>
      </w:r>
      <w:r w:rsidR="00D510DE" w:rsidRPr="00771F08">
        <w:rPr>
          <w:rFonts w:ascii="Times New Roman" w:hAnsi="Times New Roman" w:cs="Times New Roman"/>
          <w:szCs w:val="24"/>
          <w:lang w:val="en-GB"/>
        </w:rPr>
        <w:t xml:space="preserve">the donation functions in US are among the leading ones in the world and universities usually </w:t>
      </w:r>
      <w:r w:rsidR="00F7323B" w:rsidRPr="00771F08">
        <w:rPr>
          <w:rFonts w:ascii="Times New Roman" w:hAnsi="Times New Roman" w:cs="Times New Roman"/>
          <w:szCs w:val="24"/>
          <w:lang w:val="en-GB"/>
        </w:rPr>
        <w:t xml:space="preserve">pursue </w:t>
      </w:r>
      <w:r w:rsidR="00D510DE" w:rsidRPr="00771F08">
        <w:rPr>
          <w:rFonts w:ascii="Times New Roman" w:hAnsi="Times New Roman" w:cs="Times New Roman"/>
          <w:szCs w:val="24"/>
          <w:lang w:val="en-GB"/>
        </w:rPr>
        <w:t>activities aimed at encouraging donations</w:t>
      </w:r>
      <w:r w:rsidR="00D418B6" w:rsidRPr="00771F08">
        <w:rPr>
          <w:rFonts w:ascii="Times New Roman" w:hAnsi="Times New Roman" w:cs="Times New Roman"/>
          <w:szCs w:val="24"/>
          <w:lang w:val="en-GB"/>
        </w:rPr>
        <w:t>, like</w:t>
      </w:r>
      <w:r w:rsidR="00D510DE" w:rsidRPr="00771F08">
        <w:rPr>
          <w:rFonts w:ascii="Times New Roman" w:hAnsi="Times New Roman" w:cs="Times New Roman"/>
          <w:szCs w:val="24"/>
          <w:lang w:val="en-GB"/>
        </w:rPr>
        <w:t xml:space="preserve"> </w:t>
      </w:r>
      <w:r w:rsidR="00D418B6" w:rsidRPr="00771F08">
        <w:rPr>
          <w:rFonts w:ascii="Times New Roman" w:hAnsi="Times New Roman" w:cs="Times New Roman"/>
          <w:szCs w:val="24"/>
          <w:lang w:val="en-GB"/>
        </w:rPr>
        <w:t xml:space="preserve">for instance the </w:t>
      </w:r>
      <w:r w:rsidR="00727F74" w:rsidRPr="00771F08">
        <w:rPr>
          <w:rFonts w:ascii="Times New Roman" w:hAnsi="Times New Roman" w:cs="Times New Roman"/>
          <w:szCs w:val="24"/>
          <w:lang w:val="en-GB"/>
        </w:rPr>
        <w:t>organi</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ation</w:t>
      </w:r>
      <w:r w:rsidR="00D418B6" w:rsidRPr="00771F08">
        <w:rPr>
          <w:rFonts w:ascii="Times New Roman" w:hAnsi="Times New Roman" w:cs="Times New Roman"/>
          <w:szCs w:val="24"/>
          <w:lang w:val="en-GB"/>
        </w:rPr>
        <w:t xml:space="preserve"> of</w:t>
      </w:r>
      <w:r w:rsidR="00A0043D" w:rsidRPr="00771F08">
        <w:rPr>
          <w:rFonts w:ascii="Times New Roman" w:hAnsi="Times New Roman" w:cs="Times New Roman"/>
          <w:szCs w:val="24"/>
          <w:lang w:val="en-GB"/>
        </w:rPr>
        <w:t xml:space="preserve"> </w:t>
      </w:r>
      <w:r w:rsidR="007B7EC4" w:rsidRPr="00771F08">
        <w:rPr>
          <w:rFonts w:ascii="Times New Roman" w:hAnsi="Times New Roman" w:cs="Times New Roman"/>
          <w:szCs w:val="24"/>
          <w:lang w:val="en-GB"/>
        </w:rPr>
        <w:t>fundraising event</w:t>
      </w:r>
      <w:r w:rsidR="00F7323B" w:rsidRPr="00771F08">
        <w:rPr>
          <w:rFonts w:ascii="Times New Roman" w:hAnsi="Times New Roman" w:cs="Times New Roman"/>
          <w:szCs w:val="24"/>
          <w:lang w:val="en-GB"/>
        </w:rPr>
        <w:t>s</w:t>
      </w:r>
      <w:r w:rsidR="007B7EC4" w:rsidRPr="00771F08">
        <w:rPr>
          <w:rFonts w:ascii="Times New Roman" w:hAnsi="Times New Roman" w:cs="Times New Roman"/>
          <w:szCs w:val="24"/>
          <w:lang w:val="en-GB"/>
        </w:rPr>
        <w:t xml:space="preserve">, </w:t>
      </w:r>
      <w:r w:rsidR="00DA43BE" w:rsidRPr="00771F08">
        <w:rPr>
          <w:rFonts w:ascii="Times New Roman" w:hAnsi="Times New Roman" w:cs="Times New Roman"/>
          <w:szCs w:val="24"/>
          <w:lang w:val="en-GB"/>
        </w:rPr>
        <w:t>commonly</w:t>
      </w:r>
      <w:r w:rsidR="007B7EC4" w:rsidRPr="00771F08">
        <w:rPr>
          <w:rFonts w:ascii="Times New Roman" w:hAnsi="Times New Roman" w:cs="Times New Roman"/>
          <w:szCs w:val="24"/>
          <w:lang w:val="en-GB"/>
        </w:rPr>
        <w:t xml:space="preserve"> named “day</w:t>
      </w:r>
      <w:r w:rsidR="00D9590A" w:rsidRPr="00771F08">
        <w:rPr>
          <w:rFonts w:ascii="Times New Roman" w:hAnsi="Times New Roman" w:cs="Times New Roman"/>
          <w:szCs w:val="24"/>
          <w:lang w:val="en-GB"/>
        </w:rPr>
        <w:t>s</w:t>
      </w:r>
      <w:r w:rsidR="007B7EC4" w:rsidRPr="00771F08">
        <w:rPr>
          <w:rFonts w:ascii="Times New Roman" w:hAnsi="Times New Roman" w:cs="Times New Roman"/>
          <w:szCs w:val="24"/>
          <w:lang w:val="en-GB"/>
        </w:rPr>
        <w:t xml:space="preserve"> of giving”</w:t>
      </w:r>
      <w:r w:rsidR="00D510DE" w:rsidRPr="00771F08">
        <w:rPr>
          <w:rStyle w:val="FootnoteReference"/>
          <w:rFonts w:ascii="Times New Roman" w:hAnsi="Times New Roman" w:cs="Times New Roman"/>
          <w:szCs w:val="24"/>
          <w:lang w:val="en-GB"/>
        </w:rPr>
        <w:footnoteReference w:id="1"/>
      </w:r>
      <w:r w:rsidR="00D418B6" w:rsidRPr="00771F08">
        <w:rPr>
          <w:rFonts w:ascii="Times New Roman" w:hAnsi="Times New Roman" w:cs="Times New Roman"/>
          <w:szCs w:val="24"/>
          <w:lang w:val="en-GB"/>
        </w:rPr>
        <w:t>.</w:t>
      </w:r>
      <w:r w:rsidR="004F1223" w:rsidRPr="00771F08">
        <w:rPr>
          <w:rFonts w:ascii="Times New Roman" w:hAnsi="Times New Roman" w:cs="Times New Roman"/>
          <w:szCs w:val="24"/>
          <w:lang w:val="en-GB"/>
        </w:rPr>
        <w:t xml:space="preserve"> As such</w:t>
      </w:r>
      <w:r w:rsidR="00D95D38" w:rsidRPr="00771F08">
        <w:rPr>
          <w:rFonts w:ascii="Times New Roman" w:hAnsi="Times New Roman" w:cs="Times New Roman"/>
          <w:szCs w:val="24"/>
          <w:lang w:val="en-GB"/>
        </w:rPr>
        <w:t>,</w:t>
      </w:r>
      <w:r w:rsidR="004F1223" w:rsidRPr="00771F08">
        <w:rPr>
          <w:rFonts w:ascii="Times New Roman" w:hAnsi="Times New Roman" w:cs="Times New Roman"/>
          <w:szCs w:val="24"/>
          <w:lang w:val="en-GB"/>
        </w:rPr>
        <w:t xml:space="preserve"> the US offers a benchmark on which to compare and contrast findings from other countries, such as Italy </w:t>
      </w:r>
      <w:r w:rsidR="004F1223" w:rsidRPr="00771F08">
        <w:rPr>
          <w:rFonts w:ascii="Times New Roman" w:hAnsi="Times New Roman" w:cs="Times New Roman"/>
          <w:lang w:val="en-GB"/>
        </w:rPr>
        <w:t>(Baruch and Sang 2012; Sung and Yang 2009</w:t>
      </w:r>
      <w:r w:rsidR="00D95D38" w:rsidRPr="00771F08">
        <w:rPr>
          <w:rFonts w:ascii="Times New Roman" w:hAnsi="Times New Roman" w:cs="Times New Roman"/>
          <w:lang w:val="en-GB"/>
        </w:rPr>
        <w:t>)</w:t>
      </w:r>
      <w:r w:rsidR="004F1223" w:rsidRPr="00771F08">
        <w:rPr>
          <w:rFonts w:ascii="Times New Roman" w:hAnsi="Times New Roman" w:cs="Times New Roman"/>
          <w:lang w:val="en-GB"/>
        </w:rPr>
        <w:t xml:space="preserve">, </w:t>
      </w:r>
      <w:r w:rsidR="004F1223" w:rsidRPr="00771F08">
        <w:rPr>
          <w:rFonts w:ascii="Times New Roman" w:hAnsi="Times New Roman" w:cs="Times New Roman"/>
          <w:szCs w:val="24"/>
          <w:lang w:val="en-GB"/>
        </w:rPr>
        <w:t xml:space="preserve">in which alumni donations are not </w:t>
      </w:r>
      <w:r w:rsidR="00D95D38" w:rsidRPr="00771F08">
        <w:rPr>
          <w:rFonts w:ascii="Times New Roman" w:hAnsi="Times New Roman" w:cs="Times New Roman"/>
          <w:szCs w:val="24"/>
          <w:lang w:val="en-GB"/>
        </w:rPr>
        <w:t xml:space="preserve">such a </w:t>
      </w:r>
      <w:r w:rsidR="004F1223" w:rsidRPr="00771F08">
        <w:rPr>
          <w:rFonts w:ascii="Times New Roman" w:hAnsi="Times New Roman" w:cs="Times New Roman"/>
          <w:szCs w:val="24"/>
          <w:lang w:val="en-GB"/>
        </w:rPr>
        <w:t xml:space="preserve">popular practice as in the US. </w:t>
      </w:r>
      <w:r w:rsidR="00D9590A" w:rsidRPr="00771F08">
        <w:rPr>
          <w:rFonts w:ascii="Times New Roman" w:hAnsi="Times New Roman" w:cs="Times New Roman"/>
          <w:szCs w:val="24"/>
          <w:lang w:val="en-GB"/>
        </w:rPr>
        <w:t xml:space="preserve"> </w:t>
      </w:r>
      <w:r w:rsidR="00524468" w:rsidRPr="00771F08">
        <w:rPr>
          <w:rFonts w:ascii="Times New Roman" w:hAnsi="Times New Roman" w:cs="Times New Roman"/>
          <w:lang w:val="en-GB"/>
        </w:rPr>
        <w:t>A</w:t>
      </w:r>
      <w:r w:rsidR="00064F5E" w:rsidRPr="00771F08">
        <w:rPr>
          <w:rFonts w:ascii="Times New Roman" w:hAnsi="Times New Roman" w:cs="Times New Roman"/>
          <w:lang w:val="en-GB"/>
        </w:rPr>
        <w:t xml:space="preserve">lthough we do not express our hypotheses in terms of cultural dimensions, we </w:t>
      </w:r>
      <w:r w:rsidR="00984347" w:rsidRPr="00771F08">
        <w:rPr>
          <w:rFonts w:ascii="Times New Roman" w:hAnsi="Times New Roman" w:cs="Times New Roman"/>
          <w:lang w:val="en-GB"/>
        </w:rPr>
        <w:t xml:space="preserve">also </w:t>
      </w:r>
      <w:r w:rsidR="00064F5E" w:rsidRPr="00771F08">
        <w:rPr>
          <w:rFonts w:ascii="Times New Roman" w:hAnsi="Times New Roman" w:cs="Times New Roman"/>
          <w:lang w:val="en-GB"/>
        </w:rPr>
        <w:t xml:space="preserve">note that the </w:t>
      </w:r>
      <w:r w:rsidR="00134A13" w:rsidRPr="00771F08">
        <w:rPr>
          <w:rFonts w:ascii="Times New Roman" w:hAnsi="Times New Roman" w:cs="Times New Roman"/>
          <w:lang w:val="en-GB"/>
        </w:rPr>
        <w:t>two</w:t>
      </w:r>
      <w:r w:rsidR="00064F5E" w:rsidRPr="00771F08">
        <w:rPr>
          <w:rFonts w:ascii="Times New Roman" w:hAnsi="Times New Roman" w:cs="Times New Roman"/>
          <w:lang w:val="en-GB"/>
        </w:rPr>
        <w:t xml:space="preserve"> countries in our sample vary substantially on Hofstede’s (2003) cultural constructs</w:t>
      </w:r>
      <w:r w:rsidR="00AE3577" w:rsidRPr="00771F08">
        <w:rPr>
          <w:rFonts w:ascii="Times New Roman" w:hAnsi="Times New Roman" w:cs="Times New Roman"/>
          <w:lang w:val="en-GB"/>
        </w:rPr>
        <w:t>,</w:t>
      </w:r>
      <w:r w:rsidR="00064F5E" w:rsidRPr="00771F08">
        <w:rPr>
          <w:rFonts w:ascii="Times New Roman" w:hAnsi="Times New Roman" w:cs="Times New Roman"/>
          <w:lang w:val="en-GB"/>
        </w:rPr>
        <w:t xml:space="preserve"> </w:t>
      </w:r>
      <w:r w:rsidR="00AE3577" w:rsidRPr="00771F08">
        <w:rPr>
          <w:rFonts w:ascii="Times New Roman" w:hAnsi="Times New Roman" w:cs="Times New Roman"/>
          <w:lang w:val="en-GB"/>
        </w:rPr>
        <w:t xml:space="preserve">which </w:t>
      </w:r>
      <w:r w:rsidR="00064F5E" w:rsidRPr="00771F08">
        <w:rPr>
          <w:rFonts w:ascii="Times New Roman" w:hAnsi="Times New Roman" w:cs="Times New Roman"/>
          <w:lang w:val="en-GB"/>
        </w:rPr>
        <w:t>might be rel</w:t>
      </w:r>
      <w:r w:rsidR="005E7749" w:rsidRPr="00771F08">
        <w:rPr>
          <w:rFonts w:ascii="Times New Roman" w:hAnsi="Times New Roman" w:cs="Times New Roman"/>
          <w:lang w:val="en-GB"/>
        </w:rPr>
        <w:t>evant</w:t>
      </w:r>
      <w:r w:rsidR="00A0043D" w:rsidRPr="00771F08">
        <w:rPr>
          <w:rFonts w:ascii="Times New Roman" w:hAnsi="Times New Roman" w:cs="Times New Roman"/>
          <w:lang w:val="en-GB"/>
        </w:rPr>
        <w:t xml:space="preserve"> </w:t>
      </w:r>
      <w:r w:rsidR="00064F5E" w:rsidRPr="00771F08">
        <w:rPr>
          <w:rFonts w:ascii="Times New Roman" w:hAnsi="Times New Roman" w:cs="Times New Roman"/>
          <w:lang w:val="en-GB"/>
        </w:rPr>
        <w:t>to</w:t>
      </w:r>
      <w:r w:rsidR="00AE0EB0" w:rsidRPr="00771F08">
        <w:rPr>
          <w:rFonts w:ascii="Times New Roman" w:hAnsi="Times New Roman" w:cs="Times New Roman"/>
          <w:lang w:val="en-GB"/>
        </w:rPr>
        <w:t xml:space="preserve"> our research topi</w:t>
      </w:r>
      <w:r w:rsidR="00DB20DA" w:rsidRPr="00771F08">
        <w:rPr>
          <w:rFonts w:ascii="Times New Roman" w:hAnsi="Times New Roman" w:cs="Times New Roman"/>
          <w:lang w:val="en-GB"/>
        </w:rPr>
        <w:t xml:space="preserve">c. For example, Italy </w:t>
      </w:r>
      <w:r w:rsidR="00623DF9" w:rsidRPr="00771F08">
        <w:rPr>
          <w:rFonts w:ascii="Times New Roman" w:hAnsi="Times New Roman" w:cs="Times New Roman"/>
          <w:lang w:val="en-GB"/>
        </w:rPr>
        <w:t xml:space="preserve">is higher on </w:t>
      </w:r>
      <w:r w:rsidR="008009BF" w:rsidRPr="00771F08">
        <w:rPr>
          <w:rFonts w:ascii="Times New Roman" w:hAnsi="Times New Roman" w:cs="Times New Roman"/>
          <w:lang w:val="en-GB"/>
        </w:rPr>
        <w:t xml:space="preserve">uncertainty avoidance and </w:t>
      </w:r>
      <w:r w:rsidR="00DB20DA" w:rsidRPr="00771F08">
        <w:rPr>
          <w:rFonts w:ascii="Times New Roman" w:hAnsi="Times New Roman" w:cs="Times New Roman"/>
          <w:lang w:val="en-GB"/>
        </w:rPr>
        <w:t xml:space="preserve">long-term orientation </w:t>
      </w:r>
      <w:r w:rsidR="00623DF9" w:rsidRPr="00771F08">
        <w:rPr>
          <w:rFonts w:ascii="Times New Roman" w:hAnsi="Times New Roman" w:cs="Times New Roman"/>
          <w:lang w:val="en-GB"/>
        </w:rPr>
        <w:t>but lower on</w:t>
      </w:r>
      <w:r w:rsidR="00DB20DA" w:rsidRPr="00771F08">
        <w:rPr>
          <w:rFonts w:ascii="Times New Roman" w:hAnsi="Times New Roman" w:cs="Times New Roman"/>
          <w:lang w:val="en-GB"/>
        </w:rPr>
        <w:t xml:space="preserve"> indulgence</w:t>
      </w:r>
      <w:r w:rsidR="003351F0" w:rsidRPr="00771F08">
        <w:rPr>
          <w:rFonts w:ascii="Times New Roman" w:hAnsi="Times New Roman" w:cs="Times New Roman"/>
          <w:lang w:val="en-GB"/>
        </w:rPr>
        <w:t>,</w:t>
      </w:r>
      <w:r w:rsidR="007B210B" w:rsidRPr="00771F08">
        <w:rPr>
          <w:rFonts w:ascii="Times New Roman" w:hAnsi="Times New Roman" w:cs="Times New Roman"/>
          <w:lang w:val="en-GB"/>
        </w:rPr>
        <w:t xml:space="preserve"> so Italians may consider higher education more as a long-term investment</w:t>
      </w:r>
      <w:r w:rsidR="00D35900" w:rsidRPr="00771F08">
        <w:rPr>
          <w:rFonts w:ascii="Times New Roman" w:hAnsi="Times New Roman" w:cs="Times New Roman"/>
          <w:lang w:val="en-GB"/>
        </w:rPr>
        <w:t xml:space="preserve"> compared to US counterparts</w:t>
      </w:r>
      <w:r w:rsidR="00AE0EB0" w:rsidRPr="00771F08">
        <w:rPr>
          <w:rFonts w:ascii="Times New Roman" w:hAnsi="Times New Roman" w:cs="Times New Roman"/>
          <w:lang w:val="en-GB"/>
        </w:rPr>
        <w:t xml:space="preserve">. </w:t>
      </w:r>
      <w:r w:rsidR="004F1223" w:rsidRPr="00771F08">
        <w:rPr>
          <w:rFonts w:ascii="Times New Roman" w:hAnsi="Times New Roman" w:cs="Times New Roman"/>
          <w:lang w:val="en-GB"/>
        </w:rPr>
        <w:t xml:space="preserve">In addition, the Italian HE is </w:t>
      </w:r>
      <w:r w:rsidR="00527A86" w:rsidRPr="00771F08">
        <w:rPr>
          <w:rFonts w:ascii="Times New Roman" w:hAnsi="Times New Roman" w:cs="Times New Roman"/>
          <w:lang w:val="en-GB"/>
        </w:rPr>
        <w:t>more centrally controlled</w:t>
      </w:r>
      <w:r w:rsidR="004F1223" w:rsidRPr="00771F08">
        <w:rPr>
          <w:rFonts w:ascii="Times New Roman" w:hAnsi="Times New Roman" w:cs="Times New Roman"/>
          <w:lang w:val="en-GB"/>
        </w:rPr>
        <w:t xml:space="preserve"> compared to the US and other G7 countries</w:t>
      </w:r>
      <w:r w:rsidR="00D95D38" w:rsidRPr="00771F08">
        <w:rPr>
          <w:rFonts w:ascii="Times New Roman" w:hAnsi="Times New Roman" w:cs="Times New Roman"/>
          <w:lang w:val="en-GB"/>
        </w:rPr>
        <w:t>,</w:t>
      </w:r>
      <w:r w:rsidR="004F1223" w:rsidRPr="00771F08">
        <w:rPr>
          <w:rFonts w:ascii="Times New Roman" w:hAnsi="Times New Roman" w:cs="Times New Roman"/>
          <w:lang w:val="en-GB"/>
        </w:rPr>
        <w:t xml:space="preserve"> such as the United Kingdom</w:t>
      </w:r>
      <w:r w:rsidR="00D95D38" w:rsidRPr="00771F08">
        <w:rPr>
          <w:rFonts w:ascii="Times New Roman" w:hAnsi="Times New Roman" w:cs="Times New Roman"/>
          <w:lang w:val="en-GB"/>
        </w:rPr>
        <w:t>,</w:t>
      </w:r>
      <w:r w:rsidR="004F1223" w:rsidRPr="00771F08">
        <w:rPr>
          <w:rFonts w:ascii="Times New Roman" w:hAnsi="Times New Roman" w:cs="Times New Roman"/>
          <w:lang w:val="en-GB"/>
        </w:rPr>
        <w:t xml:space="preserve"> that could have been chosen</w:t>
      </w:r>
      <w:r w:rsidR="00527A86" w:rsidRPr="00771F08">
        <w:rPr>
          <w:rFonts w:ascii="Times New Roman" w:hAnsi="Times New Roman" w:cs="Times New Roman"/>
          <w:lang w:val="en-GB"/>
        </w:rPr>
        <w:t xml:space="preserve"> </w:t>
      </w:r>
      <w:r w:rsidR="00527A86" w:rsidRPr="00771F08">
        <w:rPr>
          <w:rFonts w:ascii="Times New Roman" w:hAnsi="Times New Roman" w:cs="Times New Roman"/>
          <w:color w:val="000000" w:themeColor="text1"/>
          <w:lang w:val="en-GB"/>
        </w:rPr>
        <w:t xml:space="preserve">(De </w:t>
      </w:r>
      <w:proofErr w:type="spellStart"/>
      <w:r w:rsidR="00527A86" w:rsidRPr="00771F08">
        <w:rPr>
          <w:rFonts w:ascii="Times New Roman" w:hAnsi="Times New Roman" w:cs="Times New Roman"/>
          <w:color w:val="000000" w:themeColor="text1"/>
          <w:lang w:val="en-GB"/>
        </w:rPr>
        <w:t>Feo</w:t>
      </w:r>
      <w:proofErr w:type="spellEnd"/>
      <w:r w:rsidR="00527A86" w:rsidRPr="00771F08">
        <w:rPr>
          <w:rFonts w:ascii="Times New Roman" w:hAnsi="Times New Roman" w:cs="Times New Roman"/>
          <w:color w:val="000000" w:themeColor="text1"/>
          <w:lang w:val="en-GB"/>
        </w:rPr>
        <w:t xml:space="preserve"> and </w:t>
      </w:r>
      <w:proofErr w:type="spellStart"/>
      <w:r w:rsidR="00527A86" w:rsidRPr="00771F08">
        <w:rPr>
          <w:rFonts w:ascii="Times New Roman" w:hAnsi="Times New Roman" w:cs="Times New Roman"/>
          <w:color w:val="000000" w:themeColor="text1"/>
          <w:lang w:val="en-GB"/>
        </w:rPr>
        <w:t>Pitzalis</w:t>
      </w:r>
      <w:proofErr w:type="spellEnd"/>
      <w:r w:rsidR="00527A86" w:rsidRPr="00771F08">
        <w:rPr>
          <w:rFonts w:ascii="Times New Roman" w:hAnsi="Times New Roman" w:cs="Times New Roman"/>
          <w:color w:val="000000" w:themeColor="text1"/>
          <w:lang w:val="en-GB"/>
        </w:rPr>
        <w:t xml:space="preserve"> 2017)</w:t>
      </w:r>
      <w:r w:rsidR="004F1223" w:rsidRPr="00771F08">
        <w:rPr>
          <w:rFonts w:ascii="Times New Roman" w:hAnsi="Times New Roman" w:cs="Times New Roman"/>
          <w:lang w:val="en-GB"/>
        </w:rPr>
        <w:t xml:space="preserve">. G7 countries, i.e. the seven most advanced economies in the world </w:t>
      </w:r>
      <w:r w:rsidR="00D95D38" w:rsidRPr="00771F08">
        <w:rPr>
          <w:rFonts w:ascii="Times New Roman" w:hAnsi="Times New Roman" w:cs="Times New Roman"/>
          <w:lang w:val="en-GB"/>
        </w:rPr>
        <w:t>(</w:t>
      </w:r>
      <w:r w:rsidR="004F1223" w:rsidRPr="00771F08">
        <w:rPr>
          <w:rFonts w:ascii="Times New Roman" w:hAnsi="Times New Roman" w:cs="Times New Roman"/>
          <w:lang w:val="en-GB"/>
        </w:rPr>
        <w:t>Canada, France, Germany, Italy, Japan, the United Kingdom and the United States</w:t>
      </w:r>
      <w:r w:rsidR="00D95D38" w:rsidRPr="00771F08">
        <w:rPr>
          <w:rFonts w:ascii="Times New Roman" w:hAnsi="Times New Roman" w:cs="Times New Roman"/>
          <w:lang w:val="en-GB"/>
        </w:rPr>
        <w:t>)</w:t>
      </w:r>
      <w:r w:rsidR="004F1223" w:rsidRPr="00771F08">
        <w:rPr>
          <w:rFonts w:ascii="Times New Roman" w:hAnsi="Times New Roman" w:cs="Times New Roman"/>
          <w:lang w:val="en-GB"/>
        </w:rPr>
        <w:t xml:space="preserve"> offer a sufficient</w:t>
      </w:r>
      <w:r w:rsidR="00D95D38" w:rsidRPr="00771F08">
        <w:rPr>
          <w:rFonts w:ascii="Times New Roman" w:hAnsi="Times New Roman" w:cs="Times New Roman"/>
          <w:lang w:val="en-GB"/>
        </w:rPr>
        <w:t>ly</w:t>
      </w:r>
      <w:r w:rsidR="004F1223" w:rsidRPr="00771F08">
        <w:rPr>
          <w:rFonts w:ascii="Times New Roman" w:hAnsi="Times New Roman" w:cs="Times New Roman"/>
          <w:lang w:val="en-GB"/>
        </w:rPr>
        <w:t xml:space="preserve"> homogenous group with regards to the size of </w:t>
      </w:r>
      <w:r w:rsidR="00D95D38" w:rsidRPr="00771F08">
        <w:rPr>
          <w:rFonts w:ascii="Times New Roman" w:hAnsi="Times New Roman" w:cs="Times New Roman"/>
          <w:lang w:val="en-GB"/>
        </w:rPr>
        <w:t xml:space="preserve">their </w:t>
      </w:r>
      <w:r w:rsidR="004F1223" w:rsidRPr="00771F08">
        <w:rPr>
          <w:rFonts w:ascii="Times New Roman" w:hAnsi="Times New Roman" w:cs="Times New Roman"/>
          <w:lang w:val="en-GB"/>
        </w:rPr>
        <w:t xml:space="preserve">economies and the development of their HE systems. </w:t>
      </w:r>
    </w:p>
    <w:p w14:paraId="32A13C30" w14:textId="1950732B" w:rsidR="00D9590A" w:rsidRPr="00771F08" w:rsidRDefault="00536F11" w:rsidP="00237956">
      <w:pPr>
        <w:autoSpaceDE w:val="0"/>
        <w:autoSpaceDN w:val="0"/>
        <w:adjustRightInd w:val="0"/>
        <w:spacing w:after="0" w:line="240" w:lineRule="auto"/>
        <w:ind w:left="567" w:right="1133"/>
        <w:rPr>
          <w:rFonts w:ascii="Times New Roman" w:hAnsi="Times New Roman" w:cs="Times New Roman"/>
          <w:lang w:val="en-GB"/>
        </w:rPr>
      </w:pPr>
      <w:r w:rsidRPr="00771F08">
        <w:rPr>
          <w:rFonts w:ascii="Times New Roman" w:hAnsi="Times New Roman" w:cs="Times New Roman"/>
          <w:szCs w:val="24"/>
          <w:lang w:val="en-GB"/>
        </w:rPr>
        <w:t>The study employed an online survey</w:t>
      </w:r>
      <w:r w:rsidR="004C5C11" w:rsidRPr="00771F08">
        <w:rPr>
          <w:rFonts w:ascii="Times New Roman" w:hAnsi="Times New Roman" w:cs="Times New Roman"/>
          <w:szCs w:val="24"/>
          <w:lang w:val="en-GB"/>
        </w:rPr>
        <w:t>.</w:t>
      </w:r>
      <w:r w:rsidR="004B3F4D" w:rsidRPr="00771F08">
        <w:rPr>
          <w:rFonts w:ascii="Times New Roman" w:hAnsi="Times New Roman" w:cs="Times New Roman"/>
          <w:szCs w:val="24"/>
          <w:lang w:val="en-GB"/>
        </w:rPr>
        <w:t xml:space="preserve"> </w:t>
      </w:r>
      <w:r w:rsidR="00D9590A" w:rsidRPr="00771F08">
        <w:rPr>
          <w:rFonts w:ascii="Times New Roman" w:hAnsi="Times New Roman" w:cs="Times New Roman"/>
          <w:szCs w:val="24"/>
          <w:lang w:val="en-GB"/>
        </w:rPr>
        <w:t>To</w:t>
      </w:r>
      <w:r w:rsidR="004B3F4D" w:rsidRPr="00771F08">
        <w:rPr>
          <w:rFonts w:ascii="Times New Roman" w:hAnsi="Times New Roman" w:cs="Times New Roman"/>
          <w:szCs w:val="24"/>
          <w:lang w:val="en-GB"/>
        </w:rPr>
        <w:t xml:space="preserve"> prevent potential biases, different recommendations of MacKenzie and Podsakoff</w:t>
      </w:r>
      <w:r w:rsidR="00A0043D" w:rsidRPr="00771F08">
        <w:rPr>
          <w:rFonts w:ascii="Times New Roman" w:hAnsi="Times New Roman" w:cs="Times New Roman"/>
          <w:szCs w:val="24"/>
          <w:lang w:val="en-GB"/>
        </w:rPr>
        <w:t xml:space="preserve"> (2012) have been adopted.</w:t>
      </w:r>
      <w:r w:rsidR="004F1223" w:rsidRPr="00771F08">
        <w:rPr>
          <w:rFonts w:ascii="Times New Roman" w:hAnsi="Times New Roman" w:cs="Times New Roman"/>
          <w:szCs w:val="24"/>
          <w:lang w:val="en-GB"/>
        </w:rPr>
        <w:t xml:space="preserve"> </w:t>
      </w:r>
      <w:r w:rsidR="00A0043D" w:rsidRPr="00771F08">
        <w:rPr>
          <w:rFonts w:ascii="Times New Roman" w:hAnsi="Times New Roman" w:cs="Times New Roman"/>
          <w:szCs w:val="24"/>
          <w:lang w:val="en-GB"/>
        </w:rPr>
        <w:t xml:space="preserve"> </w:t>
      </w:r>
      <w:r w:rsidR="004F1223" w:rsidRPr="00771F08">
        <w:rPr>
          <w:rFonts w:ascii="Times New Roman" w:hAnsi="Times New Roman" w:cs="Times New Roman"/>
          <w:szCs w:val="24"/>
          <w:lang w:val="en-GB"/>
        </w:rPr>
        <w:t xml:space="preserve">First, in order to reduce social desirability bias, the complete anonymity and confidentiality of responses </w:t>
      </w:r>
      <w:r w:rsidR="004F1223" w:rsidRPr="00771F08">
        <w:rPr>
          <w:rFonts w:ascii="Times New Roman" w:hAnsi="Times New Roman" w:cs="Times New Roman"/>
          <w:szCs w:val="24"/>
          <w:lang w:val="en-GB"/>
        </w:rPr>
        <w:lastRenderedPageBreak/>
        <w:t xml:space="preserve">have been assured through a statement included in the introductory part of the questionnaire. Second, we assured respondents that there are no right or wrong answers and that they could have different opinions about the </w:t>
      </w:r>
      <w:r w:rsidR="00D95D38" w:rsidRPr="00771F08">
        <w:rPr>
          <w:rFonts w:ascii="Times New Roman" w:hAnsi="Times New Roman" w:cs="Times New Roman"/>
          <w:szCs w:val="24"/>
          <w:lang w:val="en-GB"/>
        </w:rPr>
        <w:t xml:space="preserve">issues </w:t>
      </w:r>
      <w:r w:rsidR="00304FE0" w:rsidRPr="00771F08">
        <w:rPr>
          <w:rFonts w:ascii="Times New Roman" w:hAnsi="Times New Roman" w:cs="Times New Roman"/>
          <w:szCs w:val="24"/>
          <w:lang w:val="en-GB"/>
        </w:rPr>
        <w:t>examined</w:t>
      </w:r>
      <w:r w:rsidR="004F1223" w:rsidRPr="00771F08">
        <w:rPr>
          <w:rFonts w:ascii="Times New Roman" w:hAnsi="Times New Roman" w:cs="Times New Roman"/>
          <w:szCs w:val="24"/>
          <w:lang w:val="en-GB"/>
        </w:rPr>
        <w:t>. Finally, in the introduction section, we anticipated that some of the questions were personal, and, in order to be completed, they consequently required the absence of possible factors of disturbance.</w:t>
      </w:r>
    </w:p>
    <w:p w14:paraId="4CAA6DEA" w14:textId="1A460773" w:rsidR="004F1223" w:rsidRDefault="0036143F" w:rsidP="00237956">
      <w:pPr>
        <w:autoSpaceDE w:val="0"/>
        <w:autoSpaceDN w:val="0"/>
        <w:adjustRightInd w:val="0"/>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 xml:space="preserve">In </w:t>
      </w:r>
      <w:r w:rsidR="00D95D38" w:rsidRPr="00771F08">
        <w:rPr>
          <w:rFonts w:ascii="Times New Roman" w:hAnsi="Times New Roman" w:cs="Times New Roman"/>
          <w:szCs w:val="24"/>
          <w:lang w:val="en-GB"/>
        </w:rPr>
        <w:t xml:space="preserve">the </w:t>
      </w:r>
      <w:r w:rsidRPr="00771F08">
        <w:rPr>
          <w:rFonts w:ascii="Times New Roman" w:hAnsi="Times New Roman" w:cs="Times New Roman"/>
          <w:szCs w:val="24"/>
          <w:lang w:val="en-GB"/>
        </w:rPr>
        <w:t xml:space="preserve">USA, a market research company </w:t>
      </w:r>
      <w:r w:rsidR="00536F11" w:rsidRPr="00771F08">
        <w:rPr>
          <w:rFonts w:ascii="Times New Roman" w:hAnsi="Times New Roman" w:cs="Times New Roman"/>
          <w:szCs w:val="24"/>
          <w:lang w:val="en-GB"/>
        </w:rPr>
        <w:t>recruited participants in order to control quotas of gender, age, and area of</w:t>
      </w:r>
      <w:r w:rsidR="00F905FA" w:rsidRPr="00771F08">
        <w:rPr>
          <w:rFonts w:ascii="Times New Roman" w:hAnsi="Times New Roman" w:cs="Times New Roman"/>
          <w:szCs w:val="24"/>
          <w:lang w:val="en-GB"/>
        </w:rPr>
        <w:t xml:space="preserve"> </w:t>
      </w:r>
      <w:r w:rsidR="00536F11" w:rsidRPr="00771F08">
        <w:rPr>
          <w:rFonts w:ascii="Times New Roman" w:hAnsi="Times New Roman" w:cs="Times New Roman"/>
          <w:szCs w:val="24"/>
          <w:lang w:val="en-GB"/>
        </w:rPr>
        <w:t>residence.</w:t>
      </w:r>
      <w:r w:rsidR="00F905FA" w:rsidRPr="00771F08">
        <w:rPr>
          <w:rFonts w:ascii="Times New Roman" w:hAnsi="Times New Roman" w:cs="Times New Roman"/>
          <w:szCs w:val="24"/>
          <w:lang w:val="en-GB"/>
        </w:rPr>
        <w:t xml:space="preserve"> </w:t>
      </w:r>
      <w:r w:rsidR="00291FCA" w:rsidRPr="00771F08">
        <w:rPr>
          <w:rFonts w:ascii="Times New Roman" w:hAnsi="Times New Roman" w:cs="Times New Roman"/>
          <w:szCs w:val="24"/>
          <w:lang w:val="en-GB"/>
        </w:rPr>
        <w:t>After sending the survey link, the market research company obtain</w:t>
      </w:r>
      <w:r w:rsidR="00BE07F1" w:rsidRPr="00771F08">
        <w:rPr>
          <w:rFonts w:ascii="Times New Roman" w:hAnsi="Times New Roman" w:cs="Times New Roman"/>
          <w:szCs w:val="24"/>
          <w:lang w:val="en-GB"/>
        </w:rPr>
        <w:t>ed</w:t>
      </w:r>
      <w:r w:rsidR="00831793" w:rsidRPr="00771F08">
        <w:rPr>
          <w:rFonts w:ascii="Times New Roman" w:hAnsi="Times New Roman" w:cs="Times New Roman"/>
          <w:szCs w:val="24"/>
          <w:lang w:val="en-GB"/>
        </w:rPr>
        <w:t xml:space="preserve"> 318</w:t>
      </w:r>
      <w:r w:rsidR="00291FCA" w:rsidRPr="00771F08">
        <w:rPr>
          <w:rFonts w:ascii="Times New Roman" w:hAnsi="Times New Roman" w:cs="Times New Roman"/>
          <w:szCs w:val="24"/>
          <w:lang w:val="en-GB"/>
        </w:rPr>
        <w:t xml:space="preserve"> valid responses.</w:t>
      </w:r>
      <w:r w:rsidR="004963F6" w:rsidRPr="00771F08">
        <w:rPr>
          <w:rFonts w:ascii="Times New Roman" w:hAnsi="Times New Roman" w:cs="Times New Roman"/>
          <w:szCs w:val="24"/>
          <w:lang w:val="en-GB"/>
        </w:rPr>
        <w:t xml:space="preserve"> </w:t>
      </w:r>
      <w:r w:rsidR="00291FCA" w:rsidRPr="00771F08">
        <w:rPr>
          <w:rFonts w:ascii="Times New Roman" w:hAnsi="Times New Roman" w:cs="Times New Roman"/>
          <w:szCs w:val="24"/>
          <w:lang w:val="en-GB"/>
        </w:rPr>
        <w:t>In Italy, a pilot test was conducted and a preliminary version of the translated questionnaire in</w:t>
      </w:r>
      <w:r w:rsidR="005C39F4" w:rsidRPr="00771F08">
        <w:rPr>
          <w:rFonts w:ascii="Times New Roman" w:hAnsi="Times New Roman" w:cs="Times New Roman"/>
          <w:szCs w:val="24"/>
          <w:lang w:val="en-GB"/>
        </w:rPr>
        <w:t>to</w:t>
      </w:r>
      <w:r w:rsidR="00291FCA" w:rsidRPr="00771F08">
        <w:rPr>
          <w:rFonts w:ascii="Times New Roman" w:hAnsi="Times New Roman" w:cs="Times New Roman"/>
          <w:szCs w:val="24"/>
          <w:lang w:val="en-GB"/>
        </w:rPr>
        <w:t xml:space="preserve"> Italian was administ</w:t>
      </w:r>
      <w:r w:rsidR="00997ED8" w:rsidRPr="00771F08">
        <w:rPr>
          <w:rFonts w:ascii="Times New Roman" w:hAnsi="Times New Roman" w:cs="Times New Roman"/>
          <w:szCs w:val="24"/>
          <w:lang w:val="en-GB"/>
        </w:rPr>
        <w:t>er</w:t>
      </w:r>
      <w:r w:rsidR="00291FCA" w:rsidRPr="00771F08">
        <w:rPr>
          <w:rFonts w:ascii="Times New Roman" w:hAnsi="Times New Roman" w:cs="Times New Roman"/>
          <w:szCs w:val="24"/>
          <w:lang w:val="en-GB"/>
        </w:rPr>
        <w:t>ed to five volunt</w:t>
      </w:r>
      <w:r w:rsidR="00997ED8" w:rsidRPr="00771F08">
        <w:rPr>
          <w:rFonts w:ascii="Times New Roman" w:hAnsi="Times New Roman" w:cs="Times New Roman"/>
          <w:szCs w:val="24"/>
          <w:lang w:val="en-GB"/>
        </w:rPr>
        <w:t>eer</w:t>
      </w:r>
      <w:r w:rsidR="00291FCA" w:rsidRPr="00771F08">
        <w:rPr>
          <w:rFonts w:ascii="Times New Roman" w:hAnsi="Times New Roman" w:cs="Times New Roman"/>
          <w:szCs w:val="24"/>
          <w:lang w:val="en-GB"/>
        </w:rPr>
        <w:t xml:space="preserve"> participants. The questionnaire was adapted and adjusted based on the comments of </w:t>
      </w:r>
      <w:r w:rsidR="00997ED8" w:rsidRPr="00771F08">
        <w:rPr>
          <w:rFonts w:ascii="Times New Roman" w:hAnsi="Times New Roman" w:cs="Times New Roman"/>
          <w:szCs w:val="24"/>
          <w:lang w:val="en-GB"/>
        </w:rPr>
        <w:t xml:space="preserve">the </w:t>
      </w:r>
      <w:r w:rsidR="00291FCA" w:rsidRPr="00771F08">
        <w:rPr>
          <w:rFonts w:ascii="Times New Roman" w:hAnsi="Times New Roman" w:cs="Times New Roman"/>
          <w:szCs w:val="24"/>
          <w:lang w:val="en-GB"/>
        </w:rPr>
        <w:t xml:space="preserve">respondents related to language, </w:t>
      </w:r>
      <w:r w:rsidR="00997ED8" w:rsidRPr="00771F08">
        <w:rPr>
          <w:rFonts w:ascii="Times New Roman" w:hAnsi="Times New Roman" w:cs="Times New Roman"/>
          <w:szCs w:val="24"/>
          <w:lang w:val="en-GB"/>
        </w:rPr>
        <w:t xml:space="preserve">the </w:t>
      </w:r>
      <w:r w:rsidR="00291FCA" w:rsidRPr="00771F08">
        <w:rPr>
          <w:rFonts w:ascii="Times New Roman" w:hAnsi="Times New Roman" w:cs="Times New Roman"/>
          <w:szCs w:val="24"/>
          <w:lang w:val="en-GB"/>
        </w:rPr>
        <w:t>order of</w:t>
      </w:r>
      <w:r w:rsidR="005C39F4" w:rsidRPr="00771F08">
        <w:rPr>
          <w:rFonts w:ascii="Times New Roman" w:hAnsi="Times New Roman" w:cs="Times New Roman"/>
          <w:szCs w:val="24"/>
          <w:lang w:val="en-GB"/>
        </w:rPr>
        <w:t xml:space="preserve"> the</w:t>
      </w:r>
      <w:r w:rsidR="00291FCA" w:rsidRPr="00771F08">
        <w:rPr>
          <w:rFonts w:ascii="Times New Roman" w:hAnsi="Times New Roman" w:cs="Times New Roman"/>
          <w:szCs w:val="24"/>
          <w:lang w:val="en-GB"/>
        </w:rPr>
        <w:t xml:space="preserve"> questions</w:t>
      </w:r>
      <w:r w:rsidR="005E426A" w:rsidRPr="00771F08">
        <w:rPr>
          <w:rFonts w:ascii="Times New Roman" w:hAnsi="Times New Roman" w:cs="Times New Roman"/>
          <w:szCs w:val="24"/>
          <w:lang w:val="en-GB"/>
        </w:rPr>
        <w:t>,</w:t>
      </w:r>
      <w:r w:rsidR="00291FCA" w:rsidRPr="00771F08">
        <w:rPr>
          <w:rFonts w:ascii="Times New Roman" w:hAnsi="Times New Roman" w:cs="Times New Roman"/>
          <w:szCs w:val="24"/>
          <w:lang w:val="en-GB"/>
        </w:rPr>
        <w:t xml:space="preserve"> and</w:t>
      </w:r>
      <w:r w:rsidR="000A3CD5" w:rsidRPr="00771F08">
        <w:rPr>
          <w:rFonts w:ascii="Times New Roman" w:hAnsi="Times New Roman" w:cs="Times New Roman"/>
          <w:szCs w:val="24"/>
          <w:lang w:val="en-GB"/>
        </w:rPr>
        <w:t xml:space="preserve"> the</w:t>
      </w:r>
      <w:r w:rsidR="00291FCA" w:rsidRPr="00771F08">
        <w:rPr>
          <w:rFonts w:ascii="Times New Roman" w:hAnsi="Times New Roman" w:cs="Times New Roman"/>
          <w:szCs w:val="24"/>
          <w:lang w:val="en-GB"/>
        </w:rPr>
        <w:t xml:space="preserve"> understanding of the concepts. </w:t>
      </w:r>
      <w:r w:rsidR="00997ED8" w:rsidRPr="00771F08">
        <w:rPr>
          <w:rFonts w:ascii="Times New Roman" w:hAnsi="Times New Roman" w:cs="Times New Roman"/>
          <w:szCs w:val="24"/>
          <w:lang w:val="en-GB"/>
        </w:rPr>
        <w:t>I</w:t>
      </w:r>
      <w:r w:rsidR="00291FCA" w:rsidRPr="00771F08">
        <w:rPr>
          <w:rFonts w:ascii="Times New Roman" w:hAnsi="Times New Roman" w:cs="Times New Roman"/>
          <w:szCs w:val="24"/>
          <w:lang w:val="en-GB"/>
        </w:rPr>
        <w:t xml:space="preserve">n order to ensure the consistency of the Italian and English versions of the questionnaire, translation and back-translation procedures (Behling </w:t>
      </w:r>
      <w:r w:rsidR="00E21C8A" w:rsidRPr="00771F08">
        <w:rPr>
          <w:rFonts w:ascii="Times New Roman" w:hAnsi="Times New Roman" w:cs="Times New Roman"/>
          <w:szCs w:val="24"/>
          <w:lang w:val="en-GB"/>
        </w:rPr>
        <w:t>and Law</w:t>
      </w:r>
      <w:r w:rsidR="00BF3080" w:rsidRPr="00771F08">
        <w:rPr>
          <w:rFonts w:ascii="Times New Roman" w:hAnsi="Times New Roman" w:cs="Times New Roman"/>
          <w:szCs w:val="24"/>
          <w:lang w:val="en-GB"/>
        </w:rPr>
        <w:t xml:space="preserve"> 2000</w:t>
      </w:r>
      <w:r w:rsidR="00E21C8A" w:rsidRPr="00771F08">
        <w:rPr>
          <w:rFonts w:ascii="Times New Roman" w:hAnsi="Times New Roman" w:cs="Times New Roman"/>
          <w:szCs w:val="24"/>
          <w:lang w:val="en-GB"/>
        </w:rPr>
        <w:t xml:space="preserve">; </w:t>
      </w:r>
      <w:proofErr w:type="spellStart"/>
      <w:r w:rsidR="00E21C8A" w:rsidRPr="00771F08">
        <w:rPr>
          <w:rFonts w:ascii="Times New Roman" w:hAnsi="Times New Roman" w:cs="Times New Roman"/>
          <w:szCs w:val="24"/>
          <w:lang w:val="en-GB"/>
        </w:rPr>
        <w:t>Brislin</w:t>
      </w:r>
      <w:proofErr w:type="spellEnd"/>
      <w:r w:rsidR="00072047" w:rsidRPr="00771F08">
        <w:rPr>
          <w:rFonts w:ascii="Times New Roman" w:hAnsi="Times New Roman" w:cs="Times New Roman"/>
          <w:szCs w:val="24"/>
          <w:lang w:val="en-GB"/>
        </w:rPr>
        <w:t xml:space="preserve"> 1970</w:t>
      </w:r>
      <w:r w:rsidR="00291FCA" w:rsidRPr="00771F08">
        <w:rPr>
          <w:rFonts w:ascii="Times New Roman" w:hAnsi="Times New Roman" w:cs="Times New Roman"/>
          <w:szCs w:val="24"/>
          <w:lang w:val="en-GB"/>
        </w:rPr>
        <w:t xml:space="preserve">) were adopted. </w:t>
      </w:r>
      <w:r w:rsidR="004F1223" w:rsidRPr="00771F08">
        <w:rPr>
          <w:rFonts w:ascii="Times New Roman" w:hAnsi="Times New Roman" w:cs="Times New Roman"/>
          <w:szCs w:val="24"/>
          <w:lang w:val="en-GB"/>
        </w:rPr>
        <w:t>When it came to recruiting participants</w:t>
      </w:r>
      <w:r w:rsidR="00101844" w:rsidRPr="00771F08">
        <w:rPr>
          <w:rFonts w:ascii="Times New Roman" w:hAnsi="Times New Roman" w:cs="Times New Roman"/>
          <w:szCs w:val="24"/>
          <w:lang w:val="en-GB"/>
        </w:rPr>
        <w:t xml:space="preserve">, two of the authors and two external collaborators handled this phase. </w:t>
      </w:r>
      <w:r w:rsidR="00831793" w:rsidRPr="00771F08">
        <w:rPr>
          <w:rFonts w:ascii="Times New Roman" w:hAnsi="Times New Roman" w:cs="Times New Roman"/>
          <w:szCs w:val="24"/>
          <w:lang w:val="en-GB"/>
        </w:rPr>
        <w:t xml:space="preserve">The data </w:t>
      </w:r>
      <w:r w:rsidR="00072047" w:rsidRPr="00771F08">
        <w:rPr>
          <w:rFonts w:ascii="Times New Roman" w:hAnsi="Times New Roman" w:cs="Times New Roman"/>
          <w:szCs w:val="24"/>
          <w:lang w:val="en-GB"/>
        </w:rPr>
        <w:t xml:space="preserve">was collected </w:t>
      </w:r>
      <w:r w:rsidR="00D35900" w:rsidRPr="00771F08">
        <w:rPr>
          <w:rFonts w:ascii="Times New Roman" w:hAnsi="Times New Roman" w:cs="Times New Roman"/>
          <w:szCs w:val="24"/>
          <w:lang w:val="en-GB"/>
        </w:rPr>
        <w:t>via an online survey</w:t>
      </w:r>
      <w:r w:rsidR="00AE3577" w:rsidRPr="00771F08">
        <w:rPr>
          <w:rFonts w:ascii="Times New Roman" w:hAnsi="Times New Roman" w:cs="Times New Roman"/>
          <w:szCs w:val="24"/>
          <w:lang w:val="en-GB"/>
        </w:rPr>
        <w:t>,</w:t>
      </w:r>
      <w:r w:rsidR="00D35900" w:rsidRPr="00771F08">
        <w:rPr>
          <w:rFonts w:ascii="Times New Roman" w:hAnsi="Times New Roman" w:cs="Times New Roman"/>
          <w:szCs w:val="24"/>
          <w:lang w:val="en-GB"/>
        </w:rPr>
        <w:t xml:space="preserve"> </w:t>
      </w:r>
      <w:r w:rsidR="00831793" w:rsidRPr="00771F08">
        <w:rPr>
          <w:rFonts w:ascii="Times New Roman" w:hAnsi="Times New Roman" w:cs="Times New Roman"/>
          <w:szCs w:val="24"/>
          <w:lang w:val="en-GB"/>
        </w:rPr>
        <w:t xml:space="preserve">obtaining 314 </w:t>
      </w:r>
      <w:r w:rsidR="00291FCA" w:rsidRPr="00771F08">
        <w:rPr>
          <w:rFonts w:ascii="Times New Roman" w:hAnsi="Times New Roman" w:cs="Times New Roman"/>
          <w:szCs w:val="24"/>
          <w:lang w:val="en-GB"/>
        </w:rPr>
        <w:t>valid responses. Table 1 presents the profile of the two samples.</w:t>
      </w:r>
    </w:p>
    <w:p w14:paraId="0B98996D" w14:textId="77777777" w:rsidR="00237956" w:rsidRPr="00771F08" w:rsidRDefault="00237956" w:rsidP="00237956">
      <w:pPr>
        <w:autoSpaceDE w:val="0"/>
        <w:autoSpaceDN w:val="0"/>
        <w:adjustRightInd w:val="0"/>
        <w:spacing w:after="0" w:line="240" w:lineRule="auto"/>
        <w:ind w:left="567" w:right="1133"/>
        <w:rPr>
          <w:rFonts w:ascii="Times New Roman" w:hAnsi="Times New Roman" w:cs="Times New Roman"/>
          <w:szCs w:val="24"/>
          <w:lang w:val="en-GB"/>
        </w:rPr>
      </w:pPr>
    </w:p>
    <w:p w14:paraId="022C42D4" w14:textId="050C872D" w:rsidR="00790177" w:rsidRPr="00771F08" w:rsidRDefault="00790177" w:rsidP="00237956">
      <w:pPr>
        <w:spacing w:after="0" w:line="240" w:lineRule="auto"/>
        <w:ind w:left="567" w:right="707"/>
        <w:rPr>
          <w:rFonts w:ascii="Times New Roman" w:eastAsia="Times New Roman" w:hAnsi="Times New Roman"/>
          <w:szCs w:val="20"/>
          <w:lang w:val="en-GB"/>
        </w:rPr>
      </w:pPr>
      <w:r w:rsidRPr="00771F08">
        <w:rPr>
          <w:rFonts w:ascii="Times New Roman" w:eastAsia="Times New Roman" w:hAnsi="Times New Roman"/>
          <w:b/>
          <w:szCs w:val="20"/>
          <w:lang w:val="en-GB"/>
        </w:rPr>
        <w:t>Table 1.</w:t>
      </w:r>
      <w:r w:rsidRPr="00771F08">
        <w:rPr>
          <w:rFonts w:ascii="Times New Roman" w:eastAsia="Times New Roman" w:hAnsi="Times New Roman"/>
          <w:szCs w:val="20"/>
          <w:lang w:val="en-GB"/>
        </w:rPr>
        <w:t xml:space="preserve"> Respondents’ profile</w:t>
      </w:r>
    </w:p>
    <w:p w14:paraId="770C7F3A" w14:textId="77777777" w:rsidR="00790177" w:rsidRPr="00771F08" w:rsidRDefault="00790177" w:rsidP="00237956">
      <w:pPr>
        <w:spacing w:after="0" w:line="240" w:lineRule="auto"/>
        <w:jc w:val="both"/>
        <w:rPr>
          <w:rFonts w:ascii="Times New Roman" w:eastAsia="Times New Roman" w:hAnsi="Times New Roman"/>
          <w:sz w:val="20"/>
          <w:szCs w:val="20"/>
          <w:lang w:val="en-GB"/>
        </w:rPr>
      </w:pPr>
    </w:p>
    <w:tbl>
      <w:tblPr>
        <w:tblStyle w:val="TableGrid"/>
        <w:tblW w:w="4063"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1127"/>
        <w:gridCol w:w="1459"/>
        <w:gridCol w:w="1458"/>
        <w:gridCol w:w="1139"/>
      </w:tblGrid>
      <w:tr w:rsidR="00790177" w:rsidRPr="00771F08" w14:paraId="01D14E76" w14:textId="77777777" w:rsidTr="008F06DE">
        <w:tc>
          <w:tcPr>
            <w:tcW w:w="1720" w:type="pct"/>
            <w:tcBorders>
              <w:top w:val="single" w:sz="4" w:space="0" w:color="auto"/>
              <w:bottom w:val="single" w:sz="4" w:space="0" w:color="auto"/>
            </w:tcBorders>
            <w:vAlign w:val="center"/>
          </w:tcPr>
          <w:p w14:paraId="3579C777" w14:textId="77777777" w:rsidR="00790177" w:rsidRPr="00771F08" w:rsidRDefault="00790177" w:rsidP="00237956">
            <w:pPr>
              <w:jc w:val="center"/>
              <w:rPr>
                <w:rFonts w:ascii="Times New Roman" w:hAnsi="Times New Roman"/>
                <w:b/>
                <w:sz w:val="20"/>
                <w:szCs w:val="20"/>
                <w:lang w:val="en-GB"/>
              </w:rPr>
            </w:pPr>
            <w:r w:rsidRPr="00771F08">
              <w:rPr>
                <w:rFonts w:ascii="Times New Roman" w:hAnsi="Times New Roman"/>
                <w:b/>
                <w:sz w:val="20"/>
                <w:szCs w:val="20"/>
                <w:lang w:val="en-GB"/>
              </w:rPr>
              <w:t>Characteristic</w:t>
            </w:r>
          </w:p>
        </w:tc>
        <w:tc>
          <w:tcPr>
            <w:tcW w:w="606" w:type="pct"/>
            <w:tcBorders>
              <w:top w:val="single" w:sz="4" w:space="0" w:color="auto"/>
              <w:bottom w:val="single" w:sz="4" w:space="0" w:color="auto"/>
            </w:tcBorders>
            <w:vAlign w:val="center"/>
          </w:tcPr>
          <w:p w14:paraId="1BE5E04C" w14:textId="77777777" w:rsidR="00790177" w:rsidRPr="00771F08" w:rsidRDefault="00790177" w:rsidP="00237956">
            <w:pPr>
              <w:jc w:val="center"/>
              <w:rPr>
                <w:rFonts w:ascii="Times New Roman" w:hAnsi="Times New Roman"/>
                <w:b/>
                <w:sz w:val="20"/>
                <w:szCs w:val="20"/>
                <w:lang w:val="en-GB"/>
              </w:rPr>
            </w:pPr>
            <w:r w:rsidRPr="00771F08">
              <w:rPr>
                <w:rFonts w:ascii="Times New Roman" w:hAnsi="Times New Roman"/>
                <w:b/>
                <w:sz w:val="20"/>
                <w:szCs w:val="20"/>
                <w:lang w:val="en-GB"/>
              </w:rPr>
              <w:t>Frequency USA</w:t>
            </w:r>
          </w:p>
        </w:tc>
        <w:tc>
          <w:tcPr>
            <w:tcW w:w="960" w:type="pct"/>
            <w:tcBorders>
              <w:top w:val="single" w:sz="4" w:space="0" w:color="auto"/>
              <w:bottom w:val="single" w:sz="4" w:space="0" w:color="auto"/>
            </w:tcBorders>
            <w:vAlign w:val="center"/>
          </w:tcPr>
          <w:p w14:paraId="5CDA82B3" w14:textId="77777777" w:rsidR="00790177" w:rsidRPr="00771F08" w:rsidRDefault="00790177" w:rsidP="00237956">
            <w:pPr>
              <w:jc w:val="center"/>
              <w:rPr>
                <w:rFonts w:ascii="Times New Roman" w:hAnsi="Times New Roman"/>
                <w:b/>
                <w:sz w:val="20"/>
                <w:szCs w:val="20"/>
                <w:lang w:val="en-GB"/>
              </w:rPr>
            </w:pPr>
            <w:r w:rsidRPr="00771F08">
              <w:rPr>
                <w:rFonts w:ascii="Times New Roman" w:hAnsi="Times New Roman"/>
                <w:b/>
                <w:sz w:val="20"/>
                <w:szCs w:val="20"/>
                <w:lang w:val="en-GB"/>
              </w:rPr>
              <w:t>% USA</w:t>
            </w:r>
          </w:p>
        </w:tc>
        <w:tc>
          <w:tcPr>
            <w:tcW w:w="959" w:type="pct"/>
            <w:tcBorders>
              <w:top w:val="single" w:sz="4" w:space="0" w:color="auto"/>
              <w:bottom w:val="single" w:sz="4" w:space="0" w:color="auto"/>
            </w:tcBorders>
            <w:vAlign w:val="center"/>
          </w:tcPr>
          <w:p w14:paraId="459707D6" w14:textId="77777777" w:rsidR="000B5E29" w:rsidRPr="00771F08" w:rsidRDefault="00790177" w:rsidP="00237956">
            <w:pPr>
              <w:jc w:val="center"/>
              <w:rPr>
                <w:rFonts w:ascii="Times New Roman" w:hAnsi="Times New Roman"/>
                <w:b/>
                <w:sz w:val="20"/>
                <w:szCs w:val="20"/>
                <w:lang w:val="en-GB"/>
              </w:rPr>
            </w:pPr>
            <w:r w:rsidRPr="00771F08">
              <w:rPr>
                <w:rFonts w:ascii="Times New Roman" w:hAnsi="Times New Roman"/>
                <w:b/>
                <w:sz w:val="20"/>
                <w:szCs w:val="20"/>
                <w:lang w:val="en-GB"/>
              </w:rPr>
              <w:t xml:space="preserve">Frequency </w:t>
            </w:r>
          </w:p>
          <w:p w14:paraId="45D4E49E" w14:textId="796F8039" w:rsidR="00790177" w:rsidRPr="00771F08" w:rsidRDefault="00790177" w:rsidP="00237956">
            <w:pPr>
              <w:jc w:val="center"/>
              <w:rPr>
                <w:rFonts w:ascii="Times New Roman" w:hAnsi="Times New Roman"/>
                <w:b/>
                <w:sz w:val="20"/>
                <w:szCs w:val="20"/>
                <w:lang w:val="en-GB"/>
              </w:rPr>
            </w:pPr>
            <w:r w:rsidRPr="00771F08">
              <w:rPr>
                <w:rFonts w:ascii="Times New Roman" w:hAnsi="Times New Roman"/>
                <w:b/>
                <w:sz w:val="20"/>
                <w:szCs w:val="20"/>
                <w:lang w:val="en-GB"/>
              </w:rPr>
              <w:t>Italy</w:t>
            </w:r>
          </w:p>
        </w:tc>
        <w:tc>
          <w:tcPr>
            <w:tcW w:w="755" w:type="pct"/>
            <w:tcBorders>
              <w:top w:val="single" w:sz="4" w:space="0" w:color="auto"/>
              <w:bottom w:val="single" w:sz="4" w:space="0" w:color="auto"/>
            </w:tcBorders>
            <w:vAlign w:val="center"/>
          </w:tcPr>
          <w:p w14:paraId="13536834" w14:textId="77777777" w:rsidR="00790177" w:rsidRPr="00771F08" w:rsidRDefault="00790177" w:rsidP="00237956">
            <w:pPr>
              <w:jc w:val="center"/>
              <w:rPr>
                <w:rFonts w:ascii="Times New Roman" w:hAnsi="Times New Roman"/>
                <w:b/>
                <w:sz w:val="20"/>
                <w:szCs w:val="20"/>
                <w:lang w:val="en-GB"/>
              </w:rPr>
            </w:pPr>
            <w:r w:rsidRPr="00771F08">
              <w:rPr>
                <w:rFonts w:ascii="Times New Roman" w:hAnsi="Times New Roman"/>
                <w:b/>
                <w:sz w:val="20"/>
                <w:szCs w:val="20"/>
                <w:lang w:val="en-GB"/>
              </w:rPr>
              <w:t>% Italy</w:t>
            </w:r>
          </w:p>
        </w:tc>
      </w:tr>
      <w:tr w:rsidR="00790177" w:rsidRPr="00771F08" w14:paraId="3A8A865B" w14:textId="77777777" w:rsidTr="008F06DE">
        <w:tc>
          <w:tcPr>
            <w:tcW w:w="1720" w:type="pct"/>
            <w:tcBorders>
              <w:top w:val="single" w:sz="4" w:space="0" w:color="auto"/>
            </w:tcBorders>
          </w:tcPr>
          <w:p w14:paraId="55BBC7DA" w14:textId="77777777" w:rsidR="00790177" w:rsidRPr="00771F08" w:rsidRDefault="00790177" w:rsidP="00237956">
            <w:pPr>
              <w:rPr>
                <w:rFonts w:ascii="Times New Roman" w:hAnsi="Times New Roman"/>
                <w:b/>
                <w:sz w:val="20"/>
                <w:szCs w:val="20"/>
                <w:lang w:val="en-GB"/>
              </w:rPr>
            </w:pPr>
            <w:r w:rsidRPr="00771F08">
              <w:rPr>
                <w:rFonts w:ascii="Times New Roman" w:hAnsi="Times New Roman"/>
                <w:b/>
                <w:sz w:val="20"/>
                <w:szCs w:val="20"/>
                <w:lang w:val="en-GB"/>
              </w:rPr>
              <w:t>Gender</w:t>
            </w:r>
          </w:p>
        </w:tc>
        <w:tc>
          <w:tcPr>
            <w:tcW w:w="606" w:type="pct"/>
            <w:tcBorders>
              <w:top w:val="single" w:sz="4" w:space="0" w:color="auto"/>
            </w:tcBorders>
          </w:tcPr>
          <w:p w14:paraId="1FEEDEE0" w14:textId="77777777" w:rsidR="00790177" w:rsidRPr="00771F08" w:rsidRDefault="00790177" w:rsidP="00237956">
            <w:pPr>
              <w:rPr>
                <w:rFonts w:ascii="Times New Roman" w:hAnsi="Times New Roman"/>
                <w:sz w:val="20"/>
                <w:szCs w:val="20"/>
                <w:lang w:val="en-GB"/>
              </w:rPr>
            </w:pPr>
          </w:p>
        </w:tc>
        <w:tc>
          <w:tcPr>
            <w:tcW w:w="960" w:type="pct"/>
            <w:tcBorders>
              <w:top w:val="single" w:sz="4" w:space="0" w:color="auto"/>
            </w:tcBorders>
          </w:tcPr>
          <w:p w14:paraId="29E8F857" w14:textId="77777777" w:rsidR="00790177" w:rsidRPr="00771F08" w:rsidRDefault="00790177" w:rsidP="00237956">
            <w:pPr>
              <w:rPr>
                <w:rFonts w:ascii="Times New Roman" w:hAnsi="Times New Roman"/>
                <w:sz w:val="20"/>
                <w:szCs w:val="20"/>
                <w:lang w:val="en-GB"/>
              </w:rPr>
            </w:pPr>
          </w:p>
        </w:tc>
        <w:tc>
          <w:tcPr>
            <w:tcW w:w="959" w:type="pct"/>
            <w:tcBorders>
              <w:top w:val="single" w:sz="4" w:space="0" w:color="auto"/>
            </w:tcBorders>
          </w:tcPr>
          <w:p w14:paraId="698BE796" w14:textId="77777777" w:rsidR="00790177" w:rsidRPr="00771F08" w:rsidRDefault="00790177" w:rsidP="00237956">
            <w:pPr>
              <w:rPr>
                <w:rFonts w:ascii="Times New Roman" w:hAnsi="Times New Roman"/>
                <w:sz w:val="20"/>
                <w:szCs w:val="20"/>
                <w:lang w:val="en-GB"/>
              </w:rPr>
            </w:pPr>
          </w:p>
        </w:tc>
        <w:tc>
          <w:tcPr>
            <w:tcW w:w="755" w:type="pct"/>
            <w:tcBorders>
              <w:top w:val="single" w:sz="4" w:space="0" w:color="auto"/>
            </w:tcBorders>
          </w:tcPr>
          <w:p w14:paraId="3740585C" w14:textId="77777777" w:rsidR="00790177" w:rsidRPr="00771F08" w:rsidRDefault="00790177" w:rsidP="00237956">
            <w:pPr>
              <w:rPr>
                <w:rFonts w:ascii="Times New Roman" w:hAnsi="Times New Roman"/>
                <w:sz w:val="20"/>
                <w:szCs w:val="20"/>
                <w:lang w:val="en-GB"/>
              </w:rPr>
            </w:pPr>
          </w:p>
        </w:tc>
      </w:tr>
      <w:tr w:rsidR="00790177" w:rsidRPr="00771F08" w14:paraId="724CD719" w14:textId="77777777" w:rsidTr="008F06DE">
        <w:tc>
          <w:tcPr>
            <w:tcW w:w="1720" w:type="pct"/>
          </w:tcPr>
          <w:p w14:paraId="6F512F17"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Male</w:t>
            </w:r>
          </w:p>
        </w:tc>
        <w:tc>
          <w:tcPr>
            <w:tcW w:w="606" w:type="pct"/>
            <w:vAlign w:val="center"/>
          </w:tcPr>
          <w:p w14:paraId="188883FD"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141</w:t>
            </w:r>
          </w:p>
        </w:tc>
        <w:tc>
          <w:tcPr>
            <w:tcW w:w="960" w:type="pct"/>
            <w:vAlign w:val="center"/>
          </w:tcPr>
          <w:p w14:paraId="483C337D"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44.3</w:t>
            </w:r>
          </w:p>
        </w:tc>
        <w:tc>
          <w:tcPr>
            <w:tcW w:w="959" w:type="pct"/>
            <w:vAlign w:val="center"/>
          </w:tcPr>
          <w:p w14:paraId="48900D30"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103</w:t>
            </w:r>
          </w:p>
        </w:tc>
        <w:tc>
          <w:tcPr>
            <w:tcW w:w="755" w:type="pct"/>
            <w:vAlign w:val="center"/>
          </w:tcPr>
          <w:p w14:paraId="5956CEEA"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32.8</w:t>
            </w:r>
          </w:p>
        </w:tc>
      </w:tr>
      <w:tr w:rsidR="00790177" w:rsidRPr="00771F08" w14:paraId="2075D28D" w14:textId="77777777" w:rsidTr="008F06DE">
        <w:tc>
          <w:tcPr>
            <w:tcW w:w="1720" w:type="pct"/>
            <w:tcBorders>
              <w:bottom w:val="single" w:sz="4" w:space="0" w:color="auto"/>
            </w:tcBorders>
          </w:tcPr>
          <w:p w14:paraId="08E4D019"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Female</w:t>
            </w:r>
          </w:p>
        </w:tc>
        <w:tc>
          <w:tcPr>
            <w:tcW w:w="606" w:type="pct"/>
            <w:tcBorders>
              <w:bottom w:val="single" w:sz="4" w:space="0" w:color="auto"/>
            </w:tcBorders>
            <w:vAlign w:val="center"/>
          </w:tcPr>
          <w:p w14:paraId="4D1005DB"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177</w:t>
            </w:r>
          </w:p>
        </w:tc>
        <w:tc>
          <w:tcPr>
            <w:tcW w:w="960" w:type="pct"/>
            <w:tcBorders>
              <w:bottom w:val="single" w:sz="4" w:space="0" w:color="auto"/>
            </w:tcBorders>
            <w:vAlign w:val="center"/>
          </w:tcPr>
          <w:p w14:paraId="7ABD73ED"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55.7</w:t>
            </w:r>
          </w:p>
        </w:tc>
        <w:tc>
          <w:tcPr>
            <w:tcW w:w="959" w:type="pct"/>
            <w:tcBorders>
              <w:bottom w:val="single" w:sz="4" w:space="0" w:color="auto"/>
            </w:tcBorders>
            <w:vAlign w:val="center"/>
          </w:tcPr>
          <w:p w14:paraId="51155557"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211</w:t>
            </w:r>
          </w:p>
        </w:tc>
        <w:tc>
          <w:tcPr>
            <w:tcW w:w="755" w:type="pct"/>
            <w:tcBorders>
              <w:bottom w:val="single" w:sz="4" w:space="0" w:color="auto"/>
            </w:tcBorders>
            <w:vAlign w:val="center"/>
          </w:tcPr>
          <w:p w14:paraId="3A77C964"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67.2</w:t>
            </w:r>
          </w:p>
        </w:tc>
      </w:tr>
      <w:tr w:rsidR="00790177" w:rsidRPr="00771F08" w14:paraId="706D0DAE" w14:textId="77777777" w:rsidTr="008F06DE">
        <w:tc>
          <w:tcPr>
            <w:tcW w:w="1720" w:type="pct"/>
            <w:tcBorders>
              <w:top w:val="single" w:sz="4" w:space="0" w:color="auto"/>
            </w:tcBorders>
          </w:tcPr>
          <w:p w14:paraId="631B412A" w14:textId="3737AEB8" w:rsidR="00790177" w:rsidRPr="00771F08" w:rsidRDefault="00790177" w:rsidP="00237956">
            <w:pPr>
              <w:rPr>
                <w:rFonts w:ascii="Times New Roman" w:hAnsi="Times New Roman"/>
                <w:b/>
                <w:sz w:val="20"/>
                <w:szCs w:val="20"/>
                <w:lang w:val="en-GB"/>
              </w:rPr>
            </w:pPr>
            <w:r w:rsidRPr="00771F08">
              <w:rPr>
                <w:rFonts w:ascii="Times New Roman" w:hAnsi="Times New Roman"/>
                <w:b/>
                <w:sz w:val="20"/>
                <w:szCs w:val="20"/>
                <w:lang w:val="en-GB"/>
              </w:rPr>
              <w:t>Age (years)</w:t>
            </w:r>
          </w:p>
        </w:tc>
        <w:tc>
          <w:tcPr>
            <w:tcW w:w="606" w:type="pct"/>
            <w:tcBorders>
              <w:top w:val="single" w:sz="4" w:space="0" w:color="auto"/>
            </w:tcBorders>
            <w:vAlign w:val="center"/>
          </w:tcPr>
          <w:p w14:paraId="279FCF36" w14:textId="77777777" w:rsidR="00790177" w:rsidRPr="00771F08" w:rsidRDefault="00790177" w:rsidP="00237956">
            <w:pPr>
              <w:jc w:val="center"/>
              <w:rPr>
                <w:rFonts w:ascii="Times New Roman" w:hAnsi="Times New Roman"/>
                <w:sz w:val="20"/>
                <w:szCs w:val="20"/>
                <w:lang w:val="en-GB"/>
              </w:rPr>
            </w:pPr>
          </w:p>
        </w:tc>
        <w:tc>
          <w:tcPr>
            <w:tcW w:w="960" w:type="pct"/>
            <w:tcBorders>
              <w:top w:val="single" w:sz="4" w:space="0" w:color="auto"/>
            </w:tcBorders>
            <w:vAlign w:val="center"/>
          </w:tcPr>
          <w:p w14:paraId="38DD141F" w14:textId="77777777" w:rsidR="00790177" w:rsidRPr="00771F08" w:rsidRDefault="00790177" w:rsidP="00237956">
            <w:pPr>
              <w:jc w:val="center"/>
              <w:rPr>
                <w:rFonts w:ascii="Times New Roman" w:hAnsi="Times New Roman"/>
                <w:sz w:val="20"/>
                <w:szCs w:val="20"/>
                <w:lang w:val="en-GB"/>
              </w:rPr>
            </w:pPr>
          </w:p>
        </w:tc>
        <w:tc>
          <w:tcPr>
            <w:tcW w:w="959" w:type="pct"/>
            <w:tcBorders>
              <w:top w:val="single" w:sz="4" w:space="0" w:color="auto"/>
            </w:tcBorders>
            <w:vAlign w:val="center"/>
          </w:tcPr>
          <w:p w14:paraId="1459CA5F" w14:textId="77777777" w:rsidR="00790177" w:rsidRPr="00771F08" w:rsidRDefault="00790177" w:rsidP="00237956">
            <w:pPr>
              <w:jc w:val="center"/>
              <w:rPr>
                <w:rFonts w:ascii="Times New Roman" w:hAnsi="Times New Roman"/>
                <w:sz w:val="20"/>
                <w:szCs w:val="20"/>
                <w:lang w:val="en-GB"/>
              </w:rPr>
            </w:pPr>
          </w:p>
        </w:tc>
        <w:tc>
          <w:tcPr>
            <w:tcW w:w="755" w:type="pct"/>
            <w:tcBorders>
              <w:top w:val="single" w:sz="4" w:space="0" w:color="auto"/>
            </w:tcBorders>
            <w:vAlign w:val="center"/>
          </w:tcPr>
          <w:p w14:paraId="53B56192" w14:textId="77777777" w:rsidR="00790177" w:rsidRPr="00771F08" w:rsidRDefault="00790177" w:rsidP="00237956">
            <w:pPr>
              <w:jc w:val="center"/>
              <w:rPr>
                <w:rFonts w:ascii="Times New Roman" w:hAnsi="Times New Roman"/>
                <w:sz w:val="20"/>
                <w:szCs w:val="20"/>
                <w:lang w:val="en-GB"/>
              </w:rPr>
            </w:pPr>
          </w:p>
        </w:tc>
      </w:tr>
      <w:tr w:rsidR="00790177" w:rsidRPr="00771F08" w14:paraId="32FA5189" w14:textId="77777777" w:rsidTr="008F06DE">
        <w:tc>
          <w:tcPr>
            <w:tcW w:w="1720" w:type="pct"/>
          </w:tcPr>
          <w:p w14:paraId="22B2BEC7"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20-29</w:t>
            </w:r>
          </w:p>
        </w:tc>
        <w:tc>
          <w:tcPr>
            <w:tcW w:w="606" w:type="pct"/>
            <w:vAlign w:val="center"/>
          </w:tcPr>
          <w:p w14:paraId="3E4DA7CB"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126</w:t>
            </w:r>
          </w:p>
        </w:tc>
        <w:tc>
          <w:tcPr>
            <w:tcW w:w="960" w:type="pct"/>
            <w:vAlign w:val="center"/>
          </w:tcPr>
          <w:p w14:paraId="442AE5DF"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39.6</w:t>
            </w:r>
          </w:p>
        </w:tc>
        <w:tc>
          <w:tcPr>
            <w:tcW w:w="959" w:type="pct"/>
            <w:vAlign w:val="center"/>
          </w:tcPr>
          <w:p w14:paraId="3CC16EA8"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250</w:t>
            </w:r>
          </w:p>
        </w:tc>
        <w:tc>
          <w:tcPr>
            <w:tcW w:w="755" w:type="pct"/>
            <w:vAlign w:val="center"/>
          </w:tcPr>
          <w:p w14:paraId="63BF0A48"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79.6</w:t>
            </w:r>
          </w:p>
        </w:tc>
      </w:tr>
      <w:tr w:rsidR="00790177" w:rsidRPr="00771F08" w14:paraId="1B1C85CF" w14:textId="77777777" w:rsidTr="008F06DE">
        <w:tc>
          <w:tcPr>
            <w:tcW w:w="1720" w:type="pct"/>
          </w:tcPr>
          <w:p w14:paraId="4816C564"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30-39</w:t>
            </w:r>
          </w:p>
        </w:tc>
        <w:tc>
          <w:tcPr>
            <w:tcW w:w="606" w:type="pct"/>
            <w:vAlign w:val="center"/>
          </w:tcPr>
          <w:p w14:paraId="2C9F7841"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185</w:t>
            </w:r>
          </w:p>
        </w:tc>
        <w:tc>
          <w:tcPr>
            <w:tcW w:w="960" w:type="pct"/>
            <w:vAlign w:val="center"/>
          </w:tcPr>
          <w:p w14:paraId="7CD510CE"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58.2</w:t>
            </w:r>
          </w:p>
        </w:tc>
        <w:tc>
          <w:tcPr>
            <w:tcW w:w="959" w:type="pct"/>
            <w:vAlign w:val="center"/>
          </w:tcPr>
          <w:p w14:paraId="14F29BB6"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39</w:t>
            </w:r>
          </w:p>
        </w:tc>
        <w:tc>
          <w:tcPr>
            <w:tcW w:w="755" w:type="pct"/>
            <w:vAlign w:val="center"/>
          </w:tcPr>
          <w:p w14:paraId="3A4C45BF"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12.4</w:t>
            </w:r>
          </w:p>
        </w:tc>
      </w:tr>
      <w:tr w:rsidR="00790177" w:rsidRPr="00771F08" w14:paraId="2C455ECC" w14:textId="77777777" w:rsidTr="008F06DE">
        <w:tc>
          <w:tcPr>
            <w:tcW w:w="1720" w:type="pct"/>
            <w:tcBorders>
              <w:bottom w:val="single" w:sz="4" w:space="0" w:color="auto"/>
            </w:tcBorders>
          </w:tcPr>
          <w:p w14:paraId="30460C60"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40 or over</w:t>
            </w:r>
          </w:p>
        </w:tc>
        <w:tc>
          <w:tcPr>
            <w:tcW w:w="606" w:type="pct"/>
            <w:tcBorders>
              <w:bottom w:val="single" w:sz="4" w:space="0" w:color="auto"/>
            </w:tcBorders>
            <w:vAlign w:val="center"/>
          </w:tcPr>
          <w:p w14:paraId="0A557EDE"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7</w:t>
            </w:r>
          </w:p>
        </w:tc>
        <w:tc>
          <w:tcPr>
            <w:tcW w:w="960" w:type="pct"/>
            <w:tcBorders>
              <w:bottom w:val="single" w:sz="4" w:space="0" w:color="auto"/>
            </w:tcBorders>
            <w:vAlign w:val="center"/>
          </w:tcPr>
          <w:p w14:paraId="0CF0C2C6"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2.2</w:t>
            </w:r>
          </w:p>
        </w:tc>
        <w:tc>
          <w:tcPr>
            <w:tcW w:w="959" w:type="pct"/>
            <w:tcBorders>
              <w:bottom w:val="single" w:sz="4" w:space="0" w:color="auto"/>
            </w:tcBorders>
            <w:vAlign w:val="center"/>
          </w:tcPr>
          <w:p w14:paraId="0B6CDB48"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25</w:t>
            </w:r>
          </w:p>
        </w:tc>
        <w:tc>
          <w:tcPr>
            <w:tcW w:w="755" w:type="pct"/>
            <w:tcBorders>
              <w:bottom w:val="single" w:sz="4" w:space="0" w:color="auto"/>
            </w:tcBorders>
            <w:vAlign w:val="center"/>
          </w:tcPr>
          <w:p w14:paraId="6A251938"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8.0</w:t>
            </w:r>
          </w:p>
        </w:tc>
      </w:tr>
      <w:tr w:rsidR="00790177" w:rsidRPr="00771F08" w14:paraId="0329AFC8" w14:textId="77777777" w:rsidTr="008F06DE">
        <w:tc>
          <w:tcPr>
            <w:tcW w:w="1720" w:type="pct"/>
            <w:tcBorders>
              <w:top w:val="single" w:sz="4" w:space="0" w:color="auto"/>
            </w:tcBorders>
          </w:tcPr>
          <w:p w14:paraId="7C528FB2" w14:textId="0E6C1E45" w:rsidR="00790177" w:rsidRPr="00771F08" w:rsidRDefault="00790177" w:rsidP="00237956">
            <w:pPr>
              <w:rPr>
                <w:rFonts w:ascii="Times New Roman" w:hAnsi="Times New Roman"/>
                <w:b/>
                <w:sz w:val="20"/>
                <w:szCs w:val="20"/>
                <w:lang w:val="en-GB"/>
              </w:rPr>
            </w:pPr>
            <w:r w:rsidRPr="00771F08">
              <w:rPr>
                <w:rFonts w:ascii="Times New Roman" w:hAnsi="Times New Roman"/>
                <w:b/>
                <w:sz w:val="20"/>
                <w:szCs w:val="20"/>
                <w:lang w:val="en-GB"/>
              </w:rPr>
              <w:t>Area of residence</w:t>
            </w:r>
          </w:p>
        </w:tc>
        <w:tc>
          <w:tcPr>
            <w:tcW w:w="606" w:type="pct"/>
            <w:tcBorders>
              <w:top w:val="single" w:sz="4" w:space="0" w:color="auto"/>
            </w:tcBorders>
            <w:vAlign w:val="center"/>
          </w:tcPr>
          <w:p w14:paraId="065FACD5" w14:textId="77777777" w:rsidR="00790177" w:rsidRPr="00771F08" w:rsidRDefault="00790177" w:rsidP="00237956">
            <w:pPr>
              <w:jc w:val="center"/>
              <w:rPr>
                <w:rFonts w:ascii="Times New Roman" w:hAnsi="Times New Roman"/>
                <w:sz w:val="20"/>
                <w:szCs w:val="20"/>
                <w:lang w:val="en-GB"/>
              </w:rPr>
            </w:pPr>
          </w:p>
        </w:tc>
        <w:tc>
          <w:tcPr>
            <w:tcW w:w="960" w:type="pct"/>
            <w:tcBorders>
              <w:top w:val="single" w:sz="4" w:space="0" w:color="auto"/>
            </w:tcBorders>
            <w:vAlign w:val="center"/>
          </w:tcPr>
          <w:p w14:paraId="1F7622F3" w14:textId="77777777" w:rsidR="00790177" w:rsidRPr="00771F08" w:rsidRDefault="00790177" w:rsidP="00237956">
            <w:pPr>
              <w:jc w:val="center"/>
              <w:rPr>
                <w:rFonts w:ascii="Times New Roman" w:hAnsi="Times New Roman"/>
                <w:sz w:val="20"/>
                <w:szCs w:val="20"/>
                <w:lang w:val="en-GB"/>
              </w:rPr>
            </w:pPr>
          </w:p>
        </w:tc>
        <w:tc>
          <w:tcPr>
            <w:tcW w:w="959" w:type="pct"/>
            <w:tcBorders>
              <w:top w:val="single" w:sz="4" w:space="0" w:color="auto"/>
            </w:tcBorders>
            <w:vAlign w:val="center"/>
          </w:tcPr>
          <w:p w14:paraId="12278744" w14:textId="77777777" w:rsidR="00790177" w:rsidRPr="00771F08" w:rsidRDefault="00790177" w:rsidP="00237956">
            <w:pPr>
              <w:jc w:val="center"/>
              <w:rPr>
                <w:rFonts w:ascii="Times New Roman" w:hAnsi="Times New Roman"/>
                <w:sz w:val="20"/>
                <w:szCs w:val="20"/>
                <w:lang w:val="en-GB"/>
              </w:rPr>
            </w:pPr>
          </w:p>
        </w:tc>
        <w:tc>
          <w:tcPr>
            <w:tcW w:w="755" w:type="pct"/>
            <w:tcBorders>
              <w:top w:val="single" w:sz="4" w:space="0" w:color="auto"/>
            </w:tcBorders>
            <w:vAlign w:val="center"/>
          </w:tcPr>
          <w:p w14:paraId="117CFE05" w14:textId="77777777" w:rsidR="00790177" w:rsidRPr="00771F08" w:rsidRDefault="00790177" w:rsidP="00237956">
            <w:pPr>
              <w:jc w:val="center"/>
              <w:rPr>
                <w:rFonts w:ascii="Times New Roman" w:hAnsi="Times New Roman"/>
                <w:sz w:val="20"/>
                <w:szCs w:val="20"/>
                <w:lang w:val="en-GB"/>
              </w:rPr>
            </w:pPr>
          </w:p>
        </w:tc>
      </w:tr>
      <w:tr w:rsidR="00790177" w:rsidRPr="00771F08" w14:paraId="51EF3B68" w14:textId="77777777" w:rsidTr="008F06DE">
        <w:tc>
          <w:tcPr>
            <w:tcW w:w="1720" w:type="pct"/>
          </w:tcPr>
          <w:p w14:paraId="71493457" w14:textId="048243D1" w:rsidR="00790177" w:rsidRPr="00771F08" w:rsidRDefault="00501188" w:rsidP="00237956">
            <w:pPr>
              <w:rPr>
                <w:rFonts w:ascii="Times New Roman" w:hAnsi="Times New Roman"/>
                <w:sz w:val="20"/>
                <w:szCs w:val="20"/>
                <w:lang w:val="en-GB"/>
              </w:rPr>
            </w:pPr>
            <w:r w:rsidRPr="00771F08">
              <w:rPr>
                <w:rFonts w:ascii="Times New Roman" w:hAnsi="Times New Roman"/>
                <w:sz w:val="20"/>
                <w:szCs w:val="20"/>
                <w:lang w:val="en-GB"/>
              </w:rPr>
              <w:t>Urbani</w:t>
            </w:r>
            <w:r w:rsidR="00771F08" w:rsidRPr="00771F08">
              <w:rPr>
                <w:rFonts w:ascii="Times New Roman" w:hAnsi="Times New Roman"/>
                <w:sz w:val="20"/>
                <w:szCs w:val="20"/>
                <w:lang w:val="en-GB"/>
              </w:rPr>
              <w:t>s</w:t>
            </w:r>
            <w:r w:rsidRPr="00771F08">
              <w:rPr>
                <w:rFonts w:ascii="Times New Roman" w:hAnsi="Times New Roman"/>
                <w:sz w:val="20"/>
                <w:szCs w:val="20"/>
                <w:lang w:val="en-GB"/>
              </w:rPr>
              <w:t>ed</w:t>
            </w:r>
            <w:r w:rsidR="00790177" w:rsidRPr="00771F08">
              <w:rPr>
                <w:rFonts w:ascii="Times New Roman" w:hAnsi="Times New Roman"/>
                <w:sz w:val="20"/>
                <w:szCs w:val="20"/>
                <w:lang w:val="en-GB"/>
              </w:rPr>
              <w:t xml:space="preserve"> area</w:t>
            </w:r>
          </w:p>
        </w:tc>
        <w:tc>
          <w:tcPr>
            <w:tcW w:w="606" w:type="pct"/>
            <w:vAlign w:val="center"/>
          </w:tcPr>
          <w:p w14:paraId="2069DFA7"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159</w:t>
            </w:r>
          </w:p>
        </w:tc>
        <w:tc>
          <w:tcPr>
            <w:tcW w:w="960" w:type="pct"/>
            <w:vAlign w:val="center"/>
          </w:tcPr>
          <w:p w14:paraId="18B5BF65"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50</w:t>
            </w:r>
          </w:p>
        </w:tc>
        <w:tc>
          <w:tcPr>
            <w:tcW w:w="959" w:type="pct"/>
            <w:vAlign w:val="center"/>
          </w:tcPr>
          <w:p w14:paraId="0F7C423D"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86</w:t>
            </w:r>
          </w:p>
        </w:tc>
        <w:tc>
          <w:tcPr>
            <w:tcW w:w="755" w:type="pct"/>
            <w:vAlign w:val="center"/>
          </w:tcPr>
          <w:p w14:paraId="2D05C8A5"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27.4</w:t>
            </w:r>
          </w:p>
        </w:tc>
      </w:tr>
      <w:tr w:rsidR="00790177" w:rsidRPr="00771F08" w14:paraId="14485DC0" w14:textId="77777777" w:rsidTr="008F06DE">
        <w:tc>
          <w:tcPr>
            <w:tcW w:w="1720" w:type="pct"/>
          </w:tcPr>
          <w:p w14:paraId="61C6D9F9"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Urban cluster</w:t>
            </w:r>
          </w:p>
        </w:tc>
        <w:tc>
          <w:tcPr>
            <w:tcW w:w="606" w:type="pct"/>
            <w:vAlign w:val="center"/>
          </w:tcPr>
          <w:p w14:paraId="24A51374"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120</w:t>
            </w:r>
          </w:p>
        </w:tc>
        <w:tc>
          <w:tcPr>
            <w:tcW w:w="960" w:type="pct"/>
            <w:vAlign w:val="center"/>
          </w:tcPr>
          <w:p w14:paraId="6BE8157D"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37.7</w:t>
            </w:r>
          </w:p>
        </w:tc>
        <w:tc>
          <w:tcPr>
            <w:tcW w:w="959" w:type="pct"/>
            <w:vAlign w:val="center"/>
          </w:tcPr>
          <w:p w14:paraId="418D6022"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184</w:t>
            </w:r>
          </w:p>
        </w:tc>
        <w:tc>
          <w:tcPr>
            <w:tcW w:w="755" w:type="pct"/>
            <w:vAlign w:val="center"/>
          </w:tcPr>
          <w:p w14:paraId="67ADDEC7"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58.6</w:t>
            </w:r>
          </w:p>
        </w:tc>
      </w:tr>
      <w:tr w:rsidR="00790177" w:rsidRPr="00771F08" w14:paraId="32D90582" w14:textId="77777777" w:rsidTr="008F06DE">
        <w:tc>
          <w:tcPr>
            <w:tcW w:w="1720" w:type="pct"/>
            <w:tcBorders>
              <w:bottom w:val="single" w:sz="4" w:space="0" w:color="auto"/>
            </w:tcBorders>
          </w:tcPr>
          <w:p w14:paraId="37413FFB"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Rural</w:t>
            </w:r>
          </w:p>
        </w:tc>
        <w:tc>
          <w:tcPr>
            <w:tcW w:w="606" w:type="pct"/>
            <w:tcBorders>
              <w:bottom w:val="single" w:sz="4" w:space="0" w:color="auto"/>
            </w:tcBorders>
            <w:vAlign w:val="center"/>
          </w:tcPr>
          <w:p w14:paraId="5D40409F"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39</w:t>
            </w:r>
          </w:p>
        </w:tc>
        <w:tc>
          <w:tcPr>
            <w:tcW w:w="960" w:type="pct"/>
            <w:tcBorders>
              <w:bottom w:val="single" w:sz="4" w:space="0" w:color="auto"/>
            </w:tcBorders>
            <w:vAlign w:val="center"/>
          </w:tcPr>
          <w:p w14:paraId="04FBF5B2"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12.3</w:t>
            </w:r>
          </w:p>
        </w:tc>
        <w:tc>
          <w:tcPr>
            <w:tcW w:w="959" w:type="pct"/>
            <w:tcBorders>
              <w:bottom w:val="single" w:sz="4" w:space="0" w:color="auto"/>
            </w:tcBorders>
            <w:vAlign w:val="center"/>
          </w:tcPr>
          <w:p w14:paraId="510D70A6"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44</w:t>
            </w:r>
          </w:p>
        </w:tc>
        <w:tc>
          <w:tcPr>
            <w:tcW w:w="755" w:type="pct"/>
            <w:tcBorders>
              <w:bottom w:val="single" w:sz="4" w:space="0" w:color="auto"/>
            </w:tcBorders>
            <w:vAlign w:val="center"/>
          </w:tcPr>
          <w:p w14:paraId="0BA778FC"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14.0</w:t>
            </w:r>
          </w:p>
        </w:tc>
      </w:tr>
      <w:tr w:rsidR="00790177" w:rsidRPr="00771F08" w14:paraId="060D0C38"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single" w:sz="4" w:space="0" w:color="auto"/>
              <w:left w:val="nil"/>
              <w:bottom w:val="nil"/>
              <w:right w:val="nil"/>
            </w:tcBorders>
          </w:tcPr>
          <w:p w14:paraId="4AB51B47" w14:textId="319BDDF0" w:rsidR="00790177" w:rsidRPr="00771F08" w:rsidRDefault="00790177" w:rsidP="00237956">
            <w:pPr>
              <w:rPr>
                <w:rFonts w:ascii="Times New Roman" w:hAnsi="Times New Roman"/>
                <w:b/>
                <w:sz w:val="20"/>
                <w:szCs w:val="20"/>
                <w:lang w:val="en-GB"/>
              </w:rPr>
            </w:pPr>
            <w:r w:rsidRPr="00771F08">
              <w:rPr>
                <w:rFonts w:ascii="Times New Roman" w:hAnsi="Times New Roman"/>
                <w:b/>
                <w:sz w:val="20"/>
                <w:szCs w:val="20"/>
                <w:lang w:val="en-GB"/>
              </w:rPr>
              <w:t xml:space="preserve">Income </w:t>
            </w:r>
          </w:p>
        </w:tc>
        <w:tc>
          <w:tcPr>
            <w:tcW w:w="606" w:type="pct"/>
            <w:tcBorders>
              <w:top w:val="single" w:sz="4" w:space="0" w:color="auto"/>
              <w:left w:val="nil"/>
              <w:bottom w:val="nil"/>
              <w:right w:val="nil"/>
            </w:tcBorders>
          </w:tcPr>
          <w:p w14:paraId="20E43E79" w14:textId="77777777" w:rsidR="00790177" w:rsidRPr="00771F08" w:rsidRDefault="00790177" w:rsidP="00237956">
            <w:pPr>
              <w:jc w:val="center"/>
              <w:rPr>
                <w:rFonts w:ascii="Times New Roman" w:hAnsi="Times New Roman"/>
                <w:sz w:val="20"/>
                <w:szCs w:val="20"/>
                <w:lang w:val="en-GB"/>
              </w:rPr>
            </w:pPr>
          </w:p>
        </w:tc>
        <w:tc>
          <w:tcPr>
            <w:tcW w:w="960" w:type="pct"/>
            <w:tcBorders>
              <w:top w:val="single" w:sz="4" w:space="0" w:color="auto"/>
              <w:left w:val="nil"/>
              <w:bottom w:val="nil"/>
              <w:right w:val="nil"/>
            </w:tcBorders>
          </w:tcPr>
          <w:p w14:paraId="6F3D6CF7" w14:textId="77777777" w:rsidR="00790177" w:rsidRPr="00771F08" w:rsidRDefault="00790177" w:rsidP="00237956">
            <w:pPr>
              <w:jc w:val="center"/>
              <w:rPr>
                <w:rFonts w:ascii="Times New Roman" w:hAnsi="Times New Roman"/>
                <w:sz w:val="20"/>
                <w:szCs w:val="20"/>
                <w:lang w:val="en-GB"/>
              </w:rPr>
            </w:pPr>
          </w:p>
        </w:tc>
        <w:tc>
          <w:tcPr>
            <w:tcW w:w="959" w:type="pct"/>
            <w:tcBorders>
              <w:top w:val="single" w:sz="4" w:space="0" w:color="auto"/>
              <w:left w:val="nil"/>
              <w:bottom w:val="nil"/>
              <w:right w:val="nil"/>
            </w:tcBorders>
          </w:tcPr>
          <w:p w14:paraId="228A24BC" w14:textId="77777777" w:rsidR="00790177" w:rsidRPr="00771F08" w:rsidRDefault="00790177" w:rsidP="00237956">
            <w:pPr>
              <w:jc w:val="center"/>
              <w:rPr>
                <w:rFonts w:ascii="Times New Roman" w:hAnsi="Times New Roman"/>
                <w:sz w:val="20"/>
                <w:szCs w:val="20"/>
                <w:lang w:val="en-GB"/>
              </w:rPr>
            </w:pPr>
          </w:p>
        </w:tc>
        <w:tc>
          <w:tcPr>
            <w:tcW w:w="755" w:type="pct"/>
            <w:tcBorders>
              <w:top w:val="single" w:sz="4" w:space="0" w:color="auto"/>
              <w:left w:val="nil"/>
              <w:bottom w:val="nil"/>
              <w:right w:val="nil"/>
            </w:tcBorders>
          </w:tcPr>
          <w:p w14:paraId="28B01471" w14:textId="77777777" w:rsidR="00790177" w:rsidRPr="00771F08" w:rsidRDefault="00790177" w:rsidP="00237956">
            <w:pPr>
              <w:jc w:val="center"/>
              <w:rPr>
                <w:rFonts w:ascii="Times New Roman" w:hAnsi="Times New Roman"/>
                <w:sz w:val="20"/>
                <w:szCs w:val="20"/>
                <w:lang w:val="en-GB"/>
              </w:rPr>
            </w:pPr>
          </w:p>
        </w:tc>
      </w:tr>
      <w:tr w:rsidR="00790177" w:rsidRPr="00771F08" w14:paraId="6C4BC91E"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nil"/>
              <w:right w:val="nil"/>
            </w:tcBorders>
          </w:tcPr>
          <w:p w14:paraId="3D9A79AA"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$0 - $24,999</w:t>
            </w:r>
          </w:p>
        </w:tc>
        <w:tc>
          <w:tcPr>
            <w:tcW w:w="606" w:type="pct"/>
            <w:tcBorders>
              <w:top w:val="nil"/>
              <w:left w:val="nil"/>
              <w:bottom w:val="nil"/>
              <w:right w:val="nil"/>
            </w:tcBorders>
          </w:tcPr>
          <w:p w14:paraId="6A3A46DF"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29</w:t>
            </w:r>
          </w:p>
        </w:tc>
        <w:tc>
          <w:tcPr>
            <w:tcW w:w="960" w:type="pct"/>
            <w:tcBorders>
              <w:top w:val="nil"/>
              <w:left w:val="nil"/>
              <w:bottom w:val="nil"/>
              <w:right w:val="nil"/>
            </w:tcBorders>
          </w:tcPr>
          <w:p w14:paraId="58BDCA3A" w14:textId="020E7963"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9.</w:t>
            </w:r>
            <w:r w:rsidR="00790177" w:rsidRPr="00771F08">
              <w:rPr>
                <w:rFonts w:ascii="Times New Roman" w:hAnsi="Times New Roman"/>
                <w:sz w:val="20"/>
                <w:szCs w:val="20"/>
                <w:lang w:val="en-GB"/>
              </w:rPr>
              <w:t>1</w:t>
            </w:r>
          </w:p>
        </w:tc>
        <w:tc>
          <w:tcPr>
            <w:tcW w:w="959" w:type="pct"/>
            <w:tcBorders>
              <w:top w:val="nil"/>
              <w:left w:val="nil"/>
              <w:bottom w:val="nil"/>
              <w:right w:val="nil"/>
            </w:tcBorders>
          </w:tcPr>
          <w:p w14:paraId="0403FE85"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114</w:t>
            </w:r>
          </w:p>
        </w:tc>
        <w:tc>
          <w:tcPr>
            <w:tcW w:w="755" w:type="pct"/>
            <w:tcBorders>
              <w:top w:val="nil"/>
              <w:left w:val="nil"/>
              <w:bottom w:val="nil"/>
              <w:right w:val="nil"/>
            </w:tcBorders>
          </w:tcPr>
          <w:p w14:paraId="2847F9ED" w14:textId="43F88476"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36.</w:t>
            </w:r>
            <w:r w:rsidR="00790177" w:rsidRPr="00771F08">
              <w:rPr>
                <w:rFonts w:ascii="Times New Roman" w:hAnsi="Times New Roman"/>
                <w:sz w:val="20"/>
                <w:szCs w:val="20"/>
                <w:lang w:val="en-GB"/>
              </w:rPr>
              <w:t>3</w:t>
            </w:r>
          </w:p>
        </w:tc>
      </w:tr>
      <w:tr w:rsidR="00790177" w:rsidRPr="00771F08" w14:paraId="18DCF8C1"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nil"/>
              <w:right w:val="nil"/>
            </w:tcBorders>
          </w:tcPr>
          <w:p w14:paraId="326F83CD"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$25,000 - $49,999</w:t>
            </w:r>
          </w:p>
        </w:tc>
        <w:tc>
          <w:tcPr>
            <w:tcW w:w="606" w:type="pct"/>
            <w:tcBorders>
              <w:top w:val="nil"/>
              <w:left w:val="nil"/>
              <w:bottom w:val="nil"/>
              <w:right w:val="nil"/>
            </w:tcBorders>
          </w:tcPr>
          <w:p w14:paraId="7B202BB5"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82</w:t>
            </w:r>
          </w:p>
        </w:tc>
        <w:tc>
          <w:tcPr>
            <w:tcW w:w="960" w:type="pct"/>
            <w:tcBorders>
              <w:top w:val="nil"/>
              <w:left w:val="nil"/>
              <w:bottom w:val="nil"/>
              <w:right w:val="nil"/>
            </w:tcBorders>
          </w:tcPr>
          <w:p w14:paraId="1C39AF99" w14:textId="0E0DCAC5"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25</w:t>
            </w:r>
            <w:r w:rsidR="007D09C7" w:rsidRPr="00771F08">
              <w:rPr>
                <w:rFonts w:ascii="Times New Roman" w:hAnsi="Times New Roman"/>
                <w:sz w:val="20"/>
                <w:szCs w:val="20"/>
                <w:lang w:val="en-GB"/>
              </w:rPr>
              <w:t>.</w:t>
            </w:r>
            <w:r w:rsidRPr="00771F08">
              <w:rPr>
                <w:rFonts w:ascii="Times New Roman" w:hAnsi="Times New Roman"/>
                <w:sz w:val="20"/>
                <w:szCs w:val="20"/>
                <w:lang w:val="en-GB"/>
              </w:rPr>
              <w:t>9</w:t>
            </w:r>
          </w:p>
        </w:tc>
        <w:tc>
          <w:tcPr>
            <w:tcW w:w="959" w:type="pct"/>
            <w:tcBorders>
              <w:top w:val="nil"/>
              <w:left w:val="nil"/>
              <w:bottom w:val="nil"/>
              <w:right w:val="nil"/>
            </w:tcBorders>
          </w:tcPr>
          <w:p w14:paraId="6C124956"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117</w:t>
            </w:r>
          </w:p>
        </w:tc>
        <w:tc>
          <w:tcPr>
            <w:tcW w:w="755" w:type="pct"/>
            <w:tcBorders>
              <w:top w:val="nil"/>
              <w:left w:val="nil"/>
              <w:bottom w:val="nil"/>
              <w:right w:val="nil"/>
            </w:tcBorders>
          </w:tcPr>
          <w:p w14:paraId="14945065" w14:textId="77DD8D58"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37.</w:t>
            </w:r>
            <w:r w:rsidR="00790177" w:rsidRPr="00771F08">
              <w:rPr>
                <w:rFonts w:ascii="Times New Roman" w:hAnsi="Times New Roman"/>
                <w:sz w:val="20"/>
                <w:szCs w:val="20"/>
                <w:lang w:val="en-GB"/>
              </w:rPr>
              <w:t>3</w:t>
            </w:r>
          </w:p>
        </w:tc>
      </w:tr>
      <w:tr w:rsidR="00790177" w:rsidRPr="00771F08" w14:paraId="2C25E8F4"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nil"/>
              <w:right w:val="nil"/>
            </w:tcBorders>
          </w:tcPr>
          <w:p w14:paraId="703FB138"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$50,000 - $74,999</w:t>
            </w:r>
          </w:p>
        </w:tc>
        <w:tc>
          <w:tcPr>
            <w:tcW w:w="606" w:type="pct"/>
            <w:tcBorders>
              <w:top w:val="nil"/>
              <w:left w:val="nil"/>
              <w:bottom w:val="nil"/>
              <w:right w:val="nil"/>
            </w:tcBorders>
          </w:tcPr>
          <w:p w14:paraId="567E9885"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73</w:t>
            </w:r>
          </w:p>
        </w:tc>
        <w:tc>
          <w:tcPr>
            <w:tcW w:w="960" w:type="pct"/>
            <w:tcBorders>
              <w:top w:val="nil"/>
              <w:left w:val="nil"/>
              <w:bottom w:val="nil"/>
              <w:right w:val="nil"/>
            </w:tcBorders>
          </w:tcPr>
          <w:p w14:paraId="51AE04CD" w14:textId="21104D8F"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23.0</w:t>
            </w:r>
          </w:p>
        </w:tc>
        <w:tc>
          <w:tcPr>
            <w:tcW w:w="959" w:type="pct"/>
            <w:tcBorders>
              <w:top w:val="nil"/>
              <w:left w:val="nil"/>
              <w:bottom w:val="nil"/>
              <w:right w:val="nil"/>
            </w:tcBorders>
          </w:tcPr>
          <w:p w14:paraId="1BFB0830"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45</w:t>
            </w:r>
          </w:p>
        </w:tc>
        <w:tc>
          <w:tcPr>
            <w:tcW w:w="755" w:type="pct"/>
            <w:tcBorders>
              <w:top w:val="nil"/>
              <w:left w:val="nil"/>
              <w:bottom w:val="nil"/>
              <w:right w:val="nil"/>
            </w:tcBorders>
          </w:tcPr>
          <w:p w14:paraId="0875D981" w14:textId="645C1C5D"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14.</w:t>
            </w:r>
            <w:r w:rsidR="00790177" w:rsidRPr="00771F08">
              <w:rPr>
                <w:rFonts w:ascii="Times New Roman" w:hAnsi="Times New Roman"/>
                <w:sz w:val="20"/>
                <w:szCs w:val="20"/>
                <w:lang w:val="en-GB"/>
              </w:rPr>
              <w:t>3</w:t>
            </w:r>
          </w:p>
        </w:tc>
      </w:tr>
      <w:tr w:rsidR="00790177" w:rsidRPr="00771F08" w14:paraId="171FADAF"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nil"/>
              <w:right w:val="nil"/>
            </w:tcBorders>
          </w:tcPr>
          <w:p w14:paraId="4566B03B"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$75,000 - $99,999</w:t>
            </w:r>
          </w:p>
        </w:tc>
        <w:tc>
          <w:tcPr>
            <w:tcW w:w="606" w:type="pct"/>
            <w:tcBorders>
              <w:top w:val="nil"/>
              <w:left w:val="nil"/>
              <w:bottom w:val="nil"/>
              <w:right w:val="nil"/>
            </w:tcBorders>
          </w:tcPr>
          <w:p w14:paraId="0F83AE3D"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70</w:t>
            </w:r>
          </w:p>
        </w:tc>
        <w:tc>
          <w:tcPr>
            <w:tcW w:w="960" w:type="pct"/>
            <w:tcBorders>
              <w:top w:val="nil"/>
              <w:left w:val="nil"/>
              <w:bottom w:val="nil"/>
              <w:right w:val="nil"/>
            </w:tcBorders>
          </w:tcPr>
          <w:p w14:paraId="49C015BA" w14:textId="358C4152"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22.</w:t>
            </w:r>
            <w:r w:rsidR="00790177" w:rsidRPr="00771F08">
              <w:rPr>
                <w:rFonts w:ascii="Times New Roman" w:hAnsi="Times New Roman"/>
                <w:sz w:val="20"/>
                <w:szCs w:val="20"/>
                <w:lang w:val="en-GB"/>
              </w:rPr>
              <w:t>1</w:t>
            </w:r>
          </w:p>
        </w:tc>
        <w:tc>
          <w:tcPr>
            <w:tcW w:w="959" w:type="pct"/>
            <w:tcBorders>
              <w:top w:val="nil"/>
              <w:left w:val="nil"/>
              <w:bottom w:val="nil"/>
              <w:right w:val="nil"/>
            </w:tcBorders>
          </w:tcPr>
          <w:p w14:paraId="690E69EB"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31</w:t>
            </w:r>
          </w:p>
        </w:tc>
        <w:tc>
          <w:tcPr>
            <w:tcW w:w="755" w:type="pct"/>
            <w:tcBorders>
              <w:top w:val="nil"/>
              <w:left w:val="nil"/>
              <w:bottom w:val="nil"/>
              <w:right w:val="nil"/>
            </w:tcBorders>
          </w:tcPr>
          <w:p w14:paraId="6902450B" w14:textId="0B486894"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9.</w:t>
            </w:r>
            <w:r w:rsidR="00790177" w:rsidRPr="00771F08">
              <w:rPr>
                <w:rFonts w:ascii="Times New Roman" w:hAnsi="Times New Roman"/>
                <w:sz w:val="20"/>
                <w:szCs w:val="20"/>
                <w:lang w:val="en-GB"/>
              </w:rPr>
              <w:t>9</w:t>
            </w:r>
          </w:p>
        </w:tc>
      </w:tr>
      <w:tr w:rsidR="00790177" w:rsidRPr="00771F08" w14:paraId="74F9089B"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single" w:sz="4" w:space="0" w:color="auto"/>
              <w:right w:val="nil"/>
            </w:tcBorders>
          </w:tcPr>
          <w:p w14:paraId="3556E1A0"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More than $100,000</w:t>
            </w:r>
          </w:p>
        </w:tc>
        <w:tc>
          <w:tcPr>
            <w:tcW w:w="606" w:type="pct"/>
            <w:tcBorders>
              <w:top w:val="nil"/>
              <w:left w:val="nil"/>
              <w:bottom w:val="single" w:sz="4" w:space="0" w:color="auto"/>
              <w:right w:val="nil"/>
            </w:tcBorders>
          </w:tcPr>
          <w:p w14:paraId="611A82CD"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63</w:t>
            </w:r>
          </w:p>
        </w:tc>
        <w:tc>
          <w:tcPr>
            <w:tcW w:w="960" w:type="pct"/>
            <w:tcBorders>
              <w:top w:val="nil"/>
              <w:left w:val="nil"/>
              <w:bottom w:val="single" w:sz="4" w:space="0" w:color="auto"/>
              <w:right w:val="nil"/>
            </w:tcBorders>
          </w:tcPr>
          <w:p w14:paraId="5118DDD8" w14:textId="1AD5547B"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19.</w:t>
            </w:r>
            <w:r w:rsidR="00790177" w:rsidRPr="00771F08">
              <w:rPr>
                <w:rFonts w:ascii="Times New Roman" w:hAnsi="Times New Roman"/>
                <w:sz w:val="20"/>
                <w:szCs w:val="20"/>
                <w:lang w:val="en-GB"/>
              </w:rPr>
              <w:t>9</w:t>
            </w:r>
          </w:p>
        </w:tc>
        <w:tc>
          <w:tcPr>
            <w:tcW w:w="959" w:type="pct"/>
            <w:tcBorders>
              <w:top w:val="nil"/>
              <w:left w:val="nil"/>
              <w:bottom w:val="single" w:sz="4" w:space="0" w:color="auto"/>
              <w:right w:val="nil"/>
            </w:tcBorders>
          </w:tcPr>
          <w:p w14:paraId="42038C79"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7</w:t>
            </w:r>
          </w:p>
        </w:tc>
        <w:tc>
          <w:tcPr>
            <w:tcW w:w="755" w:type="pct"/>
            <w:tcBorders>
              <w:top w:val="nil"/>
              <w:left w:val="nil"/>
              <w:bottom w:val="single" w:sz="4" w:space="0" w:color="auto"/>
              <w:right w:val="nil"/>
            </w:tcBorders>
          </w:tcPr>
          <w:p w14:paraId="1D30D21B" w14:textId="72C589B7"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2.</w:t>
            </w:r>
            <w:r w:rsidR="00790177" w:rsidRPr="00771F08">
              <w:rPr>
                <w:rFonts w:ascii="Times New Roman" w:hAnsi="Times New Roman"/>
                <w:sz w:val="20"/>
                <w:szCs w:val="20"/>
                <w:lang w:val="en-GB"/>
              </w:rPr>
              <w:t>2</w:t>
            </w:r>
          </w:p>
        </w:tc>
      </w:tr>
      <w:tr w:rsidR="00790177" w:rsidRPr="00771F08" w14:paraId="24F5CEA7"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single" w:sz="4" w:space="0" w:color="auto"/>
              <w:left w:val="nil"/>
              <w:bottom w:val="nil"/>
              <w:right w:val="nil"/>
            </w:tcBorders>
          </w:tcPr>
          <w:p w14:paraId="10CC285C" w14:textId="2F890AE0" w:rsidR="00790177" w:rsidRPr="00771F08" w:rsidRDefault="008F06DE" w:rsidP="00237956">
            <w:pPr>
              <w:rPr>
                <w:rFonts w:ascii="Times New Roman" w:hAnsi="Times New Roman"/>
                <w:b/>
                <w:sz w:val="20"/>
                <w:szCs w:val="20"/>
                <w:lang w:val="en-GB"/>
              </w:rPr>
            </w:pPr>
            <w:r w:rsidRPr="00771F08">
              <w:rPr>
                <w:rFonts w:ascii="Times New Roman" w:hAnsi="Times New Roman"/>
                <w:b/>
                <w:sz w:val="20"/>
                <w:szCs w:val="20"/>
                <w:lang w:val="en-GB"/>
              </w:rPr>
              <w:t>Education a</w:t>
            </w:r>
            <w:r w:rsidR="00790177" w:rsidRPr="00771F08">
              <w:rPr>
                <w:rFonts w:ascii="Times New Roman" w:hAnsi="Times New Roman"/>
                <w:b/>
                <w:sz w:val="20"/>
                <w:szCs w:val="20"/>
                <w:lang w:val="en-GB"/>
              </w:rPr>
              <w:t>ttainment</w:t>
            </w:r>
          </w:p>
        </w:tc>
        <w:tc>
          <w:tcPr>
            <w:tcW w:w="606" w:type="pct"/>
            <w:tcBorders>
              <w:top w:val="single" w:sz="4" w:space="0" w:color="auto"/>
              <w:left w:val="nil"/>
              <w:bottom w:val="nil"/>
              <w:right w:val="nil"/>
            </w:tcBorders>
          </w:tcPr>
          <w:p w14:paraId="03350341" w14:textId="77777777" w:rsidR="00790177" w:rsidRPr="00771F08" w:rsidRDefault="00790177" w:rsidP="00237956">
            <w:pPr>
              <w:jc w:val="center"/>
              <w:rPr>
                <w:rFonts w:ascii="Times New Roman" w:hAnsi="Times New Roman"/>
                <w:sz w:val="20"/>
                <w:szCs w:val="20"/>
                <w:lang w:val="en-GB"/>
              </w:rPr>
            </w:pPr>
          </w:p>
        </w:tc>
        <w:tc>
          <w:tcPr>
            <w:tcW w:w="960" w:type="pct"/>
            <w:tcBorders>
              <w:top w:val="single" w:sz="4" w:space="0" w:color="auto"/>
              <w:left w:val="nil"/>
              <w:bottom w:val="nil"/>
              <w:right w:val="nil"/>
            </w:tcBorders>
          </w:tcPr>
          <w:p w14:paraId="23CA8013" w14:textId="77777777" w:rsidR="00790177" w:rsidRPr="00771F08" w:rsidRDefault="00790177" w:rsidP="00237956">
            <w:pPr>
              <w:jc w:val="center"/>
              <w:rPr>
                <w:rFonts w:ascii="Times New Roman" w:hAnsi="Times New Roman"/>
                <w:sz w:val="20"/>
                <w:szCs w:val="20"/>
                <w:lang w:val="en-GB"/>
              </w:rPr>
            </w:pPr>
          </w:p>
        </w:tc>
        <w:tc>
          <w:tcPr>
            <w:tcW w:w="959" w:type="pct"/>
            <w:tcBorders>
              <w:top w:val="single" w:sz="4" w:space="0" w:color="auto"/>
              <w:left w:val="nil"/>
              <w:bottom w:val="nil"/>
              <w:right w:val="nil"/>
            </w:tcBorders>
          </w:tcPr>
          <w:p w14:paraId="2AA019DF" w14:textId="77777777" w:rsidR="00790177" w:rsidRPr="00771F08" w:rsidRDefault="00790177" w:rsidP="00237956">
            <w:pPr>
              <w:jc w:val="center"/>
              <w:rPr>
                <w:rFonts w:ascii="Times New Roman" w:hAnsi="Times New Roman"/>
                <w:sz w:val="20"/>
                <w:szCs w:val="20"/>
                <w:lang w:val="en-GB"/>
              </w:rPr>
            </w:pPr>
          </w:p>
        </w:tc>
        <w:tc>
          <w:tcPr>
            <w:tcW w:w="755" w:type="pct"/>
            <w:tcBorders>
              <w:top w:val="single" w:sz="4" w:space="0" w:color="auto"/>
              <w:left w:val="nil"/>
              <w:bottom w:val="nil"/>
              <w:right w:val="nil"/>
            </w:tcBorders>
          </w:tcPr>
          <w:p w14:paraId="5B0D36A2" w14:textId="77777777" w:rsidR="00790177" w:rsidRPr="00771F08" w:rsidRDefault="00790177" w:rsidP="00237956">
            <w:pPr>
              <w:jc w:val="center"/>
              <w:rPr>
                <w:rFonts w:ascii="Times New Roman" w:hAnsi="Times New Roman"/>
                <w:sz w:val="20"/>
                <w:szCs w:val="20"/>
                <w:lang w:val="en-GB"/>
              </w:rPr>
            </w:pPr>
          </w:p>
        </w:tc>
      </w:tr>
      <w:tr w:rsidR="00790177" w:rsidRPr="00771F08" w14:paraId="78FB5880"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nil"/>
              <w:right w:val="nil"/>
            </w:tcBorders>
          </w:tcPr>
          <w:p w14:paraId="0505A26E"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Current university student</w:t>
            </w:r>
          </w:p>
        </w:tc>
        <w:tc>
          <w:tcPr>
            <w:tcW w:w="606" w:type="pct"/>
            <w:tcBorders>
              <w:top w:val="nil"/>
              <w:left w:val="nil"/>
              <w:bottom w:val="nil"/>
              <w:right w:val="nil"/>
            </w:tcBorders>
          </w:tcPr>
          <w:p w14:paraId="44350D8F"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8</w:t>
            </w:r>
          </w:p>
        </w:tc>
        <w:tc>
          <w:tcPr>
            <w:tcW w:w="960" w:type="pct"/>
            <w:tcBorders>
              <w:top w:val="nil"/>
              <w:left w:val="nil"/>
              <w:bottom w:val="nil"/>
              <w:right w:val="nil"/>
            </w:tcBorders>
          </w:tcPr>
          <w:p w14:paraId="4255F83F" w14:textId="52EC2423"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w:t>
            </w:r>
            <w:r w:rsidR="007D09C7" w:rsidRPr="00771F08">
              <w:rPr>
                <w:rFonts w:ascii="Times New Roman" w:hAnsi="Times New Roman"/>
                <w:sz w:val="20"/>
                <w:szCs w:val="20"/>
                <w:lang w:val="en-GB"/>
              </w:rPr>
              <w:t>.</w:t>
            </w:r>
            <w:r w:rsidRPr="00771F08">
              <w:rPr>
                <w:rFonts w:ascii="Times New Roman" w:hAnsi="Times New Roman"/>
                <w:sz w:val="20"/>
                <w:szCs w:val="20"/>
                <w:lang w:val="en-GB"/>
              </w:rPr>
              <w:t>5</w:t>
            </w:r>
          </w:p>
        </w:tc>
        <w:tc>
          <w:tcPr>
            <w:tcW w:w="959" w:type="pct"/>
            <w:tcBorders>
              <w:top w:val="nil"/>
              <w:left w:val="nil"/>
              <w:bottom w:val="nil"/>
              <w:right w:val="nil"/>
            </w:tcBorders>
          </w:tcPr>
          <w:p w14:paraId="772165CB"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3</w:t>
            </w:r>
          </w:p>
        </w:tc>
        <w:tc>
          <w:tcPr>
            <w:tcW w:w="755" w:type="pct"/>
            <w:tcBorders>
              <w:top w:val="nil"/>
              <w:left w:val="nil"/>
              <w:bottom w:val="nil"/>
              <w:right w:val="nil"/>
            </w:tcBorders>
          </w:tcPr>
          <w:p w14:paraId="574B25F0"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1,0</w:t>
            </w:r>
          </w:p>
        </w:tc>
      </w:tr>
      <w:tr w:rsidR="00790177" w:rsidRPr="00771F08" w14:paraId="29C4DBCA"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nil"/>
              <w:right w:val="nil"/>
            </w:tcBorders>
          </w:tcPr>
          <w:p w14:paraId="5D7F316A"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University graduate (e.g. Bachelor)</w:t>
            </w:r>
          </w:p>
        </w:tc>
        <w:tc>
          <w:tcPr>
            <w:tcW w:w="606" w:type="pct"/>
            <w:tcBorders>
              <w:top w:val="nil"/>
              <w:left w:val="nil"/>
              <w:bottom w:val="nil"/>
              <w:right w:val="nil"/>
            </w:tcBorders>
          </w:tcPr>
          <w:p w14:paraId="7397A6B7"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225</w:t>
            </w:r>
          </w:p>
        </w:tc>
        <w:tc>
          <w:tcPr>
            <w:tcW w:w="960" w:type="pct"/>
            <w:tcBorders>
              <w:top w:val="nil"/>
              <w:left w:val="nil"/>
              <w:bottom w:val="nil"/>
              <w:right w:val="nil"/>
            </w:tcBorders>
          </w:tcPr>
          <w:p w14:paraId="1BE3BA50" w14:textId="68C9FAD0"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70</w:t>
            </w:r>
            <w:r w:rsidR="007D09C7" w:rsidRPr="00771F08">
              <w:rPr>
                <w:rFonts w:ascii="Times New Roman" w:hAnsi="Times New Roman"/>
                <w:sz w:val="20"/>
                <w:szCs w:val="20"/>
                <w:lang w:val="en-GB"/>
              </w:rPr>
              <w:t>.</w:t>
            </w:r>
            <w:r w:rsidRPr="00771F08">
              <w:rPr>
                <w:rFonts w:ascii="Times New Roman" w:hAnsi="Times New Roman"/>
                <w:sz w:val="20"/>
                <w:szCs w:val="20"/>
                <w:lang w:val="en-GB"/>
              </w:rPr>
              <w:t>8</w:t>
            </w:r>
          </w:p>
        </w:tc>
        <w:tc>
          <w:tcPr>
            <w:tcW w:w="959" w:type="pct"/>
            <w:tcBorders>
              <w:top w:val="nil"/>
              <w:left w:val="nil"/>
              <w:bottom w:val="nil"/>
              <w:right w:val="nil"/>
            </w:tcBorders>
          </w:tcPr>
          <w:p w14:paraId="0A6F3E0C"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203</w:t>
            </w:r>
          </w:p>
        </w:tc>
        <w:tc>
          <w:tcPr>
            <w:tcW w:w="755" w:type="pct"/>
            <w:tcBorders>
              <w:top w:val="nil"/>
              <w:left w:val="nil"/>
              <w:bottom w:val="nil"/>
              <w:right w:val="nil"/>
            </w:tcBorders>
          </w:tcPr>
          <w:p w14:paraId="68AC0190" w14:textId="4F5CF418"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64.</w:t>
            </w:r>
            <w:r w:rsidR="00790177" w:rsidRPr="00771F08">
              <w:rPr>
                <w:rFonts w:ascii="Times New Roman" w:hAnsi="Times New Roman"/>
                <w:sz w:val="20"/>
                <w:szCs w:val="20"/>
                <w:lang w:val="en-GB"/>
              </w:rPr>
              <w:t>6</w:t>
            </w:r>
          </w:p>
        </w:tc>
      </w:tr>
      <w:tr w:rsidR="00790177" w:rsidRPr="00771F08" w14:paraId="352B9C5A"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nil"/>
              <w:right w:val="nil"/>
            </w:tcBorders>
          </w:tcPr>
          <w:p w14:paraId="00308C22"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Graduate degree (e.g. Master)</w:t>
            </w:r>
          </w:p>
        </w:tc>
        <w:tc>
          <w:tcPr>
            <w:tcW w:w="606" w:type="pct"/>
            <w:tcBorders>
              <w:top w:val="nil"/>
              <w:left w:val="nil"/>
              <w:bottom w:val="nil"/>
              <w:right w:val="nil"/>
            </w:tcBorders>
          </w:tcPr>
          <w:p w14:paraId="617CAD38"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74</w:t>
            </w:r>
          </w:p>
        </w:tc>
        <w:tc>
          <w:tcPr>
            <w:tcW w:w="960" w:type="pct"/>
            <w:tcBorders>
              <w:top w:val="nil"/>
              <w:left w:val="nil"/>
              <w:bottom w:val="nil"/>
              <w:right w:val="nil"/>
            </w:tcBorders>
          </w:tcPr>
          <w:p w14:paraId="070E3862" w14:textId="60CC113F"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23.</w:t>
            </w:r>
            <w:r w:rsidR="00790177" w:rsidRPr="00771F08">
              <w:rPr>
                <w:rFonts w:ascii="Times New Roman" w:hAnsi="Times New Roman"/>
                <w:sz w:val="20"/>
                <w:szCs w:val="20"/>
                <w:lang w:val="en-GB"/>
              </w:rPr>
              <w:t>3</w:t>
            </w:r>
          </w:p>
        </w:tc>
        <w:tc>
          <w:tcPr>
            <w:tcW w:w="959" w:type="pct"/>
            <w:tcBorders>
              <w:top w:val="nil"/>
              <w:left w:val="nil"/>
              <w:bottom w:val="nil"/>
              <w:right w:val="nil"/>
            </w:tcBorders>
          </w:tcPr>
          <w:p w14:paraId="4795ACD7"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100</w:t>
            </w:r>
          </w:p>
        </w:tc>
        <w:tc>
          <w:tcPr>
            <w:tcW w:w="755" w:type="pct"/>
            <w:tcBorders>
              <w:top w:val="nil"/>
              <w:left w:val="nil"/>
              <w:bottom w:val="nil"/>
              <w:right w:val="nil"/>
            </w:tcBorders>
          </w:tcPr>
          <w:p w14:paraId="54149882" w14:textId="781ADA61"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31.</w:t>
            </w:r>
            <w:r w:rsidR="00790177" w:rsidRPr="00771F08">
              <w:rPr>
                <w:rFonts w:ascii="Times New Roman" w:hAnsi="Times New Roman"/>
                <w:sz w:val="20"/>
                <w:szCs w:val="20"/>
                <w:lang w:val="en-GB"/>
              </w:rPr>
              <w:t>8</w:t>
            </w:r>
          </w:p>
        </w:tc>
      </w:tr>
      <w:tr w:rsidR="00790177" w:rsidRPr="00771F08" w14:paraId="2A0FBE6B"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nil"/>
              <w:left w:val="nil"/>
              <w:bottom w:val="single" w:sz="4" w:space="0" w:color="auto"/>
              <w:right w:val="nil"/>
            </w:tcBorders>
          </w:tcPr>
          <w:p w14:paraId="6519FC77" w14:textId="77777777" w:rsidR="00790177" w:rsidRPr="00771F08" w:rsidRDefault="00790177" w:rsidP="00237956">
            <w:pPr>
              <w:rPr>
                <w:rFonts w:ascii="Times New Roman" w:hAnsi="Times New Roman"/>
                <w:sz w:val="20"/>
                <w:szCs w:val="20"/>
                <w:lang w:val="en-GB"/>
              </w:rPr>
            </w:pPr>
            <w:r w:rsidRPr="00771F08">
              <w:rPr>
                <w:rFonts w:ascii="Times New Roman" w:hAnsi="Times New Roman"/>
                <w:sz w:val="20"/>
                <w:szCs w:val="20"/>
                <w:lang w:val="en-GB"/>
              </w:rPr>
              <w:t>Doctorate</w:t>
            </w:r>
          </w:p>
        </w:tc>
        <w:tc>
          <w:tcPr>
            <w:tcW w:w="606" w:type="pct"/>
            <w:tcBorders>
              <w:top w:val="nil"/>
              <w:left w:val="nil"/>
              <w:bottom w:val="single" w:sz="4" w:space="0" w:color="auto"/>
              <w:right w:val="nil"/>
            </w:tcBorders>
          </w:tcPr>
          <w:p w14:paraId="30F73DEB"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11</w:t>
            </w:r>
          </w:p>
        </w:tc>
        <w:tc>
          <w:tcPr>
            <w:tcW w:w="960" w:type="pct"/>
            <w:tcBorders>
              <w:top w:val="nil"/>
              <w:left w:val="nil"/>
              <w:bottom w:val="single" w:sz="4" w:space="0" w:color="auto"/>
              <w:right w:val="nil"/>
            </w:tcBorders>
          </w:tcPr>
          <w:p w14:paraId="180F2E4D" w14:textId="2FC67700"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3.</w:t>
            </w:r>
            <w:r w:rsidR="00790177" w:rsidRPr="00771F08">
              <w:rPr>
                <w:rFonts w:ascii="Times New Roman" w:hAnsi="Times New Roman"/>
                <w:sz w:val="20"/>
                <w:szCs w:val="20"/>
                <w:lang w:val="en-GB"/>
              </w:rPr>
              <w:t>5</w:t>
            </w:r>
          </w:p>
        </w:tc>
        <w:tc>
          <w:tcPr>
            <w:tcW w:w="959" w:type="pct"/>
            <w:tcBorders>
              <w:top w:val="nil"/>
              <w:left w:val="nil"/>
              <w:bottom w:val="single" w:sz="4" w:space="0" w:color="auto"/>
              <w:right w:val="nil"/>
            </w:tcBorders>
          </w:tcPr>
          <w:p w14:paraId="196FEFDB" w14:textId="77777777" w:rsidR="00790177" w:rsidRPr="00771F08" w:rsidRDefault="00790177" w:rsidP="00237956">
            <w:pPr>
              <w:jc w:val="center"/>
              <w:rPr>
                <w:rFonts w:ascii="Times New Roman" w:hAnsi="Times New Roman"/>
                <w:sz w:val="20"/>
                <w:szCs w:val="20"/>
                <w:lang w:val="en-GB"/>
              </w:rPr>
            </w:pPr>
            <w:r w:rsidRPr="00771F08">
              <w:rPr>
                <w:rFonts w:ascii="Times New Roman" w:hAnsi="Times New Roman"/>
                <w:sz w:val="20"/>
                <w:szCs w:val="20"/>
                <w:lang w:val="en-GB"/>
              </w:rPr>
              <w:t>8</w:t>
            </w:r>
          </w:p>
        </w:tc>
        <w:tc>
          <w:tcPr>
            <w:tcW w:w="755" w:type="pct"/>
            <w:tcBorders>
              <w:top w:val="nil"/>
              <w:left w:val="nil"/>
              <w:bottom w:val="single" w:sz="4" w:space="0" w:color="auto"/>
              <w:right w:val="nil"/>
            </w:tcBorders>
          </w:tcPr>
          <w:p w14:paraId="76515AA7" w14:textId="3C2DA9DF" w:rsidR="00790177" w:rsidRPr="00771F08" w:rsidRDefault="007D09C7" w:rsidP="00237956">
            <w:pPr>
              <w:jc w:val="center"/>
              <w:rPr>
                <w:rFonts w:ascii="Times New Roman" w:hAnsi="Times New Roman"/>
                <w:sz w:val="20"/>
                <w:szCs w:val="20"/>
                <w:lang w:val="en-GB"/>
              </w:rPr>
            </w:pPr>
            <w:r w:rsidRPr="00771F08">
              <w:rPr>
                <w:rFonts w:ascii="Times New Roman" w:hAnsi="Times New Roman"/>
                <w:sz w:val="20"/>
                <w:szCs w:val="20"/>
                <w:lang w:val="en-GB"/>
              </w:rPr>
              <w:t>2.</w:t>
            </w:r>
            <w:r w:rsidR="00790177" w:rsidRPr="00771F08">
              <w:rPr>
                <w:rFonts w:ascii="Times New Roman" w:hAnsi="Times New Roman"/>
                <w:sz w:val="20"/>
                <w:szCs w:val="20"/>
                <w:lang w:val="en-GB"/>
              </w:rPr>
              <w:t>5</w:t>
            </w:r>
          </w:p>
        </w:tc>
      </w:tr>
      <w:tr w:rsidR="008F06DE" w:rsidRPr="00771F08" w14:paraId="3C132E42" w14:textId="77777777" w:rsidTr="008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pct"/>
            <w:tcBorders>
              <w:top w:val="single" w:sz="4" w:space="0" w:color="auto"/>
              <w:left w:val="nil"/>
              <w:bottom w:val="single" w:sz="4" w:space="0" w:color="auto"/>
              <w:right w:val="nil"/>
            </w:tcBorders>
          </w:tcPr>
          <w:p w14:paraId="23E193E6" w14:textId="2862299F" w:rsidR="008F06DE" w:rsidRPr="00771F08" w:rsidRDefault="008F06DE" w:rsidP="00237956">
            <w:pPr>
              <w:rPr>
                <w:rFonts w:ascii="Times New Roman" w:hAnsi="Times New Roman"/>
                <w:b/>
                <w:sz w:val="20"/>
                <w:szCs w:val="20"/>
                <w:lang w:val="en-GB"/>
              </w:rPr>
            </w:pPr>
            <w:r w:rsidRPr="00771F08">
              <w:rPr>
                <w:rFonts w:ascii="Times New Roman" w:hAnsi="Times New Roman"/>
                <w:b/>
                <w:sz w:val="20"/>
                <w:szCs w:val="20"/>
                <w:lang w:val="en-GB"/>
              </w:rPr>
              <w:t xml:space="preserve">Donating </w:t>
            </w:r>
            <w:r w:rsidR="00175ACB">
              <w:rPr>
                <w:rFonts w:ascii="Times New Roman" w:hAnsi="Times New Roman"/>
                <w:b/>
                <w:sz w:val="20"/>
                <w:szCs w:val="20"/>
                <w:lang w:val="en-GB"/>
              </w:rPr>
              <w:t>behaviour</w:t>
            </w:r>
          </w:p>
          <w:p w14:paraId="41FA1542" w14:textId="77777777" w:rsidR="008F06DE" w:rsidRPr="00771F08" w:rsidRDefault="008F06DE" w:rsidP="00237956">
            <w:pPr>
              <w:rPr>
                <w:rFonts w:ascii="Times New Roman" w:hAnsi="Times New Roman"/>
                <w:sz w:val="20"/>
                <w:szCs w:val="20"/>
                <w:lang w:val="en-GB"/>
              </w:rPr>
            </w:pPr>
            <w:r w:rsidRPr="00771F08">
              <w:rPr>
                <w:rFonts w:ascii="Times New Roman" w:hAnsi="Times New Roman"/>
                <w:sz w:val="20"/>
                <w:szCs w:val="20"/>
                <w:lang w:val="en-GB"/>
              </w:rPr>
              <w:t>Donation since graduation</w:t>
            </w:r>
          </w:p>
          <w:p w14:paraId="53880265" w14:textId="4F29CDA8" w:rsidR="008F06DE" w:rsidRPr="00771F08" w:rsidRDefault="008F06DE" w:rsidP="00237956">
            <w:pPr>
              <w:rPr>
                <w:rFonts w:ascii="Times New Roman" w:hAnsi="Times New Roman"/>
                <w:sz w:val="20"/>
                <w:szCs w:val="20"/>
                <w:lang w:val="en-GB"/>
              </w:rPr>
            </w:pPr>
            <w:r w:rsidRPr="00771F08">
              <w:rPr>
                <w:rFonts w:ascii="Times New Roman" w:hAnsi="Times New Roman"/>
                <w:sz w:val="20"/>
                <w:szCs w:val="20"/>
                <w:lang w:val="en-GB"/>
              </w:rPr>
              <w:t>No donation since graduation</w:t>
            </w:r>
          </w:p>
        </w:tc>
        <w:tc>
          <w:tcPr>
            <w:tcW w:w="606" w:type="pct"/>
            <w:tcBorders>
              <w:top w:val="single" w:sz="4" w:space="0" w:color="auto"/>
              <w:left w:val="nil"/>
              <w:bottom w:val="single" w:sz="4" w:space="0" w:color="auto"/>
              <w:right w:val="nil"/>
            </w:tcBorders>
          </w:tcPr>
          <w:p w14:paraId="594198CC" w14:textId="2FC5E0BE" w:rsidR="008F06DE" w:rsidRPr="00771F08" w:rsidRDefault="008F06DE" w:rsidP="00237956">
            <w:pPr>
              <w:rPr>
                <w:rFonts w:ascii="Times New Roman" w:hAnsi="Times New Roman"/>
                <w:sz w:val="20"/>
                <w:szCs w:val="20"/>
                <w:lang w:val="en-GB"/>
              </w:rPr>
            </w:pPr>
          </w:p>
          <w:p w14:paraId="438B2BFD" w14:textId="77777777"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74</w:t>
            </w:r>
          </w:p>
          <w:p w14:paraId="23D0BF87" w14:textId="766312EE"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244</w:t>
            </w:r>
          </w:p>
        </w:tc>
        <w:tc>
          <w:tcPr>
            <w:tcW w:w="960" w:type="pct"/>
            <w:tcBorders>
              <w:top w:val="single" w:sz="4" w:space="0" w:color="auto"/>
              <w:left w:val="nil"/>
              <w:bottom w:val="single" w:sz="4" w:space="0" w:color="auto"/>
              <w:right w:val="nil"/>
            </w:tcBorders>
          </w:tcPr>
          <w:p w14:paraId="4C39C0F1" w14:textId="38C9DB23" w:rsidR="008F06DE" w:rsidRPr="00771F08" w:rsidRDefault="008F06DE" w:rsidP="00237956">
            <w:pPr>
              <w:rPr>
                <w:rFonts w:ascii="Times New Roman" w:hAnsi="Times New Roman"/>
                <w:sz w:val="20"/>
                <w:szCs w:val="20"/>
                <w:lang w:val="en-GB"/>
              </w:rPr>
            </w:pPr>
          </w:p>
          <w:p w14:paraId="01CB48BF" w14:textId="56B26127"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23.3</w:t>
            </w:r>
          </w:p>
          <w:p w14:paraId="1A505891" w14:textId="7C4A264A"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76.7</w:t>
            </w:r>
          </w:p>
        </w:tc>
        <w:tc>
          <w:tcPr>
            <w:tcW w:w="959" w:type="pct"/>
            <w:tcBorders>
              <w:top w:val="single" w:sz="4" w:space="0" w:color="auto"/>
              <w:left w:val="nil"/>
              <w:bottom w:val="single" w:sz="4" w:space="0" w:color="auto"/>
              <w:right w:val="nil"/>
            </w:tcBorders>
          </w:tcPr>
          <w:p w14:paraId="2D6FB32B" w14:textId="77777777" w:rsidR="008F06DE" w:rsidRPr="00771F08" w:rsidRDefault="008F06DE" w:rsidP="00237956">
            <w:pPr>
              <w:jc w:val="center"/>
              <w:rPr>
                <w:rFonts w:ascii="Times New Roman" w:hAnsi="Times New Roman"/>
                <w:sz w:val="20"/>
                <w:szCs w:val="20"/>
                <w:lang w:val="en-GB"/>
              </w:rPr>
            </w:pPr>
          </w:p>
          <w:p w14:paraId="6911F44D" w14:textId="77777777"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12</w:t>
            </w:r>
          </w:p>
          <w:p w14:paraId="176260D6" w14:textId="097BD7B5"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302</w:t>
            </w:r>
          </w:p>
        </w:tc>
        <w:tc>
          <w:tcPr>
            <w:tcW w:w="755" w:type="pct"/>
            <w:tcBorders>
              <w:top w:val="single" w:sz="4" w:space="0" w:color="auto"/>
              <w:left w:val="nil"/>
              <w:bottom w:val="single" w:sz="4" w:space="0" w:color="auto"/>
              <w:right w:val="nil"/>
            </w:tcBorders>
          </w:tcPr>
          <w:p w14:paraId="585A8C35" w14:textId="77777777" w:rsidR="008F06DE" w:rsidRPr="00771F08" w:rsidRDefault="008F06DE" w:rsidP="00237956">
            <w:pPr>
              <w:jc w:val="center"/>
              <w:rPr>
                <w:rFonts w:ascii="Times New Roman" w:hAnsi="Times New Roman"/>
                <w:sz w:val="20"/>
                <w:szCs w:val="20"/>
                <w:lang w:val="en-GB"/>
              </w:rPr>
            </w:pPr>
          </w:p>
          <w:p w14:paraId="4A8FC519" w14:textId="77777777"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3.8</w:t>
            </w:r>
          </w:p>
          <w:p w14:paraId="3429A106" w14:textId="68396F1C" w:rsidR="008F06DE" w:rsidRPr="00771F08" w:rsidRDefault="008F06DE" w:rsidP="00237956">
            <w:pPr>
              <w:jc w:val="center"/>
              <w:rPr>
                <w:rFonts w:ascii="Times New Roman" w:hAnsi="Times New Roman"/>
                <w:sz w:val="20"/>
                <w:szCs w:val="20"/>
                <w:lang w:val="en-GB"/>
              </w:rPr>
            </w:pPr>
            <w:r w:rsidRPr="00771F08">
              <w:rPr>
                <w:rFonts w:ascii="Times New Roman" w:hAnsi="Times New Roman"/>
                <w:sz w:val="20"/>
                <w:szCs w:val="20"/>
                <w:lang w:val="en-GB"/>
              </w:rPr>
              <w:t>96.2</w:t>
            </w:r>
          </w:p>
        </w:tc>
      </w:tr>
    </w:tbl>
    <w:p w14:paraId="4F108FCE" w14:textId="77777777" w:rsidR="00982367" w:rsidRDefault="00982367" w:rsidP="00237956">
      <w:pPr>
        <w:spacing w:after="0" w:line="240" w:lineRule="auto"/>
        <w:ind w:left="851" w:right="1133" w:hanging="284"/>
        <w:jc w:val="both"/>
        <w:rPr>
          <w:rFonts w:ascii="Times New Roman" w:hAnsi="Times New Roman" w:cs="Times New Roman"/>
          <w:b/>
          <w:i/>
          <w:szCs w:val="24"/>
          <w:lang w:val="en-GB"/>
        </w:rPr>
      </w:pPr>
    </w:p>
    <w:p w14:paraId="42AF429D" w14:textId="7E744F3B" w:rsidR="00233A58" w:rsidRPr="00771F08" w:rsidRDefault="0019395B" w:rsidP="00237956">
      <w:pPr>
        <w:spacing w:after="0" w:line="240" w:lineRule="auto"/>
        <w:ind w:left="851" w:right="1133" w:hanging="284"/>
        <w:jc w:val="both"/>
        <w:rPr>
          <w:rFonts w:ascii="Times New Roman" w:hAnsi="Times New Roman" w:cs="Times New Roman"/>
          <w:b/>
          <w:i/>
          <w:szCs w:val="24"/>
          <w:lang w:val="en-GB"/>
        </w:rPr>
      </w:pPr>
      <w:r w:rsidRPr="00771F08">
        <w:rPr>
          <w:rFonts w:ascii="Times New Roman" w:hAnsi="Times New Roman" w:cs="Times New Roman"/>
          <w:b/>
          <w:i/>
          <w:szCs w:val="24"/>
          <w:lang w:val="en-GB"/>
        </w:rPr>
        <w:t xml:space="preserve">3.2 </w:t>
      </w:r>
      <w:r w:rsidR="00233A58" w:rsidRPr="00771F08">
        <w:rPr>
          <w:rFonts w:ascii="Times New Roman" w:hAnsi="Times New Roman" w:cs="Times New Roman"/>
          <w:b/>
          <w:i/>
          <w:szCs w:val="24"/>
          <w:lang w:val="en-GB"/>
        </w:rPr>
        <w:t>Construct measurement</w:t>
      </w:r>
    </w:p>
    <w:p w14:paraId="3D10E4C6" w14:textId="2CC7C349" w:rsidR="00BE5B80" w:rsidRPr="00771F08" w:rsidRDefault="001A4143"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For all</w:t>
      </w:r>
      <w:r w:rsidR="005C39F4" w:rsidRPr="00771F08">
        <w:rPr>
          <w:rFonts w:ascii="Times New Roman" w:hAnsi="Times New Roman" w:cs="Times New Roman"/>
          <w:szCs w:val="24"/>
          <w:lang w:val="en-GB"/>
        </w:rPr>
        <w:t xml:space="preserve"> </w:t>
      </w:r>
      <w:r w:rsidRPr="00771F08">
        <w:rPr>
          <w:rFonts w:ascii="Times New Roman" w:hAnsi="Times New Roman" w:cs="Times New Roman"/>
          <w:szCs w:val="24"/>
          <w:lang w:val="en-GB"/>
        </w:rPr>
        <w:t>constructs, we used the same question (</w:t>
      </w:r>
      <w:r w:rsidR="008205E2" w:rsidRPr="00771F08">
        <w:rPr>
          <w:rFonts w:ascii="Times New Roman" w:hAnsi="Times New Roman" w:cs="Times New Roman"/>
          <w:szCs w:val="24"/>
          <w:lang w:val="en-GB"/>
        </w:rPr>
        <w:t>“</w:t>
      </w:r>
      <w:r w:rsidRPr="00771F08">
        <w:rPr>
          <w:rFonts w:ascii="Times New Roman" w:hAnsi="Times New Roman" w:cs="Times New Roman"/>
          <w:szCs w:val="24"/>
          <w:lang w:val="en-GB"/>
        </w:rPr>
        <w:t>Please select the option that applies to each of the statements below</w:t>
      </w:r>
      <w:r w:rsidR="008205E2" w:rsidRPr="00771F08">
        <w:rPr>
          <w:rFonts w:ascii="Times New Roman" w:hAnsi="Times New Roman" w:cs="Times New Roman"/>
          <w:szCs w:val="24"/>
          <w:lang w:val="en-GB"/>
        </w:rPr>
        <w:t>”</w:t>
      </w:r>
      <w:r w:rsidRPr="00771F08">
        <w:rPr>
          <w:rFonts w:ascii="Times New Roman" w:hAnsi="Times New Roman" w:cs="Times New Roman"/>
          <w:szCs w:val="24"/>
          <w:lang w:val="en-GB"/>
        </w:rPr>
        <w:t>) and a seven-point scale has been adopted</w:t>
      </w:r>
      <w:r w:rsidR="005773E9" w:rsidRPr="00771F08">
        <w:rPr>
          <w:rFonts w:ascii="Times New Roman" w:hAnsi="Times New Roman" w:cs="Times New Roman"/>
          <w:szCs w:val="24"/>
          <w:lang w:val="en-GB"/>
        </w:rPr>
        <w:t xml:space="preserve"> (ranging from 1</w:t>
      </w:r>
      <w:r w:rsidR="00DD6961" w:rsidRPr="00771F08">
        <w:rPr>
          <w:rFonts w:ascii="Times New Roman" w:hAnsi="Times New Roman" w:cs="Times New Roman"/>
          <w:szCs w:val="24"/>
          <w:lang w:val="en-GB"/>
        </w:rPr>
        <w:t xml:space="preserve"> = </w:t>
      </w:r>
      <w:r w:rsidR="005773E9" w:rsidRPr="00771F08">
        <w:rPr>
          <w:rFonts w:ascii="Times New Roman" w:hAnsi="Times New Roman" w:cs="Times New Roman"/>
          <w:szCs w:val="24"/>
          <w:lang w:val="en-GB"/>
        </w:rPr>
        <w:t>“Not likely at all”</w:t>
      </w:r>
      <w:r w:rsidR="00DD6961" w:rsidRPr="00771F08">
        <w:rPr>
          <w:rFonts w:ascii="Times New Roman" w:hAnsi="Times New Roman" w:cs="Times New Roman"/>
          <w:szCs w:val="24"/>
          <w:lang w:val="en-GB"/>
        </w:rPr>
        <w:t xml:space="preserve"> t</w:t>
      </w:r>
      <w:r w:rsidR="00475C9C" w:rsidRPr="00771F08">
        <w:rPr>
          <w:rFonts w:ascii="Times New Roman" w:hAnsi="Times New Roman" w:cs="Times New Roman"/>
          <w:szCs w:val="24"/>
          <w:lang w:val="en-GB"/>
        </w:rPr>
        <w:t xml:space="preserve">o 7 = “Extremely likely” for </w:t>
      </w:r>
      <w:r w:rsidR="00DD6961" w:rsidRPr="00771F08">
        <w:rPr>
          <w:rFonts w:ascii="Times New Roman" w:hAnsi="Times New Roman" w:cs="Times New Roman"/>
          <w:szCs w:val="24"/>
          <w:lang w:val="en-GB"/>
        </w:rPr>
        <w:t>support, from 1 = “Strongly disagree” to 7 = “strongly agree” for engagement,</w:t>
      </w:r>
      <w:r w:rsidR="00B571E5" w:rsidRPr="00771F08">
        <w:rPr>
          <w:rFonts w:ascii="Times New Roman" w:hAnsi="Times New Roman" w:cs="Times New Roman"/>
          <w:szCs w:val="24"/>
          <w:lang w:val="en-GB"/>
        </w:rPr>
        <w:t xml:space="preserve"> trust, and</w:t>
      </w:r>
      <w:r w:rsidR="00DD6961" w:rsidRPr="00771F08">
        <w:rPr>
          <w:rFonts w:ascii="Times New Roman" w:hAnsi="Times New Roman" w:cs="Times New Roman"/>
          <w:szCs w:val="24"/>
          <w:lang w:val="en-GB"/>
        </w:rPr>
        <w:t xml:space="preserve"> commitment and from 1 = “do not agree” to 7 = “completely agree” for attitude/intention toward donations)</w:t>
      </w:r>
      <w:r w:rsidR="00FB6251" w:rsidRPr="00771F08">
        <w:rPr>
          <w:rFonts w:ascii="Times New Roman" w:hAnsi="Times New Roman" w:cs="Times New Roman"/>
          <w:szCs w:val="24"/>
          <w:lang w:val="en-GB"/>
        </w:rPr>
        <w:t>.</w:t>
      </w:r>
      <w:r w:rsidR="002470A3" w:rsidRPr="00771F08">
        <w:rPr>
          <w:rFonts w:ascii="Times New Roman" w:hAnsi="Times New Roman" w:cs="Times New Roman"/>
          <w:szCs w:val="24"/>
          <w:lang w:val="en-GB"/>
        </w:rPr>
        <w:t xml:space="preserve"> More specifically, </w:t>
      </w:r>
      <w:r w:rsidR="003F3F90" w:rsidRPr="00771F08">
        <w:rPr>
          <w:rFonts w:ascii="Times New Roman" w:hAnsi="Times New Roman" w:cs="Times New Roman"/>
          <w:szCs w:val="24"/>
          <w:lang w:val="en-GB"/>
        </w:rPr>
        <w:t xml:space="preserve">the statements </w:t>
      </w:r>
      <w:r w:rsidR="005773E9" w:rsidRPr="00771F08">
        <w:rPr>
          <w:rFonts w:ascii="Times New Roman" w:hAnsi="Times New Roman" w:cs="Times New Roman"/>
          <w:szCs w:val="24"/>
          <w:lang w:val="en-GB"/>
        </w:rPr>
        <w:t xml:space="preserve">concerning </w:t>
      </w:r>
      <w:r w:rsidR="00534BA9" w:rsidRPr="00771F08">
        <w:rPr>
          <w:rFonts w:ascii="Times New Roman" w:hAnsi="Times New Roman" w:cs="Times New Roman"/>
          <w:szCs w:val="24"/>
          <w:lang w:val="en-GB"/>
        </w:rPr>
        <w:t>engagement</w:t>
      </w:r>
      <w:r w:rsidR="0080792F" w:rsidRPr="00771F08">
        <w:rPr>
          <w:rFonts w:ascii="Times New Roman" w:hAnsi="Times New Roman" w:cs="Times New Roman"/>
          <w:szCs w:val="24"/>
          <w:lang w:val="en-GB"/>
        </w:rPr>
        <w:t xml:space="preserve"> </w:t>
      </w:r>
      <w:r w:rsidR="0067766A" w:rsidRPr="00771F08">
        <w:rPr>
          <w:rFonts w:ascii="Times New Roman" w:hAnsi="Times New Roman" w:cs="Times New Roman"/>
          <w:szCs w:val="24"/>
          <w:lang w:val="en-GB"/>
        </w:rPr>
        <w:t xml:space="preserve">were </w:t>
      </w:r>
      <w:r w:rsidR="00534BA9" w:rsidRPr="00771F08">
        <w:rPr>
          <w:rFonts w:ascii="Times New Roman" w:hAnsi="Times New Roman" w:cs="Times New Roman"/>
          <w:szCs w:val="24"/>
          <w:lang w:val="en-GB"/>
        </w:rPr>
        <w:t xml:space="preserve">formulated through </w:t>
      </w:r>
      <w:r w:rsidR="00C07AB5" w:rsidRPr="00771F08">
        <w:rPr>
          <w:rFonts w:ascii="Times New Roman" w:hAnsi="Times New Roman" w:cs="Times New Roman"/>
          <w:szCs w:val="24"/>
          <w:lang w:val="en-GB"/>
        </w:rPr>
        <w:t xml:space="preserve">a revision of the scale proposed by </w:t>
      </w:r>
      <w:proofErr w:type="spellStart"/>
      <w:r w:rsidR="00C07AB5" w:rsidRPr="00771F08">
        <w:rPr>
          <w:rFonts w:ascii="Times New Roman" w:hAnsi="Times New Roman" w:cs="Times New Roman"/>
          <w:szCs w:val="24"/>
          <w:lang w:val="en-GB"/>
        </w:rPr>
        <w:t>Banahene</w:t>
      </w:r>
      <w:proofErr w:type="spellEnd"/>
      <w:r w:rsidR="00C07AB5" w:rsidRPr="00771F08">
        <w:rPr>
          <w:rFonts w:ascii="Times New Roman" w:hAnsi="Times New Roman" w:cs="Times New Roman"/>
          <w:szCs w:val="24"/>
          <w:lang w:val="en-GB"/>
        </w:rPr>
        <w:t xml:space="preserve"> (2017), </w:t>
      </w:r>
      <w:r w:rsidR="002C35A2" w:rsidRPr="00771F08">
        <w:rPr>
          <w:rFonts w:ascii="Times New Roman" w:hAnsi="Times New Roman" w:cs="Times New Roman"/>
          <w:szCs w:val="24"/>
          <w:lang w:val="en-GB"/>
        </w:rPr>
        <w:t xml:space="preserve">while those related to trust were developed and validated by Jillapalli and Jillapalli (2014). The alumni support items were extracted and </w:t>
      </w:r>
      <w:r w:rsidR="002C35A2" w:rsidRPr="00771F08">
        <w:rPr>
          <w:rFonts w:ascii="Times New Roman" w:hAnsi="Times New Roman" w:cs="Times New Roman"/>
          <w:szCs w:val="24"/>
          <w:lang w:val="en-GB"/>
        </w:rPr>
        <w:lastRenderedPageBreak/>
        <w:t xml:space="preserve">adapted starting from the study of </w:t>
      </w:r>
      <w:proofErr w:type="spellStart"/>
      <w:r w:rsidR="002C35A2" w:rsidRPr="00771F08">
        <w:rPr>
          <w:rFonts w:ascii="Times New Roman" w:hAnsi="Times New Roman" w:cs="Times New Roman"/>
          <w:szCs w:val="24"/>
          <w:lang w:val="en-GB"/>
        </w:rPr>
        <w:t>Bellezza</w:t>
      </w:r>
      <w:proofErr w:type="spellEnd"/>
      <w:r w:rsidR="002C35A2" w:rsidRPr="00771F08">
        <w:rPr>
          <w:rFonts w:ascii="Times New Roman" w:hAnsi="Times New Roman" w:cs="Times New Roman"/>
          <w:szCs w:val="24"/>
          <w:lang w:val="en-GB"/>
        </w:rPr>
        <w:t xml:space="preserve"> and </w:t>
      </w:r>
      <w:proofErr w:type="spellStart"/>
      <w:r w:rsidR="002C35A2" w:rsidRPr="00771F08">
        <w:rPr>
          <w:rFonts w:ascii="Times New Roman" w:hAnsi="Times New Roman" w:cs="Times New Roman"/>
          <w:szCs w:val="24"/>
          <w:lang w:val="en-GB"/>
        </w:rPr>
        <w:t>Keinan</w:t>
      </w:r>
      <w:proofErr w:type="spellEnd"/>
      <w:r w:rsidR="002C35A2" w:rsidRPr="00771F08">
        <w:rPr>
          <w:rFonts w:ascii="Times New Roman" w:hAnsi="Times New Roman" w:cs="Times New Roman"/>
          <w:szCs w:val="24"/>
          <w:lang w:val="en-GB"/>
        </w:rPr>
        <w:t xml:space="preserve"> (2014), while t</w:t>
      </w:r>
      <w:r w:rsidR="000912B7" w:rsidRPr="00771F08">
        <w:rPr>
          <w:rFonts w:ascii="Times New Roman" w:hAnsi="Times New Roman" w:cs="Times New Roman"/>
          <w:szCs w:val="24"/>
          <w:lang w:val="en-GB"/>
        </w:rPr>
        <w:t xml:space="preserve">he scale proposed by Jillapalli and Jillapalli (2014) has been adapted </w:t>
      </w:r>
      <w:r w:rsidR="00B61D14">
        <w:rPr>
          <w:rFonts w:ascii="Times New Roman" w:hAnsi="Times New Roman" w:cs="Times New Roman"/>
          <w:szCs w:val="24"/>
          <w:lang w:val="en-GB"/>
        </w:rPr>
        <w:t>to</w:t>
      </w:r>
      <w:r w:rsidR="00B61D14" w:rsidRPr="00771F08">
        <w:rPr>
          <w:rFonts w:ascii="Times New Roman" w:hAnsi="Times New Roman" w:cs="Times New Roman"/>
          <w:szCs w:val="24"/>
          <w:lang w:val="en-GB"/>
        </w:rPr>
        <w:t xml:space="preserve"> </w:t>
      </w:r>
      <w:r w:rsidR="000912B7" w:rsidRPr="00771F08">
        <w:rPr>
          <w:rFonts w:ascii="Times New Roman" w:hAnsi="Times New Roman" w:cs="Times New Roman"/>
          <w:szCs w:val="24"/>
          <w:lang w:val="en-GB"/>
        </w:rPr>
        <w:t>measur</w:t>
      </w:r>
      <w:r w:rsidR="00B61D14">
        <w:rPr>
          <w:rFonts w:ascii="Times New Roman" w:hAnsi="Times New Roman" w:cs="Times New Roman"/>
          <w:szCs w:val="24"/>
          <w:lang w:val="en-GB"/>
        </w:rPr>
        <w:t>e</w:t>
      </w:r>
      <w:r w:rsidR="000912B7" w:rsidRPr="00771F08">
        <w:rPr>
          <w:rFonts w:ascii="Times New Roman" w:hAnsi="Times New Roman" w:cs="Times New Roman"/>
          <w:szCs w:val="24"/>
          <w:lang w:val="en-GB"/>
        </w:rPr>
        <w:t xml:space="preserve"> the concept of </w:t>
      </w:r>
      <w:r w:rsidR="002C35A2" w:rsidRPr="00771F08">
        <w:rPr>
          <w:rFonts w:ascii="Times New Roman" w:hAnsi="Times New Roman" w:cs="Times New Roman"/>
          <w:szCs w:val="24"/>
          <w:lang w:val="en-GB"/>
        </w:rPr>
        <w:t>commitment</w:t>
      </w:r>
      <w:r w:rsidR="000912B7" w:rsidRPr="00771F08">
        <w:rPr>
          <w:rFonts w:ascii="Times New Roman" w:hAnsi="Times New Roman" w:cs="Times New Roman"/>
          <w:szCs w:val="24"/>
          <w:lang w:val="en-GB"/>
        </w:rPr>
        <w:t xml:space="preserve">. </w:t>
      </w:r>
      <w:r w:rsidR="00CD2484" w:rsidRPr="00771F08">
        <w:rPr>
          <w:rFonts w:ascii="Times New Roman" w:hAnsi="Times New Roman" w:cs="Times New Roman"/>
          <w:szCs w:val="24"/>
          <w:lang w:val="en-GB"/>
        </w:rPr>
        <w:t xml:space="preserve">Finally, </w:t>
      </w:r>
      <w:r w:rsidR="002F6DBC" w:rsidRPr="00771F08">
        <w:rPr>
          <w:rFonts w:ascii="Times New Roman" w:hAnsi="Times New Roman" w:cs="Times New Roman"/>
          <w:szCs w:val="24"/>
          <w:lang w:val="en-GB"/>
        </w:rPr>
        <w:t xml:space="preserve">attitude/inclination toward donations </w:t>
      </w:r>
      <w:r w:rsidR="003A5F67" w:rsidRPr="00771F08">
        <w:rPr>
          <w:rFonts w:ascii="Times New Roman" w:hAnsi="Times New Roman" w:cs="Times New Roman"/>
          <w:szCs w:val="24"/>
          <w:lang w:val="en-GB"/>
        </w:rPr>
        <w:t xml:space="preserve">was measured </w:t>
      </w:r>
      <w:r w:rsidR="002C35A2" w:rsidRPr="00771F08">
        <w:rPr>
          <w:rFonts w:ascii="Times New Roman" w:hAnsi="Times New Roman" w:cs="Times New Roman"/>
          <w:szCs w:val="24"/>
          <w:lang w:val="en-GB"/>
        </w:rPr>
        <w:t>by adapting</w:t>
      </w:r>
      <w:r w:rsidR="003A5F67" w:rsidRPr="00771F08">
        <w:rPr>
          <w:rFonts w:ascii="Times New Roman" w:hAnsi="Times New Roman" w:cs="Times New Roman"/>
          <w:szCs w:val="24"/>
          <w:lang w:val="en-GB"/>
        </w:rPr>
        <w:t xml:space="preserve"> </w:t>
      </w:r>
      <w:r w:rsidR="004D21AB" w:rsidRPr="00771F08">
        <w:rPr>
          <w:rFonts w:ascii="Times New Roman" w:hAnsi="Times New Roman" w:cs="Times New Roman"/>
          <w:szCs w:val="24"/>
          <w:lang w:val="en-GB"/>
        </w:rPr>
        <w:t xml:space="preserve">the </w:t>
      </w:r>
      <w:r w:rsidR="003A5F67" w:rsidRPr="00771F08">
        <w:rPr>
          <w:rFonts w:ascii="Times New Roman" w:hAnsi="Times New Roman" w:cs="Times New Roman"/>
          <w:szCs w:val="24"/>
          <w:lang w:val="en-GB"/>
        </w:rPr>
        <w:t>items</w:t>
      </w:r>
      <w:r w:rsidR="0020612B" w:rsidRPr="00771F08">
        <w:rPr>
          <w:rFonts w:ascii="Times New Roman" w:hAnsi="Times New Roman" w:cs="Times New Roman"/>
          <w:szCs w:val="24"/>
          <w:lang w:val="en-GB"/>
        </w:rPr>
        <w:t xml:space="preserve"> extracted from </w:t>
      </w:r>
      <w:r w:rsidR="002C35A2" w:rsidRPr="00771F08">
        <w:rPr>
          <w:rFonts w:ascii="Times New Roman" w:hAnsi="Times New Roman" w:cs="Times New Roman"/>
          <w:szCs w:val="24"/>
          <w:lang w:val="en-GB"/>
        </w:rPr>
        <w:t xml:space="preserve">the study of </w:t>
      </w:r>
      <w:r w:rsidR="00BA48A5" w:rsidRPr="00771F08">
        <w:rPr>
          <w:rFonts w:ascii="Times New Roman" w:hAnsi="Times New Roman" w:cs="Times New Roman"/>
          <w:szCs w:val="24"/>
          <w:lang w:val="en-GB"/>
        </w:rPr>
        <w:t>Johnso</w:t>
      </w:r>
      <w:r w:rsidR="000B5E29" w:rsidRPr="00771F08">
        <w:rPr>
          <w:rFonts w:ascii="Times New Roman" w:hAnsi="Times New Roman" w:cs="Times New Roman"/>
          <w:szCs w:val="24"/>
          <w:lang w:val="en-GB"/>
        </w:rPr>
        <w:t xml:space="preserve">n et al. </w:t>
      </w:r>
      <w:r w:rsidR="002C35A2" w:rsidRPr="00771F08">
        <w:rPr>
          <w:rFonts w:ascii="Times New Roman" w:hAnsi="Times New Roman" w:cs="Times New Roman"/>
          <w:szCs w:val="24"/>
          <w:lang w:val="en-GB"/>
        </w:rPr>
        <w:t>(2010).</w:t>
      </w:r>
    </w:p>
    <w:p w14:paraId="6D092C4D" w14:textId="26BA801C" w:rsidR="00B37A45" w:rsidRPr="00771F08" w:rsidRDefault="004D21AB" w:rsidP="00237956">
      <w:pPr>
        <w:spacing w:after="0" w:line="240" w:lineRule="auto"/>
        <w:ind w:left="567" w:right="1132"/>
        <w:rPr>
          <w:rFonts w:ascii="Times New Roman" w:hAnsi="Times New Roman" w:cs="Times New Roman"/>
          <w:szCs w:val="24"/>
          <w:lang w:val="en-GB"/>
        </w:rPr>
      </w:pPr>
      <w:r w:rsidRPr="00771F08">
        <w:rPr>
          <w:rFonts w:ascii="Times New Roman" w:hAnsi="Times New Roman" w:cs="Times New Roman"/>
          <w:szCs w:val="24"/>
          <w:lang w:val="en-GB"/>
        </w:rPr>
        <w:t xml:space="preserve">Common method bias </w:t>
      </w:r>
      <w:r w:rsidR="001E7079" w:rsidRPr="00771F08">
        <w:rPr>
          <w:rFonts w:ascii="Times New Roman" w:hAnsi="Times New Roman" w:cs="Times New Roman"/>
          <w:szCs w:val="24"/>
          <w:lang w:val="en-GB"/>
        </w:rPr>
        <w:t>wa</w:t>
      </w:r>
      <w:r w:rsidRPr="00771F08">
        <w:rPr>
          <w:rFonts w:ascii="Times New Roman" w:hAnsi="Times New Roman" w:cs="Times New Roman"/>
          <w:szCs w:val="24"/>
          <w:lang w:val="en-GB"/>
        </w:rPr>
        <w:t>s assessed by</w:t>
      </w:r>
      <w:r w:rsidR="005713EC" w:rsidRPr="00771F08">
        <w:rPr>
          <w:rFonts w:ascii="Times New Roman" w:hAnsi="Times New Roman" w:cs="Times New Roman"/>
          <w:szCs w:val="24"/>
          <w:lang w:val="en-GB"/>
        </w:rPr>
        <w:t xml:space="preserve"> employing</w:t>
      </w:r>
      <w:r w:rsidRPr="00771F08">
        <w:rPr>
          <w:rFonts w:ascii="Times New Roman" w:hAnsi="Times New Roman" w:cs="Times New Roman"/>
          <w:szCs w:val="24"/>
          <w:lang w:val="en-GB"/>
        </w:rPr>
        <w:t xml:space="preserve"> Harman’s single-factor test</w:t>
      </w:r>
      <w:r w:rsidR="005C39F4" w:rsidRPr="00771F08">
        <w:rPr>
          <w:rFonts w:ascii="Times New Roman" w:hAnsi="Times New Roman" w:cs="Times New Roman"/>
          <w:szCs w:val="24"/>
          <w:lang w:val="en-GB"/>
        </w:rPr>
        <w:t>,</w:t>
      </w:r>
      <w:r w:rsidR="005713EC" w:rsidRPr="00771F08">
        <w:rPr>
          <w:rFonts w:ascii="Times New Roman" w:hAnsi="Times New Roman" w:cs="Times New Roman"/>
          <w:szCs w:val="24"/>
          <w:lang w:val="en-GB"/>
        </w:rPr>
        <w:t xml:space="preserve"> which suggests</w:t>
      </w:r>
      <w:r w:rsidRPr="00771F08">
        <w:rPr>
          <w:rFonts w:ascii="Times New Roman" w:hAnsi="Times New Roman" w:cs="Times New Roman"/>
          <w:szCs w:val="24"/>
          <w:lang w:val="en-GB"/>
        </w:rPr>
        <w:t xml:space="preserve"> </w:t>
      </w:r>
      <w:r w:rsidR="005713EC" w:rsidRPr="00771F08">
        <w:rPr>
          <w:rFonts w:ascii="Times New Roman" w:hAnsi="Times New Roman" w:cs="Times New Roman"/>
          <w:szCs w:val="24"/>
          <w:lang w:val="en-GB"/>
        </w:rPr>
        <w:t xml:space="preserve">that </w:t>
      </w:r>
      <w:r w:rsidRPr="00771F08">
        <w:rPr>
          <w:rFonts w:ascii="Times New Roman" w:hAnsi="Times New Roman" w:cs="Times New Roman"/>
          <w:szCs w:val="24"/>
          <w:lang w:val="en-GB"/>
        </w:rPr>
        <w:t xml:space="preserve">common method </w:t>
      </w:r>
      <w:r w:rsidR="005713EC" w:rsidRPr="00771F08">
        <w:rPr>
          <w:rFonts w:ascii="Times New Roman" w:hAnsi="Times New Roman" w:cs="Times New Roman"/>
          <w:szCs w:val="24"/>
          <w:lang w:val="en-GB"/>
        </w:rPr>
        <w:t>bias has affected the results of a study when</w:t>
      </w:r>
      <w:r w:rsidRPr="00771F08">
        <w:rPr>
          <w:rFonts w:ascii="Times New Roman" w:hAnsi="Times New Roman" w:cs="Times New Roman"/>
          <w:szCs w:val="24"/>
          <w:lang w:val="en-GB"/>
        </w:rPr>
        <w:t xml:space="preserve"> </w:t>
      </w:r>
      <w:r w:rsidR="005713EC" w:rsidRPr="00771F08">
        <w:rPr>
          <w:rFonts w:ascii="Times New Roman" w:hAnsi="Times New Roman" w:cs="Times New Roman"/>
          <w:szCs w:val="24"/>
          <w:lang w:val="en-GB"/>
        </w:rPr>
        <w:t>a single factor containing all items included in a questionnaire explains over 50% of the variance</w:t>
      </w:r>
      <w:r w:rsidR="00707D0E" w:rsidRPr="00771F08">
        <w:rPr>
          <w:rFonts w:ascii="Times New Roman" w:hAnsi="Times New Roman" w:cs="Times New Roman"/>
          <w:szCs w:val="24"/>
          <w:lang w:val="en-GB"/>
        </w:rPr>
        <w:t xml:space="preserve"> (Podsakoff et al.</w:t>
      </w:r>
      <w:r w:rsidRPr="00771F08">
        <w:rPr>
          <w:rFonts w:ascii="Times New Roman" w:hAnsi="Times New Roman" w:cs="Times New Roman"/>
          <w:szCs w:val="24"/>
          <w:lang w:val="en-GB"/>
        </w:rPr>
        <w:t xml:space="preserve"> 2003). </w:t>
      </w:r>
      <w:r w:rsidR="005713EC" w:rsidRPr="00771F08">
        <w:rPr>
          <w:rFonts w:ascii="Times New Roman" w:hAnsi="Times New Roman" w:cs="Times New Roman"/>
          <w:szCs w:val="24"/>
          <w:lang w:val="en-GB"/>
        </w:rPr>
        <w:t>In</w:t>
      </w:r>
      <w:r w:rsidRPr="00771F08">
        <w:rPr>
          <w:rFonts w:ascii="Times New Roman" w:hAnsi="Times New Roman" w:cs="Times New Roman"/>
          <w:szCs w:val="24"/>
          <w:lang w:val="en-GB"/>
        </w:rPr>
        <w:t xml:space="preserve"> this study, the single factor explai</w:t>
      </w:r>
      <w:r w:rsidR="005713EC" w:rsidRPr="00771F08">
        <w:rPr>
          <w:rFonts w:ascii="Times New Roman" w:hAnsi="Times New Roman" w:cs="Times New Roman"/>
          <w:szCs w:val="24"/>
          <w:lang w:val="en-GB"/>
        </w:rPr>
        <w:t>ns</w:t>
      </w:r>
      <w:r w:rsidRPr="00771F08">
        <w:rPr>
          <w:rFonts w:ascii="Times New Roman" w:hAnsi="Times New Roman" w:cs="Times New Roman"/>
          <w:szCs w:val="24"/>
          <w:lang w:val="en-GB"/>
        </w:rPr>
        <w:t xml:space="preserve"> 42.2% of the variance</w:t>
      </w:r>
      <w:r w:rsidR="005C39F4" w:rsidRPr="00771F08">
        <w:rPr>
          <w:rFonts w:ascii="Times New Roman" w:hAnsi="Times New Roman" w:cs="Times New Roman"/>
          <w:szCs w:val="24"/>
          <w:lang w:val="en-GB"/>
        </w:rPr>
        <w:t>,</w:t>
      </w:r>
      <w:r w:rsidR="005713EC" w:rsidRPr="00771F08">
        <w:rPr>
          <w:rFonts w:ascii="Times New Roman" w:hAnsi="Times New Roman" w:cs="Times New Roman"/>
          <w:szCs w:val="24"/>
          <w:lang w:val="en-GB"/>
        </w:rPr>
        <w:t xml:space="preserve"> therefore</w:t>
      </w:r>
      <w:r w:rsidRPr="00771F08">
        <w:rPr>
          <w:rFonts w:ascii="Times New Roman" w:hAnsi="Times New Roman" w:cs="Times New Roman"/>
          <w:szCs w:val="24"/>
          <w:lang w:val="en-GB"/>
        </w:rPr>
        <w:t xml:space="preserve"> common method bias is not</w:t>
      </w:r>
      <w:r w:rsidR="0051174C" w:rsidRPr="00771F08">
        <w:rPr>
          <w:rFonts w:ascii="Times New Roman" w:hAnsi="Times New Roman" w:cs="Times New Roman"/>
          <w:szCs w:val="24"/>
          <w:lang w:val="en-GB"/>
        </w:rPr>
        <w:t xml:space="preserve"> an issue</w:t>
      </w:r>
      <w:r w:rsidRPr="00771F08">
        <w:rPr>
          <w:rFonts w:ascii="Times New Roman" w:hAnsi="Times New Roman" w:cs="Times New Roman"/>
          <w:szCs w:val="24"/>
          <w:lang w:val="en-GB"/>
        </w:rPr>
        <w:t>.</w:t>
      </w:r>
    </w:p>
    <w:p w14:paraId="097E74C3" w14:textId="77777777" w:rsidR="007D09C7" w:rsidRPr="00771F08" w:rsidRDefault="007D09C7" w:rsidP="00237956">
      <w:pPr>
        <w:spacing w:after="0" w:line="240" w:lineRule="auto"/>
        <w:ind w:left="567" w:right="1132"/>
        <w:rPr>
          <w:rFonts w:ascii="Times New Roman" w:hAnsi="Times New Roman" w:cs="Times New Roman"/>
          <w:szCs w:val="24"/>
          <w:lang w:val="en-GB"/>
        </w:rPr>
      </w:pPr>
      <w:r w:rsidRPr="00771F08">
        <w:rPr>
          <w:rFonts w:ascii="Times New Roman" w:hAnsi="Times New Roman" w:cs="Times New Roman"/>
          <w:szCs w:val="24"/>
          <w:lang w:val="en-GB"/>
        </w:rPr>
        <w:t xml:space="preserve">The constructs in this study are reflective measures as specified by Jarvis, MacKenzie, and Podsakoff (2003). The authors develop a set of criteria for determining reflective models, which are fulfilled by the construct measurement in this study. The direction of causality is from construct to items and indicators are manifestations of the construct. Further, indicators share a common theme and covary with each other. Additionally, the nomological net for the indicators does not differ. </w:t>
      </w:r>
    </w:p>
    <w:p w14:paraId="5D597AEF" w14:textId="77777777" w:rsidR="00B75755" w:rsidRPr="00771F08" w:rsidRDefault="00B75755" w:rsidP="00237956">
      <w:pPr>
        <w:spacing w:after="0" w:line="240" w:lineRule="auto"/>
        <w:ind w:left="567" w:right="1132"/>
        <w:rPr>
          <w:rFonts w:ascii="Times New Roman" w:hAnsi="Times New Roman" w:cs="Times New Roman"/>
          <w:b/>
          <w:i/>
          <w:sz w:val="24"/>
          <w:szCs w:val="24"/>
          <w:lang w:val="en-GB"/>
        </w:rPr>
      </w:pPr>
    </w:p>
    <w:p w14:paraId="45760792" w14:textId="0EEAB61F" w:rsidR="00B75755" w:rsidRPr="00771F08" w:rsidRDefault="00B75755" w:rsidP="00237956">
      <w:pPr>
        <w:spacing w:after="0" w:line="240" w:lineRule="auto"/>
        <w:ind w:left="567" w:right="1132"/>
        <w:rPr>
          <w:rFonts w:ascii="Times New Roman" w:hAnsi="Times New Roman" w:cs="Times New Roman"/>
          <w:b/>
          <w:i/>
          <w:szCs w:val="24"/>
          <w:lang w:val="en-GB"/>
        </w:rPr>
      </w:pPr>
      <w:r w:rsidRPr="00771F08">
        <w:rPr>
          <w:rFonts w:ascii="Times New Roman" w:hAnsi="Times New Roman" w:cs="Times New Roman"/>
          <w:b/>
          <w:i/>
          <w:szCs w:val="24"/>
          <w:lang w:val="en-GB"/>
        </w:rPr>
        <w:t>3.3 Data analysis</w:t>
      </w:r>
    </w:p>
    <w:p w14:paraId="34482EAC" w14:textId="6282E458" w:rsidR="007D09C7" w:rsidRPr="00771F08" w:rsidRDefault="007D09C7" w:rsidP="00237956">
      <w:pPr>
        <w:spacing w:after="0" w:line="240" w:lineRule="auto"/>
        <w:ind w:left="567" w:right="1132"/>
        <w:rPr>
          <w:rFonts w:ascii="Times New Roman" w:hAnsi="Times New Roman" w:cs="Times New Roman"/>
          <w:szCs w:val="24"/>
          <w:lang w:val="en-GB"/>
        </w:rPr>
      </w:pPr>
      <w:r w:rsidRPr="00771F08">
        <w:rPr>
          <w:rFonts w:ascii="Times New Roman" w:hAnsi="Times New Roman" w:cs="Times New Roman"/>
          <w:szCs w:val="24"/>
          <w:lang w:val="en-GB"/>
        </w:rPr>
        <w:t>As constructs are measured reflectively with several items and the sample size is large enough, the authors apply covariance-based structural e</w:t>
      </w:r>
      <w:r w:rsidR="006848C0" w:rsidRPr="00771F08">
        <w:rPr>
          <w:rFonts w:ascii="Times New Roman" w:hAnsi="Times New Roman" w:cs="Times New Roman"/>
          <w:szCs w:val="24"/>
          <w:lang w:val="en-GB"/>
        </w:rPr>
        <w:t>quation techniques (Hair et al.</w:t>
      </w:r>
      <w:r w:rsidRPr="00771F08">
        <w:rPr>
          <w:rFonts w:ascii="Times New Roman" w:hAnsi="Times New Roman" w:cs="Times New Roman"/>
          <w:szCs w:val="24"/>
          <w:lang w:val="en-GB"/>
        </w:rPr>
        <w:t xml:space="preserve"> 2018). Testing the proposed model requires an </w:t>
      </w:r>
      <w:r w:rsidR="000E0BA1" w:rsidRPr="00771F08">
        <w:rPr>
          <w:rFonts w:ascii="Times New Roman" w:hAnsi="Times New Roman" w:cs="Times New Roman"/>
          <w:szCs w:val="24"/>
          <w:lang w:val="en-GB"/>
        </w:rPr>
        <w:t>operationali</w:t>
      </w:r>
      <w:r w:rsidR="00771F08" w:rsidRPr="00771F08">
        <w:rPr>
          <w:rFonts w:ascii="Times New Roman" w:hAnsi="Times New Roman" w:cs="Times New Roman"/>
          <w:szCs w:val="24"/>
          <w:lang w:val="en-GB"/>
        </w:rPr>
        <w:t>s</w:t>
      </w:r>
      <w:r w:rsidR="000E0BA1" w:rsidRPr="00771F08">
        <w:rPr>
          <w:rFonts w:ascii="Times New Roman" w:hAnsi="Times New Roman" w:cs="Times New Roman"/>
          <w:szCs w:val="24"/>
          <w:lang w:val="en-GB"/>
        </w:rPr>
        <w:t>ation</w:t>
      </w:r>
      <w:r w:rsidRPr="00771F08">
        <w:rPr>
          <w:rFonts w:ascii="Times New Roman" w:hAnsi="Times New Roman" w:cs="Times New Roman"/>
          <w:szCs w:val="24"/>
          <w:lang w:val="en-GB"/>
        </w:rPr>
        <w:t xml:space="preserve"> of the </w:t>
      </w:r>
      <w:r w:rsidR="000E0BA1" w:rsidRPr="00771F08">
        <w:rPr>
          <w:rFonts w:ascii="Times New Roman" w:hAnsi="Times New Roman" w:cs="Times New Roman"/>
          <w:szCs w:val="24"/>
          <w:lang w:val="en-GB"/>
        </w:rPr>
        <w:t>hypothesi</w:t>
      </w:r>
      <w:r w:rsidR="00771F08" w:rsidRPr="00771F08">
        <w:rPr>
          <w:rFonts w:ascii="Times New Roman" w:hAnsi="Times New Roman" w:cs="Times New Roman"/>
          <w:szCs w:val="24"/>
          <w:lang w:val="en-GB"/>
        </w:rPr>
        <w:t>s</w:t>
      </w:r>
      <w:r w:rsidR="000E0BA1" w:rsidRPr="00771F08">
        <w:rPr>
          <w:rFonts w:ascii="Times New Roman" w:hAnsi="Times New Roman" w:cs="Times New Roman"/>
          <w:szCs w:val="24"/>
          <w:lang w:val="en-GB"/>
        </w:rPr>
        <w:t>ed</w:t>
      </w:r>
      <w:r w:rsidRPr="00771F08">
        <w:rPr>
          <w:rFonts w:ascii="Times New Roman" w:hAnsi="Times New Roman" w:cs="Times New Roman"/>
          <w:szCs w:val="24"/>
          <w:lang w:val="en-GB"/>
        </w:rPr>
        <w:t xml:space="preserve"> latent constructs and associated indicators, which is o</w:t>
      </w:r>
      <w:r w:rsidR="0056799D" w:rsidRPr="00771F08">
        <w:rPr>
          <w:rFonts w:ascii="Times New Roman" w:hAnsi="Times New Roman" w:cs="Times New Roman"/>
          <w:szCs w:val="24"/>
          <w:lang w:val="en-GB"/>
        </w:rPr>
        <w:t>nly possible with SEM (Bagozzi and</w:t>
      </w:r>
      <w:r w:rsidR="006848C0" w:rsidRPr="00771F08">
        <w:rPr>
          <w:rFonts w:ascii="Times New Roman" w:hAnsi="Times New Roman" w:cs="Times New Roman"/>
          <w:szCs w:val="24"/>
          <w:lang w:val="en-GB"/>
        </w:rPr>
        <w:t xml:space="preserve"> Yi</w:t>
      </w:r>
      <w:r w:rsidRPr="00771F08">
        <w:rPr>
          <w:rFonts w:ascii="Times New Roman" w:hAnsi="Times New Roman" w:cs="Times New Roman"/>
          <w:szCs w:val="24"/>
          <w:lang w:val="en-GB"/>
        </w:rPr>
        <w:t xml:space="preserve"> 2012). When covariance-based structural equation modelling is performed, the error terms are model</w:t>
      </w:r>
      <w:r w:rsidR="00D95D38" w:rsidRPr="00771F08">
        <w:rPr>
          <w:rFonts w:ascii="Times New Roman" w:hAnsi="Times New Roman" w:cs="Times New Roman"/>
          <w:szCs w:val="24"/>
          <w:lang w:val="en-GB"/>
        </w:rPr>
        <w:t>l</w:t>
      </w:r>
      <w:r w:rsidRPr="00771F08">
        <w:rPr>
          <w:rFonts w:ascii="Times New Roman" w:hAnsi="Times New Roman" w:cs="Times New Roman"/>
          <w:szCs w:val="24"/>
          <w:lang w:val="en-GB"/>
        </w:rPr>
        <w:t>ed for each indicator and loadings of the specific indicator are obtained, thus the quality of the latent constructs model</w:t>
      </w:r>
      <w:r w:rsidR="00D95D38" w:rsidRPr="00771F08">
        <w:rPr>
          <w:rFonts w:ascii="Times New Roman" w:hAnsi="Times New Roman" w:cs="Times New Roman"/>
          <w:szCs w:val="24"/>
          <w:lang w:val="en-GB"/>
        </w:rPr>
        <w:t>l</w:t>
      </w:r>
      <w:r w:rsidRPr="00771F08">
        <w:rPr>
          <w:rFonts w:ascii="Times New Roman" w:hAnsi="Times New Roman" w:cs="Times New Roman"/>
          <w:szCs w:val="24"/>
          <w:lang w:val="en-GB"/>
        </w:rPr>
        <w:t>ed can be adapted and improved. Confirmatory factor analysis in SEM allows all latent constructs to covary and thereby permits evaluation of both convergent and discriminant validi</w:t>
      </w:r>
      <w:r w:rsidR="0056799D" w:rsidRPr="00771F08">
        <w:rPr>
          <w:rFonts w:ascii="Times New Roman" w:hAnsi="Times New Roman" w:cs="Times New Roman"/>
          <w:szCs w:val="24"/>
          <w:lang w:val="en-GB"/>
        </w:rPr>
        <w:t xml:space="preserve">ty for each construct </w:t>
      </w:r>
      <w:r w:rsidR="006848C0" w:rsidRPr="00771F08">
        <w:rPr>
          <w:rFonts w:ascii="Times New Roman" w:hAnsi="Times New Roman" w:cs="Times New Roman"/>
          <w:szCs w:val="24"/>
          <w:lang w:val="en-GB"/>
        </w:rPr>
        <w:t>(</w:t>
      </w:r>
      <w:r w:rsidR="0056799D" w:rsidRPr="00771F08">
        <w:rPr>
          <w:rFonts w:ascii="Times New Roman" w:hAnsi="Times New Roman" w:cs="Times New Roman"/>
          <w:szCs w:val="24"/>
          <w:lang w:val="en-GB"/>
        </w:rPr>
        <w:t>Bagozzi and</w:t>
      </w:r>
      <w:r w:rsidR="006848C0" w:rsidRPr="00771F08">
        <w:rPr>
          <w:rFonts w:ascii="Times New Roman" w:hAnsi="Times New Roman" w:cs="Times New Roman"/>
          <w:szCs w:val="24"/>
          <w:lang w:val="en-GB"/>
        </w:rPr>
        <w:t xml:space="preserve"> Yi 2012; Hair et al.</w:t>
      </w:r>
      <w:r w:rsidRPr="00771F08">
        <w:rPr>
          <w:rFonts w:ascii="Times New Roman" w:hAnsi="Times New Roman" w:cs="Times New Roman"/>
          <w:szCs w:val="24"/>
          <w:lang w:val="en-GB"/>
        </w:rPr>
        <w:t xml:space="preserve"> 2018). The fit between the observed and estimated models can be obtained and evaluated. Further, relationships including mediating variables can be measured in one model</w:t>
      </w:r>
      <w:r w:rsidR="00D95D38"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which is a major improvement ove</w:t>
      </w:r>
      <w:r w:rsidR="0056799D" w:rsidRPr="00771F08">
        <w:rPr>
          <w:rFonts w:ascii="Times New Roman" w:hAnsi="Times New Roman" w:cs="Times New Roman"/>
          <w:szCs w:val="24"/>
          <w:lang w:val="en-GB"/>
        </w:rPr>
        <w:t>r multiple regression (Bagozzi and</w:t>
      </w:r>
      <w:r w:rsidR="006848C0" w:rsidRPr="00771F08">
        <w:rPr>
          <w:rFonts w:ascii="Times New Roman" w:hAnsi="Times New Roman" w:cs="Times New Roman"/>
          <w:szCs w:val="24"/>
          <w:lang w:val="en-GB"/>
        </w:rPr>
        <w:t xml:space="preserve"> Yi</w:t>
      </w:r>
      <w:r w:rsidRPr="00771F08">
        <w:rPr>
          <w:rFonts w:ascii="Times New Roman" w:hAnsi="Times New Roman" w:cs="Times New Roman"/>
          <w:szCs w:val="24"/>
          <w:lang w:val="en-GB"/>
        </w:rPr>
        <w:t xml:space="preserve"> 2012; </w:t>
      </w:r>
      <w:proofErr w:type="spellStart"/>
      <w:r w:rsidRPr="00771F08">
        <w:rPr>
          <w:rFonts w:ascii="Times New Roman" w:hAnsi="Times New Roman" w:cs="Times New Roman"/>
          <w:szCs w:val="24"/>
          <w:lang w:val="en-GB"/>
        </w:rPr>
        <w:t>Fabrigar</w:t>
      </w:r>
      <w:proofErr w:type="spellEnd"/>
      <w:r w:rsidR="0056799D" w:rsidRPr="00771F08">
        <w:rPr>
          <w:rFonts w:ascii="Times New Roman" w:hAnsi="Times New Roman" w:cs="Times New Roman"/>
          <w:szCs w:val="24"/>
          <w:lang w:val="en-GB"/>
        </w:rPr>
        <w:t>, Porter, and</w:t>
      </w:r>
      <w:r w:rsidR="006848C0" w:rsidRPr="00771F08">
        <w:rPr>
          <w:rFonts w:ascii="Times New Roman" w:hAnsi="Times New Roman" w:cs="Times New Roman"/>
          <w:szCs w:val="24"/>
          <w:lang w:val="en-GB"/>
        </w:rPr>
        <w:t xml:space="preserve"> Norris</w:t>
      </w:r>
      <w:r w:rsidRPr="00771F08">
        <w:rPr>
          <w:rFonts w:ascii="Times New Roman" w:hAnsi="Times New Roman" w:cs="Times New Roman"/>
          <w:szCs w:val="24"/>
          <w:lang w:val="en-GB"/>
        </w:rPr>
        <w:t xml:space="preserve"> 2010; Schreiber 2008). AMOS </w:t>
      </w:r>
      <w:r w:rsidR="000B3296" w:rsidRPr="00771F08">
        <w:rPr>
          <w:rFonts w:ascii="Times New Roman" w:hAnsi="Times New Roman" w:cs="Times New Roman"/>
          <w:szCs w:val="24"/>
          <w:lang w:val="en-GB"/>
        </w:rPr>
        <w:t xml:space="preserve">(version 22.0) </w:t>
      </w:r>
      <w:r w:rsidRPr="00771F08">
        <w:rPr>
          <w:rFonts w:ascii="Times New Roman" w:hAnsi="Times New Roman" w:cs="Times New Roman"/>
          <w:szCs w:val="24"/>
          <w:lang w:val="en-GB"/>
        </w:rPr>
        <w:t>was used as it represents a user-friendly software package to model covariance-based SEMs (Byrne 2016).</w:t>
      </w:r>
    </w:p>
    <w:p w14:paraId="67CC9396" w14:textId="3311E1CE" w:rsidR="000B3296" w:rsidRPr="00771F08" w:rsidRDefault="0093160A" w:rsidP="00237956">
      <w:pPr>
        <w:spacing w:after="0" w:line="240" w:lineRule="auto"/>
        <w:ind w:left="567" w:right="1132"/>
        <w:rPr>
          <w:rFonts w:ascii="Times New Roman" w:hAnsi="Times New Roman" w:cs="Times New Roman"/>
          <w:szCs w:val="24"/>
          <w:lang w:val="en-GB"/>
        </w:rPr>
      </w:pPr>
      <w:bookmarkStart w:id="1" w:name="_Hlk41908141"/>
      <w:r w:rsidRPr="00771F08">
        <w:rPr>
          <w:rFonts w:ascii="Times New Roman" w:hAnsi="Times New Roman" w:cs="Times New Roman"/>
          <w:szCs w:val="24"/>
          <w:lang w:val="en-GB"/>
        </w:rPr>
        <w:t xml:space="preserve">The following steps for </w:t>
      </w:r>
      <w:r w:rsidR="00746601" w:rsidRPr="00771F08">
        <w:rPr>
          <w:rFonts w:ascii="Times New Roman" w:hAnsi="Times New Roman" w:cs="Times New Roman"/>
          <w:szCs w:val="24"/>
          <w:lang w:val="en-GB"/>
        </w:rPr>
        <w:t>analy</w:t>
      </w:r>
      <w:r w:rsidR="00771F08" w:rsidRPr="00771F08">
        <w:rPr>
          <w:rFonts w:ascii="Times New Roman" w:hAnsi="Times New Roman" w:cs="Times New Roman"/>
          <w:szCs w:val="24"/>
          <w:lang w:val="en-GB"/>
        </w:rPr>
        <w:t>s</w:t>
      </w:r>
      <w:r w:rsidR="00746601" w:rsidRPr="00771F08">
        <w:rPr>
          <w:rFonts w:ascii="Times New Roman" w:hAnsi="Times New Roman" w:cs="Times New Roman"/>
          <w:szCs w:val="24"/>
          <w:lang w:val="en-GB"/>
        </w:rPr>
        <w:t>ing</w:t>
      </w:r>
      <w:r w:rsidRPr="00771F08">
        <w:rPr>
          <w:rFonts w:ascii="Times New Roman" w:hAnsi="Times New Roman" w:cs="Times New Roman"/>
          <w:szCs w:val="24"/>
          <w:lang w:val="en-GB"/>
        </w:rPr>
        <w:t xml:space="preserve"> the data in order to assess the relationships among the underlying constructs</w:t>
      </w:r>
      <w:r w:rsidR="00A90BD5" w:rsidRPr="00771F08">
        <w:rPr>
          <w:rFonts w:ascii="Times New Roman" w:hAnsi="Times New Roman" w:cs="Times New Roman"/>
          <w:szCs w:val="24"/>
          <w:lang w:val="en-GB"/>
        </w:rPr>
        <w:t xml:space="preserve"> were taken:</w:t>
      </w:r>
      <w:r w:rsidR="003B7403" w:rsidRPr="00771F08">
        <w:rPr>
          <w:rFonts w:ascii="Times New Roman" w:hAnsi="Times New Roman" w:cs="Times New Roman"/>
          <w:szCs w:val="24"/>
          <w:lang w:val="en-GB"/>
        </w:rPr>
        <w:t xml:space="preserve"> </w:t>
      </w:r>
      <w:r w:rsidR="000E0BA1" w:rsidRPr="00771F08">
        <w:rPr>
          <w:rFonts w:ascii="Times New Roman" w:hAnsi="Times New Roman" w:cs="Times New Roman"/>
          <w:szCs w:val="24"/>
          <w:lang w:val="en-GB"/>
        </w:rPr>
        <w:t>a</w:t>
      </w:r>
      <w:r w:rsidR="003B7403" w:rsidRPr="00771F08">
        <w:rPr>
          <w:rFonts w:ascii="Times New Roman" w:hAnsi="Times New Roman" w:cs="Times New Roman"/>
          <w:szCs w:val="24"/>
          <w:lang w:val="en-GB"/>
        </w:rPr>
        <w:t>n e</w:t>
      </w:r>
      <w:r w:rsidRPr="00771F08">
        <w:rPr>
          <w:rFonts w:ascii="Times New Roman" w:hAnsi="Times New Roman" w:cs="Times New Roman"/>
          <w:szCs w:val="24"/>
          <w:lang w:val="en-GB"/>
        </w:rPr>
        <w:t xml:space="preserve">xploratory factor analysis (EFA) </w:t>
      </w:r>
      <w:r w:rsidR="00A90BD5" w:rsidRPr="00771F08">
        <w:rPr>
          <w:rFonts w:ascii="Times New Roman" w:hAnsi="Times New Roman" w:cs="Times New Roman"/>
          <w:szCs w:val="24"/>
          <w:lang w:val="en-GB"/>
        </w:rPr>
        <w:t xml:space="preserve">was conducted to identify the underlying relationships between </w:t>
      </w:r>
      <w:r w:rsidR="00D95D38" w:rsidRPr="00771F08">
        <w:rPr>
          <w:rFonts w:ascii="Times New Roman" w:hAnsi="Times New Roman" w:cs="Times New Roman"/>
          <w:szCs w:val="24"/>
          <w:lang w:val="en-GB"/>
        </w:rPr>
        <w:t xml:space="preserve">the </w:t>
      </w:r>
      <w:r w:rsidR="00A90BD5" w:rsidRPr="00771F08">
        <w:rPr>
          <w:rFonts w:ascii="Times New Roman" w:hAnsi="Times New Roman" w:cs="Times New Roman"/>
          <w:szCs w:val="24"/>
          <w:lang w:val="en-GB"/>
        </w:rPr>
        <w:t>measured variables.</w:t>
      </w:r>
      <w:r w:rsidR="003B7403" w:rsidRPr="00771F08">
        <w:rPr>
          <w:rFonts w:ascii="Times New Roman" w:hAnsi="Times New Roman" w:cs="Times New Roman"/>
          <w:szCs w:val="24"/>
          <w:lang w:val="en-GB"/>
        </w:rPr>
        <w:t xml:space="preserve"> This was followed by c</w:t>
      </w:r>
      <w:r w:rsidR="00A90BD5" w:rsidRPr="00771F08">
        <w:rPr>
          <w:rFonts w:ascii="Times New Roman" w:hAnsi="Times New Roman" w:cs="Times New Roman"/>
          <w:szCs w:val="24"/>
          <w:lang w:val="en-GB"/>
        </w:rPr>
        <w:t>onfirmatory factor analysis (CFA)</w:t>
      </w:r>
      <w:r w:rsidR="00D95D38" w:rsidRPr="00771F08">
        <w:rPr>
          <w:rFonts w:ascii="Times New Roman" w:hAnsi="Times New Roman" w:cs="Times New Roman"/>
          <w:szCs w:val="24"/>
          <w:lang w:val="en-GB"/>
        </w:rPr>
        <w:t>,</w:t>
      </w:r>
      <w:r w:rsidR="00A90BD5" w:rsidRPr="00771F08">
        <w:rPr>
          <w:rFonts w:ascii="Times New Roman" w:hAnsi="Times New Roman" w:cs="Times New Roman"/>
          <w:szCs w:val="24"/>
          <w:lang w:val="en-GB"/>
        </w:rPr>
        <w:t xml:space="preserve"> </w:t>
      </w:r>
      <w:r w:rsidR="00D95D38" w:rsidRPr="00771F08">
        <w:rPr>
          <w:rFonts w:ascii="Times New Roman" w:hAnsi="Times New Roman" w:cs="Times New Roman"/>
          <w:szCs w:val="24"/>
          <w:lang w:val="en-GB"/>
        </w:rPr>
        <w:t xml:space="preserve">which </w:t>
      </w:r>
      <w:r w:rsidR="003B7403" w:rsidRPr="00771F08">
        <w:rPr>
          <w:rFonts w:ascii="Times New Roman" w:hAnsi="Times New Roman" w:cs="Times New Roman"/>
          <w:szCs w:val="24"/>
          <w:lang w:val="en-GB"/>
        </w:rPr>
        <w:t>was us</w:t>
      </w:r>
      <w:r w:rsidR="00A90BD5" w:rsidRPr="00771F08">
        <w:rPr>
          <w:rFonts w:ascii="Times New Roman" w:hAnsi="Times New Roman" w:cs="Times New Roman"/>
          <w:szCs w:val="24"/>
          <w:lang w:val="en-GB"/>
        </w:rPr>
        <w:t xml:space="preserve">ed to assess </w:t>
      </w:r>
      <w:r w:rsidR="00D95D38" w:rsidRPr="00771F08">
        <w:rPr>
          <w:rFonts w:ascii="Times New Roman" w:hAnsi="Times New Roman" w:cs="Times New Roman"/>
          <w:szCs w:val="24"/>
          <w:lang w:val="en-GB"/>
        </w:rPr>
        <w:t xml:space="preserve">the </w:t>
      </w:r>
      <w:r w:rsidR="00A90BD5" w:rsidRPr="00771F08">
        <w:rPr>
          <w:rFonts w:ascii="Times New Roman" w:hAnsi="Times New Roman" w:cs="Times New Roman"/>
          <w:szCs w:val="24"/>
          <w:lang w:val="en-GB"/>
        </w:rPr>
        <w:t>validity of the constructs.</w:t>
      </w:r>
      <w:r w:rsidR="003B7403" w:rsidRPr="00771F08">
        <w:rPr>
          <w:rFonts w:ascii="Times New Roman" w:hAnsi="Times New Roman" w:cs="Times New Roman"/>
          <w:szCs w:val="24"/>
          <w:lang w:val="en-GB"/>
        </w:rPr>
        <w:t xml:space="preserve"> In turn a</w:t>
      </w:r>
      <w:r w:rsidRPr="00771F08">
        <w:rPr>
          <w:rFonts w:ascii="Times New Roman" w:hAnsi="Times New Roman" w:cs="Times New Roman"/>
          <w:szCs w:val="24"/>
          <w:lang w:val="en-GB"/>
        </w:rPr>
        <w:t xml:space="preserve"> multi-group structural equation model </w:t>
      </w:r>
      <w:r w:rsidR="00A90BD5" w:rsidRPr="00771F08">
        <w:rPr>
          <w:rFonts w:ascii="Times New Roman" w:hAnsi="Times New Roman" w:cs="Times New Roman"/>
          <w:szCs w:val="24"/>
          <w:lang w:val="en-GB"/>
        </w:rPr>
        <w:t xml:space="preserve">(SEM) </w:t>
      </w:r>
      <w:r w:rsidRPr="00771F08">
        <w:rPr>
          <w:rFonts w:ascii="Times New Roman" w:hAnsi="Times New Roman" w:cs="Times New Roman"/>
          <w:szCs w:val="24"/>
          <w:lang w:val="en-GB"/>
        </w:rPr>
        <w:t xml:space="preserve">was performed to test the </w:t>
      </w:r>
      <w:r w:rsidR="000E0BA1" w:rsidRPr="00771F08">
        <w:rPr>
          <w:rFonts w:ascii="Times New Roman" w:hAnsi="Times New Roman" w:cs="Times New Roman"/>
          <w:szCs w:val="24"/>
          <w:lang w:val="en-GB"/>
        </w:rPr>
        <w:t>hypothesi</w:t>
      </w:r>
      <w:r w:rsidR="00771F08" w:rsidRPr="00771F08">
        <w:rPr>
          <w:rFonts w:ascii="Times New Roman" w:hAnsi="Times New Roman" w:cs="Times New Roman"/>
          <w:szCs w:val="24"/>
          <w:lang w:val="en-GB"/>
        </w:rPr>
        <w:t>s</w:t>
      </w:r>
      <w:r w:rsidR="000E0BA1" w:rsidRPr="00771F08">
        <w:rPr>
          <w:rFonts w:ascii="Times New Roman" w:hAnsi="Times New Roman" w:cs="Times New Roman"/>
          <w:szCs w:val="24"/>
          <w:lang w:val="en-GB"/>
        </w:rPr>
        <w:t>ed</w:t>
      </w:r>
      <w:r w:rsidRPr="00771F08">
        <w:rPr>
          <w:rFonts w:ascii="Times New Roman" w:hAnsi="Times New Roman" w:cs="Times New Roman"/>
          <w:szCs w:val="24"/>
          <w:lang w:val="en-GB"/>
        </w:rPr>
        <w:t xml:space="preserve"> relationships between the constructs and to assess differences between the countries. </w:t>
      </w:r>
      <w:r w:rsidR="006848C0" w:rsidRPr="00771F08">
        <w:rPr>
          <w:rFonts w:ascii="Times New Roman" w:hAnsi="Times New Roman" w:cs="Times New Roman"/>
          <w:szCs w:val="24"/>
          <w:lang w:val="en-GB"/>
        </w:rPr>
        <w:t>Finally,</w:t>
      </w:r>
      <w:r w:rsidR="003B7403" w:rsidRPr="00771F08">
        <w:rPr>
          <w:rFonts w:ascii="Times New Roman" w:hAnsi="Times New Roman" w:cs="Times New Roman"/>
          <w:szCs w:val="24"/>
          <w:lang w:val="en-GB"/>
        </w:rPr>
        <w:t xml:space="preserve"> a</w:t>
      </w:r>
      <w:r w:rsidRPr="00771F08">
        <w:rPr>
          <w:rFonts w:ascii="Times New Roman" w:hAnsi="Times New Roman" w:cs="Times New Roman"/>
          <w:szCs w:val="24"/>
          <w:lang w:val="en-GB"/>
        </w:rPr>
        <w:t>n additional model was tested</w:t>
      </w:r>
      <w:r w:rsidR="00D95D38"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including </w:t>
      </w:r>
      <w:r w:rsidR="00A90BD5" w:rsidRPr="00771F08">
        <w:rPr>
          <w:rFonts w:ascii="Times New Roman" w:hAnsi="Times New Roman" w:cs="Times New Roman"/>
          <w:szCs w:val="24"/>
          <w:lang w:val="en-GB"/>
        </w:rPr>
        <w:t>possible covarying variables.</w:t>
      </w:r>
      <w:bookmarkEnd w:id="1"/>
    </w:p>
    <w:p w14:paraId="216D53EA" w14:textId="77777777" w:rsidR="00B75755" w:rsidRPr="00771F08" w:rsidRDefault="00B75755" w:rsidP="00237956">
      <w:pPr>
        <w:spacing w:after="0" w:line="240" w:lineRule="auto"/>
        <w:jc w:val="both"/>
        <w:rPr>
          <w:rFonts w:ascii="Times New Roman" w:hAnsi="Times New Roman" w:cs="Times New Roman"/>
          <w:sz w:val="24"/>
          <w:szCs w:val="24"/>
          <w:lang w:val="en-GB"/>
        </w:rPr>
      </w:pPr>
    </w:p>
    <w:p w14:paraId="6C3FDE87" w14:textId="6A22C418" w:rsidR="00892BC4" w:rsidRPr="00771F08" w:rsidRDefault="00BE5B80" w:rsidP="00237956">
      <w:pPr>
        <w:pStyle w:val="ListParagraph"/>
        <w:numPr>
          <w:ilvl w:val="0"/>
          <w:numId w:val="3"/>
        </w:numPr>
        <w:spacing w:after="0" w:line="240" w:lineRule="auto"/>
        <w:ind w:right="1273"/>
        <w:rPr>
          <w:rFonts w:ascii="Times New Roman" w:hAnsi="Times New Roman" w:cs="Times New Roman"/>
          <w:b/>
          <w:szCs w:val="24"/>
          <w:lang w:val="en-GB"/>
        </w:rPr>
      </w:pPr>
      <w:r w:rsidRPr="00771F08">
        <w:rPr>
          <w:rFonts w:ascii="Times New Roman" w:hAnsi="Times New Roman" w:cs="Times New Roman"/>
          <w:b/>
          <w:szCs w:val="24"/>
          <w:lang w:val="en-GB"/>
        </w:rPr>
        <w:t>Results</w:t>
      </w:r>
    </w:p>
    <w:p w14:paraId="5927B337" w14:textId="158B861E" w:rsidR="00D36296" w:rsidRPr="00771F08" w:rsidRDefault="005E73B7" w:rsidP="00237956">
      <w:pPr>
        <w:spacing w:after="0" w:line="240" w:lineRule="auto"/>
        <w:ind w:left="567"/>
        <w:jc w:val="both"/>
        <w:rPr>
          <w:rFonts w:ascii="Times New Roman" w:eastAsia="Calibri" w:hAnsi="Times New Roman" w:cs="Times New Roman"/>
          <w:b/>
          <w:i/>
          <w:lang w:val="en-GB"/>
        </w:rPr>
      </w:pPr>
      <w:r w:rsidRPr="00771F08">
        <w:rPr>
          <w:rFonts w:ascii="Times New Roman" w:eastAsia="Calibri" w:hAnsi="Times New Roman" w:cs="Times New Roman"/>
          <w:b/>
          <w:i/>
          <w:lang w:val="en-GB"/>
        </w:rPr>
        <w:t>4.1. Measur</w:t>
      </w:r>
      <w:r w:rsidR="007D26D7" w:rsidRPr="00771F08">
        <w:rPr>
          <w:rFonts w:ascii="Times New Roman" w:eastAsia="Calibri" w:hAnsi="Times New Roman" w:cs="Times New Roman"/>
          <w:b/>
          <w:i/>
          <w:lang w:val="en-GB"/>
        </w:rPr>
        <w:t xml:space="preserve">ement reliability and validity </w:t>
      </w:r>
    </w:p>
    <w:p w14:paraId="7BB25562" w14:textId="227C5FA7" w:rsidR="0093160A" w:rsidRPr="00771F08" w:rsidRDefault="0093160A"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With 318 respondents in the US and 314 in Italy, we were above the rule of 200 (Kline 2011) and the sample-to-item ratio was about 12.5</w:t>
      </w:r>
      <w:r w:rsidR="008A7D41"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which is higher than the a</w:t>
      </w:r>
      <w:r w:rsidR="006848C0" w:rsidRPr="00771F08">
        <w:rPr>
          <w:rFonts w:ascii="Times New Roman" w:hAnsi="Times New Roman" w:cs="Times New Roman"/>
          <w:szCs w:val="24"/>
          <w:lang w:val="en-GB"/>
        </w:rPr>
        <w:t>cceptable ratio of 5:1 (Gorsuch</w:t>
      </w:r>
      <w:r w:rsidRPr="00771F08">
        <w:rPr>
          <w:rFonts w:ascii="Times New Roman" w:hAnsi="Times New Roman" w:cs="Times New Roman"/>
          <w:szCs w:val="24"/>
          <w:lang w:val="en-GB"/>
        </w:rPr>
        <w:t xml:space="preserve"> 1983) and </w:t>
      </w:r>
      <w:r w:rsidR="008A7D41" w:rsidRPr="00771F08">
        <w:rPr>
          <w:rFonts w:ascii="Times New Roman" w:hAnsi="Times New Roman" w:cs="Times New Roman"/>
          <w:szCs w:val="24"/>
          <w:lang w:val="en-GB"/>
        </w:rPr>
        <w:t xml:space="preserve">this leads us to </w:t>
      </w:r>
      <w:r w:rsidRPr="00771F08">
        <w:rPr>
          <w:rFonts w:ascii="Times New Roman" w:hAnsi="Times New Roman" w:cs="Times New Roman"/>
          <w:szCs w:val="24"/>
          <w:lang w:val="en-GB"/>
        </w:rPr>
        <w:t>conclude</w:t>
      </w:r>
      <w:r w:rsidR="008A7D41" w:rsidRPr="00771F08">
        <w:rPr>
          <w:rFonts w:ascii="Times New Roman" w:hAnsi="Times New Roman" w:cs="Times New Roman"/>
          <w:szCs w:val="24"/>
          <w:lang w:val="en-GB"/>
        </w:rPr>
        <w:t xml:space="preserve"> that</w:t>
      </w:r>
      <w:r w:rsidRPr="00771F08">
        <w:rPr>
          <w:rFonts w:ascii="Times New Roman" w:hAnsi="Times New Roman" w:cs="Times New Roman"/>
          <w:szCs w:val="24"/>
          <w:lang w:val="en-GB"/>
        </w:rPr>
        <w:t xml:space="preserve"> we have an adequate sample size. We calculated the Kaiser–Meyer–Olkin (KMO) as well as Bartlett’s Test of Sphericity to measure sampling adequacy (Hutcheson a</w:t>
      </w:r>
      <w:r w:rsidR="006848C0" w:rsidRPr="00771F08">
        <w:rPr>
          <w:rFonts w:ascii="Times New Roman" w:hAnsi="Times New Roman" w:cs="Times New Roman"/>
          <w:szCs w:val="24"/>
          <w:lang w:val="en-GB"/>
        </w:rPr>
        <w:t xml:space="preserve">nd </w:t>
      </w:r>
      <w:proofErr w:type="spellStart"/>
      <w:r w:rsidR="006848C0" w:rsidRPr="00771F08">
        <w:rPr>
          <w:rFonts w:ascii="Times New Roman" w:hAnsi="Times New Roman" w:cs="Times New Roman"/>
          <w:szCs w:val="24"/>
          <w:lang w:val="en-GB"/>
        </w:rPr>
        <w:t>Sofroniou</w:t>
      </w:r>
      <w:proofErr w:type="spellEnd"/>
      <w:r w:rsidRPr="00771F08">
        <w:rPr>
          <w:rFonts w:ascii="Times New Roman" w:hAnsi="Times New Roman" w:cs="Times New Roman"/>
          <w:szCs w:val="24"/>
          <w:lang w:val="en-GB"/>
        </w:rPr>
        <w:t xml:space="preserve"> 1999). The KMO is 0.957 (&gt;0.5) and Bartlett’s Test of Sphericity is significant </w:t>
      </w:r>
      <w:r w:rsidR="00DF0ABB" w:rsidRPr="00771F08">
        <w:rPr>
          <w:rFonts w:ascii="Times New Roman" w:hAnsi="Times New Roman" w:cs="Times New Roman"/>
          <w:szCs w:val="24"/>
          <w:lang w:val="en-GB"/>
        </w:rPr>
        <w:t>(p &lt; 0.001</w:t>
      </w:r>
      <w:r w:rsidRPr="00771F08">
        <w:rPr>
          <w:rFonts w:ascii="Times New Roman" w:hAnsi="Times New Roman" w:cs="Times New Roman"/>
          <w:szCs w:val="24"/>
          <w:lang w:val="en-GB"/>
        </w:rPr>
        <w:t>); therefore, the data are suitable for factor analysis.</w:t>
      </w:r>
      <w:r w:rsidR="00A90BD5" w:rsidRPr="00771F08">
        <w:rPr>
          <w:rFonts w:ascii="Times New Roman" w:hAnsi="Times New Roman" w:cs="Times New Roman"/>
          <w:szCs w:val="24"/>
          <w:lang w:val="en-GB"/>
        </w:rPr>
        <w:t xml:space="preserve"> </w:t>
      </w:r>
      <w:r w:rsidRPr="00771F08">
        <w:rPr>
          <w:rFonts w:ascii="Times New Roman" w:hAnsi="Times New Roman" w:cs="Times New Roman"/>
          <w:szCs w:val="24"/>
          <w:lang w:val="en-GB"/>
        </w:rPr>
        <w:t xml:space="preserve">We used principle component analysis with varimax rotation. As </w:t>
      </w:r>
      <w:r w:rsidR="000E0BA1" w:rsidRPr="00771F08">
        <w:rPr>
          <w:rFonts w:ascii="Times New Roman" w:hAnsi="Times New Roman" w:cs="Times New Roman"/>
          <w:szCs w:val="24"/>
          <w:lang w:val="en-GB"/>
        </w:rPr>
        <w:t>hypothesi</w:t>
      </w:r>
      <w:r w:rsidR="00771F08" w:rsidRPr="00771F08">
        <w:rPr>
          <w:rFonts w:ascii="Times New Roman" w:hAnsi="Times New Roman" w:cs="Times New Roman"/>
          <w:szCs w:val="24"/>
          <w:lang w:val="en-GB"/>
        </w:rPr>
        <w:t>s</w:t>
      </w:r>
      <w:r w:rsidR="000E0BA1" w:rsidRPr="00771F08">
        <w:rPr>
          <w:rFonts w:ascii="Times New Roman" w:hAnsi="Times New Roman" w:cs="Times New Roman"/>
          <w:szCs w:val="24"/>
          <w:lang w:val="en-GB"/>
        </w:rPr>
        <w:t>ed</w:t>
      </w:r>
      <w:r w:rsidRPr="00771F08">
        <w:rPr>
          <w:rFonts w:ascii="Times New Roman" w:hAnsi="Times New Roman" w:cs="Times New Roman"/>
          <w:szCs w:val="24"/>
          <w:lang w:val="en-GB"/>
        </w:rPr>
        <w:t>, all five constructs had eigenvalues &gt; 1, explaining 79.3 per cent cumulative variance. Of the initial 25 items, no item had significant cross-loadings (&gt;0.50)</w:t>
      </w:r>
      <w:r w:rsidR="00E25523" w:rsidRPr="00771F08">
        <w:rPr>
          <w:rFonts w:ascii="Times New Roman" w:hAnsi="Times New Roman" w:cs="Times New Roman"/>
          <w:szCs w:val="24"/>
          <w:lang w:val="en-GB"/>
        </w:rPr>
        <w:t xml:space="preserve"> and all loaded on the original constructs</w:t>
      </w:r>
      <w:r w:rsidRPr="00771F08">
        <w:rPr>
          <w:rFonts w:ascii="Times New Roman" w:hAnsi="Times New Roman" w:cs="Times New Roman"/>
          <w:szCs w:val="24"/>
          <w:lang w:val="en-GB"/>
        </w:rPr>
        <w:t>.</w:t>
      </w:r>
    </w:p>
    <w:p w14:paraId="1E7A3090" w14:textId="7E75E84F" w:rsidR="005E73B7" w:rsidRPr="00771F08" w:rsidRDefault="005E73B7"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 xml:space="preserve">Prior to testing the structural model with data for both countries, </w:t>
      </w:r>
      <w:r w:rsidR="005C39F4" w:rsidRPr="00771F08">
        <w:rPr>
          <w:rFonts w:ascii="Times New Roman" w:hAnsi="Times New Roman" w:cs="Times New Roman"/>
          <w:szCs w:val="24"/>
          <w:lang w:val="en-GB"/>
        </w:rPr>
        <w:t xml:space="preserve">the </w:t>
      </w:r>
      <w:r w:rsidRPr="00771F08">
        <w:rPr>
          <w:rFonts w:ascii="Times New Roman" w:hAnsi="Times New Roman" w:cs="Times New Roman"/>
          <w:szCs w:val="24"/>
          <w:lang w:val="en-GB"/>
        </w:rPr>
        <w:t>requirements of instrument validity and reliability must be met. Confirmatory factor analysis</w:t>
      </w:r>
      <w:r w:rsidR="0093160A" w:rsidRPr="00771F08">
        <w:rPr>
          <w:rFonts w:ascii="Times New Roman" w:hAnsi="Times New Roman" w:cs="Times New Roman"/>
          <w:szCs w:val="24"/>
          <w:lang w:val="en-GB"/>
        </w:rPr>
        <w:t xml:space="preserve"> (CFA)</w:t>
      </w:r>
      <w:r w:rsidRPr="00771F08">
        <w:rPr>
          <w:rFonts w:ascii="Times New Roman" w:hAnsi="Times New Roman" w:cs="Times New Roman"/>
          <w:szCs w:val="24"/>
          <w:lang w:val="en-GB"/>
        </w:rPr>
        <w:t xml:space="preserve"> using AMOS 22.0 was performed to determine the discriminant and the convergent validity </w:t>
      </w:r>
      <w:r w:rsidR="004C0D36" w:rsidRPr="00771F08">
        <w:rPr>
          <w:rFonts w:ascii="Times New Roman" w:hAnsi="Times New Roman" w:cs="Times New Roman"/>
          <w:szCs w:val="24"/>
          <w:lang w:val="en-GB"/>
        </w:rPr>
        <w:t xml:space="preserve">of </w:t>
      </w:r>
      <w:r w:rsidR="004C0D36" w:rsidRPr="00771F08">
        <w:rPr>
          <w:rFonts w:ascii="Times New Roman" w:hAnsi="Times New Roman" w:cs="Times New Roman"/>
          <w:szCs w:val="24"/>
          <w:lang w:val="en-GB"/>
        </w:rPr>
        <w:lastRenderedPageBreak/>
        <w:t>the scales. Hair et al. (2018</w:t>
      </w:r>
      <w:r w:rsidRPr="00771F08">
        <w:rPr>
          <w:rFonts w:ascii="Times New Roman" w:hAnsi="Times New Roman" w:cs="Times New Roman"/>
          <w:szCs w:val="24"/>
          <w:lang w:val="en-GB"/>
        </w:rPr>
        <w:t>) recommend a factor loading (FL) value higher than .50 for an item to be significant. Ta</w:t>
      </w:r>
      <w:r w:rsidR="00B75755" w:rsidRPr="00771F08">
        <w:rPr>
          <w:rFonts w:ascii="Times New Roman" w:hAnsi="Times New Roman" w:cs="Times New Roman"/>
          <w:szCs w:val="24"/>
          <w:lang w:val="en-GB"/>
        </w:rPr>
        <w:t>ble 2</w:t>
      </w:r>
      <w:r w:rsidRPr="00771F08">
        <w:rPr>
          <w:rFonts w:ascii="Times New Roman" w:hAnsi="Times New Roman" w:cs="Times New Roman"/>
          <w:szCs w:val="24"/>
          <w:lang w:val="en-GB"/>
        </w:rPr>
        <w:t xml:space="preserve"> presents the factor loading values for the individual items. Additionally, at construct level, Hair et </w:t>
      </w:r>
      <w:r w:rsidR="004C0D36" w:rsidRPr="00771F08">
        <w:rPr>
          <w:rFonts w:ascii="Times New Roman" w:hAnsi="Times New Roman" w:cs="Times New Roman"/>
          <w:szCs w:val="24"/>
          <w:lang w:val="en-GB"/>
        </w:rPr>
        <w:t>al. (2018</w:t>
      </w:r>
      <w:r w:rsidRPr="00771F08">
        <w:rPr>
          <w:rFonts w:ascii="Times New Roman" w:hAnsi="Times New Roman" w:cs="Times New Roman"/>
          <w:szCs w:val="24"/>
          <w:lang w:val="en-GB"/>
        </w:rPr>
        <w:t>) proposed the calculation of composite reliability (CR) and average variance extracted (AVE) instead of Cronbach’s alpha when using structural equation model</w:t>
      </w:r>
      <w:r w:rsidR="008A7D41" w:rsidRPr="00771F08">
        <w:rPr>
          <w:rFonts w:ascii="Times New Roman" w:hAnsi="Times New Roman" w:cs="Times New Roman"/>
          <w:szCs w:val="24"/>
          <w:lang w:val="en-GB"/>
        </w:rPr>
        <w:t>l</w:t>
      </w:r>
      <w:r w:rsidRPr="00771F08">
        <w:rPr>
          <w:rFonts w:ascii="Times New Roman" w:hAnsi="Times New Roman" w:cs="Times New Roman"/>
          <w:szCs w:val="24"/>
          <w:lang w:val="en-GB"/>
        </w:rPr>
        <w:t xml:space="preserve">ing (SEM). </w:t>
      </w:r>
    </w:p>
    <w:p w14:paraId="57BD05AD" w14:textId="77777777" w:rsidR="00707D0E" w:rsidRPr="00771F08" w:rsidRDefault="00707D0E" w:rsidP="00237956">
      <w:pPr>
        <w:spacing w:after="0" w:line="240" w:lineRule="auto"/>
        <w:ind w:left="567"/>
        <w:rPr>
          <w:rFonts w:ascii="Times New Roman" w:eastAsia="Calibri" w:hAnsi="Times New Roman" w:cs="Times New Roman"/>
          <w:b/>
          <w:sz w:val="20"/>
          <w:lang w:val="en-GB"/>
        </w:rPr>
      </w:pPr>
    </w:p>
    <w:p w14:paraId="137428CD" w14:textId="7842AB7C" w:rsidR="000E0BA1" w:rsidRPr="00771F08" w:rsidRDefault="00707D0E" w:rsidP="00237956">
      <w:pPr>
        <w:spacing w:after="0" w:line="240" w:lineRule="auto"/>
        <w:ind w:left="567"/>
        <w:rPr>
          <w:rFonts w:ascii="Times New Roman" w:eastAsia="Calibri" w:hAnsi="Times New Roman" w:cs="Times New Roman"/>
          <w:sz w:val="20"/>
          <w:lang w:val="en-GB"/>
        </w:rPr>
      </w:pPr>
      <w:r w:rsidRPr="00771F08">
        <w:rPr>
          <w:rFonts w:ascii="Times New Roman" w:eastAsia="Calibri" w:hAnsi="Times New Roman" w:cs="Times New Roman"/>
          <w:b/>
          <w:sz w:val="20"/>
          <w:lang w:val="en-GB"/>
        </w:rPr>
        <w:t>Table 2</w:t>
      </w:r>
      <w:r w:rsidRPr="00771F08">
        <w:rPr>
          <w:rFonts w:ascii="Times New Roman" w:eastAsia="Calibri" w:hAnsi="Times New Roman" w:cs="Times New Roman"/>
          <w:sz w:val="20"/>
          <w:lang w:val="en-GB"/>
        </w:rPr>
        <w:t xml:space="preserve">. Factor loading values </w:t>
      </w:r>
      <w:r w:rsidR="0093160A" w:rsidRPr="00771F08">
        <w:rPr>
          <w:rFonts w:ascii="Times New Roman" w:eastAsia="Calibri" w:hAnsi="Times New Roman" w:cs="Times New Roman"/>
          <w:sz w:val="20"/>
          <w:lang w:val="en-GB"/>
        </w:rPr>
        <w:t xml:space="preserve">from the CFA </w:t>
      </w:r>
      <w:r w:rsidRPr="00771F08">
        <w:rPr>
          <w:rFonts w:ascii="Times New Roman" w:eastAsia="Calibri" w:hAnsi="Times New Roman" w:cs="Times New Roman"/>
          <w:sz w:val="20"/>
          <w:lang w:val="en-GB"/>
        </w:rPr>
        <w:t xml:space="preserve">for the different items measuring the research constructs </w:t>
      </w:r>
    </w:p>
    <w:tbl>
      <w:tblPr>
        <w:tblW w:w="4274" w:type="pct"/>
        <w:tblInd w:w="557" w:type="dxa"/>
        <w:tblCellMar>
          <w:left w:w="70" w:type="dxa"/>
          <w:right w:w="70" w:type="dxa"/>
        </w:tblCellMar>
        <w:tblLook w:val="04A0" w:firstRow="1" w:lastRow="0" w:firstColumn="1" w:lastColumn="0" w:noHBand="0" w:noVBand="1"/>
      </w:tblPr>
      <w:tblGrid>
        <w:gridCol w:w="2084"/>
        <w:gridCol w:w="5161"/>
        <w:gridCol w:w="994"/>
      </w:tblGrid>
      <w:tr w:rsidR="000E0BA1" w:rsidRPr="00771F08" w14:paraId="21C25574" w14:textId="77777777" w:rsidTr="00BA39D7">
        <w:trPr>
          <w:trHeight w:val="430"/>
        </w:trPr>
        <w:tc>
          <w:tcPr>
            <w:tcW w:w="1265" w:type="pct"/>
            <w:tcBorders>
              <w:top w:val="single" w:sz="4" w:space="0" w:color="auto"/>
              <w:bottom w:val="single" w:sz="4" w:space="0" w:color="auto"/>
            </w:tcBorders>
            <w:shd w:val="clear" w:color="auto" w:fill="auto"/>
            <w:vAlign w:val="center"/>
            <w:hideMark/>
          </w:tcPr>
          <w:p w14:paraId="0E972847" w14:textId="77777777" w:rsidR="000E0BA1" w:rsidRPr="00771F08" w:rsidRDefault="000E0BA1" w:rsidP="00237956">
            <w:pPr>
              <w:spacing w:after="0" w:line="240" w:lineRule="auto"/>
              <w:jc w:val="center"/>
              <w:rPr>
                <w:rFonts w:ascii="Times New Roman" w:eastAsia="Times New Roman" w:hAnsi="Times New Roman" w:cs="Times New Roman"/>
                <w:b/>
                <w:bCs/>
                <w:color w:val="000000"/>
                <w:sz w:val="16"/>
                <w:szCs w:val="16"/>
                <w:lang w:val="en-GB" w:eastAsia="it-IT"/>
              </w:rPr>
            </w:pPr>
            <w:r w:rsidRPr="00771F08">
              <w:rPr>
                <w:rFonts w:ascii="Times New Roman" w:eastAsia="Times New Roman" w:hAnsi="Times New Roman" w:cs="Times New Roman"/>
                <w:b/>
                <w:bCs/>
                <w:color w:val="000000"/>
                <w:sz w:val="16"/>
                <w:szCs w:val="16"/>
                <w:lang w:val="en-GB" w:eastAsia="it-IT"/>
              </w:rPr>
              <w:t>Constructs</w:t>
            </w:r>
          </w:p>
        </w:tc>
        <w:tc>
          <w:tcPr>
            <w:tcW w:w="3132" w:type="pct"/>
            <w:tcBorders>
              <w:top w:val="single" w:sz="4" w:space="0" w:color="auto"/>
              <w:bottom w:val="single" w:sz="4" w:space="0" w:color="auto"/>
            </w:tcBorders>
            <w:shd w:val="clear" w:color="auto" w:fill="auto"/>
            <w:vAlign w:val="center"/>
            <w:hideMark/>
          </w:tcPr>
          <w:p w14:paraId="57F0F4EC" w14:textId="77777777" w:rsidR="000E0BA1" w:rsidRPr="00771F08" w:rsidRDefault="000E0BA1" w:rsidP="00237956">
            <w:pPr>
              <w:spacing w:after="0" w:line="240" w:lineRule="auto"/>
              <w:jc w:val="center"/>
              <w:rPr>
                <w:rFonts w:ascii="Times New Roman" w:eastAsia="Times New Roman" w:hAnsi="Times New Roman" w:cs="Times New Roman"/>
                <w:b/>
                <w:bCs/>
                <w:color w:val="000000"/>
                <w:sz w:val="16"/>
                <w:szCs w:val="16"/>
                <w:lang w:val="en-GB" w:eastAsia="it-IT"/>
              </w:rPr>
            </w:pPr>
            <w:r w:rsidRPr="00771F08">
              <w:rPr>
                <w:rFonts w:ascii="Times New Roman" w:eastAsia="Times New Roman" w:hAnsi="Times New Roman" w:cs="Times New Roman"/>
                <w:b/>
                <w:bCs/>
                <w:color w:val="000000"/>
                <w:sz w:val="16"/>
                <w:szCs w:val="16"/>
                <w:lang w:val="en-GB" w:eastAsia="it-IT"/>
              </w:rPr>
              <w:t>Items</w:t>
            </w:r>
          </w:p>
        </w:tc>
        <w:tc>
          <w:tcPr>
            <w:tcW w:w="603" w:type="pct"/>
            <w:tcBorders>
              <w:top w:val="single" w:sz="4" w:space="0" w:color="auto"/>
              <w:bottom w:val="single" w:sz="4" w:space="0" w:color="auto"/>
            </w:tcBorders>
            <w:shd w:val="clear" w:color="auto" w:fill="auto"/>
            <w:vAlign w:val="center"/>
            <w:hideMark/>
          </w:tcPr>
          <w:p w14:paraId="51F0E65D" w14:textId="77777777" w:rsidR="000E0BA1" w:rsidRPr="00771F08" w:rsidRDefault="000E0BA1" w:rsidP="00237956">
            <w:pPr>
              <w:spacing w:after="0" w:line="240" w:lineRule="auto"/>
              <w:jc w:val="center"/>
              <w:rPr>
                <w:rFonts w:ascii="Times New Roman" w:eastAsia="Times New Roman" w:hAnsi="Times New Roman" w:cs="Times New Roman"/>
                <w:b/>
                <w:bCs/>
                <w:color w:val="000000"/>
                <w:sz w:val="16"/>
                <w:szCs w:val="16"/>
                <w:lang w:val="en-GB" w:eastAsia="it-IT"/>
              </w:rPr>
            </w:pPr>
            <w:r w:rsidRPr="00771F08">
              <w:rPr>
                <w:rFonts w:ascii="Times New Roman" w:eastAsia="Times New Roman" w:hAnsi="Times New Roman" w:cs="Times New Roman"/>
                <w:b/>
                <w:bCs/>
                <w:color w:val="000000"/>
                <w:sz w:val="16"/>
                <w:szCs w:val="16"/>
                <w:lang w:val="en-GB" w:eastAsia="it-IT"/>
              </w:rPr>
              <w:t>Factor Loadings</w:t>
            </w:r>
          </w:p>
        </w:tc>
      </w:tr>
      <w:tr w:rsidR="000E0BA1" w:rsidRPr="00771F08" w14:paraId="6506D29F" w14:textId="77777777" w:rsidTr="00BA39D7">
        <w:trPr>
          <w:trHeight w:val="300"/>
        </w:trPr>
        <w:tc>
          <w:tcPr>
            <w:tcW w:w="1265" w:type="pct"/>
            <w:vMerge w:val="restart"/>
            <w:tcBorders>
              <w:top w:val="single" w:sz="4" w:space="0" w:color="auto"/>
            </w:tcBorders>
            <w:shd w:val="clear" w:color="auto" w:fill="auto"/>
            <w:vAlign w:val="center"/>
            <w:hideMark/>
          </w:tcPr>
          <w:p w14:paraId="37550A8C"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Prior engagement with the university</w:t>
            </w:r>
          </w:p>
        </w:tc>
        <w:tc>
          <w:tcPr>
            <w:tcW w:w="3132" w:type="pct"/>
            <w:tcBorders>
              <w:top w:val="single" w:sz="4" w:space="0" w:color="auto"/>
            </w:tcBorders>
            <w:shd w:val="clear" w:color="auto" w:fill="auto"/>
            <w:vAlign w:val="center"/>
            <w:hideMark/>
          </w:tcPr>
          <w:p w14:paraId="54827AAB"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really like to talk about this university with others.</w:t>
            </w:r>
          </w:p>
        </w:tc>
        <w:tc>
          <w:tcPr>
            <w:tcW w:w="603" w:type="pct"/>
            <w:tcBorders>
              <w:top w:val="single" w:sz="4" w:space="0" w:color="auto"/>
            </w:tcBorders>
            <w:shd w:val="clear" w:color="auto" w:fill="auto"/>
            <w:vAlign w:val="center"/>
            <w:hideMark/>
          </w:tcPr>
          <w:p w14:paraId="2CA8DBD9"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.862</w:t>
            </w:r>
          </w:p>
        </w:tc>
      </w:tr>
      <w:tr w:rsidR="000E0BA1" w:rsidRPr="00771F08" w14:paraId="374CD7FD" w14:textId="77777777" w:rsidTr="00BA39D7">
        <w:trPr>
          <w:trHeight w:val="300"/>
        </w:trPr>
        <w:tc>
          <w:tcPr>
            <w:tcW w:w="1265" w:type="pct"/>
            <w:vMerge/>
            <w:tcBorders>
              <w:top w:val="nil"/>
            </w:tcBorders>
            <w:vAlign w:val="center"/>
            <w:hideMark/>
          </w:tcPr>
          <w:p w14:paraId="51CAFFD8"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73C5D263"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am always interested in learning more about this university.</w:t>
            </w:r>
          </w:p>
        </w:tc>
        <w:tc>
          <w:tcPr>
            <w:tcW w:w="603" w:type="pct"/>
            <w:tcBorders>
              <w:top w:val="nil"/>
            </w:tcBorders>
            <w:shd w:val="clear" w:color="auto" w:fill="auto"/>
            <w:vAlign w:val="center"/>
            <w:hideMark/>
          </w:tcPr>
          <w:p w14:paraId="072526C4"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.869</w:t>
            </w:r>
          </w:p>
        </w:tc>
      </w:tr>
      <w:tr w:rsidR="000E0BA1" w:rsidRPr="00771F08" w14:paraId="705C27F2" w14:textId="77777777" w:rsidTr="00BA39D7">
        <w:trPr>
          <w:trHeight w:val="300"/>
        </w:trPr>
        <w:tc>
          <w:tcPr>
            <w:tcW w:w="1265" w:type="pct"/>
            <w:vMerge/>
            <w:tcBorders>
              <w:top w:val="nil"/>
            </w:tcBorders>
            <w:vAlign w:val="center"/>
            <w:hideMark/>
          </w:tcPr>
          <w:p w14:paraId="1A06D3E3"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12FB702D"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would be interested in merchandise with this university’s brand name on it.</w:t>
            </w:r>
          </w:p>
        </w:tc>
        <w:tc>
          <w:tcPr>
            <w:tcW w:w="603" w:type="pct"/>
            <w:tcBorders>
              <w:top w:val="nil"/>
            </w:tcBorders>
            <w:shd w:val="clear" w:color="auto" w:fill="auto"/>
            <w:vAlign w:val="center"/>
            <w:hideMark/>
          </w:tcPr>
          <w:p w14:paraId="530B377A"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.787</w:t>
            </w:r>
          </w:p>
        </w:tc>
      </w:tr>
      <w:tr w:rsidR="000E0BA1" w:rsidRPr="00771F08" w14:paraId="13E99517" w14:textId="77777777" w:rsidTr="00BA39D7">
        <w:trPr>
          <w:trHeight w:val="300"/>
        </w:trPr>
        <w:tc>
          <w:tcPr>
            <w:tcW w:w="1265" w:type="pct"/>
            <w:vMerge/>
            <w:tcBorders>
              <w:top w:val="nil"/>
              <w:bottom w:val="single" w:sz="4" w:space="0" w:color="auto"/>
            </w:tcBorders>
            <w:vAlign w:val="center"/>
            <w:hideMark/>
          </w:tcPr>
          <w:p w14:paraId="1A756CF2"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bottom w:val="single" w:sz="4" w:space="0" w:color="auto"/>
            </w:tcBorders>
            <w:shd w:val="clear" w:color="auto" w:fill="auto"/>
            <w:vAlign w:val="center"/>
            <w:hideMark/>
          </w:tcPr>
          <w:p w14:paraId="25E14779"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am proud to have others know I study in this university.</w:t>
            </w:r>
          </w:p>
        </w:tc>
        <w:tc>
          <w:tcPr>
            <w:tcW w:w="603" w:type="pct"/>
            <w:tcBorders>
              <w:top w:val="nil"/>
              <w:bottom w:val="single" w:sz="4" w:space="0" w:color="auto"/>
            </w:tcBorders>
            <w:shd w:val="clear" w:color="auto" w:fill="auto"/>
            <w:vAlign w:val="center"/>
            <w:hideMark/>
          </w:tcPr>
          <w:p w14:paraId="4E7FB257"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.835</w:t>
            </w:r>
          </w:p>
        </w:tc>
      </w:tr>
      <w:tr w:rsidR="000E0BA1" w:rsidRPr="00771F08" w14:paraId="153F8D69" w14:textId="77777777" w:rsidTr="00BA39D7">
        <w:trPr>
          <w:trHeight w:val="300"/>
        </w:trPr>
        <w:tc>
          <w:tcPr>
            <w:tcW w:w="1265" w:type="pct"/>
            <w:vMerge w:val="restart"/>
            <w:tcBorders>
              <w:top w:val="single" w:sz="4" w:space="0" w:color="auto"/>
            </w:tcBorders>
            <w:shd w:val="clear" w:color="auto" w:fill="auto"/>
            <w:vAlign w:val="center"/>
            <w:hideMark/>
          </w:tcPr>
          <w:p w14:paraId="030952E6"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Commitment</w:t>
            </w:r>
          </w:p>
        </w:tc>
        <w:tc>
          <w:tcPr>
            <w:tcW w:w="3132" w:type="pct"/>
            <w:tcBorders>
              <w:top w:val="single" w:sz="4" w:space="0" w:color="auto"/>
            </w:tcBorders>
            <w:shd w:val="clear" w:color="auto" w:fill="auto"/>
            <w:vAlign w:val="center"/>
            <w:hideMark/>
          </w:tcPr>
          <w:p w14:paraId="17BDF63B"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am very committed to this university.</w:t>
            </w:r>
          </w:p>
        </w:tc>
        <w:tc>
          <w:tcPr>
            <w:tcW w:w="603" w:type="pct"/>
            <w:tcBorders>
              <w:top w:val="single" w:sz="4" w:space="0" w:color="auto"/>
            </w:tcBorders>
            <w:shd w:val="clear" w:color="auto" w:fill="auto"/>
            <w:vAlign w:val="center"/>
            <w:hideMark/>
          </w:tcPr>
          <w:p w14:paraId="6D9C0382"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.893</w:t>
            </w:r>
          </w:p>
        </w:tc>
      </w:tr>
      <w:tr w:rsidR="000E0BA1" w:rsidRPr="00771F08" w14:paraId="25CCBEDB" w14:textId="77777777" w:rsidTr="00BA39D7">
        <w:trPr>
          <w:trHeight w:val="300"/>
        </w:trPr>
        <w:tc>
          <w:tcPr>
            <w:tcW w:w="1265" w:type="pct"/>
            <w:vMerge/>
            <w:tcBorders>
              <w:top w:val="nil"/>
            </w:tcBorders>
            <w:vAlign w:val="center"/>
            <w:hideMark/>
          </w:tcPr>
          <w:p w14:paraId="4220C04C"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7D7E0490"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This university is very important to me.</w:t>
            </w:r>
          </w:p>
        </w:tc>
        <w:tc>
          <w:tcPr>
            <w:tcW w:w="603" w:type="pct"/>
            <w:tcBorders>
              <w:top w:val="nil"/>
            </w:tcBorders>
            <w:shd w:val="clear" w:color="auto" w:fill="auto"/>
            <w:vAlign w:val="center"/>
            <w:hideMark/>
          </w:tcPr>
          <w:p w14:paraId="66820A29"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.920</w:t>
            </w:r>
          </w:p>
        </w:tc>
      </w:tr>
      <w:tr w:rsidR="000E0BA1" w:rsidRPr="00771F08" w14:paraId="4F215E85" w14:textId="77777777" w:rsidTr="00BA39D7">
        <w:trPr>
          <w:trHeight w:val="300"/>
        </w:trPr>
        <w:tc>
          <w:tcPr>
            <w:tcW w:w="1265" w:type="pct"/>
            <w:vMerge/>
            <w:tcBorders>
              <w:top w:val="nil"/>
            </w:tcBorders>
            <w:vAlign w:val="center"/>
            <w:hideMark/>
          </w:tcPr>
          <w:p w14:paraId="3AC2A9FB"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58FFD487"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really care about this university.</w:t>
            </w:r>
          </w:p>
        </w:tc>
        <w:tc>
          <w:tcPr>
            <w:tcW w:w="603" w:type="pct"/>
            <w:tcBorders>
              <w:top w:val="nil"/>
            </w:tcBorders>
            <w:shd w:val="clear" w:color="auto" w:fill="auto"/>
            <w:vAlign w:val="center"/>
            <w:hideMark/>
          </w:tcPr>
          <w:p w14:paraId="698930C8"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.873</w:t>
            </w:r>
          </w:p>
        </w:tc>
      </w:tr>
      <w:tr w:rsidR="000E0BA1" w:rsidRPr="00771F08" w14:paraId="42975563" w14:textId="77777777" w:rsidTr="00BA39D7">
        <w:trPr>
          <w:trHeight w:val="300"/>
        </w:trPr>
        <w:tc>
          <w:tcPr>
            <w:tcW w:w="1265" w:type="pct"/>
            <w:vMerge/>
            <w:tcBorders>
              <w:top w:val="nil"/>
            </w:tcBorders>
            <w:vAlign w:val="center"/>
            <w:hideMark/>
          </w:tcPr>
          <w:p w14:paraId="4E33E371"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37A938B3"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believe that this university deserves my effort to maintain a relationship.</w:t>
            </w:r>
          </w:p>
        </w:tc>
        <w:tc>
          <w:tcPr>
            <w:tcW w:w="603" w:type="pct"/>
            <w:tcBorders>
              <w:top w:val="nil"/>
            </w:tcBorders>
            <w:shd w:val="clear" w:color="auto" w:fill="auto"/>
            <w:vAlign w:val="center"/>
            <w:hideMark/>
          </w:tcPr>
          <w:p w14:paraId="71F0EBEA"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.841</w:t>
            </w:r>
          </w:p>
        </w:tc>
      </w:tr>
      <w:tr w:rsidR="000E0BA1" w:rsidRPr="00771F08" w14:paraId="5C3BC6F6" w14:textId="77777777" w:rsidTr="00BA39D7">
        <w:trPr>
          <w:trHeight w:val="300"/>
        </w:trPr>
        <w:tc>
          <w:tcPr>
            <w:tcW w:w="1265" w:type="pct"/>
            <w:vMerge/>
            <w:tcBorders>
              <w:top w:val="nil"/>
              <w:bottom w:val="single" w:sz="4" w:space="0" w:color="auto"/>
            </w:tcBorders>
            <w:vAlign w:val="center"/>
            <w:hideMark/>
          </w:tcPr>
          <w:p w14:paraId="42B387AA"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bottom w:val="single" w:sz="4" w:space="0" w:color="auto"/>
            </w:tcBorders>
            <w:shd w:val="clear" w:color="auto" w:fill="auto"/>
            <w:vAlign w:val="center"/>
            <w:hideMark/>
          </w:tcPr>
          <w:p w14:paraId="7C685048"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feel a need to ensure the success of this university.</w:t>
            </w:r>
          </w:p>
        </w:tc>
        <w:tc>
          <w:tcPr>
            <w:tcW w:w="603" w:type="pct"/>
            <w:tcBorders>
              <w:top w:val="nil"/>
              <w:bottom w:val="single" w:sz="4" w:space="0" w:color="auto"/>
            </w:tcBorders>
            <w:shd w:val="clear" w:color="auto" w:fill="auto"/>
            <w:vAlign w:val="center"/>
            <w:hideMark/>
          </w:tcPr>
          <w:p w14:paraId="48DCDDF4"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.768</w:t>
            </w:r>
          </w:p>
        </w:tc>
      </w:tr>
      <w:tr w:rsidR="000E0BA1" w:rsidRPr="00771F08" w14:paraId="6285EEEC" w14:textId="77777777" w:rsidTr="00BA39D7">
        <w:trPr>
          <w:trHeight w:val="300"/>
        </w:trPr>
        <w:tc>
          <w:tcPr>
            <w:tcW w:w="1265" w:type="pct"/>
            <w:vMerge w:val="restart"/>
            <w:tcBorders>
              <w:top w:val="single" w:sz="4" w:space="0" w:color="auto"/>
            </w:tcBorders>
            <w:shd w:val="clear" w:color="auto" w:fill="auto"/>
            <w:vAlign w:val="center"/>
            <w:hideMark/>
          </w:tcPr>
          <w:p w14:paraId="7C4CA5BA"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Support</w:t>
            </w:r>
          </w:p>
        </w:tc>
        <w:tc>
          <w:tcPr>
            <w:tcW w:w="3132" w:type="pct"/>
            <w:tcBorders>
              <w:top w:val="single" w:sz="4" w:space="0" w:color="auto"/>
            </w:tcBorders>
            <w:shd w:val="clear" w:color="auto" w:fill="auto"/>
            <w:vAlign w:val="center"/>
            <w:hideMark/>
          </w:tcPr>
          <w:p w14:paraId="237ED306"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attend alumni events?</w:t>
            </w:r>
          </w:p>
        </w:tc>
        <w:tc>
          <w:tcPr>
            <w:tcW w:w="603" w:type="pct"/>
            <w:tcBorders>
              <w:top w:val="single" w:sz="4" w:space="0" w:color="auto"/>
            </w:tcBorders>
            <w:shd w:val="clear" w:color="auto" w:fill="auto"/>
            <w:vAlign w:val="center"/>
            <w:hideMark/>
          </w:tcPr>
          <w:p w14:paraId="537249CC"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.812</w:t>
            </w:r>
          </w:p>
        </w:tc>
      </w:tr>
      <w:tr w:rsidR="000E0BA1" w:rsidRPr="00771F08" w14:paraId="20891333" w14:textId="77777777" w:rsidTr="00BA39D7">
        <w:trPr>
          <w:trHeight w:val="300"/>
        </w:trPr>
        <w:tc>
          <w:tcPr>
            <w:tcW w:w="1265" w:type="pct"/>
            <w:vMerge/>
            <w:tcBorders>
              <w:top w:val="nil"/>
            </w:tcBorders>
            <w:vAlign w:val="center"/>
            <w:hideMark/>
          </w:tcPr>
          <w:p w14:paraId="472BCF71"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76C1F79E"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become a mentor for students in this university?</w:t>
            </w:r>
          </w:p>
        </w:tc>
        <w:tc>
          <w:tcPr>
            <w:tcW w:w="603" w:type="pct"/>
            <w:tcBorders>
              <w:top w:val="nil"/>
            </w:tcBorders>
            <w:shd w:val="clear" w:color="auto" w:fill="auto"/>
            <w:vAlign w:val="center"/>
            <w:hideMark/>
          </w:tcPr>
          <w:p w14:paraId="0A4552E0"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.871</w:t>
            </w:r>
          </w:p>
        </w:tc>
      </w:tr>
      <w:tr w:rsidR="000E0BA1" w:rsidRPr="00771F08" w14:paraId="0DE3F014" w14:textId="77777777" w:rsidTr="00BA39D7">
        <w:trPr>
          <w:trHeight w:val="300"/>
        </w:trPr>
        <w:tc>
          <w:tcPr>
            <w:tcW w:w="1265" w:type="pct"/>
            <w:vMerge/>
            <w:tcBorders>
              <w:top w:val="nil"/>
            </w:tcBorders>
            <w:vAlign w:val="center"/>
            <w:hideMark/>
          </w:tcPr>
          <w:p w14:paraId="45B24B5E"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640225B2"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give a guest lecturer in this university?</w:t>
            </w:r>
          </w:p>
        </w:tc>
        <w:tc>
          <w:tcPr>
            <w:tcW w:w="603" w:type="pct"/>
            <w:tcBorders>
              <w:top w:val="nil"/>
            </w:tcBorders>
            <w:shd w:val="clear" w:color="auto" w:fill="auto"/>
            <w:vAlign w:val="center"/>
            <w:hideMark/>
          </w:tcPr>
          <w:p w14:paraId="416D019E"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.847</w:t>
            </w:r>
          </w:p>
        </w:tc>
      </w:tr>
      <w:tr w:rsidR="000E0BA1" w:rsidRPr="00771F08" w14:paraId="1D9DFBAC" w14:textId="77777777" w:rsidTr="00BA39D7">
        <w:trPr>
          <w:trHeight w:val="300"/>
        </w:trPr>
        <w:tc>
          <w:tcPr>
            <w:tcW w:w="1265" w:type="pct"/>
            <w:vMerge/>
            <w:tcBorders>
              <w:top w:val="nil"/>
            </w:tcBorders>
            <w:vAlign w:val="center"/>
            <w:hideMark/>
          </w:tcPr>
          <w:p w14:paraId="7C7DF565"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073C247F"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volunteer for this university?</w:t>
            </w:r>
          </w:p>
        </w:tc>
        <w:tc>
          <w:tcPr>
            <w:tcW w:w="603" w:type="pct"/>
            <w:tcBorders>
              <w:top w:val="nil"/>
            </w:tcBorders>
            <w:shd w:val="clear" w:color="auto" w:fill="auto"/>
            <w:vAlign w:val="center"/>
            <w:hideMark/>
          </w:tcPr>
          <w:p w14:paraId="2950D8E8"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.867</w:t>
            </w:r>
          </w:p>
        </w:tc>
      </w:tr>
      <w:tr w:rsidR="000E0BA1" w:rsidRPr="00771F08" w14:paraId="00E1DDC1" w14:textId="77777777" w:rsidTr="00BA39D7">
        <w:trPr>
          <w:trHeight w:val="300"/>
        </w:trPr>
        <w:tc>
          <w:tcPr>
            <w:tcW w:w="1265" w:type="pct"/>
            <w:vMerge/>
            <w:tcBorders>
              <w:top w:val="nil"/>
            </w:tcBorders>
            <w:vAlign w:val="center"/>
            <w:hideMark/>
          </w:tcPr>
          <w:p w14:paraId="50CCC296"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5A51CACF"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host a student project for this university?</w:t>
            </w:r>
          </w:p>
        </w:tc>
        <w:tc>
          <w:tcPr>
            <w:tcW w:w="603" w:type="pct"/>
            <w:tcBorders>
              <w:top w:val="nil"/>
            </w:tcBorders>
            <w:shd w:val="clear" w:color="auto" w:fill="auto"/>
            <w:vAlign w:val="center"/>
            <w:hideMark/>
          </w:tcPr>
          <w:p w14:paraId="0EDE4AA2"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.846</w:t>
            </w:r>
          </w:p>
        </w:tc>
      </w:tr>
      <w:tr w:rsidR="000E0BA1" w:rsidRPr="00771F08" w14:paraId="4C89A372" w14:textId="77777777" w:rsidTr="00BA39D7">
        <w:trPr>
          <w:trHeight w:val="300"/>
        </w:trPr>
        <w:tc>
          <w:tcPr>
            <w:tcW w:w="1265" w:type="pct"/>
            <w:vMerge/>
            <w:tcBorders>
              <w:top w:val="nil"/>
            </w:tcBorders>
            <w:vAlign w:val="center"/>
            <w:hideMark/>
          </w:tcPr>
          <w:p w14:paraId="7404F1BA"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7CBA6ABF"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engage with academic staff in this university?</w:t>
            </w:r>
          </w:p>
        </w:tc>
        <w:tc>
          <w:tcPr>
            <w:tcW w:w="603" w:type="pct"/>
            <w:tcBorders>
              <w:top w:val="nil"/>
            </w:tcBorders>
            <w:shd w:val="clear" w:color="auto" w:fill="auto"/>
            <w:vAlign w:val="center"/>
            <w:hideMark/>
          </w:tcPr>
          <w:p w14:paraId="169E28A3"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.840</w:t>
            </w:r>
          </w:p>
        </w:tc>
      </w:tr>
      <w:tr w:rsidR="000E0BA1" w:rsidRPr="00771F08" w14:paraId="363B5A5F" w14:textId="77777777" w:rsidTr="00BA39D7">
        <w:trPr>
          <w:trHeight w:val="300"/>
        </w:trPr>
        <w:tc>
          <w:tcPr>
            <w:tcW w:w="1265" w:type="pct"/>
            <w:vMerge/>
            <w:tcBorders>
              <w:top w:val="nil"/>
            </w:tcBorders>
            <w:vAlign w:val="center"/>
            <w:hideMark/>
          </w:tcPr>
          <w:p w14:paraId="57502906"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3942B880"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take part in a research project in this university</w:t>
            </w:r>
          </w:p>
        </w:tc>
        <w:tc>
          <w:tcPr>
            <w:tcW w:w="603" w:type="pct"/>
            <w:tcBorders>
              <w:top w:val="nil"/>
            </w:tcBorders>
            <w:shd w:val="clear" w:color="auto" w:fill="auto"/>
            <w:vAlign w:val="center"/>
            <w:hideMark/>
          </w:tcPr>
          <w:p w14:paraId="4FACE0DD"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.798</w:t>
            </w:r>
          </w:p>
        </w:tc>
      </w:tr>
      <w:tr w:rsidR="000E0BA1" w:rsidRPr="00771F08" w14:paraId="22155DE5" w14:textId="77777777" w:rsidTr="00BA39D7">
        <w:trPr>
          <w:trHeight w:val="300"/>
        </w:trPr>
        <w:tc>
          <w:tcPr>
            <w:tcW w:w="1265" w:type="pct"/>
            <w:vMerge/>
            <w:tcBorders>
              <w:top w:val="nil"/>
              <w:bottom w:val="single" w:sz="4" w:space="0" w:color="auto"/>
            </w:tcBorders>
            <w:vAlign w:val="center"/>
            <w:hideMark/>
          </w:tcPr>
          <w:p w14:paraId="1E06D16B"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bottom w:val="single" w:sz="4" w:space="0" w:color="auto"/>
            </w:tcBorders>
            <w:shd w:val="clear" w:color="auto" w:fill="auto"/>
            <w:vAlign w:val="center"/>
            <w:hideMark/>
          </w:tcPr>
          <w:p w14:paraId="069CC6B9"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How likely are you to attend a public lecture in this university</w:t>
            </w:r>
          </w:p>
        </w:tc>
        <w:tc>
          <w:tcPr>
            <w:tcW w:w="603" w:type="pct"/>
            <w:tcBorders>
              <w:top w:val="nil"/>
              <w:bottom w:val="single" w:sz="4" w:space="0" w:color="auto"/>
            </w:tcBorders>
            <w:shd w:val="clear" w:color="auto" w:fill="auto"/>
            <w:vAlign w:val="center"/>
            <w:hideMark/>
          </w:tcPr>
          <w:p w14:paraId="47805A4F"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.824</w:t>
            </w:r>
          </w:p>
        </w:tc>
      </w:tr>
      <w:tr w:rsidR="00BA39D7" w:rsidRPr="00771F08" w14:paraId="5D237CA9" w14:textId="77777777" w:rsidTr="00771F08">
        <w:trPr>
          <w:trHeight w:val="300"/>
        </w:trPr>
        <w:tc>
          <w:tcPr>
            <w:tcW w:w="1265" w:type="pct"/>
            <w:vMerge w:val="restart"/>
            <w:tcBorders>
              <w:top w:val="single" w:sz="4" w:space="0" w:color="auto"/>
            </w:tcBorders>
            <w:shd w:val="clear" w:color="auto" w:fill="auto"/>
            <w:vAlign w:val="center"/>
            <w:hideMark/>
          </w:tcPr>
          <w:p w14:paraId="09B9F22E"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Trust</w:t>
            </w:r>
          </w:p>
        </w:tc>
        <w:tc>
          <w:tcPr>
            <w:tcW w:w="3132" w:type="pct"/>
            <w:tcBorders>
              <w:top w:val="single" w:sz="4" w:space="0" w:color="auto"/>
            </w:tcBorders>
            <w:shd w:val="clear" w:color="auto" w:fill="auto"/>
            <w:vAlign w:val="center"/>
            <w:hideMark/>
          </w:tcPr>
          <w:p w14:paraId="3D8C8FD3"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This university can be trusted.</w:t>
            </w:r>
          </w:p>
        </w:tc>
        <w:tc>
          <w:tcPr>
            <w:tcW w:w="603" w:type="pct"/>
            <w:tcBorders>
              <w:top w:val="single" w:sz="4" w:space="0" w:color="auto"/>
            </w:tcBorders>
            <w:shd w:val="clear" w:color="auto" w:fill="auto"/>
            <w:vAlign w:val="center"/>
            <w:hideMark/>
          </w:tcPr>
          <w:p w14:paraId="54766592" w14:textId="77777777" w:rsidR="00BA39D7" w:rsidRPr="00771F08" w:rsidRDefault="00BA39D7"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.869</w:t>
            </w:r>
          </w:p>
        </w:tc>
      </w:tr>
      <w:tr w:rsidR="00BA39D7" w:rsidRPr="00771F08" w14:paraId="3C035B0B" w14:textId="77777777" w:rsidTr="00771F08">
        <w:trPr>
          <w:trHeight w:val="300"/>
        </w:trPr>
        <w:tc>
          <w:tcPr>
            <w:tcW w:w="1265" w:type="pct"/>
            <w:vMerge/>
            <w:tcBorders>
              <w:top w:val="nil"/>
            </w:tcBorders>
            <w:vAlign w:val="center"/>
            <w:hideMark/>
          </w:tcPr>
          <w:p w14:paraId="35724B71"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7CC5050A"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This university can be counted on to do what is right.</w:t>
            </w:r>
          </w:p>
        </w:tc>
        <w:tc>
          <w:tcPr>
            <w:tcW w:w="603" w:type="pct"/>
            <w:tcBorders>
              <w:top w:val="nil"/>
            </w:tcBorders>
            <w:shd w:val="clear" w:color="auto" w:fill="auto"/>
            <w:vAlign w:val="center"/>
            <w:hideMark/>
          </w:tcPr>
          <w:p w14:paraId="2D5F4C6A" w14:textId="77777777" w:rsidR="00BA39D7" w:rsidRPr="00771F08" w:rsidRDefault="00BA39D7"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.858</w:t>
            </w:r>
          </w:p>
        </w:tc>
      </w:tr>
      <w:tr w:rsidR="00BA39D7" w:rsidRPr="00771F08" w14:paraId="75D987A4" w14:textId="77777777" w:rsidTr="00771F08">
        <w:trPr>
          <w:trHeight w:val="300"/>
        </w:trPr>
        <w:tc>
          <w:tcPr>
            <w:tcW w:w="1265" w:type="pct"/>
            <w:vMerge/>
            <w:tcBorders>
              <w:top w:val="nil"/>
            </w:tcBorders>
            <w:vAlign w:val="center"/>
            <w:hideMark/>
          </w:tcPr>
          <w:p w14:paraId="67C89B59"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15FC83D2"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This university has high integrity.</w:t>
            </w:r>
          </w:p>
        </w:tc>
        <w:tc>
          <w:tcPr>
            <w:tcW w:w="603" w:type="pct"/>
            <w:tcBorders>
              <w:top w:val="nil"/>
            </w:tcBorders>
            <w:shd w:val="clear" w:color="auto" w:fill="auto"/>
            <w:vAlign w:val="center"/>
            <w:hideMark/>
          </w:tcPr>
          <w:p w14:paraId="1359C4A4" w14:textId="77777777" w:rsidR="00BA39D7" w:rsidRPr="00771F08" w:rsidRDefault="00BA39D7"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.899</w:t>
            </w:r>
          </w:p>
        </w:tc>
      </w:tr>
      <w:tr w:rsidR="00BA39D7" w:rsidRPr="00771F08" w14:paraId="463E90E6" w14:textId="77777777" w:rsidTr="00BA39D7">
        <w:trPr>
          <w:trHeight w:val="300"/>
        </w:trPr>
        <w:tc>
          <w:tcPr>
            <w:tcW w:w="1265" w:type="pct"/>
            <w:vMerge/>
            <w:tcBorders>
              <w:top w:val="nil"/>
              <w:bottom w:val="single" w:sz="4" w:space="0" w:color="auto"/>
            </w:tcBorders>
            <w:vAlign w:val="center"/>
            <w:hideMark/>
          </w:tcPr>
          <w:p w14:paraId="35358408"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bottom w:val="single" w:sz="4" w:space="0" w:color="auto"/>
            </w:tcBorders>
            <w:shd w:val="clear" w:color="auto" w:fill="auto"/>
            <w:vAlign w:val="center"/>
            <w:hideMark/>
          </w:tcPr>
          <w:p w14:paraId="6116FEA5" w14:textId="77777777" w:rsidR="00BA39D7" w:rsidRPr="00771F08" w:rsidRDefault="00BA39D7"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This university keeps its promises.</w:t>
            </w:r>
          </w:p>
        </w:tc>
        <w:tc>
          <w:tcPr>
            <w:tcW w:w="603" w:type="pct"/>
            <w:tcBorders>
              <w:top w:val="nil"/>
              <w:bottom w:val="single" w:sz="4" w:space="0" w:color="auto"/>
            </w:tcBorders>
            <w:shd w:val="clear" w:color="auto" w:fill="auto"/>
            <w:vAlign w:val="center"/>
            <w:hideMark/>
          </w:tcPr>
          <w:p w14:paraId="4A33F4AE" w14:textId="77777777" w:rsidR="00BA39D7" w:rsidRPr="00771F08" w:rsidRDefault="00BA39D7"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.872</w:t>
            </w:r>
          </w:p>
        </w:tc>
      </w:tr>
      <w:tr w:rsidR="000E0BA1" w:rsidRPr="00771F08" w14:paraId="06C36597" w14:textId="77777777" w:rsidTr="00BA39D7">
        <w:trPr>
          <w:trHeight w:val="300"/>
        </w:trPr>
        <w:tc>
          <w:tcPr>
            <w:tcW w:w="1265" w:type="pct"/>
            <w:vMerge w:val="restart"/>
            <w:tcBorders>
              <w:top w:val="single" w:sz="4" w:space="0" w:color="auto"/>
            </w:tcBorders>
            <w:shd w:val="clear" w:color="auto" w:fill="auto"/>
            <w:vAlign w:val="center"/>
            <w:hideMark/>
          </w:tcPr>
          <w:p w14:paraId="5512CBFB"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Attitude towards donation</w:t>
            </w:r>
          </w:p>
        </w:tc>
        <w:tc>
          <w:tcPr>
            <w:tcW w:w="3132" w:type="pct"/>
            <w:tcBorders>
              <w:top w:val="single" w:sz="4" w:space="0" w:color="auto"/>
            </w:tcBorders>
            <w:shd w:val="clear" w:color="auto" w:fill="auto"/>
            <w:vAlign w:val="center"/>
            <w:hideMark/>
          </w:tcPr>
          <w:p w14:paraId="4D283606"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Donating money to this university is a good idea.</w:t>
            </w:r>
          </w:p>
        </w:tc>
        <w:tc>
          <w:tcPr>
            <w:tcW w:w="603" w:type="pct"/>
            <w:tcBorders>
              <w:top w:val="single" w:sz="4" w:space="0" w:color="auto"/>
            </w:tcBorders>
            <w:shd w:val="clear" w:color="auto" w:fill="auto"/>
            <w:vAlign w:val="center"/>
            <w:hideMark/>
          </w:tcPr>
          <w:p w14:paraId="1AAD55DB"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.917</w:t>
            </w:r>
          </w:p>
        </w:tc>
      </w:tr>
      <w:tr w:rsidR="000E0BA1" w:rsidRPr="00771F08" w14:paraId="39C32ED5" w14:textId="77777777" w:rsidTr="00BA39D7">
        <w:trPr>
          <w:trHeight w:val="300"/>
        </w:trPr>
        <w:tc>
          <w:tcPr>
            <w:tcW w:w="1265" w:type="pct"/>
            <w:vMerge/>
            <w:tcBorders>
              <w:top w:val="nil"/>
            </w:tcBorders>
            <w:vAlign w:val="center"/>
            <w:hideMark/>
          </w:tcPr>
          <w:p w14:paraId="111CF9B8"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1FA4D399" w14:textId="7F9BC690"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 xml:space="preserve">I am </w:t>
            </w:r>
            <w:r w:rsidR="00727F74" w:rsidRPr="00771F08">
              <w:rPr>
                <w:rFonts w:ascii="Times New Roman" w:eastAsia="Times New Roman" w:hAnsi="Times New Roman" w:cs="Times New Roman"/>
                <w:color w:val="000000"/>
                <w:sz w:val="16"/>
                <w:szCs w:val="16"/>
                <w:lang w:val="en-GB" w:eastAsia="it-IT"/>
              </w:rPr>
              <w:t>favourable</w:t>
            </w:r>
            <w:r w:rsidRPr="00771F08">
              <w:rPr>
                <w:rFonts w:ascii="Times New Roman" w:eastAsia="Times New Roman" w:hAnsi="Times New Roman" w:cs="Times New Roman"/>
                <w:color w:val="000000"/>
                <w:sz w:val="16"/>
                <w:szCs w:val="16"/>
                <w:lang w:val="en-GB" w:eastAsia="it-IT"/>
              </w:rPr>
              <w:t xml:space="preserve"> towards donating money to this university.</w:t>
            </w:r>
          </w:p>
        </w:tc>
        <w:tc>
          <w:tcPr>
            <w:tcW w:w="603" w:type="pct"/>
            <w:tcBorders>
              <w:top w:val="nil"/>
            </w:tcBorders>
            <w:shd w:val="clear" w:color="auto" w:fill="auto"/>
            <w:vAlign w:val="center"/>
            <w:hideMark/>
          </w:tcPr>
          <w:p w14:paraId="11566090"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.931</w:t>
            </w:r>
          </w:p>
        </w:tc>
      </w:tr>
      <w:tr w:rsidR="000E0BA1" w:rsidRPr="00771F08" w14:paraId="0AF9254D" w14:textId="77777777" w:rsidTr="00BA39D7">
        <w:trPr>
          <w:trHeight w:val="300"/>
        </w:trPr>
        <w:tc>
          <w:tcPr>
            <w:tcW w:w="1265" w:type="pct"/>
            <w:vMerge/>
            <w:tcBorders>
              <w:top w:val="nil"/>
            </w:tcBorders>
            <w:vAlign w:val="center"/>
            <w:hideMark/>
          </w:tcPr>
          <w:p w14:paraId="0FE875E7"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tcBorders>
            <w:shd w:val="clear" w:color="auto" w:fill="auto"/>
            <w:vAlign w:val="center"/>
            <w:hideMark/>
          </w:tcPr>
          <w:p w14:paraId="63FFCE32"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Donating money to this university is a wise idea.</w:t>
            </w:r>
          </w:p>
        </w:tc>
        <w:tc>
          <w:tcPr>
            <w:tcW w:w="603" w:type="pct"/>
            <w:tcBorders>
              <w:top w:val="nil"/>
            </w:tcBorders>
            <w:shd w:val="clear" w:color="auto" w:fill="auto"/>
            <w:vAlign w:val="center"/>
            <w:hideMark/>
          </w:tcPr>
          <w:p w14:paraId="6796459A"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.959</w:t>
            </w:r>
          </w:p>
        </w:tc>
      </w:tr>
      <w:tr w:rsidR="000E0BA1" w:rsidRPr="00771F08" w14:paraId="28AF9B76" w14:textId="77777777" w:rsidTr="00BA39D7">
        <w:trPr>
          <w:trHeight w:val="300"/>
        </w:trPr>
        <w:tc>
          <w:tcPr>
            <w:tcW w:w="1265" w:type="pct"/>
            <w:vMerge/>
            <w:tcBorders>
              <w:top w:val="nil"/>
              <w:bottom w:val="single" w:sz="4" w:space="0" w:color="auto"/>
            </w:tcBorders>
            <w:vAlign w:val="center"/>
            <w:hideMark/>
          </w:tcPr>
          <w:p w14:paraId="1318B439"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p>
        </w:tc>
        <w:tc>
          <w:tcPr>
            <w:tcW w:w="3132" w:type="pct"/>
            <w:tcBorders>
              <w:top w:val="nil"/>
              <w:bottom w:val="single" w:sz="4" w:space="0" w:color="auto"/>
            </w:tcBorders>
            <w:shd w:val="clear" w:color="auto" w:fill="auto"/>
            <w:vAlign w:val="center"/>
            <w:hideMark/>
          </w:tcPr>
          <w:p w14:paraId="35C6997E" w14:textId="77777777" w:rsidR="000E0BA1" w:rsidRPr="00771F08" w:rsidRDefault="000E0BA1" w:rsidP="00237956">
            <w:pPr>
              <w:spacing w:after="0" w:line="240" w:lineRule="auto"/>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I am positive about donating money to this university</w:t>
            </w:r>
          </w:p>
        </w:tc>
        <w:tc>
          <w:tcPr>
            <w:tcW w:w="603" w:type="pct"/>
            <w:tcBorders>
              <w:top w:val="nil"/>
              <w:bottom w:val="single" w:sz="4" w:space="0" w:color="auto"/>
            </w:tcBorders>
            <w:shd w:val="clear" w:color="auto" w:fill="auto"/>
            <w:vAlign w:val="center"/>
            <w:hideMark/>
          </w:tcPr>
          <w:p w14:paraId="1EFB45C0" w14:textId="77777777" w:rsidR="000E0BA1" w:rsidRPr="00771F08" w:rsidRDefault="000E0BA1" w:rsidP="00237956">
            <w:pPr>
              <w:spacing w:after="0" w:line="240" w:lineRule="auto"/>
              <w:jc w:val="center"/>
              <w:rPr>
                <w:rFonts w:ascii="Times New Roman" w:eastAsia="Times New Roman" w:hAnsi="Times New Roman" w:cs="Times New Roman"/>
                <w:color w:val="000000"/>
                <w:sz w:val="16"/>
                <w:szCs w:val="16"/>
                <w:lang w:val="en-GB" w:eastAsia="it-IT"/>
              </w:rPr>
            </w:pPr>
            <w:r w:rsidRPr="00771F08">
              <w:rPr>
                <w:rFonts w:ascii="Times New Roman" w:eastAsia="Times New Roman" w:hAnsi="Times New Roman" w:cs="Times New Roman"/>
                <w:color w:val="000000"/>
                <w:sz w:val="16"/>
                <w:szCs w:val="16"/>
                <w:lang w:val="en-GB" w:eastAsia="it-IT"/>
              </w:rPr>
              <w:t>.951</w:t>
            </w:r>
          </w:p>
        </w:tc>
      </w:tr>
    </w:tbl>
    <w:p w14:paraId="0E854CA2" w14:textId="77777777" w:rsidR="000E0BA1" w:rsidRPr="00771F08" w:rsidRDefault="000E0BA1" w:rsidP="00237956">
      <w:pPr>
        <w:spacing w:after="0" w:line="240" w:lineRule="auto"/>
        <w:ind w:left="567"/>
        <w:rPr>
          <w:rFonts w:ascii="Times New Roman" w:eastAsia="Calibri" w:hAnsi="Times New Roman" w:cs="Times New Roman"/>
          <w:sz w:val="20"/>
          <w:lang w:val="en-GB"/>
        </w:rPr>
      </w:pPr>
    </w:p>
    <w:p w14:paraId="65A7289A" w14:textId="30B9996D" w:rsidR="002B7B61" w:rsidRDefault="005E73B7"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Convergent validity was examined by calculating the average variance extracted (AVE) and the construct reliability (CR). AVE needs to be &gt;</w:t>
      </w:r>
      <w:r w:rsidR="00A803E4" w:rsidRPr="00771F08">
        <w:rPr>
          <w:rFonts w:ascii="Times New Roman" w:hAnsi="Times New Roman" w:cs="Times New Roman"/>
          <w:szCs w:val="24"/>
          <w:lang w:val="en-GB"/>
        </w:rPr>
        <w:t>.50 (</w:t>
      </w:r>
      <w:proofErr w:type="spellStart"/>
      <w:r w:rsidR="00A803E4" w:rsidRPr="00771F08">
        <w:rPr>
          <w:rFonts w:ascii="Times New Roman" w:hAnsi="Times New Roman" w:cs="Times New Roman"/>
          <w:szCs w:val="24"/>
          <w:lang w:val="en-GB"/>
        </w:rPr>
        <w:t>Fornell</w:t>
      </w:r>
      <w:proofErr w:type="spellEnd"/>
      <w:r w:rsidR="00A803E4" w:rsidRPr="00771F08">
        <w:rPr>
          <w:rFonts w:ascii="Times New Roman" w:hAnsi="Times New Roman" w:cs="Times New Roman"/>
          <w:szCs w:val="24"/>
          <w:lang w:val="en-GB"/>
        </w:rPr>
        <w:t xml:space="preserve"> and </w:t>
      </w:r>
      <w:proofErr w:type="spellStart"/>
      <w:r w:rsidR="00A803E4" w:rsidRPr="00771F08">
        <w:rPr>
          <w:rFonts w:ascii="Times New Roman" w:hAnsi="Times New Roman" w:cs="Times New Roman"/>
          <w:szCs w:val="24"/>
          <w:lang w:val="en-GB"/>
        </w:rPr>
        <w:t>Larcker</w:t>
      </w:r>
      <w:proofErr w:type="spellEnd"/>
      <w:r w:rsidR="00A803E4" w:rsidRPr="00771F08">
        <w:rPr>
          <w:rFonts w:ascii="Times New Roman" w:hAnsi="Times New Roman" w:cs="Times New Roman"/>
          <w:szCs w:val="24"/>
          <w:lang w:val="en-GB"/>
        </w:rPr>
        <w:t xml:space="preserve"> </w:t>
      </w:r>
      <w:r w:rsidR="002B7B61" w:rsidRPr="00771F08">
        <w:rPr>
          <w:rFonts w:ascii="Times New Roman" w:hAnsi="Times New Roman" w:cs="Times New Roman"/>
          <w:szCs w:val="24"/>
          <w:lang w:val="en-GB"/>
        </w:rPr>
        <w:t xml:space="preserve">1981), while </w:t>
      </w:r>
      <w:r w:rsidRPr="00771F08">
        <w:rPr>
          <w:rFonts w:ascii="Times New Roman" w:hAnsi="Times New Roman" w:cs="Times New Roman"/>
          <w:szCs w:val="24"/>
          <w:lang w:val="en-GB"/>
        </w:rPr>
        <w:t xml:space="preserve">the CR </w:t>
      </w:r>
      <w:r w:rsidR="008D6EBF" w:rsidRPr="00771F08">
        <w:rPr>
          <w:rFonts w:ascii="Times New Roman" w:hAnsi="Times New Roman" w:cs="Times New Roman"/>
          <w:szCs w:val="24"/>
          <w:lang w:val="en-GB"/>
        </w:rPr>
        <w:t xml:space="preserve">should be </w:t>
      </w:r>
      <w:r w:rsidR="00A803E4" w:rsidRPr="00771F08">
        <w:rPr>
          <w:rFonts w:ascii="Times New Roman" w:hAnsi="Times New Roman" w:cs="Times New Roman"/>
          <w:szCs w:val="24"/>
          <w:lang w:val="en-GB"/>
        </w:rPr>
        <w:t>&gt;.60 (Bagozzi and Yi</w:t>
      </w:r>
      <w:r w:rsidRPr="00771F08">
        <w:rPr>
          <w:rFonts w:ascii="Times New Roman" w:hAnsi="Times New Roman" w:cs="Times New Roman"/>
          <w:szCs w:val="24"/>
          <w:lang w:val="en-GB"/>
        </w:rPr>
        <w:t xml:space="preserve"> 1988). All our AVE and CR values are above the recommended threshold</w:t>
      </w:r>
      <w:r w:rsidR="00782E87" w:rsidRPr="00771F08">
        <w:rPr>
          <w:rFonts w:ascii="Times New Roman" w:hAnsi="Times New Roman" w:cs="Times New Roman"/>
          <w:szCs w:val="24"/>
          <w:lang w:val="en-GB"/>
        </w:rPr>
        <w:t>s</w:t>
      </w:r>
      <w:r w:rsidRPr="00771F08">
        <w:rPr>
          <w:rFonts w:ascii="Times New Roman" w:hAnsi="Times New Roman" w:cs="Times New Roman"/>
          <w:szCs w:val="24"/>
          <w:lang w:val="en-GB"/>
        </w:rPr>
        <w:t>. To test for discriminant validity, all AVE values need to be higher than the squared inter-construct correlation estimates (SIC). Details for AVE, CR, and SIC</w:t>
      </w:r>
      <w:r w:rsidR="002B7B61" w:rsidRPr="00771F08">
        <w:rPr>
          <w:rFonts w:ascii="Times New Roman" w:hAnsi="Times New Roman" w:cs="Times New Roman"/>
          <w:szCs w:val="24"/>
          <w:lang w:val="en-GB"/>
        </w:rPr>
        <w:t xml:space="preserve"> values are provided in Table 3</w:t>
      </w:r>
      <w:r w:rsidRPr="00771F08">
        <w:rPr>
          <w:rFonts w:ascii="Times New Roman" w:hAnsi="Times New Roman" w:cs="Times New Roman"/>
          <w:szCs w:val="24"/>
          <w:lang w:val="en-GB"/>
        </w:rPr>
        <w:t>.</w:t>
      </w:r>
    </w:p>
    <w:p w14:paraId="5B3FBB4B" w14:textId="77777777" w:rsidR="00237956" w:rsidRPr="00771F08" w:rsidRDefault="00237956" w:rsidP="00237956">
      <w:pPr>
        <w:spacing w:after="0" w:line="240" w:lineRule="auto"/>
        <w:ind w:left="567" w:right="1133"/>
        <w:rPr>
          <w:rFonts w:ascii="Times New Roman" w:hAnsi="Times New Roman" w:cs="Times New Roman"/>
          <w:szCs w:val="24"/>
          <w:lang w:val="en-GB"/>
        </w:rPr>
      </w:pPr>
    </w:p>
    <w:p w14:paraId="78B4B66F" w14:textId="77777777" w:rsidR="00A803E4" w:rsidRPr="00237956" w:rsidRDefault="00A803E4" w:rsidP="00237956">
      <w:pPr>
        <w:spacing w:after="0" w:line="240" w:lineRule="auto"/>
        <w:ind w:left="567"/>
        <w:rPr>
          <w:rFonts w:ascii="Times New Roman" w:eastAsia="Calibri" w:hAnsi="Times New Roman" w:cs="Times New Roman"/>
          <w:lang w:val="en-GB"/>
        </w:rPr>
      </w:pPr>
      <w:r w:rsidRPr="00237956">
        <w:rPr>
          <w:rFonts w:ascii="Times New Roman" w:eastAsia="Calibri" w:hAnsi="Times New Roman" w:cs="Times New Roman"/>
          <w:b/>
          <w:lang w:val="en-GB"/>
        </w:rPr>
        <w:t>Table 3</w:t>
      </w:r>
      <w:r w:rsidRPr="00237956">
        <w:rPr>
          <w:rFonts w:ascii="Times New Roman" w:eastAsia="Calibri" w:hAnsi="Times New Roman" w:cs="Times New Roman"/>
          <w:lang w:val="en-GB"/>
        </w:rPr>
        <w:t>. Validity results for the model</w:t>
      </w:r>
    </w:p>
    <w:p w14:paraId="47C7C300" w14:textId="77777777" w:rsidR="00A803E4" w:rsidRPr="00237956" w:rsidRDefault="00A803E4" w:rsidP="00237956">
      <w:pPr>
        <w:spacing w:after="0" w:line="240" w:lineRule="auto"/>
        <w:ind w:left="567"/>
        <w:rPr>
          <w:rFonts w:ascii="Times New Roman" w:eastAsia="Calibri" w:hAnsi="Times New Roman" w:cs="Times New Roman"/>
          <w:lang w:val="en-GB"/>
        </w:rPr>
      </w:pPr>
    </w:p>
    <w:tbl>
      <w:tblPr>
        <w:tblStyle w:val="Grigliatabella1"/>
        <w:tblW w:w="0" w:type="auto"/>
        <w:tblInd w:w="562" w:type="dxa"/>
        <w:tblLook w:val="04A0" w:firstRow="1" w:lastRow="0" w:firstColumn="1" w:lastColumn="0" w:noHBand="0" w:noVBand="1"/>
      </w:tblPr>
      <w:tblGrid>
        <w:gridCol w:w="1423"/>
        <w:gridCol w:w="710"/>
        <w:gridCol w:w="953"/>
        <w:gridCol w:w="1176"/>
        <w:gridCol w:w="1236"/>
        <w:gridCol w:w="1017"/>
        <w:gridCol w:w="1015"/>
        <w:gridCol w:w="856"/>
      </w:tblGrid>
      <w:tr w:rsidR="00A803E4" w:rsidRPr="00237956" w14:paraId="7A9CF5E5" w14:textId="77777777" w:rsidTr="007B4E2D">
        <w:trPr>
          <w:trHeight w:val="122"/>
        </w:trPr>
        <w:tc>
          <w:tcPr>
            <w:tcW w:w="1423" w:type="dxa"/>
            <w:tcBorders>
              <w:top w:val="single" w:sz="4" w:space="0" w:color="auto"/>
              <w:left w:val="nil"/>
              <w:bottom w:val="single" w:sz="4" w:space="0" w:color="auto"/>
              <w:right w:val="nil"/>
            </w:tcBorders>
          </w:tcPr>
          <w:p w14:paraId="5590A872" w14:textId="77777777" w:rsidR="00A803E4" w:rsidRPr="00237956" w:rsidRDefault="00A803E4" w:rsidP="00237956">
            <w:pPr>
              <w:jc w:val="center"/>
              <w:rPr>
                <w:rFonts w:ascii="Times New Roman" w:eastAsia="Calibri" w:hAnsi="Times New Roman" w:cs="Times New Roman"/>
                <w:sz w:val="18"/>
                <w:szCs w:val="18"/>
                <w:lang w:val="en-GB"/>
              </w:rPr>
            </w:pPr>
          </w:p>
        </w:tc>
        <w:tc>
          <w:tcPr>
            <w:tcW w:w="710" w:type="dxa"/>
            <w:tcBorders>
              <w:top w:val="single" w:sz="4" w:space="0" w:color="auto"/>
              <w:left w:val="nil"/>
              <w:bottom w:val="single" w:sz="4" w:space="0" w:color="auto"/>
              <w:right w:val="nil"/>
            </w:tcBorders>
          </w:tcPr>
          <w:p w14:paraId="299B0843" w14:textId="77777777" w:rsidR="00A803E4" w:rsidRPr="00237956" w:rsidRDefault="00A803E4" w:rsidP="00237956">
            <w:pPr>
              <w:jc w:val="center"/>
              <w:rPr>
                <w:rFonts w:ascii="Times New Roman" w:eastAsia="Calibri" w:hAnsi="Times New Roman" w:cs="Times New Roman"/>
                <w:sz w:val="18"/>
                <w:szCs w:val="18"/>
                <w:lang w:val="en-GB"/>
              </w:rPr>
            </w:pPr>
          </w:p>
        </w:tc>
        <w:tc>
          <w:tcPr>
            <w:tcW w:w="953" w:type="dxa"/>
            <w:tcBorders>
              <w:top w:val="single" w:sz="4" w:space="0" w:color="auto"/>
              <w:left w:val="nil"/>
              <w:bottom w:val="single" w:sz="4" w:space="0" w:color="auto"/>
              <w:right w:val="nil"/>
            </w:tcBorders>
          </w:tcPr>
          <w:p w14:paraId="3B98CCEE" w14:textId="77777777" w:rsidR="00A803E4" w:rsidRPr="00237956" w:rsidRDefault="00A803E4" w:rsidP="00237956">
            <w:pPr>
              <w:jc w:val="center"/>
              <w:rPr>
                <w:rFonts w:ascii="Times New Roman" w:eastAsia="Calibri" w:hAnsi="Times New Roman" w:cs="Times New Roman"/>
                <w:sz w:val="18"/>
                <w:szCs w:val="18"/>
                <w:lang w:val="en-GB"/>
              </w:rPr>
            </w:pPr>
          </w:p>
        </w:tc>
        <w:tc>
          <w:tcPr>
            <w:tcW w:w="4846" w:type="dxa"/>
            <w:gridSpan w:val="5"/>
            <w:tcBorders>
              <w:top w:val="single" w:sz="4" w:space="0" w:color="auto"/>
              <w:left w:val="nil"/>
              <w:bottom w:val="single" w:sz="4" w:space="0" w:color="auto"/>
              <w:right w:val="nil"/>
            </w:tcBorders>
          </w:tcPr>
          <w:p w14:paraId="6FFA9116" w14:textId="77777777" w:rsidR="00A803E4" w:rsidRPr="00237956" w:rsidRDefault="00A803E4" w:rsidP="00237956">
            <w:pPr>
              <w:jc w:val="center"/>
              <w:rPr>
                <w:rFonts w:ascii="Times New Roman" w:eastAsia="Calibri" w:hAnsi="Times New Roman" w:cs="Times New Roman"/>
                <w:b/>
                <w:sz w:val="18"/>
                <w:szCs w:val="18"/>
                <w:lang w:val="en-GB"/>
              </w:rPr>
            </w:pPr>
            <w:r w:rsidRPr="00237956">
              <w:rPr>
                <w:rFonts w:ascii="Times New Roman" w:eastAsia="Calibri" w:hAnsi="Times New Roman" w:cs="Times New Roman"/>
                <w:b/>
                <w:sz w:val="18"/>
                <w:szCs w:val="18"/>
                <w:lang w:val="en-GB"/>
              </w:rPr>
              <w:t>SIC</w:t>
            </w:r>
          </w:p>
        </w:tc>
      </w:tr>
      <w:tr w:rsidR="00A803E4" w:rsidRPr="00237956" w14:paraId="0120FA54" w14:textId="77777777" w:rsidTr="007B4E2D">
        <w:tc>
          <w:tcPr>
            <w:tcW w:w="1423" w:type="dxa"/>
            <w:tcBorders>
              <w:top w:val="single" w:sz="4" w:space="0" w:color="auto"/>
              <w:left w:val="nil"/>
              <w:bottom w:val="single" w:sz="4" w:space="0" w:color="auto"/>
              <w:right w:val="nil"/>
            </w:tcBorders>
          </w:tcPr>
          <w:p w14:paraId="72924A99" w14:textId="77777777" w:rsidR="00A803E4" w:rsidRPr="00237956" w:rsidRDefault="00A803E4" w:rsidP="00237956">
            <w:pPr>
              <w:jc w:val="center"/>
              <w:rPr>
                <w:rFonts w:ascii="Times New Roman" w:eastAsia="Calibri" w:hAnsi="Times New Roman" w:cs="Times New Roman"/>
                <w:sz w:val="18"/>
                <w:szCs w:val="18"/>
                <w:lang w:val="en-GB"/>
              </w:rPr>
            </w:pPr>
          </w:p>
        </w:tc>
        <w:tc>
          <w:tcPr>
            <w:tcW w:w="710" w:type="dxa"/>
            <w:tcBorders>
              <w:top w:val="single" w:sz="4" w:space="0" w:color="auto"/>
              <w:left w:val="nil"/>
              <w:bottom w:val="single" w:sz="4" w:space="0" w:color="auto"/>
              <w:right w:val="nil"/>
            </w:tcBorders>
            <w:vAlign w:val="center"/>
          </w:tcPr>
          <w:p w14:paraId="7144CBE3" w14:textId="77777777" w:rsidR="00A803E4" w:rsidRPr="00237956" w:rsidRDefault="00A803E4" w:rsidP="00237956">
            <w:pPr>
              <w:jc w:val="center"/>
              <w:rPr>
                <w:rFonts w:ascii="Times New Roman" w:eastAsia="Calibri" w:hAnsi="Times New Roman" w:cs="Times New Roman"/>
                <w:b/>
                <w:sz w:val="18"/>
                <w:szCs w:val="18"/>
                <w:lang w:val="en-GB"/>
              </w:rPr>
            </w:pPr>
            <w:r w:rsidRPr="00237956">
              <w:rPr>
                <w:rFonts w:ascii="Times New Roman" w:eastAsia="Calibri" w:hAnsi="Times New Roman" w:cs="Times New Roman"/>
                <w:b/>
                <w:sz w:val="18"/>
                <w:szCs w:val="18"/>
                <w:lang w:val="en-GB"/>
              </w:rPr>
              <w:t>AVE</w:t>
            </w:r>
          </w:p>
        </w:tc>
        <w:tc>
          <w:tcPr>
            <w:tcW w:w="953" w:type="dxa"/>
            <w:tcBorders>
              <w:top w:val="single" w:sz="4" w:space="0" w:color="auto"/>
              <w:left w:val="nil"/>
              <w:bottom w:val="single" w:sz="4" w:space="0" w:color="auto"/>
              <w:right w:val="nil"/>
            </w:tcBorders>
            <w:vAlign w:val="center"/>
          </w:tcPr>
          <w:p w14:paraId="774EAA7D" w14:textId="77777777" w:rsidR="00A803E4" w:rsidRPr="00237956" w:rsidRDefault="00A803E4" w:rsidP="00237956">
            <w:pPr>
              <w:jc w:val="center"/>
              <w:rPr>
                <w:rFonts w:ascii="Times New Roman" w:eastAsia="Calibri" w:hAnsi="Times New Roman" w:cs="Times New Roman"/>
                <w:b/>
                <w:sz w:val="18"/>
                <w:szCs w:val="18"/>
                <w:lang w:val="en-GB"/>
              </w:rPr>
            </w:pPr>
            <w:r w:rsidRPr="00237956">
              <w:rPr>
                <w:rFonts w:ascii="Times New Roman" w:eastAsia="Calibri" w:hAnsi="Times New Roman" w:cs="Times New Roman"/>
                <w:b/>
                <w:sz w:val="18"/>
                <w:szCs w:val="18"/>
                <w:lang w:val="en-GB"/>
              </w:rPr>
              <w:t>CR</w:t>
            </w:r>
          </w:p>
        </w:tc>
        <w:tc>
          <w:tcPr>
            <w:tcW w:w="1024" w:type="dxa"/>
            <w:tcBorders>
              <w:top w:val="single" w:sz="4" w:space="0" w:color="auto"/>
              <w:left w:val="nil"/>
              <w:bottom w:val="single" w:sz="4" w:space="0" w:color="auto"/>
              <w:right w:val="nil"/>
            </w:tcBorders>
            <w:vAlign w:val="center"/>
          </w:tcPr>
          <w:p w14:paraId="1FEF7453" w14:textId="09981F3D" w:rsidR="00A803E4" w:rsidRPr="00237956" w:rsidRDefault="007B4E2D" w:rsidP="00237956">
            <w:pPr>
              <w:jc w:val="center"/>
              <w:rPr>
                <w:rFonts w:ascii="Times New Roman" w:eastAsia="Calibri" w:hAnsi="Times New Roman" w:cs="Times New Roman"/>
                <w:b/>
                <w:bCs/>
                <w:sz w:val="18"/>
                <w:szCs w:val="18"/>
                <w:lang w:val="en-GB"/>
              </w:rPr>
            </w:pPr>
            <w:r w:rsidRPr="00237956">
              <w:rPr>
                <w:rFonts w:ascii="Times New Roman" w:eastAsia="Calibri" w:hAnsi="Times New Roman" w:cs="Times New Roman"/>
                <w:b/>
                <w:bCs/>
                <w:sz w:val="18"/>
                <w:szCs w:val="18"/>
                <w:lang w:val="en-GB"/>
              </w:rPr>
              <w:t>Engagement</w:t>
            </w:r>
          </w:p>
        </w:tc>
        <w:tc>
          <w:tcPr>
            <w:tcW w:w="1017" w:type="dxa"/>
            <w:tcBorders>
              <w:top w:val="single" w:sz="4" w:space="0" w:color="auto"/>
              <w:left w:val="nil"/>
              <w:bottom w:val="single" w:sz="4" w:space="0" w:color="auto"/>
              <w:right w:val="nil"/>
            </w:tcBorders>
            <w:vAlign w:val="center"/>
          </w:tcPr>
          <w:p w14:paraId="404E51D2" w14:textId="06B7E4E6" w:rsidR="00A803E4" w:rsidRPr="00237956" w:rsidRDefault="007B4E2D" w:rsidP="00237956">
            <w:pPr>
              <w:jc w:val="center"/>
              <w:rPr>
                <w:rFonts w:ascii="Times New Roman" w:eastAsia="Calibri" w:hAnsi="Times New Roman" w:cs="Times New Roman"/>
                <w:b/>
                <w:bCs/>
                <w:sz w:val="18"/>
                <w:szCs w:val="18"/>
                <w:lang w:val="en-GB"/>
              </w:rPr>
            </w:pPr>
            <w:r w:rsidRPr="00237956">
              <w:rPr>
                <w:rFonts w:ascii="Times New Roman" w:eastAsia="Calibri" w:hAnsi="Times New Roman" w:cs="Times New Roman"/>
                <w:b/>
                <w:bCs/>
                <w:sz w:val="18"/>
                <w:szCs w:val="18"/>
                <w:lang w:val="en-GB"/>
              </w:rPr>
              <w:t>Commitment</w:t>
            </w:r>
          </w:p>
        </w:tc>
        <w:tc>
          <w:tcPr>
            <w:tcW w:w="1017" w:type="dxa"/>
            <w:tcBorders>
              <w:top w:val="single" w:sz="4" w:space="0" w:color="auto"/>
              <w:left w:val="nil"/>
              <w:bottom w:val="single" w:sz="4" w:space="0" w:color="auto"/>
              <w:right w:val="nil"/>
            </w:tcBorders>
            <w:vAlign w:val="center"/>
          </w:tcPr>
          <w:p w14:paraId="17A5AB93" w14:textId="4ECE8403" w:rsidR="00A803E4" w:rsidRPr="00237956" w:rsidRDefault="007B4E2D" w:rsidP="00237956">
            <w:pPr>
              <w:jc w:val="center"/>
              <w:rPr>
                <w:rFonts w:ascii="Times New Roman" w:eastAsia="Calibri" w:hAnsi="Times New Roman" w:cs="Times New Roman"/>
                <w:b/>
                <w:sz w:val="18"/>
                <w:szCs w:val="18"/>
                <w:lang w:val="en-GB"/>
              </w:rPr>
            </w:pPr>
            <w:r w:rsidRPr="00237956">
              <w:rPr>
                <w:rFonts w:ascii="Times New Roman" w:eastAsia="Calibri" w:hAnsi="Times New Roman" w:cs="Times New Roman"/>
                <w:b/>
                <w:sz w:val="18"/>
                <w:szCs w:val="18"/>
                <w:lang w:val="en-GB"/>
              </w:rPr>
              <w:t>Support</w:t>
            </w:r>
          </w:p>
        </w:tc>
        <w:tc>
          <w:tcPr>
            <w:tcW w:w="1015" w:type="dxa"/>
            <w:tcBorders>
              <w:top w:val="single" w:sz="4" w:space="0" w:color="auto"/>
              <w:left w:val="nil"/>
              <w:bottom w:val="single" w:sz="4" w:space="0" w:color="auto"/>
              <w:right w:val="nil"/>
            </w:tcBorders>
            <w:vAlign w:val="center"/>
          </w:tcPr>
          <w:p w14:paraId="49B3E86A" w14:textId="579D418B" w:rsidR="00A803E4" w:rsidRPr="00237956" w:rsidRDefault="007B4E2D" w:rsidP="00237956">
            <w:pPr>
              <w:jc w:val="center"/>
              <w:rPr>
                <w:rFonts w:ascii="Times New Roman" w:eastAsia="Calibri" w:hAnsi="Times New Roman" w:cs="Times New Roman"/>
                <w:b/>
                <w:sz w:val="18"/>
                <w:szCs w:val="18"/>
                <w:lang w:val="en-GB"/>
              </w:rPr>
            </w:pPr>
            <w:r w:rsidRPr="00237956">
              <w:rPr>
                <w:rFonts w:ascii="Times New Roman" w:eastAsia="Calibri" w:hAnsi="Times New Roman" w:cs="Times New Roman"/>
                <w:b/>
                <w:sz w:val="18"/>
                <w:szCs w:val="18"/>
                <w:lang w:val="en-GB"/>
              </w:rPr>
              <w:t>Trust</w:t>
            </w:r>
          </w:p>
        </w:tc>
        <w:tc>
          <w:tcPr>
            <w:tcW w:w="773" w:type="dxa"/>
            <w:tcBorders>
              <w:top w:val="single" w:sz="4" w:space="0" w:color="auto"/>
              <w:left w:val="nil"/>
              <w:bottom w:val="single" w:sz="4" w:space="0" w:color="auto"/>
              <w:right w:val="nil"/>
            </w:tcBorders>
            <w:vAlign w:val="center"/>
          </w:tcPr>
          <w:p w14:paraId="15E80553" w14:textId="162E7F53" w:rsidR="00A803E4" w:rsidRPr="00237956" w:rsidRDefault="007B4E2D" w:rsidP="00237956">
            <w:pPr>
              <w:jc w:val="center"/>
              <w:rPr>
                <w:rFonts w:ascii="Times New Roman" w:eastAsia="Calibri" w:hAnsi="Times New Roman" w:cs="Times New Roman"/>
                <w:b/>
                <w:sz w:val="18"/>
                <w:szCs w:val="18"/>
                <w:lang w:val="en-GB"/>
              </w:rPr>
            </w:pPr>
            <w:r w:rsidRPr="00237956">
              <w:rPr>
                <w:rFonts w:ascii="Times New Roman" w:eastAsia="Calibri" w:hAnsi="Times New Roman" w:cs="Times New Roman"/>
                <w:b/>
                <w:sz w:val="18"/>
                <w:szCs w:val="18"/>
                <w:lang w:val="en-GB"/>
              </w:rPr>
              <w:t>Attitude</w:t>
            </w:r>
          </w:p>
        </w:tc>
      </w:tr>
      <w:tr w:rsidR="00A803E4" w:rsidRPr="00237956" w14:paraId="1E2E2E09" w14:textId="77777777" w:rsidTr="007B4E2D">
        <w:tc>
          <w:tcPr>
            <w:tcW w:w="1423" w:type="dxa"/>
            <w:tcBorders>
              <w:top w:val="single" w:sz="4" w:space="0" w:color="auto"/>
              <w:left w:val="nil"/>
              <w:bottom w:val="nil"/>
              <w:right w:val="nil"/>
            </w:tcBorders>
          </w:tcPr>
          <w:p w14:paraId="69300C54" w14:textId="350A9965" w:rsidR="00A803E4" w:rsidRPr="00237956" w:rsidRDefault="007B4E2D" w:rsidP="00237956">
            <w:pP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Engagement</w:t>
            </w:r>
          </w:p>
        </w:tc>
        <w:tc>
          <w:tcPr>
            <w:tcW w:w="710" w:type="dxa"/>
            <w:tcBorders>
              <w:top w:val="single" w:sz="4" w:space="0" w:color="auto"/>
              <w:left w:val="nil"/>
              <w:bottom w:val="nil"/>
              <w:right w:val="nil"/>
            </w:tcBorders>
          </w:tcPr>
          <w:p w14:paraId="7355EBF9"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.70</w:t>
            </w:r>
          </w:p>
        </w:tc>
        <w:tc>
          <w:tcPr>
            <w:tcW w:w="953" w:type="dxa"/>
            <w:tcBorders>
              <w:top w:val="single" w:sz="4" w:space="0" w:color="auto"/>
              <w:left w:val="nil"/>
              <w:bottom w:val="nil"/>
              <w:right w:val="nil"/>
            </w:tcBorders>
          </w:tcPr>
          <w:p w14:paraId="424AA59E"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.91</w:t>
            </w:r>
          </w:p>
        </w:tc>
        <w:tc>
          <w:tcPr>
            <w:tcW w:w="1024" w:type="dxa"/>
            <w:tcBorders>
              <w:top w:val="single" w:sz="4" w:space="0" w:color="auto"/>
              <w:left w:val="nil"/>
              <w:bottom w:val="nil"/>
              <w:right w:val="nil"/>
            </w:tcBorders>
          </w:tcPr>
          <w:p w14:paraId="44C08979"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1.00</w:t>
            </w:r>
          </w:p>
        </w:tc>
        <w:tc>
          <w:tcPr>
            <w:tcW w:w="1017" w:type="dxa"/>
            <w:tcBorders>
              <w:top w:val="single" w:sz="4" w:space="0" w:color="auto"/>
              <w:left w:val="nil"/>
              <w:bottom w:val="nil"/>
              <w:right w:val="nil"/>
            </w:tcBorders>
          </w:tcPr>
          <w:p w14:paraId="2966B017" w14:textId="77777777" w:rsidR="00A803E4" w:rsidRPr="00237956" w:rsidRDefault="00A803E4" w:rsidP="00237956">
            <w:pPr>
              <w:jc w:val="center"/>
              <w:rPr>
                <w:rFonts w:ascii="Times New Roman" w:eastAsia="Calibri" w:hAnsi="Times New Roman" w:cs="Times New Roman"/>
                <w:sz w:val="18"/>
                <w:szCs w:val="18"/>
                <w:lang w:val="en-GB"/>
              </w:rPr>
            </w:pPr>
          </w:p>
        </w:tc>
        <w:tc>
          <w:tcPr>
            <w:tcW w:w="1017" w:type="dxa"/>
            <w:tcBorders>
              <w:top w:val="single" w:sz="4" w:space="0" w:color="auto"/>
              <w:left w:val="nil"/>
              <w:bottom w:val="nil"/>
              <w:right w:val="nil"/>
            </w:tcBorders>
          </w:tcPr>
          <w:p w14:paraId="637E209E" w14:textId="77777777" w:rsidR="00A803E4" w:rsidRPr="00237956" w:rsidRDefault="00A803E4" w:rsidP="00237956">
            <w:pPr>
              <w:jc w:val="center"/>
              <w:rPr>
                <w:rFonts w:ascii="Times New Roman" w:eastAsia="Calibri" w:hAnsi="Times New Roman" w:cs="Times New Roman"/>
                <w:sz w:val="18"/>
                <w:szCs w:val="18"/>
                <w:lang w:val="en-GB"/>
              </w:rPr>
            </w:pPr>
          </w:p>
        </w:tc>
        <w:tc>
          <w:tcPr>
            <w:tcW w:w="1015" w:type="dxa"/>
            <w:tcBorders>
              <w:top w:val="single" w:sz="4" w:space="0" w:color="auto"/>
              <w:left w:val="nil"/>
              <w:bottom w:val="nil"/>
              <w:right w:val="nil"/>
            </w:tcBorders>
          </w:tcPr>
          <w:p w14:paraId="78B64B6D" w14:textId="77777777" w:rsidR="00A803E4" w:rsidRPr="00237956" w:rsidRDefault="00A803E4" w:rsidP="00237956">
            <w:pPr>
              <w:jc w:val="center"/>
              <w:rPr>
                <w:rFonts w:ascii="Times New Roman" w:eastAsia="Calibri" w:hAnsi="Times New Roman" w:cs="Times New Roman"/>
                <w:sz w:val="18"/>
                <w:szCs w:val="18"/>
                <w:lang w:val="en-GB"/>
              </w:rPr>
            </w:pPr>
          </w:p>
        </w:tc>
        <w:tc>
          <w:tcPr>
            <w:tcW w:w="773" w:type="dxa"/>
            <w:tcBorders>
              <w:top w:val="single" w:sz="4" w:space="0" w:color="auto"/>
              <w:left w:val="nil"/>
              <w:bottom w:val="nil"/>
              <w:right w:val="nil"/>
            </w:tcBorders>
          </w:tcPr>
          <w:p w14:paraId="0478825F" w14:textId="77777777" w:rsidR="00A803E4" w:rsidRPr="00237956" w:rsidRDefault="00A803E4" w:rsidP="00237956">
            <w:pPr>
              <w:jc w:val="center"/>
              <w:rPr>
                <w:rFonts w:ascii="Times New Roman" w:eastAsia="Calibri" w:hAnsi="Times New Roman" w:cs="Times New Roman"/>
                <w:sz w:val="18"/>
                <w:szCs w:val="18"/>
                <w:lang w:val="en-GB"/>
              </w:rPr>
            </w:pPr>
          </w:p>
        </w:tc>
      </w:tr>
      <w:tr w:rsidR="00A803E4" w:rsidRPr="00237956" w14:paraId="7FA7EF2F" w14:textId="77777777" w:rsidTr="007B4E2D">
        <w:tc>
          <w:tcPr>
            <w:tcW w:w="1423" w:type="dxa"/>
            <w:tcBorders>
              <w:top w:val="nil"/>
              <w:left w:val="nil"/>
              <w:bottom w:val="nil"/>
              <w:right w:val="nil"/>
            </w:tcBorders>
          </w:tcPr>
          <w:p w14:paraId="6CA8D999" w14:textId="694DED3E" w:rsidR="00A803E4" w:rsidRPr="00237956" w:rsidRDefault="007B4E2D" w:rsidP="00237956">
            <w:pP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Commitment</w:t>
            </w:r>
          </w:p>
        </w:tc>
        <w:tc>
          <w:tcPr>
            <w:tcW w:w="710" w:type="dxa"/>
            <w:tcBorders>
              <w:top w:val="nil"/>
              <w:left w:val="nil"/>
              <w:bottom w:val="nil"/>
              <w:right w:val="nil"/>
            </w:tcBorders>
          </w:tcPr>
          <w:p w14:paraId="24B0A39E"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.74</w:t>
            </w:r>
          </w:p>
        </w:tc>
        <w:tc>
          <w:tcPr>
            <w:tcW w:w="953" w:type="dxa"/>
            <w:tcBorders>
              <w:top w:val="nil"/>
              <w:left w:val="nil"/>
              <w:bottom w:val="nil"/>
              <w:right w:val="nil"/>
            </w:tcBorders>
          </w:tcPr>
          <w:p w14:paraId="2781A091"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.93</w:t>
            </w:r>
          </w:p>
        </w:tc>
        <w:tc>
          <w:tcPr>
            <w:tcW w:w="1024" w:type="dxa"/>
            <w:tcBorders>
              <w:top w:val="nil"/>
              <w:left w:val="nil"/>
              <w:bottom w:val="nil"/>
              <w:right w:val="nil"/>
            </w:tcBorders>
          </w:tcPr>
          <w:p w14:paraId="32F9AF0C"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.60</w:t>
            </w:r>
          </w:p>
        </w:tc>
        <w:tc>
          <w:tcPr>
            <w:tcW w:w="1017" w:type="dxa"/>
            <w:tcBorders>
              <w:top w:val="nil"/>
              <w:left w:val="nil"/>
              <w:bottom w:val="nil"/>
              <w:right w:val="nil"/>
            </w:tcBorders>
          </w:tcPr>
          <w:p w14:paraId="2FBD2711"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1.00</w:t>
            </w:r>
          </w:p>
        </w:tc>
        <w:tc>
          <w:tcPr>
            <w:tcW w:w="1017" w:type="dxa"/>
            <w:tcBorders>
              <w:top w:val="nil"/>
              <w:left w:val="nil"/>
              <w:bottom w:val="nil"/>
              <w:right w:val="nil"/>
            </w:tcBorders>
          </w:tcPr>
          <w:p w14:paraId="06908A80" w14:textId="77777777" w:rsidR="00A803E4" w:rsidRPr="00237956" w:rsidRDefault="00A803E4" w:rsidP="00237956">
            <w:pPr>
              <w:jc w:val="center"/>
              <w:rPr>
                <w:rFonts w:ascii="Times New Roman" w:eastAsia="Calibri" w:hAnsi="Times New Roman" w:cs="Times New Roman"/>
                <w:sz w:val="18"/>
                <w:szCs w:val="18"/>
                <w:lang w:val="en-GB"/>
              </w:rPr>
            </w:pPr>
          </w:p>
        </w:tc>
        <w:tc>
          <w:tcPr>
            <w:tcW w:w="1015" w:type="dxa"/>
            <w:tcBorders>
              <w:top w:val="nil"/>
              <w:left w:val="nil"/>
              <w:bottom w:val="nil"/>
              <w:right w:val="nil"/>
            </w:tcBorders>
          </w:tcPr>
          <w:p w14:paraId="721E0360" w14:textId="77777777" w:rsidR="00A803E4" w:rsidRPr="00237956" w:rsidRDefault="00A803E4" w:rsidP="00237956">
            <w:pPr>
              <w:jc w:val="center"/>
              <w:rPr>
                <w:rFonts w:ascii="Times New Roman" w:eastAsia="Calibri" w:hAnsi="Times New Roman" w:cs="Times New Roman"/>
                <w:sz w:val="18"/>
                <w:szCs w:val="18"/>
                <w:lang w:val="en-GB"/>
              </w:rPr>
            </w:pPr>
          </w:p>
        </w:tc>
        <w:tc>
          <w:tcPr>
            <w:tcW w:w="773" w:type="dxa"/>
            <w:tcBorders>
              <w:top w:val="nil"/>
              <w:left w:val="nil"/>
              <w:bottom w:val="nil"/>
              <w:right w:val="nil"/>
            </w:tcBorders>
          </w:tcPr>
          <w:p w14:paraId="04746088" w14:textId="77777777" w:rsidR="00A803E4" w:rsidRPr="00237956" w:rsidRDefault="00A803E4" w:rsidP="00237956">
            <w:pPr>
              <w:jc w:val="center"/>
              <w:rPr>
                <w:rFonts w:ascii="Times New Roman" w:eastAsia="Calibri" w:hAnsi="Times New Roman" w:cs="Times New Roman"/>
                <w:sz w:val="18"/>
                <w:szCs w:val="18"/>
                <w:lang w:val="en-GB"/>
              </w:rPr>
            </w:pPr>
          </w:p>
        </w:tc>
      </w:tr>
      <w:tr w:rsidR="00A803E4" w:rsidRPr="00237956" w14:paraId="460919ED" w14:textId="77777777" w:rsidTr="007B4E2D">
        <w:tc>
          <w:tcPr>
            <w:tcW w:w="1423" w:type="dxa"/>
            <w:tcBorders>
              <w:top w:val="nil"/>
              <w:left w:val="nil"/>
              <w:bottom w:val="nil"/>
              <w:right w:val="nil"/>
            </w:tcBorders>
          </w:tcPr>
          <w:p w14:paraId="688FDD9A" w14:textId="678E60F3" w:rsidR="00A803E4" w:rsidRPr="00237956" w:rsidRDefault="007B4E2D" w:rsidP="00237956">
            <w:pP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Support</w:t>
            </w:r>
          </w:p>
        </w:tc>
        <w:tc>
          <w:tcPr>
            <w:tcW w:w="710" w:type="dxa"/>
            <w:tcBorders>
              <w:top w:val="nil"/>
              <w:left w:val="nil"/>
              <w:bottom w:val="nil"/>
              <w:right w:val="nil"/>
            </w:tcBorders>
          </w:tcPr>
          <w:p w14:paraId="72353CC7"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.70</w:t>
            </w:r>
          </w:p>
        </w:tc>
        <w:tc>
          <w:tcPr>
            <w:tcW w:w="953" w:type="dxa"/>
            <w:tcBorders>
              <w:top w:val="nil"/>
              <w:left w:val="nil"/>
              <w:bottom w:val="nil"/>
              <w:right w:val="nil"/>
            </w:tcBorders>
          </w:tcPr>
          <w:p w14:paraId="7F698457"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.95</w:t>
            </w:r>
          </w:p>
        </w:tc>
        <w:tc>
          <w:tcPr>
            <w:tcW w:w="1024" w:type="dxa"/>
            <w:tcBorders>
              <w:top w:val="nil"/>
              <w:left w:val="nil"/>
              <w:bottom w:val="nil"/>
              <w:right w:val="nil"/>
            </w:tcBorders>
          </w:tcPr>
          <w:p w14:paraId="0E070D19"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.40</w:t>
            </w:r>
          </w:p>
        </w:tc>
        <w:tc>
          <w:tcPr>
            <w:tcW w:w="1017" w:type="dxa"/>
            <w:tcBorders>
              <w:top w:val="nil"/>
              <w:left w:val="nil"/>
              <w:bottom w:val="nil"/>
              <w:right w:val="nil"/>
            </w:tcBorders>
          </w:tcPr>
          <w:p w14:paraId="3F8E2590"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.39</w:t>
            </w:r>
          </w:p>
        </w:tc>
        <w:tc>
          <w:tcPr>
            <w:tcW w:w="1017" w:type="dxa"/>
            <w:tcBorders>
              <w:top w:val="nil"/>
              <w:left w:val="nil"/>
              <w:bottom w:val="nil"/>
              <w:right w:val="nil"/>
            </w:tcBorders>
          </w:tcPr>
          <w:p w14:paraId="4B43E8F7"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1.00</w:t>
            </w:r>
          </w:p>
        </w:tc>
        <w:tc>
          <w:tcPr>
            <w:tcW w:w="1015" w:type="dxa"/>
            <w:tcBorders>
              <w:top w:val="nil"/>
              <w:left w:val="nil"/>
              <w:bottom w:val="nil"/>
              <w:right w:val="nil"/>
            </w:tcBorders>
          </w:tcPr>
          <w:p w14:paraId="074D3BE7" w14:textId="77777777" w:rsidR="00A803E4" w:rsidRPr="00237956" w:rsidRDefault="00A803E4" w:rsidP="00237956">
            <w:pPr>
              <w:jc w:val="center"/>
              <w:rPr>
                <w:rFonts w:ascii="Times New Roman" w:eastAsia="Calibri" w:hAnsi="Times New Roman" w:cs="Times New Roman"/>
                <w:sz w:val="18"/>
                <w:szCs w:val="18"/>
                <w:lang w:val="en-GB"/>
              </w:rPr>
            </w:pPr>
          </w:p>
        </w:tc>
        <w:tc>
          <w:tcPr>
            <w:tcW w:w="773" w:type="dxa"/>
            <w:tcBorders>
              <w:top w:val="nil"/>
              <w:left w:val="nil"/>
              <w:bottom w:val="nil"/>
              <w:right w:val="nil"/>
            </w:tcBorders>
          </w:tcPr>
          <w:p w14:paraId="38FFBD2C" w14:textId="77777777" w:rsidR="00A803E4" w:rsidRPr="00237956" w:rsidRDefault="00A803E4" w:rsidP="00237956">
            <w:pPr>
              <w:jc w:val="center"/>
              <w:rPr>
                <w:rFonts w:ascii="Times New Roman" w:eastAsia="Calibri" w:hAnsi="Times New Roman" w:cs="Times New Roman"/>
                <w:sz w:val="18"/>
                <w:szCs w:val="18"/>
                <w:lang w:val="en-GB"/>
              </w:rPr>
            </w:pPr>
          </w:p>
        </w:tc>
      </w:tr>
      <w:tr w:rsidR="00A803E4" w:rsidRPr="00237956" w14:paraId="4D636648" w14:textId="77777777" w:rsidTr="007B4E2D">
        <w:tc>
          <w:tcPr>
            <w:tcW w:w="1423" w:type="dxa"/>
            <w:tcBorders>
              <w:top w:val="nil"/>
              <w:left w:val="nil"/>
              <w:bottom w:val="nil"/>
              <w:right w:val="nil"/>
            </w:tcBorders>
          </w:tcPr>
          <w:p w14:paraId="663463E0" w14:textId="4C612C41" w:rsidR="00A803E4" w:rsidRPr="00237956" w:rsidRDefault="007B4E2D" w:rsidP="00237956">
            <w:pP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Trust</w:t>
            </w:r>
          </w:p>
        </w:tc>
        <w:tc>
          <w:tcPr>
            <w:tcW w:w="710" w:type="dxa"/>
            <w:tcBorders>
              <w:top w:val="nil"/>
              <w:left w:val="nil"/>
              <w:bottom w:val="nil"/>
              <w:right w:val="nil"/>
            </w:tcBorders>
          </w:tcPr>
          <w:p w14:paraId="02E86CDC"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.77</w:t>
            </w:r>
          </w:p>
        </w:tc>
        <w:tc>
          <w:tcPr>
            <w:tcW w:w="953" w:type="dxa"/>
            <w:tcBorders>
              <w:top w:val="nil"/>
              <w:left w:val="nil"/>
              <w:bottom w:val="nil"/>
              <w:right w:val="nil"/>
            </w:tcBorders>
          </w:tcPr>
          <w:p w14:paraId="29A4D74A"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.93</w:t>
            </w:r>
          </w:p>
        </w:tc>
        <w:tc>
          <w:tcPr>
            <w:tcW w:w="1024" w:type="dxa"/>
            <w:tcBorders>
              <w:top w:val="nil"/>
              <w:left w:val="nil"/>
              <w:bottom w:val="nil"/>
              <w:right w:val="nil"/>
            </w:tcBorders>
          </w:tcPr>
          <w:p w14:paraId="33E40189"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.39</w:t>
            </w:r>
          </w:p>
        </w:tc>
        <w:tc>
          <w:tcPr>
            <w:tcW w:w="1017" w:type="dxa"/>
            <w:tcBorders>
              <w:top w:val="nil"/>
              <w:left w:val="nil"/>
              <w:bottom w:val="nil"/>
              <w:right w:val="nil"/>
            </w:tcBorders>
          </w:tcPr>
          <w:p w14:paraId="4D1BB278"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.49</w:t>
            </w:r>
          </w:p>
        </w:tc>
        <w:tc>
          <w:tcPr>
            <w:tcW w:w="1017" w:type="dxa"/>
            <w:tcBorders>
              <w:top w:val="nil"/>
              <w:left w:val="nil"/>
              <w:bottom w:val="nil"/>
              <w:right w:val="nil"/>
            </w:tcBorders>
          </w:tcPr>
          <w:p w14:paraId="3A9A8D4C"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.18</w:t>
            </w:r>
          </w:p>
        </w:tc>
        <w:tc>
          <w:tcPr>
            <w:tcW w:w="1015" w:type="dxa"/>
            <w:tcBorders>
              <w:top w:val="nil"/>
              <w:left w:val="nil"/>
              <w:bottom w:val="nil"/>
              <w:right w:val="nil"/>
            </w:tcBorders>
          </w:tcPr>
          <w:p w14:paraId="562B5F12"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1.00</w:t>
            </w:r>
          </w:p>
        </w:tc>
        <w:tc>
          <w:tcPr>
            <w:tcW w:w="773" w:type="dxa"/>
            <w:tcBorders>
              <w:top w:val="nil"/>
              <w:left w:val="nil"/>
              <w:bottom w:val="nil"/>
              <w:right w:val="nil"/>
            </w:tcBorders>
          </w:tcPr>
          <w:p w14:paraId="58EB13CC" w14:textId="77777777" w:rsidR="00A803E4" w:rsidRPr="00237956" w:rsidRDefault="00A803E4" w:rsidP="00237956">
            <w:pPr>
              <w:jc w:val="center"/>
              <w:rPr>
                <w:rFonts w:ascii="Times New Roman" w:eastAsia="Calibri" w:hAnsi="Times New Roman" w:cs="Times New Roman"/>
                <w:sz w:val="18"/>
                <w:szCs w:val="18"/>
                <w:lang w:val="en-GB"/>
              </w:rPr>
            </w:pPr>
          </w:p>
        </w:tc>
      </w:tr>
      <w:tr w:rsidR="00A803E4" w:rsidRPr="00237956" w14:paraId="7127F023" w14:textId="77777777" w:rsidTr="007B4E2D">
        <w:tc>
          <w:tcPr>
            <w:tcW w:w="1423" w:type="dxa"/>
            <w:tcBorders>
              <w:top w:val="nil"/>
              <w:left w:val="nil"/>
              <w:bottom w:val="single" w:sz="4" w:space="0" w:color="auto"/>
              <w:right w:val="nil"/>
            </w:tcBorders>
          </w:tcPr>
          <w:p w14:paraId="7957A494" w14:textId="581E7385" w:rsidR="00A803E4" w:rsidRPr="00237956" w:rsidRDefault="007B4E2D" w:rsidP="00237956">
            <w:pP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Attitude</w:t>
            </w:r>
          </w:p>
        </w:tc>
        <w:tc>
          <w:tcPr>
            <w:tcW w:w="710" w:type="dxa"/>
            <w:tcBorders>
              <w:top w:val="nil"/>
              <w:left w:val="nil"/>
              <w:bottom w:val="single" w:sz="4" w:space="0" w:color="auto"/>
              <w:right w:val="nil"/>
            </w:tcBorders>
          </w:tcPr>
          <w:p w14:paraId="3251CC76"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.88</w:t>
            </w:r>
          </w:p>
        </w:tc>
        <w:tc>
          <w:tcPr>
            <w:tcW w:w="953" w:type="dxa"/>
            <w:tcBorders>
              <w:top w:val="nil"/>
              <w:left w:val="nil"/>
              <w:bottom w:val="single" w:sz="4" w:space="0" w:color="auto"/>
              <w:right w:val="nil"/>
            </w:tcBorders>
          </w:tcPr>
          <w:p w14:paraId="071D86BD"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.97</w:t>
            </w:r>
          </w:p>
        </w:tc>
        <w:tc>
          <w:tcPr>
            <w:tcW w:w="1024" w:type="dxa"/>
            <w:tcBorders>
              <w:top w:val="nil"/>
              <w:left w:val="nil"/>
              <w:bottom w:val="single" w:sz="4" w:space="0" w:color="auto"/>
              <w:right w:val="nil"/>
            </w:tcBorders>
          </w:tcPr>
          <w:p w14:paraId="12C6B929"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.41</w:t>
            </w:r>
          </w:p>
        </w:tc>
        <w:tc>
          <w:tcPr>
            <w:tcW w:w="1017" w:type="dxa"/>
            <w:tcBorders>
              <w:top w:val="nil"/>
              <w:left w:val="nil"/>
              <w:bottom w:val="single" w:sz="4" w:space="0" w:color="auto"/>
              <w:right w:val="nil"/>
            </w:tcBorders>
          </w:tcPr>
          <w:p w14:paraId="6CBA0BB8"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.32</w:t>
            </w:r>
          </w:p>
        </w:tc>
        <w:tc>
          <w:tcPr>
            <w:tcW w:w="1017" w:type="dxa"/>
            <w:tcBorders>
              <w:top w:val="nil"/>
              <w:left w:val="nil"/>
              <w:bottom w:val="single" w:sz="4" w:space="0" w:color="auto"/>
              <w:right w:val="nil"/>
            </w:tcBorders>
          </w:tcPr>
          <w:p w14:paraId="38608A08"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.30</w:t>
            </w:r>
          </w:p>
        </w:tc>
        <w:tc>
          <w:tcPr>
            <w:tcW w:w="1015" w:type="dxa"/>
            <w:tcBorders>
              <w:top w:val="nil"/>
              <w:left w:val="nil"/>
              <w:bottom w:val="single" w:sz="4" w:space="0" w:color="auto"/>
              <w:right w:val="nil"/>
            </w:tcBorders>
          </w:tcPr>
          <w:p w14:paraId="6A9C15DE"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.28</w:t>
            </w:r>
          </w:p>
        </w:tc>
        <w:tc>
          <w:tcPr>
            <w:tcW w:w="773" w:type="dxa"/>
            <w:tcBorders>
              <w:top w:val="nil"/>
              <w:left w:val="nil"/>
              <w:bottom w:val="single" w:sz="4" w:space="0" w:color="auto"/>
              <w:right w:val="nil"/>
            </w:tcBorders>
          </w:tcPr>
          <w:p w14:paraId="00FFD200" w14:textId="77777777" w:rsidR="00A803E4" w:rsidRPr="00237956" w:rsidRDefault="00A803E4" w:rsidP="00237956">
            <w:pPr>
              <w:jc w:val="center"/>
              <w:rPr>
                <w:rFonts w:ascii="Times New Roman" w:eastAsia="Calibri" w:hAnsi="Times New Roman" w:cs="Times New Roman"/>
                <w:sz w:val="18"/>
                <w:szCs w:val="18"/>
                <w:lang w:val="en-GB"/>
              </w:rPr>
            </w:pPr>
            <w:r w:rsidRPr="00237956">
              <w:rPr>
                <w:rFonts w:ascii="Times New Roman" w:eastAsia="Calibri" w:hAnsi="Times New Roman" w:cs="Times New Roman"/>
                <w:sz w:val="18"/>
                <w:szCs w:val="18"/>
                <w:lang w:val="en-GB"/>
              </w:rPr>
              <w:t>1.00</w:t>
            </w:r>
          </w:p>
        </w:tc>
      </w:tr>
    </w:tbl>
    <w:p w14:paraId="24345A04" w14:textId="77777777" w:rsidR="00A803E4" w:rsidRPr="00771F08" w:rsidRDefault="00A803E4" w:rsidP="00237956">
      <w:pPr>
        <w:spacing w:after="0" w:line="240" w:lineRule="auto"/>
        <w:ind w:left="567"/>
        <w:rPr>
          <w:rFonts w:ascii="Times New Roman" w:eastAsia="Calibri" w:hAnsi="Times New Roman" w:cs="Times New Roman"/>
          <w:sz w:val="18"/>
          <w:lang w:val="en-GB"/>
        </w:rPr>
      </w:pPr>
      <w:r w:rsidRPr="00237956">
        <w:rPr>
          <w:rFonts w:ascii="Times New Roman" w:eastAsia="Calibri" w:hAnsi="Times New Roman" w:cs="Times New Roman"/>
          <w:sz w:val="18"/>
          <w:lang w:val="en-GB"/>
        </w:rPr>
        <w:t>Note: all correlations are significant, p &lt; .01</w:t>
      </w:r>
    </w:p>
    <w:p w14:paraId="23AFF685" w14:textId="1594D0EF" w:rsidR="008D6EBF" w:rsidRPr="00771F08" w:rsidRDefault="008D6EBF" w:rsidP="00237956">
      <w:pPr>
        <w:spacing w:after="0" w:line="240" w:lineRule="auto"/>
        <w:ind w:right="1416"/>
        <w:rPr>
          <w:rFonts w:ascii="Times New Roman" w:hAnsi="Times New Roman" w:cs="Times New Roman"/>
          <w:sz w:val="24"/>
          <w:szCs w:val="24"/>
          <w:lang w:val="en-GB"/>
        </w:rPr>
      </w:pPr>
    </w:p>
    <w:p w14:paraId="494CA4FB" w14:textId="77777777" w:rsidR="005E73B7" w:rsidRPr="00771F08" w:rsidRDefault="005E73B7" w:rsidP="00237956">
      <w:pPr>
        <w:spacing w:after="0" w:line="240" w:lineRule="auto"/>
        <w:ind w:left="567"/>
        <w:jc w:val="both"/>
        <w:rPr>
          <w:rFonts w:ascii="Times New Roman" w:eastAsia="Calibri" w:hAnsi="Times New Roman" w:cs="Times New Roman"/>
          <w:b/>
          <w:i/>
          <w:lang w:val="en-GB"/>
        </w:rPr>
      </w:pPr>
      <w:r w:rsidRPr="00771F08">
        <w:rPr>
          <w:rFonts w:ascii="Times New Roman" w:eastAsia="Calibri" w:hAnsi="Times New Roman" w:cs="Times New Roman"/>
          <w:b/>
          <w:i/>
          <w:lang w:val="en-GB"/>
        </w:rPr>
        <w:lastRenderedPageBreak/>
        <w:t>4.2. Fit of the measurement model</w:t>
      </w:r>
    </w:p>
    <w:p w14:paraId="54DA542C" w14:textId="77777777" w:rsidR="00EC4F53" w:rsidRPr="00771F08" w:rsidRDefault="00EC4F53" w:rsidP="00237956">
      <w:pPr>
        <w:spacing w:after="0" w:line="240" w:lineRule="auto"/>
        <w:ind w:left="567" w:right="1133"/>
        <w:rPr>
          <w:rFonts w:ascii="Times New Roman" w:hAnsi="Times New Roman" w:cs="Times New Roman"/>
          <w:szCs w:val="24"/>
          <w:lang w:val="en-GB"/>
        </w:rPr>
      </w:pPr>
    </w:p>
    <w:p w14:paraId="1C6207CE" w14:textId="7D75079E" w:rsidR="005E73B7" w:rsidRPr="00771F08" w:rsidRDefault="000B3296"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 xml:space="preserve">A multi-group structural equation model </w:t>
      </w:r>
      <w:r w:rsidR="0093160A" w:rsidRPr="00771F08">
        <w:rPr>
          <w:rFonts w:ascii="Times New Roman" w:hAnsi="Times New Roman" w:cs="Times New Roman"/>
          <w:szCs w:val="24"/>
          <w:lang w:val="en-GB"/>
        </w:rPr>
        <w:t>was conducted to assess the relationships among the underlying constructs</w:t>
      </w:r>
      <w:r w:rsidRPr="00771F08">
        <w:rPr>
          <w:rFonts w:ascii="Times New Roman" w:hAnsi="Times New Roman" w:cs="Times New Roman"/>
          <w:szCs w:val="24"/>
          <w:lang w:val="en-GB"/>
        </w:rPr>
        <w:t xml:space="preserve">. </w:t>
      </w:r>
      <w:r w:rsidR="005E73B7" w:rsidRPr="00771F08">
        <w:rPr>
          <w:rFonts w:ascii="Times New Roman" w:hAnsi="Times New Roman" w:cs="Times New Roman"/>
          <w:szCs w:val="24"/>
          <w:lang w:val="en-GB"/>
        </w:rPr>
        <w:t>The measurement model was tested to determine its fit to the research data. An acceptable model fit was achieved with Chi² = 777.15; df = 249; p &lt; .01; Chi²/df = 3.12; IFI = .97, TLI = .96</w:t>
      </w:r>
      <w:r w:rsidR="00C105AC" w:rsidRPr="00771F08">
        <w:rPr>
          <w:rFonts w:ascii="Times New Roman" w:hAnsi="Times New Roman" w:cs="Times New Roman"/>
          <w:szCs w:val="24"/>
          <w:lang w:val="en-GB"/>
        </w:rPr>
        <w:t>,</w:t>
      </w:r>
      <w:r w:rsidR="005E73B7" w:rsidRPr="00771F08">
        <w:rPr>
          <w:rFonts w:ascii="Times New Roman" w:hAnsi="Times New Roman" w:cs="Times New Roman"/>
          <w:szCs w:val="24"/>
          <w:lang w:val="en-GB"/>
        </w:rPr>
        <w:t xml:space="preserve"> CFI = .97; </w:t>
      </w:r>
      <w:r w:rsidR="00C105AC" w:rsidRPr="00771F08">
        <w:rPr>
          <w:rFonts w:ascii="Times New Roman" w:hAnsi="Times New Roman" w:cs="Times New Roman"/>
          <w:szCs w:val="24"/>
          <w:lang w:val="en-GB"/>
        </w:rPr>
        <w:t xml:space="preserve">and </w:t>
      </w:r>
      <w:r w:rsidR="005E73B7" w:rsidRPr="00771F08">
        <w:rPr>
          <w:rFonts w:ascii="Times New Roman" w:hAnsi="Times New Roman" w:cs="Times New Roman"/>
          <w:szCs w:val="24"/>
          <w:lang w:val="en-GB"/>
        </w:rPr>
        <w:t>RMSEA = .06. For a meaningful comparison of the model for both countries, the instrument measuring the various constructs</w:t>
      </w:r>
      <w:r w:rsidR="008D6EBF" w:rsidRPr="00771F08">
        <w:rPr>
          <w:rFonts w:ascii="Times New Roman" w:hAnsi="Times New Roman" w:cs="Times New Roman"/>
          <w:szCs w:val="24"/>
          <w:lang w:val="en-GB"/>
        </w:rPr>
        <w:t xml:space="preserve"> has to</w:t>
      </w:r>
      <w:r w:rsidR="005E73B7" w:rsidRPr="00771F08">
        <w:rPr>
          <w:rFonts w:ascii="Times New Roman" w:hAnsi="Times New Roman" w:cs="Times New Roman"/>
          <w:szCs w:val="24"/>
          <w:lang w:val="en-GB"/>
        </w:rPr>
        <w:t xml:space="preserve"> possess cross-country equivalence. To meet the requirement of equivalence, configural and, at least partial, metric or scalar invariance</w:t>
      </w:r>
      <w:r w:rsidR="008D6EBF" w:rsidRPr="00771F08">
        <w:rPr>
          <w:rFonts w:ascii="Times New Roman" w:hAnsi="Times New Roman" w:cs="Times New Roman"/>
          <w:szCs w:val="24"/>
          <w:lang w:val="en-GB"/>
        </w:rPr>
        <w:t xml:space="preserve"> has to</w:t>
      </w:r>
      <w:r w:rsidR="005E73B7" w:rsidRPr="00771F08">
        <w:rPr>
          <w:rFonts w:ascii="Times New Roman" w:hAnsi="Times New Roman" w:cs="Times New Roman"/>
          <w:szCs w:val="24"/>
          <w:lang w:val="en-GB"/>
        </w:rPr>
        <w:t xml:space="preserve"> be confirmed to compare the findings for the two g</w:t>
      </w:r>
      <w:r w:rsidR="00FA66DC" w:rsidRPr="00771F08">
        <w:rPr>
          <w:rFonts w:ascii="Times New Roman" w:hAnsi="Times New Roman" w:cs="Times New Roman"/>
          <w:szCs w:val="24"/>
          <w:lang w:val="en-GB"/>
        </w:rPr>
        <w:t>roup</w:t>
      </w:r>
      <w:r w:rsidR="004C0D36" w:rsidRPr="00771F08">
        <w:rPr>
          <w:rFonts w:ascii="Times New Roman" w:hAnsi="Times New Roman" w:cs="Times New Roman"/>
          <w:szCs w:val="24"/>
          <w:lang w:val="en-GB"/>
        </w:rPr>
        <w:t>s of consumers (Hair et al. 2018</w:t>
      </w:r>
      <w:r w:rsidR="00FA66DC" w:rsidRPr="00771F08">
        <w:rPr>
          <w:rFonts w:ascii="Times New Roman" w:hAnsi="Times New Roman" w:cs="Times New Roman"/>
          <w:szCs w:val="24"/>
          <w:lang w:val="en-GB"/>
        </w:rPr>
        <w:t>; Steenkamp and Baumgartner</w:t>
      </w:r>
      <w:r w:rsidR="005E73B7" w:rsidRPr="00771F08">
        <w:rPr>
          <w:rFonts w:ascii="Times New Roman" w:hAnsi="Times New Roman" w:cs="Times New Roman"/>
          <w:szCs w:val="24"/>
          <w:lang w:val="en-GB"/>
        </w:rPr>
        <w:t xml:space="preserve"> </w:t>
      </w:r>
      <w:r w:rsidR="00FA66DC" w:rsidRPr="00771F08">
        <w:rPr>
          <w:rFonts w:ascii="Times New Roman" w:hAnsi="Times New Roman" w:cs="Times New Roman"/>
          <w:szCs w:val="24"/>
          <w:lang w:val="en-GB"/>
        </w:rPr>
        <w:t>1998; Vandenberg and Lance</w:t>
      </w:r>
      <w:r w:rsidR="005E73B7" w:rsidRPr="00771F08">
        <w:rPr>
          <w:rFonts w:ascii="Times New Roman" w:hAnsi="Times New Roman" w:cs="Times New Roman"/>
          <w:szCs w:val="24"/>
          <w:lang w:val="en-GB"/>
        </w:rPr>
        <w:t xml:space="preserve"> 2000). </w:t>
      </w:r>
    </w:p>
    <w:p w14:paraId="77D21C69" w14:textId="4AD469CF" w:rsidR="005E73B7" w:rsidRPr="00771F08" w:rsidRDefault="005E73B7"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 xml:space="preserve">Metric invariance was tested by means of nested multiple-group CFA. </w:t>
      </w:r>
      <w:r w:rsidR="0087086E" w:rsidRPr="00771F08">
        <w:rPr>
          <w:rFonts w:ascii="Times New Roman" w:hAnsi="Times New Roman" w:cs="Times New Roman"/>
          <w:szCs w:val="24"/>
          <w:lang w:val="en-GB"/>
        </w:rPr>
        <w:t xml:space="preserve">We found a </w:t>
      </w:r>
      <w:r w:rsidRPr="00771F08">
        <w:rPr>
          <w:rFonts w:ascii="Times New Roman" w:hAnsi="Times New Roman" w:cs="Times New Roman"/>
          <w:szCs w:val="24"/>
          <w:lang w:val="en-GB"/>
        </w:rPr>
        <w:t>significant difference between the free and the restricted model (i.e. factor loadings restricted to being equal across countries)</w:t>
      </w:r>
      <w:r w:rsidR="0087086E" w:rsidRPr="00771F08">
        <w:rPr>
          <w:rFonts w:ascii="Times New Roman" w:hAnsi="Times New Roman" w:cs="Times New Roman"/>
          <w:szCs w:val="24"/>
          <w:lang w:val="en-GB"/>
        </w:rPr>
        <w:t xml:space="preserve"> (Δχ²=59.41, df = 20, p &lt; .01)</w:t>
      </w:r>
      <w:r w:rsidRPr="00771F08">
        <w:rPr>
          <w:rFonts w:ascii="Times New Roman" w:hAnsi="Times New Roman" w:cs="Times New Roman"/>
          <w:szCs w:val="24"/>
          <w:lang w:val="en-GB"/>
        </w:rPr>
        <w:t>. However, a partial metric invariance model, in which two factor loadings of the construct support w</w:t>
      </w:r>
      <w:r w:rsidR="00C105AC" w:rsidRPr="00771F08">
        <w:rPr>
          <w:rFonts w:ascii="Times New Roman" w:hAnsi="Times New Roman" w:cs="Times New Roman"/>
          <w:szCs w:val="24"/>
          <w:lang w:val="en-GB"/>
        </w:rPr>
        <w:t>ere</w:t>
      </w:r>
      <w:r w:rsidRPr="00771F08">
        <w:rPr>
          <w:rFonts w:ascii="Times New Roman" w:hAnsi="Times New Roman" w:cs="Times New Roman"/>
          <w:szCs w:val="24"/>
          <w:lang w:val="en-GB"/>
        </w:rPr>
        <w:t xml:space="preserve"> </w:t>
      </w:r>
      <w:r w:rsidR="00C105AC" w:rsidRPr="00771F08">
        <w:rPr>
          <w:rFonts w:ascii="Times New Roman" w:hAnsi="Times New Roman" w:cs="Times New Roman"/>
          <w:szCs w:val="24"/>
          <w:lang w:val="en-GB"/>
        </w:rPr>
        <w:t xml:space="preserve">constrained </w:t>
      </w:r>
      <w:r w:rsidRPr="00771F08">
        <w:rPr>
          <w:rFonts w:ascii="Times New Roman" w:hAnsi="Times New Roman" w:cs="Times New Roman"/>
          <w:szCs w:val="24"/>
          <w:lang w:val="en-GB"/>
        </w:rPr>
        <w:t>to be equal</w:t>
      </w:r>
      <w:r w:rsidR="008A7D41" w:rsidRPr="00771F08">
        <w:rPr>
          <w:rFonts w:ascii="Times New Roman" w:hAnsi="Times New Roman" w:cs="Times New Roman"/>
          <w:szCs w:val="24"/>
          <w:lang w:val="en-GB"/>
        </w:rPr>
        <w:t>,</w:t>
      </w:r>
      <w:r w:rsidR="0087086E" w:rsidRPr="00771F08">
        <w:rPr>
          <w:rFonts w:ascii="Times New Roman" w:hAnsi="Times New Roman" w:cs="Times New Roman"/>
          <w:szCs w:val="24"/>
          <w:lang w:val="en-GB"/>
        </w:rPr>
        <w:t xml:space="preserve"> leads to </w:t>
      </w:r>
      <w:r w:rsidRPr="00771F08">
        <w:rPr>
          <w:rFonts w:ascii="Times New Roman" w:hAnsi="Times New Roman" w:cs="Times New Roman"/>
          <w:szCs w:val="24"/>
          <w:lang w:val="en-GB"/>
        </w:rPr>
        <w:t>a non-significant</w:t>
      </w:r>
      <w:r w:rsidR="0087086E" w:rsidRPr="00771F08">
        <w:rPr>
          <w:rFonts w:ascii="Times New Roman" w:hAnsi="Times New Roman" w:cs="Times New Roman"/>
          <w:szCs w:val="24"/>
          <w:lang w:val="en-GB"/>
        </w:rPr>
        <w:t xml:space="preserve"> difference between the constrained and the unconstrained model</w:t>
      </w:r>
      <w:r w:rsidRPr="00771F08">
        <w:rPr>
          <w:rFonts w:ascii="Times New Roman" w:hAnsi="Times New Roman" w:cs="Times New Roman"/>
          <w:szCs w:val="24"/>
          <w:lang w:val="en-GB"/>
        </w:rPr>
        <w:t xml:space="preserve"> </w:t>
      </w:r>
      <w:r w:rsidR="0087086E" w:rsidRPr="00771F08">
        <w:rPr>
          <w:rFonts w:ascii="Times New Roman" w:hAnsi="Times New Roman" w:cs="Times New Roman"/>
          <w:szCs w:val="24"/>
          <w:lang w:val="en-GB"/>
        </w:rPr>
        <w:t>(Δ</w:t>
      </w:r>
      <w:r w:rsidRPr="00771F08">
        <w:rPr>
          <w:rFonts w:ascii="Times New Roman" w:hAnsi="Times New Roman" w:cs="Times New Roman"/>
          <w:szCs w:val="24"/>
          <w:lang w:val="en-GB"/>
        </w:rPr>
        <w:t>χ²</w:t>
      </w:r>
      <w:r w:rsidR="0087086E"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20.59, df = 18, p = .08) compared to the </w:t>
      </w:r>
      <w:r w:rsidR="00C105AC" w:rsidRPr="00771F08">
        <w:rPr>
          <w:rFonts w:ascii="Times New Roman" w:hAnsi="Times New Roman" w:cs="Times New Roman"/>
          <w:szCs w:val="24"/>
          <w:lang w:val="en-GB"/>
        </w:rPr>
        <w:t xml:space="preserve">unconstrained </w:t>
      </w:r>
      <w:r w:rsidRPr="00771F08">
        <w:rPr>
          <w:rFonts w:ascii="Times New Roman" w:hAnsi="Times New Roman" w:cs="Times New Roman"/>
          <w:szCs w:val="24"/>
          <w:lang w:val="en-GB"/>
        </w:rPr>
        <w:t xml:space="preserve">model. Hence, </w:t>
      </w:r>
      <w:r w:rsidR="00C105AC" w:rsidRPr="00771F08">
        <w:rPr>
          <w:rFonts w:ascii="Times New Roman" w:hAnsi="Times New Roman" w:cs="Times New Roman"/>
          <w:szCs w:val="24"/>
          <w:lang w:val="en-GB"/>
        </w:rPr>
        <w:t xml:space="preserve">the </w:t>
      </w:r>
      <w:r w:rsidRPr="00771F08">
        <w:rPr>
          <w:rFonts w:ascii="Times New Roman" w:hAnsi="Times New Roman" w:cs="Times New Roman"/>
          <w:szCs w:val="24"/>
          <w:lang w:val="en-GB"/>
        </w:rPr>
        <w:t>assum</w:t>
      </w:r>
      <w:r w:rsidR="00C105AC" w:rsidRPr="00771F08">
        <w:rPr>
          <w:rFonts w:ascii="Times New Roman" w:hAnsi="Times New Roman" w:cs="Times New Roman"/>
          <w:szCs w:val="24"/>
          <w:lang w:val="en-GB"/>
        </w:rPr>
        <w:t>ption</w:t>
      </w:r>
      <w:r w:rsidRPr="00771F08">
        <w:rPr>
          <w:rFonts w:ascii="Times New Roman" w:hAnsi="Times New Roman" w:cs="Times New Roman"/>
          <w:szCs w:val="24"/>
          <w:lang w:val="en-GB"/>
        </w:rPr>
        <w:t xml:space="preserve"> </w:t>
      </w:r>
      <w:r w:rsidR="00C105AC" w:rsidRPr="00771F08">
        <w:rPr>
          <w:rFonts w:ascii="Times New Roman" w:hAnsi="Times New Roman" w:cs="Times New Roman"/>
          <w:szCs w:val="24"/>
          <w:lang w:val="en-GB"/>
        </w:rPr>
        <w:t xml:space="preserve">of </w:t>
      </w:r>
      <w:r w:rsidRPr="00771F08">
        <w:rPr>
          <w:rFonts w:ascii="Times New Roman" w:hAnsi="Times New Roman" w:cs="Times New Roman"/>
          <w:szCs w:val="24"/>
          <w:lang w:val="en-GB"/>
        </w:rPr>
        <w:t>partial metric invariance</w:t>
      </w:r>
      <w:r w:rsidR="00C105AC" w:rsidRPr="00771F08">
        <w:rPr>
          <w:rFonts w:ascii="Times New Roman" w:hAnsi="Times New Roman" w:cs="Times New Roman"/>
          <w:szCs w:val="24"/>
          <w:lang w:val="en-GB"/>
        </w:rPr>
        <w:t xml:space="preserve"> </w:t>
      </w:r>
      <w:r w:rsidR="0087086E" w:rsidRPr="00771F08">
        <w:rPr>
          <w:rFonts w:ascii="Times New Roman" w:hAnsi="Times New Roman" w:cs="Times New Roman"/>
          <w:szCs w:val="24"/>
          <w:lang w:val="en-GB"/>
        </w:rPr>
        <w:t>has been</w:t>
      </w:r>
      <w:r w:rsidRPr="00771F08">
        <w:rPr>
          <w:rFonts w:ascii="Times New Roman" w:hAnsi="Times New Roman" w:cs="Times New Roman"/>
          <w:szCs w:val="24"/>
          <w:lang w:val="en-GB"/>
        </w:rPr>
        <w:t xml:space="preserve"> </w:t>
      </w:r>
      <w:r w:rsidR="0087086E" w:rsidRPr="00771F08">
        <w:rPr>
          <w:rFonts w:ascii="Times New Roman" w:hAnsi="Times New Roman" w:cs="Times New Roman"/>
          <w:szCs w:val="24"/>
          <w:lang w:val="en-GB"/>
        </w:rPr>
        <w:t>met</w:t>
      </w:r>
      <w:r w:rsidR="008E7B0E" w:rsidRPr="00771F08">
        <w:rPr>
          <w:rFonts w:ascii="Times New Roman" w:hAnsi="Times New Roman" w:cs="Times New Roman"/>
          <w:szCs w:val="24"/>
          <w:lang w:val="en-GB"/>
        </w:rPr>
        <w:t xml:space="preserve"> (</w:t>
      </w:r>
      <w:proofErr w:type="spellStart"/>
      <w:r w:rsidR="008E7B0E" w:rsidRPr="00771F08">
        <w:rPr>
          <w:rFonts w:ascii="Times New Roman" w:hAnsi="Times New Roman" w:cs="Times New Roman"/>
          <w:szCs w:val="24"/>
          <w:lang w:val="en-GB"/>
        </w:rPr>
        <w:t>Thøgersen</w:t>
      </w:r>
      <w:proofErr w:type="spellEnd"/>
      <w:r w:rsidR="008E7B0E" w:rsidRPr="00771F08">
        <w:rPr>
          <w:rFonts w:ascii="Times New Roman" w:hAnsi="Times New Roman" w:cs="Times New Roman"/>
          <w:szCs w:val="24"/>
          <w:lang w:val="en-GB"/>
        </w:rPr>
        <w:t xml:space="preserve"> et al.</w:t>
      </w:r>
      <w:r w:rsidRPr="00771F08">
        <w:rPr>
          <w:rFonts w:ascii="Times New Roman" w:hAnsi="Times New Roman" w:cs="Times New Roman"/>
          <w:szCs w:val="24"/>
          <w:lang w:val="en-GB"/>
        </w:rPr>
        <w:t xml:space="preserve"> 2015).</w:t>
      </w:r>
    </w:p>
    <w:p w14:paraId="5298D949" w14:textId="77777777" w:rsidR="005E73B7" w:rsidRPr="00771F08" w:rsidRDefault="005E73B7" w:rsidP="00237956">
      <w:pPr>
        <w:spacing w:after="0" w:line="240" w:lineRule="auto"/>
        <w:ind w:firstLine="720"/>
        <w:jc w:val="both"/>
        <w:rPr>
          <w:rFonts w:ascii="Times New Roman" w:eastAsia="Calibri" w:hAnsi="Times New Roman" w:cs="Times New Roman"/>
          <w:lang w:val="en-GB"/>
        </w:rPr>
      </w:pPr>
    </w:p>
    <w:p w14:paraId="3918734D" w14:textId="37011E23" w:rsidR="00013912" w:rsidRDefault="005E73B7" w:rsidP="00237956">
      <w:pPr>
        <w:spacing w:after="0" w:line="240" w:lineRule="auto"/>
        <w:ind w:left="567"/>
        <w:rPr>
          <w:rFonts w:ascii="Times New Roman" w:hAnsi="Times New Roman" w:cs="Times New Roman"/>
          <w:szCs w:val="24"/>
          <w:lang w:val="en-GB"/>
        </w:rPr>
      </w:pPr>
      <w:r w:rsidRPr="00771F08">
        <w:rPr>
          <w:rFonts w:ascii="Times New Roman" w:eastAsia="Calibri" w:hAnsi="Times New Roman" w:cs="Times New Roman"/>
          <w:b/>
          <w:i/>
          <w:lang w:val="en-GB"/>
        </w:rPr>
        <w:t>4.3. Test of the structural model</w:t>
      </w:r>
    </w:p>
    <w:p w14:paraId="5BAC285D" w14:textId="40EE0227" w:rsidR="005E73B7" w:rsidRDefault="005E73B7"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 xml:space="preserve">We conducted a structural equation model by using SPSS AMOS to assess the relationships among the underlying constructs. The results suggest an acceptable model fit </w:t>
      </w:r>
      <w:r w:rsidR="00CB36E2" w:rsidRPr="00771F08">
        <w:rPr>
          <w:rFonts w:ascii="Times New Roman" w:hAnsi="Times New Roman" w:cs="Times New Roman"/>
          <w:szCs w:val="24"/>
          <w:lang w:val="en-GB"/>
        </w:rPr>
        <w:t>(</w:t>
      </w:r>
      <w:r w:rsidR="00057D46" w:rsidRPr="00771F08">
        <w:rPr>
          <w:rFonts w:ascii="Times New Roman" w:hAnsi="Times New Roman" w:cs="Times New Roman"/>
          <w:szCs w:val="24"/>
          <w:lang w:val="en-GB"/>
        </w:rPr>
        <w:t>Chi² = 1191.02; df = 253;</w:t>
      </w:r>
      <w:r w:rsidRPr="00771F08">
        <w:rPr>
          <w:rFonts w:ascii="Times New Roman" w:hAnsi="Times New Roman" w:cs="Times New Roman"/>
          <w:szCs w:val="24"/>
          <w:lang w:val="en-GB"/>
        </w:rPr>
        <w:t xml:space="preserve"> Chi²/df = 4.70; IFI = .94, TLI = .93</w:t>
      </w:r>
      <w:r w:rsidR="00B40F32"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CFI = .94;</w:t>
      </w:r>
      <w:r w:rsidR="00B40F32" w:rsidRPr="00771F08">
        <w:rPr>
          <w:rFonts w:ascii="Times New Roman" w:hAnsi="Times New Roman" w:cs="Times New Roman"/>
          <w:szCs w:val="24"/>
          <w:lang w:val="en-GB"/>
        </w:rPr>
        <w:t xml:space="preserve"> </w:t>
      </w:r>
      <w:r w:rsidRPr="00771F08">
        <w:rPr>
          <w:rFonts w:ascii="Times New Roman" w:hAnsi="Times New Roman" w:cs="Times New Roman"/>
          <w:szCs w:val="24"/>
          <w:lang w:val="en-GB"/>
        </w:rPr>
        <w:t>RMSEA = .08</w:t>
      </w:r>
      <w:r w:rsidR="00CB36E2" w:rsidRPr="00771F08">
        <w:rPr>
          <w:rFonts w:ascii="Times New Roman" w:hAnsi="Times New Roman" w:cs="Times New Roman"/>
          <w:szCs w:val="24"/>
          <w:lang w:val="en-GB"/>
        </w:rPr>
        <w:t>)</w:t>
      </w:r>
      <w:r w:rsidRPr="00771F08">
        <w:rPr>
          <w:rFonts w:ascii="Times New Roman" w:hAnsi="Times New Roman" w:cs="Times New Roman"/>
          <w:szCs w:val="24"/>
          <w:lang w:val="en-GB"/>
        </w:rPr>
        <w:t>.</w:t>
      </w:r>
      <w:r w:rsidR="008D6EBF" w:rsidRPr="00771F08">
        <w:rPr>
          <w:rFonts w:ascii="Times New Roman" w:hAnsi="Times New Roman" w:cs="Times New Roman"/>
          <w:szCs w:val="24"/>
          <w:lang w:val="en-GB"/>
        </w:rPr>
        <w:t xml:space="preserve"> </w:t>
      </w:r>
      <w:r w:rsidRPr="00771F08">
        <w:rPr>
          <w:rFonts w:ascii="Times New Roman" w:hAnsi="Times New Roman" w:cs="Times New Roman"/>
          <w:szCs w:val="24"/>
          <w:lang w:val="en-GB"/>
        </w:rPr>
        <w:t xml:space="preserve">By </w:t>
      </w:r>
      <w:r w:rsidR="00B40F32" w:rsidRPr="00771F08">
        <w:rPr>
          <w:rFonts w:ascii="Times New Roman" w:hAnsi="Times New Roman" w:cs="Times New Roman"/>
          <w:szCs w:val="24"/>
          <w:lang w:val="en-GB"/>
        </w:rPr>
        <w:t xml:space="preserve">examining </w:t>
      </w:r>
      <w:r w:rsidRPr="00771F08">
        <w:rPr>
          <w:rFonts w:ascii="Times New Roman" w:hAnsi="Times New Roman" w:cs="Times New Roman"/>
          <w:szCs w:val="24"/>
          <w:lang w:val="en-GB"/>
        </w:rPr>
        <w:t xml:space="preserve">the equality of structural weights, the significance of the overall difference in the factors influencing attitude towards donations of both Italian and US </w:t>
      </w:r>
      <w:r w:rsidR="00B033C0" w:rsidRPr="00771F08">
        <w:rPr>
          <w:rFonts w:ascii="Times New Roman" w:hAnsi="Times New Roman" w:cs="Times New Roman"/>
          <w:szCs w:val="24"/>
          <w:lang w:val="en-GB"/>
        </w:rPr>
        <w:t>alumni</w:t>
      </w:r>
      <w:r w:rsidRPr="00771F08">
        <w:rPr>
          <w:rFonts w:ascii="Times New Roman" w:hAnsi="Times New Roman" w:cs="Times New Roman"/>
          <w:szCs w:val="24"/>
          <w:lang w:val="en-GB"/>
        </w:rPr>
        <w:t xml:space="preserve"> was determined. The path coefficients, as well as the critical ratios for significant differences on the individual paths between the samples</w:t>
      </w:r>
      <w:r w:rsidR="008D6EBF"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are reported in </w:t>
      </w:r>
      <w:r w:rsidR="001644A2" w:rsidRPr="00771F08">
        <w:rPr>
          <w:rFonts w:ascii="Times New Roman" w:hAnsi="Times New Roman" w:cs="Times New Roman"/>
          <w:szCs w:val="24"/>
          <w:lang w:val="en-GB"/>
        </w:rPr>
        <w:t>Table 4</w:t>
      </w:r>
      <w:r w:rsidRPr="00771F08">
        <w:rPr>
          <w:rFonts w:ascii="Times New Roman" w:hAnsi="Times New Roman" w:cs="Times New Roman"/>
          <w:szCs w:val="24"/>
          <w:lang w:val="en-GB"/>
        </w:rPr>
        <w:t>.</w:t>
      </w:r>
    </w:p>
    <w:p w14:paraId="05D5590E" w14:textId="77777777" w:rsidR="00237956" w:rsidRPr="00771F08" w:rsidRDefault="00237956" w:rsidP="00237956">
      <w:pPr>
        <w:spacing w:after="0" w:line="240" w:lineRule="auto"/>
        <w:ind w:left="567" w:right="1133"/>
        <w:rPr>
          <w:rFonts w:ascii="Times New Roman" w:hAnsi="Times New Roman" w:cs="Times New Roman"/>
          <w:szCs w:val="24"/>
          <w:lang w:val="en-GB"/>
        </w:rPr>
      </w:pPr>
    </w:p>
    <w:p w14:paraId="67773FE8" w14:textId="58B95FC6" w:rsidR="00EB6FDC" w:rsidRPr="00237956" w:rsidRDefault="00EB6FDC" w:rsidP="00237956">
      <w:pPr>
        <w:spacing w:after="0" w:line="240" w:lineRule="auto"/>
        <w:ind w:left="567"/>
        <w:rPr>
          <w:rFonts w:ascii="Times New Roman" w:eastAsia="Calibri" w:hAnsi="Times New Roman" w:cs="Times New Roman"/>
          <w:lang w:val="en-GB"/>
        </w:rPr>
      </w:pPr>
      <w:r w:rsidRPr="00237956">
        <w:rPr>
          <w:rFonts w:ascii="Times New Roman" w:eastAsia="Calibri" w:hAnsi="Times New Roman" w:cs="Times New Roman"/>
          <w:b/>
          <w:lang w:val="en-GB"/>
        </w:rPr>
        <w:t>Table 4</w:t>
      </w:r>
      <w:r w:rsidRPr="00237956">
        <w:rPr>
          <w:rFonts w:ascii="Times New Roman" w:eastAsia="Calibri" w:hAnsi="Times New Roman" w:cs="Times New Roman"/>
          <w:lang w:val="en-GB"/>
        </w:rPr>
        <w:t xml:space="preserve">. </w:t>
      </w:r>
      <w:r w:rsidR="00727F74" w:rsidRPr="00237956">
        <w:rPr>
          <w:rFonts w:ascii="Times New Roman" w:eastAsia="Calibri" w:hAnsi="Times New Roman" w:cs="Times New Roman"/>
          <w:lang w:val="en-GB"/>
        </w:rPr>
        <w:t>Standardi</w:t>
      </w:r>
      <w:r w:rsidR="00771F08" w:rsidRPr="00237956">
        <w:rPr>
          <w:rFonts w:ascii="Times New Roman" w:eastAsia="Calibri" w:hAnsi="Times New Roman" w:cs="Times New Roman"/>
          <w:lang w:val="en-GB"/>
        </w:rPr>
        <w:t>s</w:t>
      </w:r>
      <w:r w:rsidR="00727F74" w:rsidRPr="00237956">
        <w:rPr>
          <w:rFonts w:ascii="Times New Roman" w:eastAsia="Calibri" w:hAnsi="Times New Roman" w:cs="Times New Roman"/>
          <w:lang w:val="en-GB"/>
        </w:rPr>
        <w:t>ed</w:t>
      </w:r>
      <w:r w:rsidRPr="00237956">
        <w:rPr>
          <w:rFonts w:ascii="Times New Roman" w:eastAsia="Calibri" w:hAnsi="Times New Roman" w:cs="Times New Roman"/>
          <w:lang w:val="en-GB"/>
        </w:rPr>
        <w:t xml:space="preserve"> parameter estimates of the structural model </w:t>
      </w:r>
    </w:p>
    <w:p w14:paraId="64DBA3CF" w14:textId="77777777" w:rsidR="00EB6FDC" w:rsidRPr="00237956" w:rsidRDefault="00EB6FDC" w:rsidP="00237956">
      <w:pPr>
        <w:spacing w:after="0" w:line="240" w:lineRule="auto"/>
        <w:jc w:val="center"/>
        <w:rPr>
          <w:rFonts w:ascii="Times New Roman" w:eastAsia="Calibri" w:hAnsi="Times New Roman" w:cs="Times New Roman"/>
          <w:lang w:val="en-GB"/>
        </w:rPr>
      </w:pPr>
    </w:p>
    <w:tbl>
      <w:tblPr>
        <w:tblStyle w:val="Grigliatabella1"/>
        <w:tblW w:w="779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345"/>
        <w:gridCol w:w="1346"/>
        <w:gridCol w:w="1345"/>
        <w:gridCol w:w="1346"/>
      </w:tblGrid>
      <w:tr w:rsidR="00EB6FDC" w:rsidRPr="00237956" w14:paraId="3014C5AE" w14:textId="77777777" w:rsidTr="007B4E2D">
        <w:tc>
          <w:tcPr>
            <w:tcW w:w="2415" w:type="dxa"/>
            <w:tcBorders>
              <w:top w:val="single" w:sz="4" w:space="0" w:color="auto"/>
              <w:bottom w:val="single" w:sz="4" w:space="0" w:color="auto"/>
            </w:tcBorders>
            <w:vAlign w:val="center"/>
          </w:tcPr>
          <w:p w14:paraId="5928380E" w14:textId="77777777" w:rsidR="00EB6FDC" w:rsidRPr="00237956" w:rsidRDefault="00EB6FDC" w:rsidP="00237956">
            <w:pPr>
              <w:jc w:val="center"/>
              <w:rPr>
                <w:rFonts w:ascii="Times New Roman" w:eastAsia="Calibri" w:hAnsi="Times New Roman" w:cs="Times New Roman"/>
                <w:b/>
                <w:sz w:val="18"/>
                <w:lang w:val="en-GB"/>
              </w:rPr>
            </w:pPr>
            <w:r w:rsidRPr="00237956">
              <w:rPr>
                <w:rFonts w:ascii="Times New Roman" w:eastAsia="Calibri" w:hAnsi="Times New Roman" w:cs="Times New Roman"/>
                <w:b/>
                <w:sz w:val="18"/>
                <w:lang w:val="en-GB"/>
              </w:rPr>
              <w:t>Parameters</w:t>
            </w:r>
          </w:p>
        </w:tc>
        <w:tc>
          <w:tcPr>
            <w:tcW w:w="1345" w:type="dxa"/>
            <w:tcBorders>
              <w:top w:val="single" w:sz="4" w:space="0" w:color="auto"/>
              <w:bottom w:val="single" w:sz="4" w:space="0" w:color="auto"/>
            </w:tcBorders>
            <w:vAlign w:val="center"/>
          </w:tcPr>
          <w:p w14:paraId="76FB5496" w14:textId="77777777" w:rsidR="00EB6FDC" w:rsidRPr="00237956" w:rsidRDefault="00EB6FDC" w:rsidP="00237956">
            <w:pPr>
              <w:jc w:val="center"/>
              <w:rPr>
                <w:rFonts w:ascii="Times New Roman" w:eastAsia="Calibri" w:hAnsi="Times New Roman" w:cs="Times New Roman"/>
                <w:b/>
                <w:sz w:val="18"/>
                <w:lang w:val="en-GB"/>
              </w:rPr>
            </w:pPr>
            <w:r w:rsidRPr="00237956">
              <w:rPr>
                <w:rFonts w:ascii="Times New Roman" w:eastAsia="Calibri" w:hAnsi="Times New Roman" w:cs="Times New Roman"/>
                <w:b/>
                <w:sz w:val="18"/>
                <w:lang w:val="en-GB"/>
              </w:rPr>
              <w:t>Overall Sample n=632</w:t>
            </w:r>
          </w:p>
        </w:tc>
        <w:tc>
          <w:tcPr>
            <w:tcW w:w="1346" w:type="dxa"/>
            <w:tcBorders>
              <w:top w:val="single" w:sz="4" w:space="0" w:color="auto"/>
              <w:bottom w:val="single" w:sz="4" w:space="0" w:color="auto"/>
            </w:tcBorders>
            <w:vAlign w:val="center"/>
          </w:tcPr>
          <w:p w14:paraId="22E90717" w14:textId="4DAA179A" w:rsidR="00EB6FDC" w:rsidRPr="00237956" w:rsidRDefault="00EB6FDC" w:rsidP="00237956">
            <w:pPr>
              <w:jc w:val="center"/>
              <w:rPr>
                <w:rFonts w:ascii="Times New Roman" w:eastAsia="Calibri" w:hAnsi="Times New Roman" w:cs="Times New Roman"/>
                <w:b/>
                <w:sz w:val="18"/>
                <w:lang w:val="en-GB"/>
              </w:rPr>
            </w:pPr>
            <w:r w:rsidRPr="00237956">
              <w:rPr>
                <w:rFonts w:ascii="Times New Roman" w:eastAsia="Calibri" w:hAnsi="Times New Roman" w:cs="Times New Roman"/>
                <w:b/>
                <w:sz w:val="18"/>
                <w:lang w:val="en-GB"/>
              </w:rPr>
              <w:t xml:space="preserve">Italian </w:t>
            </w:r>
            <w:r w:rsidR="00F56D72" w:rsidRPr="00237956">
              <w:rPr>
                <w:rFonts w:ascii="Times New Roman" w:eastAsia="Calibri" w:hAnsi="Times New Roman" w:cs="Times New Roman"/>
                <w:b/>
                <w:sz w:val="18"/>
                <w:lang w:val="en-GB"/>
              </w:rPr>
              <w:t>Alumni</w:t>
            </w:r>
            <w:r w:rsidRPr="00237956">
              <w:rPr>
                <w:rFonts w:ascii="Times New Roman" w:eastAsia="Calibri" w:hAnsi="Times New Roman" w:cs="Times New Roman"/>
                <w:b/>
                <w:sz w:val="18"/>
                <w:lang w:val="en-GB"/>
              </w:rPr>
              <w:t xml:space="preserve"> n=314</w:t>
            </w:r>
          </w:p>
        </w:tc>
        <w:tc>
          <w:tcPr>
            <w:tcW w:w="1345" w:type="dxa"/>
            <w:tcBorders>
              <w:top w:val="single" w:sz="4" w:space="0" w:color="auto"/>
              <w:bottom w:val="single" w:sz="4" w:space="0" w:color="auto"/>
            </w:tcBorders>
            <w:vAlign w:val="center"/>
          </w:tcPr>
          <w:p w14:paraId="60C1B5ED" w14:textId="02A717A8" w:rsidR="00EB6FDC" w:rsidRPr="00237956" w:rsidRDefault="00EB6FDC" w:rsidP="00237956">
            <w:pPr>
              <w:jc w:val="center"/>
              <w:rPr>
                <w:rFonts w:ascii="Times New Roman" w:eastAsia="Calibri" w:hAnsi="Times New Roman" w:cs="Times New Roman"/>
                <w:b/>
                <w:sz w:val="18"/>
                <w:lang w:val="en-GB"/>
              </w:rPr>
            </w:pPr>
            <w:r w:rsidRPr="00237956">
              <w:rPr>
                <w:rFonts w:ascii="Times New Roman" w:eastAsia="Calibri" w:hAnsi="Times New Roman" w:cs="Times New Roman"/>
                <w:b/>
                <w:sz w:val="18"/>
                <w:lang w:val="en-GB"/>
              </w:rPr>
              <w:t>US</w:t>
            </w:r>
            <w:r w:rsidR="00F56D72" w:rsidRPr="00237956">
              <w:rPr>
                <w:rFonts w:ascii="Times New Roman" w:eastAsia="Calibri" w:hAnsi="Times New Roman" w:cs="Times New Roman"/>
                <w:b/>
                <w:sz w:val="18"/>
                <w:lang w:val="en-GB"/>
              </w:rPr>
              <w:t xml:space="preserve"> Alumni</w:t>
            </w:r>
            <w:r w:rsidRPr="00237956">
              <w:rPr>
                <w:rFonts w:ascii="Times New Roman" w:eastAsia="Calibri" w:hAnsi="Times New Roman" w:cs="Times New Roman"/>
                <w:b/>
                <w:sz w:val="18"/>
                <w:lang w:val="en-GB"/>
              </w:rPr>
              <w:t xml:space="preserve"> </w:t>
            </w:r>
            <w:r w:rsidR="00F56D72" w:rsidRPr="00237956">
              <w:rPr>
                <w:rFonts w:ascii="Times New Roman" w:eastAsia="Calibri" w:hAnsi="Times New Roman" w:cs="Times New Roman"/>
                <w:b/>
                <w:sz w:val="18"/>
                <w:lang w:val="en-GB"/>
              </w:rPr>
              <w:t xml:space="preserve">        </w:t>
            </w:r>
            <w:r w:rsidRPr="00237956">
              <w:rPr>
                <w:rFonts w:ascii="Times New Roman" w:eastAsia="Calibri" w:hAnsi="Times New Roman" w:cs="Times New Roman"/>
                <w:b/>
                <w:sz w:val="18"/>
                <w:lang w:val="en-GB"/>
              </w:rPr>
              <w:t>n=318</w:t>
            </w:r>
          </w:p>
        </w:tc>
        <w:tc>
          <w:tcPr>
            <w:tcW w:w="1346" w:type="dxa"/>
            <w:tcBorders>
              <w:top w:val="single" w:sz="4" w:space="0" w:color="auto"/>
              <w:bottom w:val="single" w:sz="4" w:space="0" w:color="auto"/>
            </w:tcBorders>
            <w:vAlign w:val="center"/>
          </w:tcPr>
          <w:p w14:paraId="026D2443" w14:textId="77777777" w:rsidR="00EB6FDC" w:rsidRPr="00237956" w:rsidRDefault="00EB6FDC" w:rsidP="00237956">
            <w:pPr>
              <w:jc w:val="center"/>
              <w:rPr>
                <w:rFonts w:ascii="Times New Roman" w:eastAsia="Calibri" w:hAnsi="Times New Roman" w:cs="Times New Roman"/>
                <w:b/>
                <w:sz w:val="18"/>
                <w:lang w:val="en-GB"/>
              </w:rPr>
            </w:pPr>
            <w:r w:rsidRPr="00237956">
              <w:rPr>
                <w:rFonts w:ascii="Times New Roman" w:eastAsia="Calibri" w:hAnsi="Times New Roman" w:cs="Times New Roman"/>
                <w:b/>
                <w:sz w:val="18"/>
                <w:lang w:val="en-GB"/>
              </w:rPr>
              <w:t xml:space="preserve">Critical </w:t>
            </w:r>
            <w:r w:rsidRPr="00237956">
              <w:rPr>
                <w:rFonts w:ascii="Times New Roman" w:eastAsia="Calibri" w:hAnsi="Times New Roman" w:cs="Times New Roman"/>
                <w:b/>
                <w:sz w:val="18"/>
                <w:lang w:val="en-GB"/>
              </w:rPr>
              <w:br/>
              <w:t>Ratio</w:t>
            </w:r>
          </w:p>
        </w:tc>
      </w:tr>
      <w:tr w:rsidR="00EB6FDC" w:rsidRPr="00237956" w14:paraId="65AB02EA" w14:textId="77777777" w:rsidTr="007B4E2D">
        <w:tc>
          <w:tcPr>
            <w:tcW w:w="2415" w:type="dxa"/>
            <w:tcBorders>
              <w:top w:val="single" w:sz="4" w:space="0" w:color="auto"/>
            </w:tcBorders>
          </w:tcPr>
          <w:p w14:paraId="27F0658D" w14:textId="344A5F45" w:rsidR="00EB6FDC" w:rsidRPr="00237956" w:rsidRDefault="007B4E2D" w:rsidP="00237956">
            <w:pPr>
              <w:rPr>
                <w:rFonts w:ascii="Times New Roman" w:eastAsia="Calibri" w:hAnsi="Times New Roman" w:cs="Times New Roman"/>
                <w:sz w:val="18"/>
                <w:lang w:val="en-GB"/>
              </w:rPr>
            </w:pPr>
            <w:r w:rsidRPr="00237956">
              <w:rPr>
                <w:rFonts w:ascii="Times New Roman" w:eastAsia="Calibri" w:hAnsi="Times New Roman" w:cs="Times New Roman"/>
                <w:sz w:val="18"/>
                <w:szCs w:val="18"/>
                <w:lang w:val="en-GB"/>
              </w:rPr>
              <w:t>Engagement</w:t>
            </w:r>
            <w:r w:rsidRPr="00237956">
              <w:rPr>
                <w:rFonts w:ascii="Times New Roman" w:eastAsia="Calibri" w:hAnsi="Times New Roman" w:cs="Times New Roman"/>
                <w:sz w:val="18"/>
                <w:lang w:val="en-GB"/>
              </w:rPr>
              <w:t xml:space="preserve"> </w:t>
            </w:r>
            <w:r w:rsidR="00EB6FDC" w:rsidRPr="00237956">
              <w:rPr>
                <w:rFonts w:ascii="Times New Roman" w:eastAsia="Calibri" w:hAnsi="Times New Roman" w:cs="Times New Roman"/>
                <w:sz w:val="18"/>
                <w:lang w:val="en-GB"/>
              </w:rPr>
              <w:sym w:font="Wingdings" w:char="F0E0"/>
            </w:r>
            <w:r w:rsidR="00EB6FDC" w:rsidRPr="00237956">
              <w:rPr>
                <w:rFonts w:ascii="Times New Roman" w:eastAsia="Calibri" w:hAnsi="Times New Roman" w:cs="Times New Roman"/>
                <w:sz w:val="18"/>
                <w:lang w:val="en-GB"/>
              </w:rPr>
              <w:t xml:space="preserve"> </w:t>
            </w:r>
            <w:r w:rsidRPr="00237956">
              <w:rPr>
                <w:rFonts w:ascii="Times New Roman" w:eastAsia="Calibri" w:hAnsi="Times New Roman" w:cs="Times New Roman"/>
                <w:sz w:val="18"/>
                <w:szCs w:val="18"/>
                <w:lang w:val="en-GB"/>
              </w:rPr>
              <w:t>Trust</w:t>
            </w:r>
          </w:p>
        </w:tc>
        <w:tc>
          <w:tcPr>
            <w:tcW w:w="1345" w:type="dxa"/>
            <w:tcBorders>
              <w:top w:val="single" w:sz="4" w:space="0" w:color="auto"/>
            </w:tcBorders>
          </w:tcPr>
          <w:p w14:paraId="4C74ABB0"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.68</w:t>
            </w:r>
            <w:r w:rsidRPr="00237956">
              <w:rPr>
                <w:rFonts w:ascii="Times New Roman" w:eastAsia="Calibri" w:hAnsi="Times New Roman" w:cs="Times New Roman"/>
                <w:sz w:val="18"/>
                <w:vertAlign w:val="superscript"/>
                <w:lang w:val="en-GB"/>
              </w:rPr>
              <w:t>***</w:t>
            </w:r>
          </w:p>
        </w:tc>
        <w:tc>
          <w:tcPr>
            <w:tcW w:w="1346" w:type="dxa"/>
            <w:tcBorders>
              <w:top w:val="single" w:sz="4" w:space="0" w:color="auto"/>
            </w:tcBorders>
          </w:tcPr>
          <w:p w14:paraId="32EB5422"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.62</w:t>
            </w:r>
            <w:r w:rsidRPr="00237956">
              <w:rPr>
                <w:rFonts w:ascii="Times New Roman" w:eastAsia="Calibri" w:hAnsi="Times New Roman" w:cs="Times New Roman"/>
                <w:sz w:val="18"/>
                <w:vertAlign w:val="superscript"/>
                <w:lang w:val="en-GB"/>
              </w:rPr>
              <w:t>***</w:t>
            </w:r>
          </w:p>
        </w:tc>
        <w:tc>
          <w:tcPr>
            <w:tcW w:w="1345" w:type="dxa"/>
            <w:tcBorders>
              <w:top w:val="single" w:sz="4" w:space="0" w:color="auto"/>
            </w:tcBorders>
          </w:tcPr>
          <w:p w14:paraId="090763FD"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.74</w:t>
            </w:r>
            <w:r w:rsidRPr="00237956">
              <w:rPr>
                <w:rFonts w:ascii="Times New Roman" w:eastAsia="Calibri" w:hAnsi="Times New Roman" w:cs="Times New Roman"/>
                <w:sz w:val="18"/>
                <w:vertAlign w:val="superscript"/>
                <w:lang w:val="en-GB"/>
              </w:rPr>
              <w:t>***</w:t>
            </w:r>
          </w:p>
        </w:tc>
        <w:tc>
          <w:tcPr>
            <w:tcW w:w="1346" w:type="dxa"/>
            <w:tcBorders>
              <w:top w:val="single" w:sz="4" w:space="0" w:color="auto"/>
            </w:tcBorders>
          </w:tcPr>
          <w:p w14:paraId="7B9386E5"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.15</w:t>
            </w:r>
            <w:r w:rsidRPr="00237956">
              <w:rPr>
                <w:rFonts w:ascii="Times New Roman" w:eastAsia="Calibri" w:hAnsi="Times New Roman" w:cs="Times New Roman"/>
                <w:sz w:val="18"/>
                <w:vertAlign w:val="superscript"/>
                <w:lang w:val="en-GB"/>
              </w:rPr>
              <w:t>ns</w:t>
            </w:r>
          </w:p>
        </w:tc>
      </w:tr>
      <w:tr w:rsidR="00EB6FDC" w:rsidRPr="00237956" w14:paraId="64B57696" w14:textId="77777777" w:rsidTr="007B4E2D">
        <w:tc>
          <w:tcPr>
            <w:tcW w:w="2415" w:type="dxa"/>
          </w:tcPr>
          <w:p w14:paraId="6C9BB16F" w14:textId="4200692F" w:rsidR="00EB6FDC" w:rsidRPr="00237956" w:rsidRDefault="007B4E2D" w:rsidP="00237956">
            <w:pPr>
              <w:rPr>
                <w:rFonts w:ascii="Times New Roman" w:eastAsia="Calibri" w:hAnsi="Times New Roman" w:cs="Times New Roman"/>
                <w:sz w:val="18"/>
                <w:lang w:val="en-GB"/>
              </w:rPr>
            </w:pPr>
            <w:r w:rsidRPr="00237956">
              <w:rPr>
                <w:rFonts w:ascii="Times New Roman" w:eastAsia="Calibri" w:hAnsi="Times New Roman" w:cs="Times New Roman"/>
                <w:sz w:val="18"/>
                <w:szCs w:val="18"/>
                <w:lang w:val="en-GB"/>
              </w:rPr>
              <w:t>Trust</w:t>
            </w:r>
            <w:r w:rsidRPr="00237956">
              <w:rPr>
                <w:rFonts w:ascii="Times New Roman" w:eastAsia="Calibri" w:hAnsi="Times New Roman" w:cs="Times New Roman"/>
                <w:sz w:val="18"/>
                <w:lang w:val="en-GB"/>
              </w:rPr>
              <w:t xml:space="preserve"> </w:t>
            </w:r>
            <w:r w:rsidR="00EB6FDC" w:rsidRPr="00237956">
              <w:rPr>
                <w:rFonts w:ascii="Times New Roman" w:eastAsia="Calibri" w:hAnsi="Times New Roman" w:cs="Times New Roman"/>
                <w:sz w:val="18"/>
                <w:lang w:val="en-GB"/>
              </w:rPr>
              <w:sym w:font="Wingdings" w:char="F0E0"/>
            </w:r>
            <w:r w:rsidR="00EB6FDC" w:rsidRPr="00237956">
              <w:rPr>
                <w:rFonts w:ascii="Times New Roman" w:eastAsia="Calibri" w:hAnsi="Times New Roman" w:cs="Times New Roman"/>
                <w:sz w:val="18"/>
                <w:lang w:val="en-GB"/>
              </w:rPr>
              <w:t xml:space="preserve"> </w:t>
            </w:r>
            <w:r w:rsidRPr="00237956">
              <w:rPr>
                <w:rFonts w:ascii="Times New Roman" w:eastAsia="Calibri" w:hAnsi="Times New Roman" w:cs="Times New Roman"/>
                <w:sz w:val="18"/>
                <w:szCs w:val="18"/>
                <w:lang w:val="en-GB"/>
              </w:rPr>
              <w:t>Support</w:t>
            </w:r>
          </w:p>
        </w:tc>
        <w:tc>
          <w:tcPr>
            <w:tcW w:w="1345" w:type="dxa"/>
          </w:tcPr>
          <w:p w14:paraId="2BF2D4C7"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.48</w:t>
            </w:r>
            <w:r w:rsidRPr="00237956">
              <w:rPr>
                <w:rFonts w:ascii="Times New Roman" w:eastAsia="Calibri" w:hAnsi="Times New Roman" w:cs="Times New Roman"/>
                <w:sz w:val="18"/>
                <w:vertAlign w:val="superscript"/>
                <w:lang w:val="en-GB"/>
              </w:rPr>
              <w:t>***</w:t>
            </w:r>
          </w:p>
        </w:tc>
        <w:tc>
          <w:tcPr>
            <w:tcW w:w="1346" w:type="dxa"/>
          </w:tcPr>
          <w:p w14:paraId="1DD9AE09"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.33</w:t>
            </w:r>
            <w:r w:rsidRPr="00237956">
              <w:rPr>
                <w:rFonts w:ascii="Times New Roman" w:eastAsia="Calibri" w:hAnsi="Times New Roman" w:cs="Times New Roman"/>
                <w:sz w:val="18"/>
                <w:vertAlign w:val="superscript"/>
                <w:lang w:val="en-GB"/>
              </w:rPr>
              <w:t>***</w:t>
            </w:r>
          </w:p>
        </w:tc>
        <w:tc>
          <w:tcPr>
            <w:tcW w:w="1345" w:type="dxa"/>
          </w:tcPr>
          <w:p w14:paraId="42F65DA5"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.54</w:t>
            </w:r>
            <w:r w:rsidRPr="00237956">
              <w:rPr>
                <w:rFonts w:ascii="Times New Roman" w:eastAsia="Calibri" w:hAnsi="Times New Roman" w:cs="Times New Roman"/>
                <w:sz w:val="18"/>
                <w:vertAlign w:val="superscript"/>
                <w:lang w:val="en-GB"/>
              </w:rPr>
              <w:t>***</w:t>
            </w:r>
          </w:p>
        </w:tc>
        <w:tc>
          <w:tcPr>
            <w:tcW w:w="1346" w:type="dxa"/>
          </w:tcPr>
          <w:p w14:paraId="00735CA3" w14:textId="77777777" w:rsidR="00EB6FDC" w:rsidRPr="00237956" w:rsidRDefault="00EB6FDC" w:rsidP="00237956">
            <w:pPr>
              <w:jc w:val="center"/>
              <w:rPr>
                <w:rFonts w:ascii="Calibri" w:eastAsia="Calibri" w:hAnsi="Calibri" w:cs="Times New Roman"/>
                <w:sz w:val="18"/>
                <w:lang w:val="en-GB"/>
              </w:rPr>
            </w:pPr>
            <w:r w:rsidRPr="00237956">
              <w:rPr>
                <w:rFonts w:ascii="Times New Roman" w:eastAsia="Calibri" w:hAnsi="Times New Roman" w:cs="Times New Roman"/>
                <w:sz w:val="18"/>
                <w:lang w:val="en-GB"/>
              </w:rPr>
              <w:t>3.66</w:t>
            </w:r>
            <w:r w:rsidRPr="00237956">
              <w:rPr>
                <w:rFonts w:ascii="Times New Roman" w:eastAsia="Calibri" w:hAnsi="Times New Roman" w:cs="Times New Roman"/>
                <w:sz w:val="18"/>
                <w:vertAlign w:val="superscript"/>
                <w:lang w:val="en-GB"/>
              </w:rPr>
              <w:t>**</w:t>
            </w:r>
          </w:p>
        </w:tc>
      </w:tr>
      <w:tr w:rsidR="00EB6FDC" w:rsidRPr="00237956" w14:paraId="4909DF6C" w14:textId="77777777" w:rsidTr="007B4E2D">
        <w:tc>
          <w:tcPr>
            <w:tcW w:w="2415" w:type="dxa"/>
          </w:tcPr>
          <w:p w14:paraId="20933A21" w14:textId="263B949E" w:rsidR="00EB6FDC" w:rsidRPr="00237956" w:rsidRDefault="007B4E2D" w:rsidP="00237956">
            <w:pPr>
              <w:rPr>
                <w:rFonts w:ascii="Times New Roman" w:eastAsia="Calibri" w:hAnsi="Times New Roman" w:cs="Times New Roman"/>
                <w:sz w:val="18"/>
                <w:lang w:val="en-GB"/>
              </w:rPr>
            </w:pPr>
            <w:r w:rsidRPr="00237956">
              <w:rPr>
                <w:rFonts w:ascii="Times New Roman" w:eastAsia="Calibri" w:hAnsi="Times New Roman" w:cs="Times New Roman"/>
                <w:sz w:val="18"/>
                <w:szCs w:val="18"/>
                <w:lang w:val="en-GB"/>
              </w:rPr>
              <w:t>Trust</w:t>
            </w:r>
            <w:r w:rsidRPr="00237956">
              <w:rPr>
                <w:rFonts w:ascii="Times New Roman" w:eastAsia="Calibri" w:hAnsi="Times New Roman" w:cs="Times New Roman"/>
                <w:sz w:val="18"/>
                <w:lang w:val="en-GB"/>
              </w:rPr>
              <w:t xml:space="preserve"> </w:t>
            </w:r>
            <w:r w:rsidR="00EB6FDC" w:rsidRPr="00237956">
              <w:rPr>
                <w:rFonts w:ascii="Times New Roman" w:eastAsia="Calibri" w:hAnsi="Times New Roman" w:cs="Times New Roman"/>
                <w:sz w:val="18"/>
                <w:lang w:val="en-GB"/>
              </w:rPr>
              <w:sym w:font="Wingdings" w:char="F0E0"/>
            </w:r>
            <w:r w:rsidR="00EB6FDC" w:rsidRPr="00237956">
              <w:rPr>
                <w:rFonts w:ascii="Times New Roman" w:eastAsia="Calibri" w:hAnsi="Times New Roman" w:cs="Times New Roman"/>
                <w:sz w:val="18"/>
                <w:lang w:val="en-GB"/>
              </w:rPr>
              <w:t xml:space="preserve"> </w:t>
            </w:r>
            <w:r w:rsidRPr="00237956">
              <w:rPr>
                <w:rFonts w:ascii="Times New Roman" w:eastAsia="Calibri" w:hAnsi="Times New Roman" w:cs="Times New Roman"/>
                <w:sz w:val="18"/>
                <w:szCs w:val="18"/>
                <w:lang w:val="en-GB"/>
              </w:rPr>
              <w:t>Commitment</w:t>
            </w:r>
          </w:p>
        </w:tc>
        <w:tc>
          <w:tcPr>
            <w:tcW w:w="1345" w:type="dxa"/>
          </w:tcPr>
          <w:p w14:paraId="4B29B691"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.74</w:t>
            </w:r>
            <w:r w:rsidRPr="00237956">
              <w:rPr>
                <w:rFonts w:ascii="Times New Roman" w:eastAsia="Calibri" w:hAnsi="Times New Roman" w:cs="Times New Roman"/>
                <w:sz w:val="18"/>
                <w:vertAlign w:val="superscript"/>
                <w:lang w:val="en-GB"/>
              </w:rPr>
              <w:t>***</w:t>
            </w:r>
          </w:p>
        </w:tc>
        <w:tc>
          <w:tcPr>
            <w:tcW w:w="1346" w:type="dxa"/>
          </w:tcPr>
          <w:p w14:paraId="1A4DA375"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.75</w:t>
            </w:r>
            <w:r w:rsidRPr="00237956">
              <w:rPr>
                <w:rFonts w:ascii="Times New Roman" w:eastAsia="Calibri" w:hAnsi="Times New Roman" w:cs="Times New Roman"/>
                <w:sz w:val="18"/>
                <w:vertAlign w:val="superscript"/>
                <w:lang w:val="en-GB"/>
              </w:rPr>
              <w:t>***</w:t>
            </w:r>
          </w:p>
        </w:tc>
        <w:tc>
          <w:tcPr>
            <w:tcW w:w="1345" w:type="dxa"/>
          </w:tcPr>
          <w:p w14:paraId="2F847D9F"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.75</w:t>
            </w:r>
            <w:r w:rsidRPr="00237956">
              <w:rPr>
                <w:rFonts w:ascii="Times New Roman" w:eastAsia="Calibri" w:hAnsi="Times New Roman" w:cs="Times New Roman"/>
                <w:sz w:val="18"/>
                <w:vertAlign w:val="superscript"/>
                <w:lang w:val="en-GB"/>
              </w:rPr>
              <w:t>***</w:t>
            </w:r>
          </w:p>
        </w:tc>
        <w:tc>
          <w:tcPr>
            <w:tcW w:w="1346" w:type="dxa"/>
          </w:tcPr>
          <w:p w14:paraId="08D4067F" w14:textId="77777777" w:rsidR="00EB6FDC" w:rsidRPr="00237956" w:rsidRDefault="00EB6FDC" w:rsidP="00237956">
            <w:pPr>
              <w:jc w:val="center"/>
              <w:rPr>
                <w:rFonts w:ascii="Calibri" w:eastAsia="Calibri" w:hAnsi="Calibri" w:cs="Times New Roman"/>
                <w:sz w:val="18"/>
                <w:lang w:val="en-GB"/>
              </w:rPr>
            </w:pPr>
            <w:r w:rsidRPr="00237956">
              <w:rPr>
                <w:rFonts w:ascii="Times New Roman" w:eastAsia="Calibri" w:hAnsi="Times New Roman" w:cs="Times New Roman"/>
                <w:sz w:val="18"/>
                <w:lang w:val="en-GB"/>
              </w:rPr>
              <w:t>.61</w:t>
            </w:r>
            <w:r w:rsidRPr="00237956">
              <w:rPr>
                <w:rFonts w:ascii="Times New Roman" w:eastAsia="Calibri" w:hAnsi="Times New Roman" w:cs="Times New Roman"/>
                <w:sz w:val="18"/>
                <w:vertAlign w:val="superscript"/>
                <w:lang w:val="en-GB"/>
              </w:rPr>
              <w:t>ns</w:t>
            </w:r>
            <w:r w:rsidRPr="00237956">
              <w:rPr>
                <w:rFonts w:ascii="Times New Roman" w:eastAsia="Calibri" w:hAnsi="Times New Roman" w:cs="Times New Roman"/>
                <w:sz w:val="18"/>
                <w:lang w:val="en-GB"/>
              </w:rPr>
              <w:t xml:space="preserve"> </w:t>
            </w:r>
          </w:p>
        </w:tc>
      </w:tr>
      <w:tr w:rsidR="00EB6FDC" w:rsidRPr="00237956" w14:paraId="732553B8" w14:textId="77777777" w:rsidTr="007B4E2D">
        <w:tc>
          <w:tcPr>
            <w:tcW w:w="2415" w:type="dxa"/>
          </w:tcPr>
          <w:p w14:paraId="1ACD0F4C" w14:textId="5CD11AFB" w:rsidR="00EB6FDC" w:rsidRPr="00237956" w:rsidRDefault="007B4E2D" w:rsidP="00237956">
            <w:pPr>
              <w:rPr>
                <w:rFonts w:ascii="Times New Roman" w:eastAsia="Calibri" w:hAnsi="Times New Roman" w:cs="Times New Roman"/>
                <w:sz w:val="18"/>
                <w:lang w:val="en-GB"/>
              </w:rPr>
            </w:pPr>
            <w:r w:rsidRPr="00237956">
              <w:rPr>
                <w:rFonts w:ascii="Times New Roman" w:eastAsia="Calibri" w:hAnsi="Times New Roman" w:cs="Times New Roman"/>
                <w:sz w:val="18"/>
                <w:szCs w:val="18"/>
                <w:lang w:val="en-GB"/>
              </w:rPr>
              <w:t>Trust</w:t>
            </w:r>
            <w:r w:rsidRPr="00237956">
              <w:rPr>
                <w:rFonts w:ascii="Times New Roman" w:eastAsia="Calibri" w:hAnsi="Times New Roman" w:cs="Times New Roman"/>
                <w:sz w:val="18"/>
                <w:lang w:val="en-GB"/>
              </w:rPr>
              <w:t xml:space="preserve"> </w:t>
            </w:r>
            <w:r w:rsidR="00EB6FDC" w:rsidRPr="00237956">
              <w:rPr>
                <w:rFonts w:ascii="Times New Roman" w:eastAsia="Calibri" w:hAnsi="Times New Roman" w:cs="Times New Roman"/>
                <w:sz w:val="18"/>
                <w:lang w:val="en-GB"/>
              </w:rPr>
              <w:sym w:font="Wingdings" w:char="F0E0"/>
            </w:r>
            <w:r w:rsidR="00EB6FDC" w:rsidRPr="00237956">
              <w:rPr>
                <w:rFonts w:ascii="Times New Roman" w:eastAsia="Calibri" w:hAnsi="Times New Roman" w:cs="Times New Roman"/>
                <w:sz w:val="18"/>
                <w:lang w:val="en-GB"/>
              </w:rPr>
              <w:t xml:space="preserve"> </w:t>
            </w:r>
            <w:r w:rsidRPr="00237956">
              <w:rPr>
                <w:rFonts w:ascii="Times New Roman" w:eastAsia="Calibri" w:hAnsi="Times New Roman" w:cs="Times New Roman"/>
                <w:sz w:val="18"/>
                <w:szCs w:val="18"/>
                <w:lang w:val="en-GB"/>
              </w:rPr>
              <w:t>Attitude</w:t>
            </w:r>
          </w:p>
        </w:tc>
        <w:tc>
          <w:tcPr>
            <w:tcW w:w="1345" w:type="dxa"/>
          </w:tcPr>
          <w:p w14:paraId="47D0A103"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.30</w:t>
            </w:r>
            <w:r w:rsidRPr="00237956">
              <w:rPr>
                <w:rFonts w:ascii="Times New Roman" w:eastAsia="Calibri" w:hAnsi="Times New Roman" w:cs="Times New Roman"/>
                <w:sz w:val="18"/>
                <w:vertAlign w:val="superscript"/>
                <w:lang w:val="en-GB"/>
              </w:rPr>
              <w:t>***</w:t>
            </w:r>
          </w:p>
        </w:tc>
        <w:tc>
          <w:tcPr>
            <w:tcW w:w="1346" w:type="dxa"/>
          </w:tcPr>
          <w:p w14:paraId="29BDD818" w14:textId="77777777" w:rsidR="00EB6FDC" w:rsidRPr="00237956" w:rsidRDefault="00EB6FDC" w:rsidP="00237956">
            <w:pPr>
              <w:jc w:val="center"/>
              <w:rPr>
                <w:rFonts w:ascii="Times New Roman" w:eastAsia="Calibri" w:hAnsi="Times New Roman" w:cs="Times New Roman"/>
                <w:sz w:val="18"/>
                <w:vertAlign w:val="superscript"/>
                <w:lang w:val="en-GB"/>
              </w:rPr>
            </w:pPr>
            <w:r w:rsidRPr="00237956">
              <w:rPr>
                <w:rFonts w:ascii="Times New Roman" w:eastAsia="Calibri" w:hAnsi="Times New Roman" w:cs="Times New Roman"/>
                <w:sz w:val="18"/>
                <w:lang w:val="en-GB"/>
              </w:rPr>
              <w:t>.26</w:t>
            </w:r>
            <w:r w:rsidRPr="00237956">
              <w:rPr>
                <w:rFonts w:ascii="Times New Roman" w:eastAsia="Calibri" w:hAnsi="Times New Roman" w:cs="Times New Roman"/>
                <w:sz w:val="18"/>
                <w:vertAlign w:val="superscript"/>
                <w:lang w:val="en-GB"/>
              </w:rPr>
              <w:t>**</w:t>
            </w:r>
          </w:p>
        </w:tc>
        <w:tc>
          <w:tcPr>
            <w:tcW w:w="1345" w:type="dxa"/>
          </w:tcPr>
          <w:p w14:paraId="7317C8B0"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.30</w:t>
            </w:r>
            <w:r w:rsidRPr="00237956">
              <w:rPr>
                <w:rFonts w:ascii="Times New Roman" w:eastAsia="Calibri" w:hAnsi="Times New Roman" w:cs="Times New Roman"/>
                <w:sz w:val="18"/>
                <w:vertAlign w:val="superscript"/>
                <w:lang w:val="en-GB"/>
              </w:rPr>
              <w:t>***</w:t>
            </w:r>
          </w:p>
        </w:tc>
        <w:tc>
          <w:tcPr>
            <w:tcW w:w="1346" w:type="dxa"/>
          </w:tcPr>
          <w:p w14:paraId="727AFC13" w14:textId="77777777" w:rsidR="00EB6FDC" w:rsidRPr="00237956" w:rsidRDefault="00EB6FDC" w:rsidP="00237956">
            <w:pPr>
              <w:jc w:val="center"/>
              <w:rPr>
                <w:rFonts w:ascii="Calibri" w:eastAsia="Calibri" w:hAnsi="Calibri" w:cs="Times New Roman"/>
                <w:sz w:val="18"/>
                <w:lang w:val="en-GB"/>
              </w:rPr>
            </w:pPr>
            <w:r w:rsidRPr="00237956">
              <w:rPr>
                <w:rFonts w:ascii="Times New Roman" w:eastAsia="Calibri" w:hAnsi="Times New Roman" w:cs="Times New Roman"/>
                <w:sz w:val="18"/>
                <w:lang w:val="en-GB"/>
              </w:rPr>
              <w:t>.12</w:t>
            </w:r>
            <w:r w:rsidRPr="00237956">
              <w:rPr>
                <w:rFonts w:ascii="Times New Roman" w:eastAsia="Calibri" w:hAnsi="Times New Roman" w:cs="Times New Roman"/>
                <w:sz w:val="18"/>
                <w:vertAlign w:val="superscript"/>
                <w:lang w:val="en-GB"/>
              </w:rPr>
              <w:t>ns</w:t>
            </w:r>
          </w:p>
        </w:tc>
      </w:tr>
      <w:tr w:rsidR="00EB6FDC" w:rsidRPr="00237956" w14:paraId="1F2C1E87" w14:textId="77777777" w:rsidTr="007B4E2D">
        <w:tc>
          <w:tcPr>
            <w:tcW w:w="2415" w:type="dxa"/>
          </w:tcPr>
          <w:p w14:paraId="7A09AC8E" w14:textId="73D01CE6" w:rsidR="00EB6FDC" w:rsidRPr="00237956" w:rsidRDefault="007B4E2D" w:rsidP="00237956">
            <w:pPr>
              <w:rPr>
                <w:rFonts w:ascii="Times New Roman" w:eastAsia="Calibri" w:hAnsi="Times New Roman" w:cs="Times New Roman"/>
                <w:sz w:val="18"/>
                <w:lang w:val="en-GB"/>
              </w:rPr>
            </w:pPr>
            <w:r w:rsidRPr="00237956">
              <w:rPr>
                <w:rFonts w:ascii="Times New Roman" w:eastAsia="Calibri" w:hAnsi="Times New Roman" w:cs="Times New Roman"/>
                <w:sz w:val="18"/>
                <w:szCs w:val="18"/>
                <w:lang w:val="en-GB"/>
              </w:rPr>
              <w:t>Commitment</w:t>
            </w:r>
            <w:r w:rsidRPr="00237956">
              <w:rPr>
                <w:rFonts w:ascii="Times New Roman" w:eastAsia="Calibri" w:hAnsi="Times New Roman" w:cs="Times New Roman"/>
                <w:sz w:val="18"/>
                <w:lang w:val="en-GB"/>
              </w:rPr>
              <w:t xml:space="preserve"> </w:t>
            </w:r>
            <w:r w:rsidR="00EB6FDC" w:rsidRPr="00237956">
              <w:rPr>
                <w:rFonts w:ascii="Times New Roman" w:eastAsia="Calibri" w:hAnsi="Times New Roman" w:cs="Times New Roman"/>
                <w:sz w:val="18"/>
                <w:lang w:val="en-GB"/>
              </w:rPr>
              <w:sym w:font="Wingdings" w:char="F0E0"/>
            </w:r>
            <w:r w:rsidR="00EB6FDC" w:rsidRPr="00237956">
              <w:rPr>
                <w:rFonts w:ascii="Times New Roman" w:eastAsia="Calibri" w:hAnsi="Times New Roman" w:cs="Times New Roman"/>
                <w:sz w:val="18"/>
                <w:lang w:val="en-GB"/>
              </w:rPr>
              <w:t xml:space="preserve"> </w:t>
            </w:r>
            <w:r w:rsidRPr="00237956">
              <w:rPr>
                <w:rFonts w:ascii="Times New Roman" w:eastAsia="Calibri" w:hAnsi="Times New Roman" w:cs="Times New Roman"/>
                <w:sz w:val="18"/>
                <w:szCs w:val="18"/>
                <w:lang w:val="en-GB"/>
              </w:rPr>
              <w:t>Attitude</w:t>
            </w:r>
          </w:p>
        </w:tc>
        <w:tc>
          <w:tcPr>
            <w:tcW w:w="1345" w:type="dxa"/>
          </w:tcPr>
          <w:p w14:paraId="602DC762"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.16</w:t>
            </w:r>
            <w:r w:rsidRPr="00237956">
              <w:rPr>
                <w:rFonts w:ascii="Times New Roman" w:eastAsia="Calibri" w:hAnsi="Times New Roman" w:cs="Times New Roman"/>
                <w:sz w:val="18"/>
                <w:vertAlign w:val="superscript"/>
                <w:lang w:val="en-GB"/>
              </w:rPr>
              <w:t>**</w:t>
            </w:r>
          </w:p>
        </w:tc>
        <w:tc>
          <w:tcPr>
            <w:tcW w:w="1346" w:type="dxa"/>
          </w:tcPr>
          <w:p w14:paraId="5746E7EC"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.13</w:t>
            </w:r>
            <w:r w:rsidRPr="00237956">
              <w:rPr>
                <w:rFonts w:ascii="Times New Roman" w:eastAsia="Calibri" w:hAnsi="Times New Roman" w:cs="Times New Roman"/>
                <w:sz w:val="18"/>
                <w:vertAlign w:val="superscript"/>
                <w:lang w:val="en-GB"/>
              </w:rPr>
              <w:t>ns</w:t>
            </w:r>
          </w:p>
        </w:tc>
        <w:tc>
          <w:tcPr>
            <w:tcW w:w="1345" w:type="dxa"/>
          </w:tcPr>
          <w:p w14:paraId="563C2319"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.26</w:t>
            </w:r>
            <w:r w:rsidRPr="00237956">
              <w:rPr>
                <w:rFonts w:ascii="Times New Roman" w:eastAsia="Calibri" w:hAnsi="Times New Roman" w:cs="Times New Roman"/>
                <w:sz w:val="18"/>
                <w:vertAlign w:val="superscript"/>
                <w:lang w:val="en-GB"/>
              </w:rPr>
              <w:t>***</w:t>
            </w:r>
          </w:p>
        </w:tc>
        <w:tc>
          <w:tcPr>
            <w:tcW w:w="1346" w:type="dxa"/>
          </w:tcPr>
          <w:p w14:paraId="5C1B522B" w14:textId="77777777" w:rsidR="00EB6FDC" w:rsidRPr="00237956" w:rsidRDefault="00EB6FDC" w:rsidP="00237956">
            <w:pPr>
              <w:jc w:val="center"/>
              <w:rPr>
                <w:rFonts w:ascii="Calibri" w:eastAsia="Calibri" w:hAnsi="Calibri" w:cs="Times New Roman"/>
                <w:sz w:val="18"/>
                <w:lang w:val="en-GB"/>
              </w:rPr>
            </w:pPr>
            <w:r w:rsidRPr="00237956">
              <w:rPr>
                <w:rFonts w:ascii="Times New Roman" w:eastAsia="Calibri" w:hAnsi="Times New Roman" w:cs="Times New Roman"/>
                <w:sz w:val="18"/>
                <w:lang w:val="en-GB"/>
              </w:rPr>
              <w:t>2.37</w:t>
            </w:r>
            <w:r w:rsidRPr="00237956">
              <w:rPr>
                <w:rFonts w:ascii="Times New Roman" w:eastAsia="Calibri" w:hAnsi="Times New Roman" w:cs="Times New Roman"/>
                <w:sz w:val="18"/>
                <w:vertAlign w:val="superscript"/>
                <w:lang w:val="en-GB"/>
              </w:rPr>
              <w:t>*</w:t>
            </w:r>
          </w:p>
        </w:tc>
      </w:tr>
      <w:tr w:rsidR="00EB6FDC" w:rsidRPr="00237956" w14:paraId="6A4673F0" w14:textId="77777777" w:rsidTr="007B4E2D">
        <w:tc>
          <w:tcPr>
            <w:tcW w:w="2415" w:type="dxa"/>
            <w:tcBorders>
              <w:bottom w:val="single" w:sz="4" w:space="0" w:color="auto"/>
            </w:tcBorders>
          </w:tcPr>
          <w:p w14:paraId="7A9BF1E3" w14:textId="4FD74111" w:rsidR="00EB6FDC" w:rsidRPr="00237956" w:rsidRDefault="007B4E2D" w:rsidP="00237956">
            <w:pPr>
              <w:rPr>
                <w:rFonts w:ascii="Times New Roman" w:eastAsia="Calibri" w:hAnsi="Times New Roman" w:cs="Times New Roman"/>
                <w:sz w:val="18"/>
                <w:lang w:val="en-GB"/>
              </w:rPr>
            </w:pPr>
            <w:r w:rsidRPr="00237956">
              <w:rPr>
                <w:rFonts w:ascii="Times New Roman" w:eastAsia="Calibri" w:hAnsi="Times New Roman" w:cs="Times New Roman"/>
                <w:sz w:val="18"/>
                <w:szCs w:val="18"/>
                <w:lang w:val="en-GB"/>
              </w:rPr>
              <w:t>Support</w:t>
            </w:r>
            <w:r w:rsidRPr="00237956">
              <w:rPr>
                <w:rFonts w:ascii="Times New Roman" w:eastAsia="Calibri" w:hAnsi="Times New Roman" w:cs="Times New Roman"/>
                <w:sz w:val="18"/>
                <w:lang w:val="en-GB"/>
              </w:rPr>
              <w:t xml:space="preserve"> </w:t>
            </w:r>
            <w:r w:rsidR="00EB6FDC" w:rsidRPr="00237956">
              <w:rPr>
                <w:rFonts w:ascii="Times New Roman" w:eastAsia="Calibri" w:hAnsi="Times New Roman" w:cs="Times New Roman"/>
                <w:sz w:val="18"/>
                <w:lang w:val="en-GB"/>
              </w:rPr>
              <w:sym w:font="Wingdings" w:char="F0E0"/>
            </w:r>
            <w:r w:rsidR="00EB6FDC" w:rsidRPr="00237956">
              <w:rPr>
                <w:rFonts w:ascii="Times New Roman" w:eastAsia="Calibri" w:hAnsi="Times New Roman" w:cs="Times New Roman"/>
                <w:sz w:val="18"/>
                <w:lang w:val="en-GB"/>
              </w:rPr>
              <w:t xml:space="preserve"> </w:t>
            </w:r>
            <w:r w:rsidRPr="00237956">
              <w:rPr>
                <w:rFonts w:ascii="Times New Roman" w:eastAsia="Calibri" w:hAnsi="Times New Roman" w:cs="Times New Roman"/>
                <w:sz w:val="18"/>
                <w:szCs w:val="18"/>
                <w:lang w:val="en-GB"/>
              </w:rPr>
              <w:t>Attitude</w:t>
            </w:r>
          </w:p>
        </w:tc>
        <w:tc>
          <w:tcPr>
            <w:tcW w:w="1345" w:type="dxa"/>
            <w:tcBorders>
              <w:bottom w:val="single" w:sz="4" w:space="0" w:color="auto"/>
            </w:tcBorders>
          </w:tcPr>
          <w:p w14:paraId="4B9B914B"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.31</w:t>
            </w:r>
            <w:r w:rsidRPr="00237956">
              <w:rPr>
                <w:rFonts w:ascii="Times New Roman" w:eastAsia="Calibri" w:hAnsi="Times New Roman" w:cs="Times New Roman"/>
                <w:sz w:val="18"/>
                <w:vertAlign w:val="superscript"/>
                <w:lang w:val="en-GB"/>
              </w:rPr>
              <w:t>***</w:t>
            </w:r>
          </w:p>
        </w:tc>
        <w:tc>
          <w:tcPr>
            <w:tcW w:w="1346" w:type="dxa"/>
            <w:tcBorders>
              <w:bottom w:val="single" w:sz="4" w:space="0" w:color="auto"/>
            </w:tcBorders>
          </w:tcPr>
          <w:p w14:paraId="2A21BF97"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.16</w:t>
            </w:r>
            <w:r w:rsidRPr="00237956">
              <w:rPr>
                <w:rFonts w:ascii="Times New Roman" w:eastAsia="Calibri" w:hAnsi="Times New Roman" w:cs="Times New Roman"/>
                <w:sz w:val="18"/>
                <w:vertAlign w:val="superscript"/>
                <w:lang w:val="en-GB"/>
              </w:rPr>
              <w:t>**</w:t>
            </w:r>
          </w:p>
        </w:tc>
        <w:tc>
          <w:tcPr>
            <w:tcW w:w="1345" w:type="dxa"/>
            <w:tcBorders>
              <w:bottom w:val="single" w:sz="4" w:space="0" w:color="auto"/>
            </w:tcBorders>
          </w:tcPr>
          <w:p w14:paraId="6BBFD96C" w14:textId="77777777" w:rsidR="00EB6FDC" w:rsidRPr="00237956" w:rsidRDefault="00EB6FDC" w:rsidP="00237956">
            <w:pPr>
              <w:jc w:val="center"/>
              <w:rPr>
                <w:rFonts w:ascii="Times New Roman" w:eastAsia="Calibri" w:hAnsi="Times New Roman" w:cs="Times New Roman"/>
                <w:sz w:val="18"/>
                <w:lang w:val="en-GB"/>
              </w:rPr>
            </w:pPr>
            <w:r w:rsidRPr="00237956">
              <w:rPr>
                <w:rFonts w:ascii="Times New Roman" w:eastAsia="Calibri" w:hAnsi="Times New Roman" w:cs="Times New Roman"/>
                <w:sz w:val="18"/>
                <w:lang w:val="en-GB"/>
              </w:rPr>
              <w:t>.35</w:t>
            </w:r>
            <w:r w:rsidRPr="00237956">
              <w:rPr>
                <w:rFonts w:ascii="Times New Roman" w:eastAsia="Calibri" w:hAnsi="Times New Roman" w:cs="Times New Roman"/>
                <w:sz w:val="18"/>
                <w:vertAlign w:val="superscript"/>
                <w:lang w:val="en-GB"/>
              </w:rPr>
              <w:t>***</w:t>
            </w:r>
          </w:p>
        </w:tc>
        <w:tc>
          <w:tcPr>
            <w:tcW w:w="1346" w:type="dxa"/>
            <w:tcBorders>
              <w:bottom w:val="single" w:sz="4" w:space="0" w:color="auto"/>
            </w:tcBorders>
          </w:tcPr>
          <w:p w14:paraId="3A04EEB5" w14:textId="77777777" w:rsidR="00EB6FDC" w:rsidRPr="00237956" w:rsidRDefault="00EB6FDC" w:rsidP="00237956">
            <w:pPr>
              <w:jc w:val="center"/>
              <w:rPr>
                <w:rFonts w:ascii="Calibri" w:eastAsia="Calibri" w:hAnsi="Calibri" w:cs="Times New Roman"/>
                <w:sz w:val="18"/>
                <w:lang w:val="en-GB"/>
              </w:rPr>
            </w:pPr>
            <w:r w:rsidRPr="00237956">
              <w:rPr>
                <w:rFonts w:ascii="Times New Roman" w:eastAsia="Calibri" w:hAnsi="Times New Roman" w:cs="Times New Roman"/>
                <w:sz w:val="18"/>
                <w:lang w:val="en-GB"/>
              </w:rPr>
              <w:t>1.48</w:t>
            </w:r>
            <w:r w:rsidRPr="00237956">
              <w:rPr>
                <w:rFonts w:ascii="Times New Roman" w:eastAsia="Calibri" w:hAnsi="Times New Roman" w:cs="Times New Roman"/>
                <w:sz w:val="18"/>
                <w:vertAlign w:val="superscript"/>
                <w:lang w:val="en-GB"/>
              </w:rPr>
              <w:t>ns</w:t>
            </w:r>
          </w:p>
        </w:tc>
      </w:tr>
    </w:tbl>
    <w:p w14:paraId="2BDAA464" w14:textId="77777777" w:rsidR="00EB6FDC" w:rsidRPr="00771F08" w:rsidRDefault="00EB6FDC" w:rsidP="00237956">
      <w:pPr>
        <w:spacing w:after="0" w:line="240" w:lineRule="auto"/>
        <w:ind w:left="567"/>
        <w:rPr>
          <w:rFonts w:ascii="Times New Roman" w:eastAsia="Calibri" w:hAnsi="Times New Roman" w:cs="Times New Roman"/>
          <w:sz w:val="18"/>
          <w:lang w:val="en-GB"/>
        </w:rPr>
      </w:pPr>
      <w:r w:rsidRPr="00237956">
        <w:rPr>
          <w:rFonts w:ascii="Times New Roman" w:eastAsia="Calibri" w:hAnsi="Times New Roman" w:cs="Times New Roman"/>
          <w:sz w:val="18"/>
          <w:vertAlign w:val="superscript"/>
          <w:lang w:val="en-GB"/>
        </w:rPr>
        <w:t xml:space="preserve">*** </w:t>
      </w:r>
      <w:r w:rsidRPr="00237956">
        <w:rPr>
          <w:rFonts w:ascii="Times New Roman" w:eastAsia="Calibri" w:hAnsi="Times New Roman" w:cs="Times New Roman"/>
          <w:sz w:val="18"/>
          <w:lang w:val="en-GB"/>
        </w:rPr>
        <w:t xml:space="preserve">p &lt;.001; </w:t>
      </w:r>
      <w:r w:rsidRPr="00237956">
        <w:rPr>
          <w:rFonts w:ascii="Times New Roman" w:eastAsia="Calibri" w:hAnsi="Times New Roman" w:cs="Times New Roman"/>
          <w:sz w:val="18"/>
          <w:vertAlign w:val="superscript"/>
          <w:lang w:val="en-GB"/>
        </w:rPr>
        <w:t>**</w:t>
      </w:r>
      <w:r w:rsidRPr="00237956">
        <w:rPr>
          <w:rFonts w:ascii="Times New Roman" w:eastAsia="Calibri" w:hAnsi="Times New Roman" w:cs="Times New Roman"/>
          <w:sz w:val="18"/>
          <w:lang w:val="en-GB"/>
        </w:rPr>
        <w:t xml:space="preserve"> p &lt;.01; </w:t>
      </w:r>
      <w:r w:rsidRPr="00237956">
        <w:rPr>
          <w:rFonts w:ascii="Times New Roman" w:eastAsia="Calibri" w:hAnsi="Times New Roman" w:cs="Times New Roman"/>
          <w:sz w:val="18"/>
          <w:vertAlign w:val="superscript"/>
          <w:lang w:val="en-GB"/>
        </w:rPr>
        <w:t>*</w:t>
      </w:r>
      <w:r w:rsidRPr="00237956">
        <w:rPr>
          <w:rFonts w:ascii="Times New Roman" w:eastAsia="Calibri" w:hAnsi="Times New Roman" w:cs="Times New Roman"/>
          <w:sz w:val="18"/>
          <w:lang w:val="en-GB"/>
        </w:rPr>
        <w:t xml:space="preserve"> p &lt;.05; </w:t>
      </w:r>
      <w:r w:rsidRPr="00237956">
        <w:rPr>
          <w:rFonts w:ascii="Times New Roman" w:eastAsia="Calibri" w:hAnsi="Times New Roman" w:cs="Times New Roman"/>
          <w:sz w:val="18"/>
          <w:vertAlign w:val="superscript"/>
          <w:lang w:val="en-GB"/>
        </w:rPr>
        <w:t>ns</w:t>
      </w:r>
      <w:r w:rsidRPr="00237956">
        <w:rPr>
          <w:rFonts w:ascii="Times New Roman" w:eastAsia="Calibri" w:hAnsi="Times New Roman" w:cs="Times New Roman"/>
          <w:sz w:val="18"/>
          <w:lang w:val="en-GB"/>
        </w:rPr>
        <w:t xml:space="preserve"> not significant</w:t>
      </w:r>
    </w:p>
    <w:p w14:paraId="5247400E" w14:textId="2DD3EE89" w:rsidR="00FD10B5" w:rsidRPr="00771F08" w:rsidRDefault="00FD10B5" w:rsidP="00237956">
      <w:pPr>
        <w:spacing w:after="0" w:line="240" w:lineRule="auto"/>
        <w:ind w:right="1133"/>
        <w:rPr>
          <w:rFonts w:ascii="Times New Roman" w:hAnsi="Times New Roman" w:cs="Times New Roman"/>
          <w:sz w:val="24"/>
          <w:szCs w:val="24"/>
          <w:lang w:val="en-GB"/>
        </w:rPr>
      </w:pPr>
    </w:p>
    <w:p w14:paraId="4395AA7C" w14:textId="64C61B1E" w:rsidR="00D26804" w:rsidRDefault="005E73B7"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In the overall model</w:t>
      </w:r>
      <w:r w:rsidR="008D6EBF"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all </w:t>
      </w:r>
      <w:r w:rsidR="00727F74" w:rsidRPr="00771F08">
        <w:rPr>
          <w:rFonts w:ascii="Times New Roman" w:hAnsi="Times New Roman" w:cs="Times New Roman"/>
          <w:szCs w:val="24"/>
          <w:lang w:val="en-GB"/>
        </w:rPr>
        <w:t>hypothesi</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ed</w:t>
      </w:r>
      <w:r w:rsidRPr="00771F08">
        <w:rPr>
          <w:rFonts w:ascii="Times New Roman" w:hAnsi="Times New Roman" w:cs="Times New Roman"/>
          <w:szCs w:val="24"/>
          <w:lang w:val="en-GB"/>
        </w:rPr>
        <w:t xml:space="preserve"> relationships are confirmed. The multi-group analysis reveals that for both samples the influence of engagement on trust is </w:t>
      </w:r>
      <w:r w:rsidR="000A4E5E" w:rsidRPr="00771F08">
        <w:rPr>
          <w:rFonts w:ascii="Times New Roman" w:hAnsi="Times New Roman" w:cs="Times New Roman"/>
          <w:szCs w:val="24"/>
          <w:lang w:val="en-GB"/>
        </w:rPr>
        <w:t>statistically signif</w:t>
      </w:r>
      <w:r w:rsidR="001B47B9" w:rsidRPr="00771F08">
        <w:rPr>
          <w:rFonts w:ascii="Times New Roman" w:hAnsi="Times New Roman" w:cs="Times New Roman"/>
          <w:szCs w:val="24"/>
          <w:lang w:val="en-GB"/>
        </w:rPr>
        <w:t>icant</w:t>
      </w:r>
      <w:r w:rsidRPr="00771F08">
        <w:rPr>
          <w:rFonts w:ascii="Times New Roman" w:hAnsi="Times New Roman" w:cs="Times New Roman"/>
          <w:szCs w:val="24"/>
          <w:lang w:val="en-GB"/>
        </w:rPr>
        <w:t xml:space="preserve">. The same holds true for the influence of trust on commitment. </w:t>
      </w:r>
      <w:r w:rsidR="008B37C2" w:rsidRPr="00771F08">
        <w:rPr>
          <w:rFonts w:ascii="Times New Roman" w:hAnsi="Times New Roman" w:cs="Times New Roman"/>
          <w:szCs w:val="24"/>
          <w:lang w:val="en-GB"/>
        </w:rPr>
        <w:t xml:space="preserve">Trust significantly influences attitude towards donations both directly and indirectly in both countries. One </w:t>
      </w:r>
      <w:r w:rsidRPr="00771F08">
        <w:rPr>
          <w:rFonts w:ascii="Times New Roman" w:hAnsi="Times New Roman" w:cs="Times New Roman"/>
          <w:szCs w:val="24"/>
          <w:lang w:val="en-GB"/>
        </w:rPr>
        <w:t>significant difference between the Italian sample and the US sample is found</w:t>
      </w:r>
      <w:r w:rsidR="008D6EBF" w:rsidRPr="00771F08">
        <w:rPr>
          <w:rFonts w:ascii="Times New Roman" w:hAnsi="Times New Roman" w:cs="Times New Roman"/>
          <w:szCs w:val="24"/>
          <w:lang w:val="en-GB"/>
        </w:rPr>
        <w:t xml:space="preserve"> in relation to</w:t>
      </w:r>
      <w:r w:rsidRPr="00771F08">
        <w:rPr>
          <w:rFonts w:ascii="Times New Roman" w:hAnsi="Times New Roman" w:cs="Times New Roman"/>
          <w:szCs w:val="24"/>
          <w:lang w:val="en-GB"/>
        </w:rPr>
        <w:t xml:space="preserve"> the influence of trust on support. This influence is stronger for US respondents (β = .54, p&lt;.001) compared to Italian respondents (β = .33, p&lt;.001). A</w:t>
      </w:r>
      <w:r w:rsidR="008B37C2" w:rsidRPr="00771F08">
        <w:rPr>
          <w:rFonts w:ascii="Times New Roman" w:hAnsi="Times New Roman" w:cs="Times New Roman"/>
          <w:szCs w:val="24"/>
          <w:lang w:val="en-GB"/>
        </w:rPr>
        <w:t xml:space="preserve"> second</w:t>
      </w:r>
      <w:r w:rsidRPr="00771F08">
        <w:rPr>
          <w:rFonts w:ascii="Times New Roman" w:hAnsi="Times New Roman" w:cs="Times New Roman"/>
          <w:szCs w:val="24"/>
          <w:lang w:val="en-GB"/>
        </w:rPr>
        <w:t xml:space="preserve"> significant difference between the two countries refers to the path between commitment and attitude towards donation. Again, the influence of commitment on attitude towards donations is stronger for US respondents (β = .26, p&lt;.001) than for Italian respondents (β = .13, p=.12). No significant differences between Italian and US respondents were detected for the relationship between trust</w:t>
      </w:r>
      <w:r w:rsidR="00037DA6" w:rsidRPr="00771F08">
        <w:rPr>
          <w:rFonts w:ascii="Times New Roman" w:hAnsi="Times New Roman" w:cs="Times New Roman"/>
          <w:szCs w:val="24"/>
          <w:lang w:val="en-GB"/>
        </w:rPr>
        <w:t xml:space="preserve"> and attitude towards donations, </w:t>
      </w:r>
      <w:r w:rsidR="008D6EBF" w:rsidRPr="00771F08">
        <w:rPr>
          <w:rFonts w:ascii="Times New Roman" w:hAnsi="Times New Roman" w:cs="Times New Roman"/>
          <w:szCs w:val="24"/>
          <w:lang w:val="en-GB"/>
        </w:rPr>
        <w:t>or for</w:t>
      </w:r>
      <w:r w:rsidRPr="00771F08">
        <w:rPr>
          <w:rFonts w:ascii="Times New Roman" w:hAnsi="Times New Roman" w:cs="Times New Roman"/>
          <w:szCs w:val="24"/>
          <w:lang w:val="en-GB"/>
        </w:rPr>
        <w:t xml:space="preserve"> support and attitude towards donations.</w:t>
      </w:r>
      <w:r w:rsidR="008D6EBF" w:rsidRPr="00771F08">
        <w:rPr>
          <w:rFonts w:ascii="Times New Roman" w:hAnsi="Times New Roman" w:cs="Times New Roman"/>
          <w:szCs w:val="24"/>
          <w:lang w:val="en-GB"/>
        </w:rPr>
        <w:t xml:space="preserve"> </w:t>
      </w:r>
      <w:r w:rsidRPr="00771F08">
        <w:rPr>
          <w:rFonts w:ascii="Times New Roman" w:hAnsi="Times New Roman" w:cs="Times New Roman"/>
          <w:szCs w:val="24"/>
          <w:lang w:val="en-GB"/>
        </w:rPr>
        <w:t>An additional model was tested including gender, age and years since the graduation as covariates. In the Italian sa</w:t>
      </w:r>
      <w:r w:rsidR="00C409CA" w:rsidRPr="00771F08">
        <w:rPr>
          <w:rFonts w:ascii="Times New Roman" w:hAnsi="Times New Roman" w:cs="Times New Roman"/>
          <w:szCs w:val="24"/>
          <w:lang w:val="en-GB"/>
        </w:rPr>
        <w:t>mple none of these variables is</w:t>
      </w:r>
      <w:r w:rsidRPr="00771F08">
        <w:rPr>
          <w:rFonts w:ascii="Times New Roman" w:hAnsi="Times New Roman" w:cs="Times New Roman"/>
          <w:szCs w:val="24"/>
          <w:lang w:val="en-GB"/>
        </w:rPr>
        <w:t xml:space="preserve"> significant. In the US sample</w:t>
      </w:r>
      <w:r w:rsidR="008D6EBF" w:rsidRPr="00771F08">
        <w:rPr>
          <w:rFonts w:ascii="Times New Roman" w:hAnsi="Times New Roman" w:cs="Times New Roman"/>
          <w:szCs w:val="24"/>
          <w:lang w:val="en-GB"/>
        </w:rPr>
        <w:t>,</w:t>
      </w:r>
      <w:r w:rsidRPr="00771F08">
        <w:rPr>
          <w:rFonts w:ascii="Times New Roman" w:hAnsi="Times New Roman" w:cs="Times New Roman"/>
          <w:szCs w:val="24"/>
          <w:lang w:val="en-GB"/>
        </w:rPr>
        <w:t xml:space="preserve"> only years since graduation (β = -.15, p=.003) </w:t>
      </w:r>
      <w:r w:rsidR="008D6EBF" w:rsidRPr="00771F08">
        <w:rPr>
          <w:rFonts w:ascii="Times New Roman" w:hAnsi="Times New Roman" w:cs="Times New Roman"/>
          <w:szCs w:val="24"/>
          <w:lang w:val="en-GB"/>
        </w:rPr>
        <w:t>are</w:t>
      </w:r>
      <w:r w:rsidRPr="00771F08">
        <w:rPr>
          <w:rFonts w:ascii="Times New Roman" w:hAnsi="Times New Roman" w:cs="Times New Roman"/>
          <w:szCs w:val="24"/>
          <w:lang w:val="en-GB"/>
        </w:rPr>
        <w:t xml:space="preserve"> significant. </w:t>
      </w:r>
      <w:r w:rsidR="00D26804" w:rsidRPr="00771F08">
        <w:rPr>
          <w:rFonts w:ascii="Times New Roman" w:hAnsi="Times New Roman" w:cs="Times New Roman"/>
          <w:szCs w:val="24"/>
          <w:lang w:val="en-GB"/>
        </w:rPr>
        <w:t>Figure 2 and 3 present the findings from the structural model.</w:t>
      </w:r>
    </w:p>
    <w:p w14:paraId="1F0B2E1C" w14:textId="77777777" w:rsidR="00237956" w:rsidRPr="00771F08" w:rsidRDefault="00237956" w:rsidP="00237956">
      <w:pPr>
        <w:spacing w:after="0" w:line="240" w:lineRule="auto"/>
        <w:ind w:left="567" w:right="1133"/>
        <w:rPr>
          <w:rFonts w:ascii="Times New Roman" w:hAnsi="Times New Roman" w:cs="Times New Roman"/>
          <w:szCs w:val="24"/>
          <w:lang w:val="en-GB"/>
        </w:rPr>
      </w:pPr>
    </w:p>
    <w:p w14:paraId="551E25B7" w14:textId="6678021A" w:rsidR="008320F0" w:rsidRPr="005D400D" w:rsidRDefault="008320F0" w:rsidP="00237956">
      <w:pPr>
        <w:spacing w:after="0" w:line="240" w:lineRule="auto"/>
        <w:ind w:left="567" w:right="1133"/>
        <w:rPr>
          <w:rFonts w:ascii="Times New Roman" w:hAnsi="Times New Roman" w:cs="Times New Roman"/>
          <w:b/>
          <w:szCs w:val="24"/>
          <w:lang w:val="en-GB"/>
        </w:rPr>
      </w:pPr>
      <w:r w:rsidRPr="005D400D">
        <w:rPr>
          <w:rFonts w:ascii="Times New Roman" w:hAnsi="Times New Roman" w:cs="Times New Roman"/>
          <w:b/>
          <w:szCs w:val="24"/>
          <w:lang w:val="en-GB"/>
        </w:rPr>
        <w:lastRenderedPageBreak/>
        <w:t>Fig</w:t>
      </w:r>
      <w:r w:rsidR="005D400D" w:rsidRPr="005D400D">
        <w:rPr>
          <w:rFonts w:ascii="Times New Roman" w:hAnsi="Times New Roman" w:cs="Times New Roman"/>
          <w:b/>
          <w:szCs w:val="24"/>
          <w:lang w:val="en-GB"/>
        </w:rPr>
        <w:t xml:space="preserve">ure </w:t>
      </w:r>
      <w:r w:rsidRPr="005D400D">
        <w:rPr>
          <w:rFonts w:ascii="Times New Roman" w:hAnsi="Times New Roman" w:cs="Times New Roman"/>
          <w:b/>
          <w:szCs w:val="24"/>
          <w:lang w:val="en-GB"/>
        </w:rPr>
        <w:t>2</w:t>
      </w:r>
      <w:r w:rsidR="005D400D" w:rsidRPr="005D400D">
        <w:rPr>
          <w:rFonts w:ascii="Times New Roman" w:hAnsi="Times New Roman" w:cs="Times New Roman"/>
          <w:b/>
          <w:szCs w:val="24"/>
          <w:lang w:val="en-GB"/>
        </w:rPr>
        <w:t>:</w:t>
      </w:r>
      <w:r w:rsidRPr="005D400D">
        <w:rPr>
          <w:rFonts w:ascii="Times New Roman" w:hAnsi="Times New Roman" w:cs="Times New Roman"/>
          <w:b/>
          <w:szCs w:val="24"/>
          <w:lang w:val="en-GB"/>
        </w:rPr>
        <w:t xml:space="preserve"> Structural model (ITA)</w:t>
      </w:r>
    </w:p>
    <w:p w14:paraId="30E890CC" w14:textId="4CA91DBE" w:rsidR="008320F0" w:rsidRPr="00771F08" w:rsidRDefault="008320F0"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noProof/>
          <w:szCs w:val="24"/>
          <w:lang w:eastAsia="it-IT"/>
        </w:rPr>
        <w:drawing>
          <wp:inline distT="0" distB="0" distL="0" distR="0" wp14:anchorId="7FD7E171" wp14:editId="62AB8720">
            <wp:extent cx="5219700" cy="2302835"/>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497" cy="2327010"/>
                    </a:xfrm>
                    <a:prstGeom prst="rect">
                      <a:avLst/>
                    </a:prstGeom>
                    <a:noFill/>
                    <a:ln>
                      <a:noFill/>
                    </a:ln>
                  </pic:spPr>
                </pic:pic>
              </a:graphicData>
            </a:graphic>
          </wp:inline>
        </w:drawing>
      </w:r>
    </w:p>
    <w:p w14:paraId="56183E15" w14:textId="63297764" w:rsidR="008320F0" w:rsidRPr="005D400D" w:rsidRDefault="008320F0" w:rsidP="00237956">
      <w:pPr>
        <w:spacing w:after="0" w:line="240" w:lineRule="auto"/>
        <w:ind w:left="567" w:right="1133"/>
        <w:rPr>
          <w:rFonts w:ascii="Times New Roman" w:hAnsi="Times New Roman" w:cs="Times New Roman"/>
          <w:b/>
          <w:szCs w:val="24"/>
          <w:lang w:val="en-GB"/>
        </w:rPr>
      </w:pPr>
      <w:r w:rsidRPr="005D400D">
        <w:rPr>
          <w:rFonts w:ascii="Times New Roman" w:hAnsi="Times New Roman" w:cs="Times New Roman"/>
          <w:b/>
          <w:szCs w:val="24"/>
          <w:lang w:val="en-GB"/>
        </w:rPr>
        <w:t>Fig</w:t>
      </w:r>
      <w:r w:rsidR="005D400D" w:rsidRPr="005D400D">
        <w:rPr>
          <w:rFonts w:ascii="Times New Roman" w:hAnsi="Times New Roman" w:cs="Times New Roman"/>
          <w:b/>
          <w:szCs w:val="24"/>
          <w:lang w:val="en-GB"/>
        </w:rPr>
        <w:t>ure</w:t>
      </w:r>
      <w:r w:rsidRPr="005D400D">
        <w:rPr>
          <w:rFonts w:ascii="Times New Roman" w:hAnsi="Times New Roman" w:cs="Times New Roman"/>
          <w:b/>
          <w:szCs w:val="24"/>
          <w:lang w:val="en-GB"/>
        </w:rPr>
        <w:t xml:space="preserve"> 3</w:t>
      </w:r>
      <w:r w:rsidR="005D400D" w:rsidRPr="005D400D">
        <w:rPr>
          <w:rFonts w:ascii="Times New Roman" w:hAnsi="Times New Roman" w:cs="Times New Roman"/>
          <w:b/>
          <w:szCs w:val="24"/>
          <w:lang w:val="en-GB"/>
        </w:rPr>
        <w:t>:</w:t>
      </w:r>
      <w:r w:rsidRPr="005D400D">
        <w:rPr>
          <w:rFonts w:ascii="Times New Roman" w:hAnsi="Times New Roman" w:cs="Times New Roman"/>
          <w:b/>
          <w:szCs w:val="24"/>
          <w:lang w:val="en-GB"/>
        </w:rPr>
        <w:t xml:space="preserve"> Structural model (USA)</w:t>
      </w:r>
    </w:p>
    <w:p w14:paraId="46F69D16" w14:textId="2B08FA19" w:rsidR="008320F0" w:rsidRDefault="008320F0" w:rsidP="00237956">
      <w:pPr>
        <w:spacing w:after="0" w:line="240" w:lineRule="auto"/>
        <w:ind w:left="567" w:right="1133"/>
        <w:rPr>
          <w:rFonts w:ascii="Times New Roman" w:hAnsi="Times New Roman" w:cs="Times New Roman"/>
          <w:szCs w:val="24"/>
          <w:lang w:val="en-GB"/>
        </w:rPr>
      </w:pPr>
      <w:r w:rsidRPr="00771F08">
        <w:rPr>
          <w:rFonts w:ascii="Times New Roman" w:hAnsi="Times New Roman" w:cs="Times New Roman"/>
          <w:noProof/>
          <w:szCs w:val="24"/>
          <w:lang w:eastAsia="it-IT"/>
        </w:rPr>
        <w:drawing>
          <wp:inline distT="0" distB="0" distL="0" distR="0" wp14:anchorId="39B20661" wp14:editId="2F54C870">
            <wp:extent cx="5259350" cy="230400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9350" cy="2304000"/>
                    </a:xfrm>
                    <a:prstGeom prst="rect">
                      <a:avLst/>
                    </a:prstGeom>
                    <a:noFill/>
                  </pic:spPr>
                </pic:pic>
              </a:graphicData>
            </a:graphic>
          </wp:inline>
        </w:drawing>
      </w:r>
    </w:p>
    <w:p w14:paraId="6B347515" w14:textId="559A90A7" w:rsidR="008320F0" w:rsidRPr="00771F08" w:rsidRDefault="008320F0" w:rsidP="00237956">
      <w:pPr>
        <w:autoSpaceDE w:val="0"/>
        <w:autoSpaceDN w:val="0"/>
        <w:adjustRightInd w:val="0"/>
        <w:spacing w:after="0" w:line="240" w:lineRule="auto"/>
        <w:ind w:right="1133"/>
        <w:rPr>
          <w:rFonts w:ascii="Times New Roman" w:hAnsi="Times New Roman" w:cs="Times New Roman"/>
          <w:b/>
          <w:sz w:val="24"/>
          <w:szCs w:val="24"/>
          <w:lang w:val="en-GB"/>
        </w:rPr>
      </w:pPr>
    </w:p>
    <w:p w14:paraId="1933814D" w14:textId="7602D85E" w:rsidR="00D46F24" w:rsidRPr="00237956" w:rsidRDefault="00BE5B80" w:rsidP="00237956">
      <w:pPr>
        <w:pStyle w:val="ListParagraph"/>
        <w:numPr>
          <w:ilvl w:val="0"/>
          <w:numId w:val="3"/>
        </w:numPr>
        <w:autoSpaceDE w:val="0"/>
        <w:autoSpaceDN w:val="0"/>
        <w:adjustRightInd w:val="0"/>
        <w:spacing w:after="0" w:line="240" w:lineRule="auto"/>
        <w:ind w:left="567" w:right="1133"/>
        <w:jc w:val="both"/>
        <w:rPr>
          <w:rFonts w:ascii="Times New Roman" w:hAnsi="Times New Roman" w:cs="Times New Roman"/>
          <w:szCs w:val="24"/>
          <w:lang w:val="en-GB"/>
        </w:rPr>
      </w:pPr>
      <w:r w:rsidRPr="00237956">
        <w:rPr>
          <w:rFonts w:ascii="Times New Roman" w:hAnsi="Times New Roman" w:cs="Times New Roman"/>
          <w:b/>
          <w:szCs w:val="24"/>
          <w:lang w:val="en-GB"/>
        </w:rPr>
        <w:t>Discussion and conclusions</w:t>
      </w:r>
    </w:p>
    <w:p w14:paraId="19A621F5" w14:textId="1A0CAEA6" w:rsidR="00C42374" w:rsidRPr="00771F08" w:rsidRDefault="00953E60" w:rsidP="00237956">
      <w:pPr>
        <w:autoSpaceDE w:val="0"/>
        <w:autoSpaceDN w:val="0"/>
        <w:adjustRightInd w:val="0"/>
        <w:spacing w:after="0" w:line="240" w:lineRule="auto"/>
        <w:ind w:left="567" w:right="1133"/>
        <w:rPr>
          <w:rFonts w:ascii="Times New Roman" w:hAnsi="Times New Roman" w:cs="Times New Roman"/>
          <w:i/>
          <w:szCs w:val="24"/>
          <w:lang w:val="en-GB"/>
        </w:rPr>
      </w:pPr>
      <w:r w:rsidRPr="00771F08">
        <w:rPr>
          <w:rFonts w:ascii="Times New Roman" w:hAnsi="Times New Roman" w:cs="Times New Roman"/>
          <w:i/>
          <w:szCs w:val="24"/>
          <w:lang w:val="en-GB"/>
        </w:rPr>
        <w:t>5</w:t>
      </w:r>
      <w:r w:rsidR="00C42374" w:rsidRPr="00771F08">
        <w:rPr>
          <w:rFonts w:ascii="Times New Roman" w:hAnsi="Times New Roman" w:cs="Times New Roman"/>
          <w:i/>
          <w:szCs w:val="24"/>
          <w:lang w:val="en-GB"/>
        </w:rPr>
        <w:t xml:space="preserve">.1 </w:t>
      </w:r>
      <w:r w:rsidR="005C7714" w:rsidRPr="00771F08">
        <w:rPr>
          <w:rFonts w:ascii="Times New Roman" w:hAnsi="Times New Roman" w:cs="Times New Roman"/>
          <w:i/>
          <w:szCs w:val="24"/>
          <w:lang w:val="en-GB"/>
        </w:rPr>
        <w:t>Discussion of the results</w:t>
      </w:r>
    </w:p>
    <w:p w14:paraId="567E88EC" w14:textId="069B92AD" w:rsidR="00440A99" w:rsidRPr="00237956" w:rsidRDefault="0088420F" w:rsidP="00237956">
      <w:pPr>
        <w:autoSpaceDE w:val="0"/>
        <w:autoSpaceDN w:val="0"/>
        <w:adjustRightInd w:val="0"/>
        <w:spacing w:after="0" w:line="240" w:lineRule="auto"/>
        <w:ind w:left="567" w:right="1133"/>
        <w:rPr>
          <w:rFonts w:ascii="Times New Roman" w:hAnsi="Times New Roman" w:cs="Times New Roman"/>
          <w:szCs w:val="24"/>
          <w:lang w:val="en-GB"/>
        </w:rPr>
      </w:pPr>
      <w:r w:rsidRPr="00237956">
        <w:rPr>
          <w:rFonts w:ascii="Times New Roman" w:hAnsi="Times New Roman" w:cs="Times New Roman"/>
          <w:szCs w:val="24"/>
          <w:lang w:val="en-GB"/>
        </w:rPr>
        <w:t>The empirical results</w:t>
      </w:r>
      <w:r w:rsidR="009D3056" w:rsidRPr="00237956">
        <w:rPr>
          <w:rFonts w:ascii="Times New Roman" w:hAnsi="Times New Roman" w:cs="Times New Roman"/>
          <w:szCs w:val="24"/>
          <w:lang w:val="en-GB"/>
        </w:rPr>
        <w:t xml:space="preserve"> support</w:t>
      </w:r>
      <w:r w:rsidR="00FE3DA4" w:rsidRPr="00237956">
        <w:rPr>
          <w:rFonts w:ascii="Times New Roman" w:hAnsi="Times New Roman" w:cs="Times New Roman"/>
          <w:szCs w:val="24"/>
          <w:lang w:val="en-GB"/>
        </w:rPr>
        <w:t xml:space="preserve"> H1 </w:t>
      </w:r>
      <w:r w:rsidR="009D3056" w:rsidRPr="00237956">
        <w:rPr>
          <w:rFonts w:ascii="Times New Roman" w:hAnsi="Times New Roman" w:cs="Times New Roman"/>
          <w:szCs w:val="24"/>
          <w:lang w:val="en-GB"/>
        </w:rPr>
        <w:t>since</w:t>
      </w:r>
      <w:r w:rsidR="008D6EBF" w:rsidRPr="00237956">
        <w:rPr>
          <w:rFonts w:ascii="Times New Roman" w:hAnsi="Times New Roman" w:cs="Times New Roman"/>
          <w:szCs w:val="24"/>
          <w:lang w:val="en-GB"/>
        </w:rPr>
        <w:t>,</w:t>
      </w:r>
      <w:r w:rsidR="009D3056" w:rsidRPr="00237956">
        <w:rPr>
          <w:rFonts w:ascii="Times New Roman" w:hAnsi="Times New Roman" w:cs="Times New Roman"/>
          <w:szCs w:val="24"/>
          <w:lang w:val="en-GB"/>
        </w:rPr>
        <w:t xml:space="preserve"> in both countries</w:t>
      </w:r>
      <w:r w:rsidR="008D6EBF" w:rsidRPr="00237956">
        <w:rPr>
          <w:rFonts w:ascii="Times New Roman" w:hAnsi="Times New Roman" w:cs="Times New Roman"/>
          <w:szCs w:val="24"/>
          <w:lang w:val="en-GB"/>
        </w:rPr>
        <w:t>,</w:t>
      </w:r>
      <w:r w:rsidR="009D3056" w:rsidRPr="00237956">
        <w:rPr>
          <w:rFonts w:ascii="Times New Roman" w:hAnsi="Times New Roman" w:cs="Times New Roman"/>
          <w:szCs w:val="24"/>
          <w:lang w:val="en-GB"/>
        </w:rPr>
        <w:t xml:space="preserve"> a positive relation</w:t>
      </w:r>
      <w:r w:rsidR="00245D2F" w:rsidRPr="00237956">
        <w:rPr>
          <w:rFonts w:ascii="Times New Roman" w:hAnsi="Times New Roman" w:cs="Times New Roman"/>
          <w:szCs w:val="24"/>
          <w:lang w:val="en-GB"/>
        </w:rPr>
        <w:t>ship</w:t>
      </w:r>
      <w:r w:rsidR="009D3056" w:rsidRPr="00237956">
        <w:rPr>
          <w:rFonts w:ascii="Times New Roman" w:hAnsi="Times New Roman" w:cs="Times New Roman"/>
          <w:szCs w:val="24"/>
          <w:lang w:val="en-GB"/>
        </w:rPr>
        <w:t xml:space="preserve"> was confirmed</w:t>
      </w:r>
      <w:r w:rsidR="00857DDE" w:rsidRPr="00237956">
        <w:rPr>
          <w:rFonts w:ascii="Times New Roman" w:hAnsi="Times New Roman" w:cs="Times New Roman"/>
          <w:szCs w:val="24"/>
          <w:lang w:val="en-GB"/>
        </w:rPr>
        <w:t xml:space="preserve"> between</w:t>
      </w:r>
      <w:r w:rsidR="00A163D8" w:rsidRPr="00237956">
        <w:rPr>
          <w:rFonts w:ascii="Times New Roman" w:hAnsi="Times New Roman" w:cs="Times New Roman"/>
          <w:szCs w:val="24"/>
          <w:lang w:val="en-GB"/>
        </w:rPr>
        <w:t xml:space="preserve"> </w:t>
      </w:r>
      <w:r w:rsidR="00E576D8" w:rsidRPr="00237956">
        <w:rPr>
          <w:rFonts w:ascii="Times New Roman" w:hAnsi="Times New Roman" w:cs="Times New Roman"/>
          <w:szCs w:val="24"/>
          <w:lang w:val="en-GB"/>
        </w:rPr>
        <w:t>engagement and trust</w:t>
      </w:r>
      <w:r w:rsidR="00D45A75" w:rsidRPr="00237956">
        <w:rPr>
          <w:rFonts w:ascii="Times New Roman" w:hAnsi="Times New Roman" w:cs="Times New Roman"/>
          <w:szCs w:val="24"/>
          <w:lang w:val="en-GB"/>
        </w:rPr>
        <w:t>.</w:t>
      </w:r>
      <w:r w:rsidR="00857DDE" w:rsidRPr="00237956">
        <w:rPr>
          <w:rFonts w:ascii="Times New Roman" w:hAnsi="Times New Roman" w:cs="Times New Roman"/>
          <w:szCs w:val="24"/>
          <w:lang w:val="en-GB"/>
        </w:rPr>
        <w:t xml:space="preserve"> </w:t>
      </w:r>
      <w:r w:rsidR="00ED65F7" w:rsidRPr="00237956">
        <w:rPr>
          <w:rFonts w:ascii="Times New Roman" w:hAnsi="Times New Roman" w:cs="Times New Roman"/>
          <w:szCs w:val="24"/>
          <w:lang w:val="en-GB"/>
        </w:rPr>
        <w:t xml:space="preserve">This finding </w:t>
      </w:r>
      <w:r w:rsidR="00817E4F" w:rsidRPr="00237956">
        <w:rPr>
          <w:rFonts w:ascii="Times New Roman" w:hAnsi="Times New Roman" w:cs="Times New Roman"/>
          <w:szCs w:val="24"/>
          <w:lang w:val="en-GB"/>
        </w:rPr>
        <w:t>confirm</w:t>
      </w:r>
      <w:r w:rsidR="003E4BF2" w:rsidRPr="00237956">
        <w:rPr>
          <w:rFonts w:ascii="Times New Roman" w:hAnsi="Times New Roman" w:cs="Times New Roman"/>
          <w:szCs w:val="24"/>
          <w:lang w:val="en-GB"/>
        </w:rPr>
        <w:t>s</w:t>
      </w:r>
      <w:r w:rsidR="006F6F88" w:rsidRPr="00237956">
        <w:rPr>
          <w:rFonts w:ascii="Times New Roman" w:hAnsi="Times New Roman" w:cs="Times New Roman"/>
          <w:szCs w:val="24"/>
          <w:lang w:val="en-GB"/>
        </w:rPr>
        <w:t xml:space="preserve"> how</w:t>
      </w:r>
      <w:r w:rsidR="006B7684" w:rsidRPr="00237956">
        <w:rPr>
          <w:rFonts w:ascii="Times New Roman" w:hAnsi="Times New Roman" w:cs="Times New Roman"/>
          <w:szCs w:val="24"/>
          <w:lang w:val="en-GB"/>
        </w:rPr>
        <w:t>,</w:t>
      </w:r>
      <w:r w:rsidR="006F6F88" w:rsidRPr="00237956">
        <w:rPr>
          <w:rFonts w:ascii="Times New Roman" w:hAnsi="Times New Roman" w:cs="Times New Roman"/>
          <w:szCs w:val="24"/>
          <w:lang w:val="en-GB"/>
        </w:rPr>
        <w:t xml:space="preserve"> </w:t>
      </w:r>
      <w:r w:rsidR="006D4114" w:rsidRPr="00237956">
        <w:rPr>
          <w:rFonts w:ascii="Times New Roman" w:hAnsi="Times New Roman" w:cs="Times New Roman"/>
          <w:szCs w:val="24"/>
          <w:lang w:val="en-GB"/>
        </w:rPr>
        <w:t xml:space="preserve">in both HE contexts, prior engagement with the university represents a significant antecedent of trust toward it. By confirming this relationship, </w:t>
      </w:r>
      <w:r w:rsidR="00686420" w:rsidRPr="00237956">
        <w:rPr>
          <w:rFonts w:ascii="Times New Roman" w:hAnsi="Times New Roman" w:cs="Times New Roman"/>
          <w:szCs w:val="24"/>
          <w:lang w:val="en-GB"/>
        </w:rPr>
        <w:t xml:space="preserve">the </w:t>
      </w:r>
      <w:r w:rsidR="006B7684" w:rsidRPr="00237956">
        <w:rPr>
          <w:rFonts w:ascii="Times New Roman" w:hAnsi="Times New Roman" w:cs="Times New Roman"/>
          <w:szCs w:val="24"/>
          <w:lang w:val="en-GB"/>
        </w:rPr>
        <w:t>results</w:t>
      </w:r>
      <w:r w:rsidR="006D4114" w:rsidRPr="00237956">
        <w:rPr>
          <w:rFonts w:ascii="Times New Roman" w:hAnsi="Times New Roman" w:cs="Times New Roman"/>
          <w:szCs w:val="24"/>
          <w:lang w:val="en-GB"/>
        </w:rPr>
        <w:t xml:space="preserve"> </w:t>
      </w:r>
      <w:r w:rsidR="0037438B" w:rsidRPr="00237956">
        <w:rPr>
          <w:rFonts w:ascii="Times New Roman" w:hAnsi="Times New Roman" w:cs="Times New Roman"/>
          <w:szCs w:val="24"/>
          <w:lang w:val="en-GB"/>
        </w:rPr>
        <w:t>corroborate</w:t>
      </w:r>
      <w:r w:rsidR="0080499A" w:rsidRPr="00237956">
        <w:rPr>
          <w:rFonts w:ascii="Times New Roman" w:hAnsi="Times New Roman" w:cs="Times New Roman"/>
          <w:szCs w:val="24"/>
          <w:lang w:val="en-GB"/>
        </w:rPr>
        <w:t xml:space="preserve"> the </w:t>
      </w:r>
      <w:r w:rsidR="006D4114" w:rsidRPr="00237956">
        <w:rPr>
          <w:rFonts w:ascii="Times New Roman" w:hAnsi="Times New Roman" w:cs="Times New Roman"/>
          <w:szCs w:val="24"/>
          <w:lang w:val="en-GB"/>
        </w:rPr>
        <w:t xml:space="preserve">relevance </w:t>
      </w:r>
      <w:r w:rsidR="00A950C8" w:rsidRPr="00237956">
        <w:rPr>
          <w:rFonts w:ascii="Times New Roman" w:hAnsi="Times New Roman" w:cs="Times New Roman"/>
          <w:szCs w:val="24"/>
          <w:lang w:val="en-GB"/>
        </w:rPr>
        <w:t xml:space="preserve">of the engagement </w:t>
      </w:r>
      <w:r w:rsidR="00AF46E6" w:rsidRPr="00237956">
        <w:rPr>
          <w:rFonts w:ascii="Times New Roman" w:hAnsi="Times New Roman" w:cs="Times New Roman"/>
          <w:szCs w:val="24"/>
          <w:lang w:val="en-GB"/>
        </w:rPr>
        <w:t xml:space="preserve">construct </w:t>
      </w:r>
      <w:r w:rsidR="0080499A" w:rsidRPr="00237956">
        <w:rPr>
          <w:rFonts w:ascii="Times New Roman" w:hAnsi="Times New Roman" w:cs="Times New Roman"/>
          <w:szCs w:val="24"/>
          <w:lang w:val="en-GB"/>
        </w:rPr>
        <w:t xml:space="preserve">as a key factor in the building of </w:t>
      </w:r>
      <w:r w:rsidR="00777869" w:rsidRPr="00237956">
        <w:rPr>
          <w:rFonts w:ascii="Times New Roman" w:hAnsi="Times New Roman" w:cs="Times New Roman"/>
          <w:szCs w:val="24"/>
          <w:lang w:val="en-GB"/>
        </w:rPr>
        <w:t xml:space="preserve">students’ </w:t>
      </w:r>
      <w:r w:rsidR="0080499A" w:rsidRPr="00237956">
        <w:rPr>
          <w:rFonts w:ascii="Times New Roman" w:hAnsi="Times New Roman" w:cs="Times New Roman"/>
          <w:szCs w:val="24"/>
          <w:lang w:val="en-GB"/>
        </w:rPr>
        <w:t>trust toward the alma mater. Overall, this outcome strengths prior studies (Hennig-</w:t>
      </w:r>
      <w:proofErr w:type="spellStart"/>
      <w:r w:rsidR="0080499A" w:rsidRPr="00237956">
        <w:rPr>
          <w:rFonts w:ascii="Times New Roman" w:hAnsi="Times New Roman" w:cs="Times New Roman"/>
          <w:szCs w:val="24"/>
          <w:lang w:val="en-GB"/>
        </w:rPr>
        <w:t>Thurau</w:t>
      </w:r>
      <w:proofErr w:type="spellEnd"/>
      <w:r w:rsidR="0080499A" w:rsidRPr="00237956">
        <w:rPr>
          <w:rFonts w:ascii="Times New Roman" w:hAnsi="Times New Roman" w:cs="Times New Roman"/>
          <w:szCs w:val="24"/>
          <w:lang w:val="en-GB"/>
        </w:rPr>
        <w:t xml:space="preserve"> et al. 2001; </w:t>
      </w:r>
      <w:proofErr w:type="spellStart"/>
      <w:r w:rsidR="0080499A" w:rsidRPr="00237956">
        <w:rPr>
          <w:rFonts w:ascii="Times New Roman" w:hAnsi="Times New Roman" w:cs="Times New Roman"/>
          <w:szCs w:val="24"/>
          <w:lang w:val="en-GB"/>
        </w:rPr>
        <w:t>Komljenovic</w:t>
      </w:r>
      <w:proofErr w:type="spellEnd"/>
      <w:r w:rsidR="0080499A" w:rsidRPr="00237956">
        <w:rPr>
          <w:rFonts w:ascii="Times New Roman" w:hAnsi="Times New Roman" w:cs="Times New Roman"/>
          <w:szCs w:val="24"/>
          <w:lang w:val="en-GB"/>
        </w:rPr>
        <w:t xml:space="preserve"> 2019; </w:t>
      </w:r>
      <w:proofErr w:type="spellStart"/>
      <w:r w:rsidR="00AF46E6" w:rsidRPr="00237956">
        <w:rPr>
          <w:rFonts w:ascii="Times New Roman" w:hAnsi="Times New Roman" w:cs="Times New Roman"/>
          <w:szCs w:val="24"/>
          <w:lang w:val="en-GB"/>
        </w:rPr>
        <w:t>Weerts</w:t>
      </w:r>
      <w:proofErr w:type="spellEnd"/>
      <w:r w:rsidR="00AF46E6" w:rsidRPr="00237956">
        <w:rPr>
          <w:rFonts w:ascii="Times New Roman" w:hAnsi="Times New Roman" w:cs="Times New Roman"/>
          <w:szCs w:val="24"/>
          <w:lang w:val="en-GB"/>
        </w:rPr>
        <w:t xml:space="preserve"> and </w:t>
      </w:r>
      <w:proofErr w:type="spellStart"/>
      <w:r w:rsidR="00AF46E6" w:rsidRPr="00237956">
        <w:rPr>
          <w:rFonts w:ascii="Times New Roman" w:hAnsi="Times New Roman" w:cs="Times New Roman"/>
          <w:szCs w:val="24"/>
          <w:lang w:val="en-GB"/>
        </w:rPr>
        <w:t>Ronca</w:t>
      </w:r>
      <w:proofErr w:type="spellEnd"/>
      <w:r w:rsidR="00AF46E6" w:rsidRPr="00237956">
        <w:rPr>
          <w:rFonts w:ascii="Times New Roman" w:hAnsi="Times New Roman" w:cs="Times New Roman"/>
          <w:szCs w:val="24"/>
          <w:lang w:val="en-GB"/>
        </w:rPr>
        <w:t xml:space="preserve"> 2008 </w:t>
      </w:r>
      <w:r w:rsidR="0080499A" w:rsidRPr="00237956">
        <w:rPr>
          <w:rFonts w:ascii="Times New Roman" w:hAnsi="Times New Roman" w:cs="Times New Roman"/>
          <w:szCs w:val="24"/>
          <w:lang w:val="en-GB"/>
        </w:rPr>
        <w:t xml:space="preserve">Wong and Ho 2011) that claim </w:t>
      </w:r>
      <w:r w:rsidR="00686420" w:rsidRPr="00237956">
        <w:rPr>
          <w:rFonts w:ascii="Times New Roman" w:hAnsi="Times New Roman" w:cs="Times New Roman"/>
          <w:szCs w:val="24"/>
          <w:lang w:val="en-GB"/>
        </w:rPr>
        <w:t xml:space="preserve">that </w:t>
      </w:r>
      <w:r w:rsidR="0080499A" w:rsidRPr="00237956">
        <w:rPr>
          <w:rFonts w:ascii="Times New Roman" w:hAnsi="Times New Roman" w:cs="Times New Roman"/>
          <w:szCs w:val="24"/>
          <w:lang w:val="en-GB"/>
        </w:rPr>
        <w:t xml:space="preserve">students’ trust in the university is also influenced by their emotional </w:t>
      </w:r>
      <w:r w:rsidR="00AF46E6" w:rsidRPr="00237956">
        <w:rPr>
          <w:rFonts w:ascii="Times New Roman" w:hAnsi="Times New Roman" w:cs="Times New Roman"/>
          <w:szCs w:val="24"/>
          <w:lang w:val="en-GB"/>
        </w:rPr>
        <w:t xml:space="preserve">connection with </w:t>
      </w:r>
      <w:r w:rsidR="00431264" w:rsidRPr="00237956">
        <w:rPr>
          <w:rFonts w:ascii="Times New Roman" w:hAnsi="Times New Roman" w:cs="Times New Roman"/>
          <w:szCs w:val="24"/>
          <w:lang w:val="en-GB"/>
        </w:rPr>
        <w:t>it</w:t>
      </w:r>
      <w:r w:rsidR="00AF46E6" w:rsidRPr="00237956">
        <w:rPr>
          <w:rFonts w:ascii="Times New Roman" w:hAnsi="Times New Roman" w:cs="Times New Roman"/>
          <w:szCs w:val="24"/>
          <w:lang w:val="en-GB"/>
        </w:rPr>
        <w:t>.</w:t>
      </w:r>
    </w:p>
    <w:p w14:paraId="1E7A085C" w14:textId="2DE2178A" w:rsidR="0005017B" w:rsidRPr="00237956" w:rsidRDefault="00FE3DA4" w:rsidP="00237956">
      <w:pPr>
        <w:autoSpaceDE w:val="0"/>
        <w:autoSpaceDN w:val="0"/>
        <w:adjustRightInd w:val="0"/>
        <w:spacing w:after="0" w:line="240" w:lineRule="auto"/>
        <w:ind w:left="567" w:right="1133"/>
        <w:rPr>
          <w:rFonts w:ascii="Times New Roman" w:hAnsi="Times New Roman" w:cs="Times New Roman"/>
          <w:szCs w:val="24"/>
          <w:lang w:val="en-GB"/>
        </w:rPr>
      </w:pPr>
      <w:r w:rsidRPr="00237956">
        <w:rPr>
          <w:rFonts w:ascii="Times New Roman" w:hAnsi="Times New Roman" w:cs="Times New Roman"/>
          <w:szCs w:val="24"/>
          <w:lang w:val="en-GB"/>
        </w:rPr>
        <w:t>With respect to H2, data confirm</w:t>
      </w:r>
      <w:r w:rsidR="003A7049" w:rsidRPr="00237956">
        <w:rPr>
          <w:rFonts w:ascii="Times New Roman" w:hAnsi="Times New Roman" w:cs="Times New Roman"/>
          <w:szCs w:val="24"/>
          <w:lang w:val="en-GB"/>
        </w:rPr>
        <w:t>ed</w:t>
      </w:r>
      <w:r w:rsidRPr="00237956">
        <w:rPr>
          <w:rFonts w:ascii="Times New Roman" w:hAnsi="Times New Roman" w:cs="Times New Roman"/>
          <w:szCs w:val="24"/>
          <w:lang w:val="en-GB"/>
        </w:rPr>
        <w:t xml:space="preserve"> a positive relationship between trust and attitude toward donations, for both countries</w:t>
      </w:r>
      <w:r w:rsidR="00DA0942" w:rsidRPr="00237956">
        <w:rPr>
          <w:rFonts w:ascii="Times New Roman" w:hAnsi="Times New Roman" w:cs="Times New Roman"/>
          <w:szCs w:val="24"/>
          <w:lang w:val="en-GB"/>
        </w:rPr>
        <w:t>. Such a finding is in line with recent findings suggesting that alumni trust is a predictor of self-reported giving and attitudes, even when controlling for socio-demographic characteristics (Drezner et al, 2020).</w:t>
      </w:r>
      <w:r w:rsidRPr="00237956">
        <w:rPr>
          <w:rFonts w:ascii="Times New Roman" w:hAnsi="Times New Roman" w:cs="Times New Roman"/>
          <w:szCs w:val="24"/>
          <w:lang w:val="en-GB"/>
        </w:rPr>
        <w:t xml:space="preserve"> </w:t>
      </w:r>
      <w:r w:rsidR="00DB0AB0" w:rsidRPr="00237956">
        <w:rPr>
          <w:rFonts w:ascii="Times New Roman" w:hAnsi="Times New Roman" w:cs="Times New Roman"/>
          <w:szCs w:val="24"/>
          <w:lang w:val="en-GB"/>
        </w:rPr>
        <w:t xml:space="preserve">In this way, it </w:t>
      </w:r>
      <w:r w:rsidR="003A7049" w:rsidRPr="00237956">
        <w:rPr>
          <w:rFonts w:ascii="Times New Roman" w:hAnsi="Times New Roman" w:cs="Times New Roman"/>
          <w:szCs w:val="24"/>
          <w:lang w:val="en-GB"/>
        </w:rPr>
        <w:t xml:space="preserve">has been </w:t>
      </w:r>
      <w:r w:rsidR="00DB0AB0" w:rsidRPr="00237956">
        <w:rPr>
          <w:rFonts w:ascii="Times New Roman" w:hAnsi="Times New Roman" w:cs="Times New Roman"/>
          <w:szCs w:val="24"/>
          <w:lang w:val="en-GB"/>
        </w:rPr>
        <w:t xml:space="preserve">possible to corroborate </w:t>
      </w:r>
      <w:r w:rsidR="00D234A6" w:rsidRPr="00237956">
        <w:rPr>
          <w:rFonts w:ascii="Times New Roman" w:hAnsi="Times New Roman" w:cs="Times New Roman"/>
          <w:szCs w:val="24"/>
          <w:lang w:val="en-GB"/>
        </w:rPr>
        <w:t>how</w:t>
      </w:r>
      <w:r w:rsidR="00686420" w:rsidRPr="00237956">
        <w:rPr>
          <w:rFonts w:ascii="Times New Roman" w:hAnsi="Times New Roman" w:cs="Times New Roman"/>
          <w:szCs w:val="24"/>
          <w:lang w:val="en-GB"/>
        </w:rPr>
        <w:t xml:space="preserve"> significant</w:t>
      </w:r>
      <w:r w:rsidR="00D234A6" w:rsidRPr="00237956">
        <w:rPr>
          <w:rFonts w:ascii="Times New Roman" w:hAnsi="Times New Roman" w:cs="Times New Roman"/>
          <w:szCs w:val="24"/>
          <w:lang w:val="en-GB"/>
        </w:rPr>
        <w:t xml:space="preserve"> this tie is</w:t>
      </w:r>
      <w:r w:rsidR="00686420" w:rsidRPr="00237956">
        <w:rPr>
          <w:rFonts w:ascii="Times New Roman" w:hAnsi="Times New Roman" w:cs="Times New Roman"/>
          <w:szCs w:val="24"/>
          <w:lang w:val="en-GB"/>
        </w:rPr>
        <w:t>,</w:t>
      </w:r>
      <w:r w:rsidR="00D234A6" w:rsidRPr="00237956">
        <w:rPr>
          <w:rFonts w:ascii="Times New Roman" w:hAnsi="Times New Roman" w:cs="Times New Roman"/>
          <w:szCs w:val="24"/>
          <w:lang w:val="en-GB"/>
        </w:rPr>
        <w:t xml:space="preserve"> not only in the charity a</w:t>
      </w:r>
      <w:r w:rsidR="002B0C35" w:rsidRPr="00237956">
        <w:rPr>
          <w:rFonts w:ascii="Times New Roman" w:hAnsi="Times New Roman" w:cs="Times New Roman"/>
          <w:szCs w:val="24"/>
          <w:lang w:val="en-GB"/>
        </w:rPr>
        <w:t xml:space="preserve">nd non-profit sectors (Melendez 2001; </w:t>
      </w:r>
      <w:proofErr w:type="spellStart"/>
      <w:r w:rsidR="002B0C35" w:rsidRPr="00237956">
        <w:rPr>
          <w:rFonts w:ascii="Times New Roman" w:hAnsi="Times New Roman" w:cs="Times New Roman"/>
          <w:szCs w:val="24"/>
          <w:lang w:val="en-GB"/>
        </w:rPr>
        <w:t>Sargeant</w:t>
      </w:r>
      <w:proofErr w:type="spellEnd"/>
      <w:r w:rsidR="002B0C35" w:rsidRPr="00237956">
        <w:rPr>
          <w:rFonts w:ascii="Times New Roman" w:hAnsi="Times New Roman" w:cs="Times New Roman"/>
          <w:szCs w:val="24"/>
          <w:lang w:val="en-GB"/>
        </w:rPr>
        <w:t xml:space="preserve"> and Lee</w:t>
      </w:r>
      <w:r w:rsidR="00D234A6" w:rsidRPr="00237956">
        <w:rPr>
          <w:rFonts w:ascii="Times New Roman" w:hAnsi="Times New Roman" w:cs="Times New Roman"/>
          <w:szCs w:val="24"/>
          <w:lang w:val="en-GB"/>
        </w:rPr>
        <w:t xml:space="preserve"> 2004), but also in the HE context. </w:t>
      </w:r>
      <w:r w:rsidR="003A7049" w:rsidRPr="00237956">
        <w:rPr>
          <w:rFonts w:ascii="Times New Roman" w:hAnsi="Times New Roman" w:cs="Times New Roman"/>
          <w:szCs w:val="24"/>
          <w:lang w:val="en-GB"/>
        </w:rPr>
        <w:t xml:space="preserve">Notably, </w:t>
      </w:r>
      <w:r w:rsidR="001502F9" w:rsidRPr="00237956">
        <w:rPr>
          <w:rFonts w:ascii="Times New Roman" w:hAnsi="Times New Roman" w:cs="Times New Roman"/>
          <w:szCs w:val="24"/>
          <w:lang w:val="en-GB"/>
        </w:rPr>
        <w:t xml:space="preserve">the confirmation of this positive relationship </w:t>
      </w:r>
      <w:r w:rsidR="00686420" w:rsidRPr="00237956">
        <w:rPr>
          <w:rFonts w:ascii="Times New Roman" w:hAnsi="Times New Roman" w:cs="Times New Roman"/>
          <w:szCs w:val="24"/>
          <w:lang w:val="en-GB"/>
        </w:rPr>
        <w:t xml:space="preserve">has made it possible </w:t>
      </w:r>
      <w:r w:rsidR="0091791A" w:rsidRPr="00237956">
        <w:rPr>
          <w:rFonts w:ascii="Times New Roman" w:hAnsi="Times New Roman" w:cs="Times New Roman"/>
          <w:szCs w:val="24"/>
          <w:lang w:val="en-GB"/>
        </w:rPr>
        <w:t xml:space="preserve">to detect the role of trust as a key factor leading alumni to donate to their alma mater (Baruch and Sang 2012), thus enriching the literature focused on the identification of social exchange factors </w:t>
      </w:r>
      <w:r w:rsidR="00C20D7B" w:rsidRPr="00237956">
        <w:rPr>
          <w:rFonts w:ascii="Times New Roman" w:hAnsi="Times New Roman" w:cs="Times New Roman"/>
          <w:szCs w:val="24"/>
          <w:lang w:val="en-GB"/>
        </w:rPr>
        <w:t xml:space="preserve">able to stimulate </w:t>
      </w:r>
      <w:r w:rsidR="0091791A" w:rsidRPr="00237956">
        <w:rPr>
          <w:rFonts w:ascii="Times New Roman" w:hAnsi="Times New Roman" w:cs="Times New Roman"/>
          <w:szCs w:val="24"/>
          <w:lang w:val="en-GB"/>
        </w:rPr>
        <w:t xml:space="preserve">alumni attitude toward donation. </w:t>
      </w:r>
    </w:p>
    <w:p w14:paraId="3545BF13" w14:textId="081E0059" w:rsidR="0005017B" w:rsidRPr="00237956" w:rsidRDefault="009715F9" w:rsidP="00237956">
      <w:pPr>
        <w:autoSpaceDE w:val="0"/>
        <w:autoSpaceDN w:val="0"/>
        <w:adjustRightInd w:val="0"/>
        <w:spacing w:after="0" w:line="240" w:lineRule="auto"/>
        <w:ind w:left="567" w:right="1133"/>
        <w:rPr>
          <w:rFonts w:ascii="Times New Roman" w:hAnsi="Times New Roman" w:cs="Times New Roman"/>
          <w:szCs w:val="24"/>
          <w:lang w:val="en-GB"/>
        </w:rPr>
      </w:pPr>
      <w:r w:rsidRPr="00237956">
        <w:rPr>
          <w:rFonts w:ascii="Times New Roman" w:hAnsi="Times New Roman" w:cs="Times New Roman"/>
          <w:szCs w:val="24"/>
          <w:lang w:val="en-GB"/>
        </w:rPr>
        <w:t>T</w:t>
      </w:r>
      <w:r w:rsidR="00465B00" w:rsidRPr="00237956">
        <w:rPr>
          <w:rFonts w:ascii="Times New Roman" w:hAnsi="Times New Roman" w:cs="Times New Roman"/>
          <w:szCs w:val="24"/>
          <w:lang w:val="en-GB"/>
        </w:rPr>
        <w:t xml:space="preserve">he </w:t>
      </w:r>
      <w:r w:rsidR="00431264" w:rsidRPr="00237956">
        <w:rPr>
          <w:rFonts w:ascii="Times New Roman" w:hAnsi="Times New Roman" w:cs="Times New Roman"/>
          <w:szCs w:val="24"/>
          <w:lang w:val="en-GB"/>
        </w:rPr>
        <w:t xml:space="preserve">positive </w:t>
      </w:r>
      <w:r w:rsidR="00465B00" w:rsidRPr="00237956">
        <w:rPr>
          <w:rFonts w:ascii="Times New Roman" w:hAnsi="Times New Roman" w:cs="Times New Roman"/>
          <w:szCs w:val="24"/>
          <w:lang w:val="en-GB"/>
        </w:rPr>
        <w:t>relationship between trust and commitment (H5) confirm</w:t>
      </w:r>
      <w:r w:rsidRPr="00237956">
        <w:rPr>
          <w:rFonts w:ascii="Times New Roman" w:hAnsi="Times New Roman" w:cs="Times New Roman"/>
          <w:szCs w:val="24"/>
          <w:lang w:val="en-GB"/>
        </w:rPr>
        <w:t>s</w:t>
      </w:r>
      <w:r w:rsidR="00465B00" w:rsidRPr="00237956">
        <w:rPr>
          <w:rFonts w:ascii="Times New Roman" w:hAnsi="Times New Roman" w:cs="Times New Roman"/>
          <w:szCs w:val="24"/>
          <w:lang w:val="en-GB"/>
        </w:rPr>
        <w:t xml:space="preserve">, for both countries, </w:t>
      </w:r>
      <w:r w:rsidR="0005017B" w:rsidRPr="00237956">
        <w:rPr>
          <w:rFonts w:ascii="Times New Roman" w:hAnsi="Times New Roman" w:cs="Times New Roman"/>
          <w:szCs w:val="24"/>
          <w:lang w:val="en-GB"/>
        </w:rPr>
        <w:t>how commitment represents an outcome of trust, thus corroborating previous studies (</w:t>
      </w:r>
      <w:proofErr w:type="spellStart"/>
      <w:r w:rsidR="000F5291" w:rsidRPr="00237956">
        <w:rPr>
          <w:rFonts w:ascii="Times New Roman" w:hAnsi="Times New Roman" w:cs="Times New Roman"/>
          <w:szCs w:val="24"/>
          <w:lang w:val="en-GB"/>
        </w:rPr>
        <w:t>Dass</w:t>
      </w:r>
      <w:proofErr w:type="spellEnd"/>
      <w:r w:rsidR="000F5291" w:rsidRPr="00237956">
        <w:rPr>
          <w:rFonts w:ascii="Times New Roman" w:hAnsi="Times New Roman" w:cs="Times New Roman"/>
          <w:szCs w:val="24"/>
          <w:lang w:val="en-GB"/>
        </w:rPr>
        <w:t xml:space="preserve"> et al. 2020; </w:t>
      </w:r>
      <w:r w:rsidR="0005017B" w:rsidRPr="00237956">
        <w:rPr>
          <w:rFonts w:ascii="Times New Roman" w:hAnsi="Times New Roman" w:cs="Times New Roman"/>
          <w:szCs w:val="24"/>
          <w:lang w:val="en-GB"/>
        </w:rPr>
        <w:t xml:space="preserve">Dennis et al., 2016; </w:t>
      </w:r>
      <w:r w:rsidR="00AC28A5" w:rsidRPr="00237956">
        <w:rPr>
          <w:rFonts w:ascii="Times New Roman" w:hAnsi="Times New Roman" w:cs="Times New Roman"/>
          <w:szCs w:val="24"/>
          <w:lang w:val="en-GB"/>
        </w:rPr>
        <w:t xml:space="preserve">Helen and Ho 2011; </w:t>
      </w:r>
      <w:r w:rsidR="0005017B" w:rsidRPr="00237956">
        <w:rPr>
          <w:rFonts w:ascii="Times New Roman" w:hAnsi="Times New Roman" w:cs="Times New Roman"/>
          <w:szCs w:val="24"/>
          <w:lang w:val="en-GB"/>
        </w:rPr>
        <w:t>Hennig-</w:t>
      </w:r>
      <w:proofErr w:type="spellStart"/>
      <w:r w:rsidR="0005017B" w:rsidRPr="00237956">
        <w:rPr>
          <w:rFonts w:ascii="Times New Roman" w:hAnsi="Times New Roman" w:cs="Times New Roman"/>
          <w:szCs w:val="24"/>
          <w:lang w:val="en-GB"/>
        </w:rPr>
        <w:t>Thurau</w:t>
      </w:r>
      <w:proofErr w:type="spellEnd"/>
      <w:r w:rsidR="0005017B" w:rsidRPr="00237956">
        <w:rPr>
          <w:rFonts w:ascii="Times New Roman" w:hAnsi="Times New Roman" w:cs="Times New Roman"/>
          <w:szCs w:val="24"/>
          <w:lang w:val="en-GB"/>
        </w:rPr>
        <w:t xml:space="preserve"> et al. 2001; Jillapalli and Jillapalli 2014; Pedro et al. 2020;</w:t>
      </w:r>
      <w:r w:rsidR="00C51509" w:rsidRPr="00237956">
        <w:rPr>
          <w:rFonts w:ascii="Times New Roman" w:hAnsi="Times New Roman" w:cs="Times New Roman"/>
          <w:szCs w:val="24"/>
          <w:lang w:val="en-GB"/>
        </w:rPr>
        <w:t xml:space="preserve"> Pinar et al. 2020;</w:t>
      </w:r>
      <w:r w:rsidR="0005017B" w:rsidRPr="00237956">
        <w:rPr>
          <w:rFonts w:ascii="Times New Roman" w:hAnsi="Times New Roman" w:cs="Times New Roman"/>
          <w:szCs w:val="24"/>
          <w:lang w:val="en-GB"/>
        </w:rPr>
        <w:t xml:space="preserve"> Rojas-Mendez et </w:t>
      </w:r>
      <w:r w:rsidR="0005017B" w:rsidRPr="00237956">
        <w:rPr>
          <w:rFonts w:ascii="Times New Roman" w:hAnsi="Times New Roman" w:cs="Times New Roman"/>
          <w:szCs w:val="24"/>
          <w:lang w:val="en-GB"/>
        </w:rPr>
        <w:lastRenderedPageBreak/>
        <w:t>al. 2009</w:t>
      </w:r>
      <w:r w:rsidR="00AC28A5" w:rsidRPr="00237956">
        <w:rPr>
          <w:rFonts w:ascii="Times New Roman" w:hAnsi="Times New Roman" w:cs="Times New Roman"/>
          <w:szCs w:val="24"/>
          <w:lang w:val="en-GB"/>
        </w:rPr>
        <w:t xml:space="preserve">; </w:t>
      </w:r>
      <w:r w:rsidR="00976662" w:rsidRPr="00237956">
        <w:rPr>
          <w:rFonts w:ascii="Times New Roman" w:hAnsi="Times New Roman" w:cs="Times New Roman"/>
          <w:szCs w:val="24"/>
          <w:lang w:val="en-GB"/>
        </w:rPr>
        <w:t xml:space="preserve">Schlesinger et al. 2017; </w:t>
      </w:r>
      <w:r w:rsidR="00AC28A5" w:rsidRPr="00237956">
        <w:rPr>
          <w:rFonts w:ascii="Times New Roman" w:hAnsi="Times New Roman" w:cs="Times New Roman"/>
          <w:szCs w:val="24"/>
          <w:lang w:val="en-GB"/>
        </w:rPr>
        <w:t>Yousaf et al. 2020</w:t>
      </w:r>
      <w:r w:rsidR="0005017B" w:rsidRPr="00237956">
        <w:rPr>
          <w:rFonts w:ascii="Times New Roman" w:hAnsi="Times New Roman" w:cs="Times New Roman"/>
          <w:szCs w:val="24"/>
          <w:lang w:val="en-GB"/>
        </w:rPr>
        <w:t xml:space="preserve">). </w:t>
      </w:r>
      <w:r w:rsidR="00742CF9" w:rsidRPr="00237956">
        <w:rPr>
          <w:rFonts w:ascii="Times New Roman" w:hAnsi="Times New Roman" w:cs="Times New Roman"/>
          <w:szCs w:val="24"/>
          <w:lang w:val="en-GB"/>
        </w:rPr>
        <w:t>In detail, the development of students’ trust toward their institution can lead to the building of committed student-university relationships</w:t>
      </w:r>
      <w:r w:rsidR="00686420" w:rsidRPr="00237956">
        <w:rPr>
          <w:rFonts w:ascii="Times New Roman" w:hAnsi="Times New Roman" w:cs="Times New Roman"/>
          <w:szCs w:val="24"/>
          <w:lang w:val="en-GB"/>
        </w:rPr>
        <w:t>,</w:t>
      </w:r>
      <w:r w:rsidR="00742CF9" w:rsidRPr="00237956">
        <w:rPr>
          <w:rFonts w:ascii="Times New Roman" w:hAnsi="Times New Roman" w:cs="Times New Roman"/>
          <w:szCs w:val="24"/>
          <w:lang w:val="en-GB"/>
        </w:rPr>
        <w:t xml:space="preserve"> </w:t>
      </w:r>
      <w:r w:rsidR="00346A32" w:rsidRPr="00237956">
        <w:rPr>
          <w:rFonts w:ascii="Times New Roman" w:hAnsi="Times New Roman" w:cs="Times New Roman"/>
          <w:szCs w:val="24"/>
          <w:lang w:val="en-GB"/>
        </w:rPr>
        <w:t xml:space="preserve">which may continue </w:t>
      </w:r>
      <w:r w:rsidR="00B60F61" w:rsidRPr="00237956">
        <w:rPr>
          <w:rFonts w:ascii="Times New Roman" w:hAnsi="Times New Roman" w:cs="Times New Roman"/>
          <w:szCs w:val="24"/>
          <w:lang w:val="en-GB"/>
        </w:rPr>
        <w:t xml:space="preserve">beyond </w:t>
      </w:r>
      <w:r w:rsidR="00346A32" w:rsidRPr="00237956">
        <w:rPr>
          <w:rFonts w:ascii="Times New Roman" w:hAnsi="Times New Roman" w:cs="Times New Roman"/>
          <w:szCs w:val="24"/>
          <w:lang w:val="en-GB"/>
        </w:rPr>
        <w:t xml:space="preserve">graduation. </w:t>
      </w:r>
    </w:p>
    <w:p w14:paraId="7413BC83" w14:textId="602CAD83" w:rsidR="008A178B" w:rsidRPr="00237956" w:rsidRDefault="00D234A6" w:rsidP="00237956">
      <w:pPr>
        <w:autoSpaceDE w:val="0"/>
        <w:autoSpaceDN w:val="0"/>
        <w:adjustRightInd w:val="0"/>
        <w:spacing w:after="0" w:line="240" w:lineRule="auto"/>
        <w:ind w:left="567" w:right="1133"/>
        <w:rPr>
          <w:rFonts w:ascii="Times New Roman" w:hAnsi="Times New Roman" w:cs="Times New Roman"/>
          <w:szCs w:val="24"/>
          <w:lang w:val="en-GB"/>
        </w:rPr>
      </w:pPr>
      <w:r w:rsidRPr="00237956">
        <w:rPr>
          <w:rFonts w:ascii="Times New Roman" w:hAnsi="Times New Roman" w:cs="Times New Roman"/>
          <w:szCs w:val="24"/>
          <w:lang w:val="en-GB"/>
        </w:rPr>
        <w:t>Conversely, a significant difference between the two samples emerge</w:t>
      </w:r>
      <w:r w:rsidR="00E5289F" w:rsidRPr="00237956">
        <w:rPr>
          <w:rFonts w:ascii="Times New Roman" w:hAnsi="Times New Roman" w:cs="Times New Roman"/>
          <w:szCs w:val="24"/>
          <w:lang w:val="en-GB"/>
        </w:rPr>
        <w:t>s</w:t>
      </w:r>
      <w:r w:rsidRPr="00237956">
        <w:rPr>
          <w:rFonts w:ascii="Times New Roman" w:hAnsi="Times New Roman" w:cs="Times New Roman"/>
          <w:szCs w:val="24"/>
          <w:lang w:val="en-GB"/>
        </w:rPr>
        <w:t xml:space="preserve"> concerning the influence of trust on support (H3)</w:t>
      </w:r>
      <w:r w:rsidR="00A033ED" w:rsidRPr="00237956">
        <w:rPr>
          <w:rFonts w:ascii="Times New Roman" w:hAnsi="Times New Roman" w:cs="Times New Roman"/>
          <w:szCs w:val="24"/>
          <w:lang w:val="en-GB"/>
        </w:rPr>
        <w:t xml:space="preserve"> and commitment on attitude toward donations (</w:t>
      </w:r>
      <w:r w:rsidR="00927092" w:rsidRPr="00237956">
        <w:rPr>
          <w:rFonts w:ascii="Times New Roman" w:hAnsi="Times New Roman" w:cs="Times New Roman"/>
          <w:szCs w:val="24"/>
          <w:lang w:val="en-GB"/>
        </w:rPr>
        <w:t>H6</w:t>
      </w:r>
      <w:r w:rsidR="00A033ED" w:rsidRPr="00237956">
        <w:rPr>
          <w:rFonts w:ascii="Times New Roman" w:hAnsi="Times New Roman" w:cs="Times New Roman"/>
          <w:szCs w:val="24"/>
          <w:lang w:val="en-GB"/>
        </w:rPr>
        <w:t>)</w:t>
      </w:r>
      <w:r w:rsidRPr="00237956">
        <w:rPr>
          <w:rFonts w:ascii="Times New Roman" w:hAnsi="Times New Roman" w:cs="Times New Roman"/>
          <w:szCs w:val="24"/>
          <w:lang w:val="en-GB"/>
        </w:rPr>
        <w:t>,</w:t>
      </w:r>
      <w:r w:rsidR="00800DE5" w:rsidRPr="00237956">
        <w:rPr>
          <w:rFonts w:ascii="Times New Roman" w:hAnsi="Times New Roman" w:cs="Times New Roman"/>
          <w:szCs w:val="24"/>
          <w:lang w:val="en-GB"/>
        </w:rPr>
        <w:t xml:space="preserve"> which are</w:t>
      </w:r>
      <w:r w:rsidRPr="00237956">
        <w:rPr>
          <w:rFonts w:ascii="Times New Roman" w:hAnsi="Times New Roman" w:cs="Times New Roman"/>
          <w:szCs w:val="24"/>
          <w:lang w:val="en-GB"/>
        </w:rPr>
        <w:t xml:space="preserve"> stronger for US respondents. </w:t>
      </w:r>
      <w:r w:rsidR="007D54EB" w:rsidRPr="00237956">
        <w:rPr>
          <w:rFonts w:ascii="Times New Roman" w:hAnsi="Times New Roman" w:cs="Times New Roman"/>
          <w:szCs w:val="24"/>
          <w:lang w:val="en-GB"/>
        </w:rPr>
        <w:t>In other terms</w:t>
      </w:r>
      <w:r w:rsidR="007E3719" w:rsidRPr="00237956">
        <w:rPr>
          <w:rFonts w:ascii="Times New Roman" w:hAnsi="Times New Roman" w:cs="Times New Roman"/>
          <w:szCs w:val="24"/>
          <w:lang w:val="en-GB"/>
        </w:rPr>
        <w:t>, in the American context</w:t>
      </w:r>
      <w:r w:rsidR="00CB377A" w:rsidRPr="00237956">
        <w:rPr>
          <w:rFonts w:ascii="Times New Roman" w:hAnsi="Times New Roman" w:cs="Times New Roman"/>
          <w:szCs w:val="24"/>
          <w:lang w:val="en-GB"/>
        </w:rPr>
        <w:t>, not only</w:t>
      </w:r>
      <w:r w:rsidR="007E3719" w:rsidRPr="00237956">
        <w:rPr>
          <w:rFonts w:ascii="Times New Roman" w:hAnsi="Times New Roman" w:cs="Times New Roman"/>
          <w:szCs w:val="24"/>
          <w:lang w:val="en-GB"/>
        </w:rPr>
        <w:t xml:space="preserve"> </w:t>
      </w:r>
      <w:r w:rsidR="00686420" w:rsidRPr="00237956">
        <w:rPr>
          <w:rFonts w:ascii="Times New Roman" w:hAnsi="Times New Roman" w:cs="Times New Roman"/>
          <w:szCs w:val="24"/>
          <w:lang w:val="en-GB"/>
        </w:rPr>
        <w:t xml:space="preserve">does </w:t>
      </w:r>
      <w:r w:rsidR="004E03FA" w:rsidRPr="00237956">
        <w:rPr>
          <w:rFonts w:ascii="Times New Roman" w:hAnsi="Times New Roman" w:cs="Times New Roman"/>
          <w:szCs w:val="24"/>
          <w:lang w:val="en-GB"/>
        </w:rPr>
        <w:t xml:space="preserve">the trust construct represent a more significant </w:t>
      </w:r>
      <w:r w:rsidR="0042498A" w:rsidRPr="00237956">
        <w:rPr>
          <w:rFonts w:ascii="Times New Roman" w:hAnsi="Times New Roman" w:cs="Times New Roman"/>
          <w:szCs w:val="24"/>
          <w:lang w:val="en-GB"/>
        </w:rPr>
        <w:t>factor leading to the establishment</w:t>
      </w:r>
      <w:r w:rsidR="00A45E93" w:rsidRPr="00237956">
        <w:rPr>
          <w:rFonts w:ascii="Times New Roman" w:hAnsi="Times New Roman" w:cs="Times New Roman"/>
          <w:szCs w:val="24"/>
          <w:lang w:val="en-GB"/>
        </w:rPr>
        <w:t xml:space="preserve"> of supportive </w:t>
      </w:r>
      <w:r w:rsidR="00FE69E6" w:rsidRPr="00237956">
        <w:rPr>
          <w:rFonts w:ascii="Times New Roman" w:hAnsi="Times New Roman" w:cs="Times New Roman"/>
          <w:szCs w:val="24"/>
          <w:lang w:val="en-GB"/>
        </w:rPr>
        <w:t xml:space="preserve">alumni-university </w:t>
      </w:r>
      <w:r w:rsidR="00A45E93" w:rsidRPr="00237956">
        <w:rPr>
          <w:rFonts w:ascii="Times New Roman" w:hAnsi="Times New Roman" w:cs="Times New Roman"/>
          <w:szCs w:val="24"/>
          <w:lang w:val="en-GB"/>
        </w:rPr>
        <w:t>long-term relations</w:t>
      </w:r>
      <w:r w:rsidR="00E60FE9" w:rsidRPr="00237956">
        <w:rPr>
          <w:rFonts w:ascii="Times New Roman" w:hAnsi="Times New Roman" w:cs="Times New Roman"/>
          <w:szCs w:val="24"/>
          <w:lang w:val="en-GB"/>
        </w:rPr>
        <w:t>,</w:t>
      </w:r>
      <w:r w:rsidR="00CB377A" w:rsidRPr="00237956">
        <w:rPr>
          <w:rFonts w:ascii="Times New Roman" w:hAnsi="Times New Roman" w:cs="Times New Roman"/>
          <w:szCs w:val="24"/>
          <w:lang w:val="en-GB"/>
        </w:rPr>
        <w:t xml:space="preserve"> but commitment </w:t>
      </w:r>
      <w:r w:rsidR="00686420" w:rsidRPr="00237956">
        <w:rPr>
          <w:rFonts w:ascii="Times New Roman" w:hAnsi="Times New Roman" w:cs="Times New Roman"/>
          <w:szCs w:val="24"/>
          <w:lang w:val="en-GB"/>
        </w:rPr>
        <w:t xml:space="preserve">also </w:t>
      </w:r>
      <w:r w:rsidR="00CB377A" w:rsidRPr="00237956">
        <w:rPr>
          <w:rFonts w:ascii="Times New Roman" w:hAnsi="Times New Roman" w:cs="Times New Roman"/>
          <w:szCs w:val="24"/>
          <w:lang w:val="en-GB"/>
        </w:rPr>
        <w:t>plays a more active role in the formation of alum</w:t>
      </w:r>
      <w:r w:rsidR="00153B1A" w:rsidRPr="00237956">
        <w:rPr>
          <w:rFonts w:ascii="Times New Roman" w:hAnsi="Times New Roman" w:cs="Times New Roman"/>
          <w:szCs w:val="24"/>
          <w:lang w:val="en-GB"/>
        </w:rPr>
        <w:t>ni attitude toward donations. Therefore</w:t>
      </w:r>
      <w:r w:rsidR="00CB377A" w:rsidRPr="00237956">
        <w:rPr>
          <w:rFonts w:ascii="Times New Roman" w:hAnsi="Times New Roman" w:cs="Times New Roman"/>
          <w:szCs w:val="24"/>
          <w:lang w:val="en-GB"/>
        </w:rPr>
        <w:t xml:space="preserve">, </w:t>
      </w:r>
      <w:r w:rsidR="00C53980" w:rsidRPr="00237956">
        <w:rPr>
          <w:rFonts w:ascii="Times New Roman" w:hAnsi="Times New Roman" w:cs="Times New Roman"/>
          <w:szCs w:val="24"/>
          <w:lang w:val="en-GB"/>
        </w:rPr>
        <w:t>these results allow</w:t>
      </w:r>
      <w:r w:rsidR="00686420" w:rsidRPr="00237956">
        <w:rPr>
          <w:rFonts w:ascii="Times New Roman" w:hAnsi="Times New Roman" w:cs="Times New Roman"/>
          <w:szCs w:val="24"/>
          <w:lang w:val="en-GB"/>
        </w:rPr>
        <w:t xml:space="preserve"> us</w:t>
      </w:r>
      <w:r w:rsidR="00C53980" w:rsidRPr="00237956">
        <w:rPr>
          <w:rFonts w:ascii="Times New Roman" w:hAnsi="Times New Roman" w:cs="Times New Roman"/>
          <w:szCs w:val="24"/>
          <w:lang w:val="en-GB"/>
        </w:rPr>
        <w:t xml:space="preserve"> to corroborate and enrich the extant </w:t>
      </w:r>
      <w:r w:rsidR="00D77854" w:rsidRPr="00237956">
        <w:rPr>
          <w:rFonts w:ascii="Times New Roman" w:hAnsi="Times New Roman" w:cs="Times New Roman"/>
          <w:szCs w:val="24"/>
          <w:lang w:val="en-GB"/>
        </w:rPr>
        <w:t xml:space="preserve">studies analysing the role of trust as </w:t>
      </w:r>
      <w:r w:rsidR="00686420" w:rsidRPr="00237956">
        <w:rPr>
          <w:rFonts w:ascii="Times New Roman" w:hAnsi="Times New Roman" w:cs="Times New Roman"/>
          <w:szCs w:val="24"/>
          <w:lang w:val="en-GB"/>
        </w:rPr>
        <w:t xml:space="preserve">an </w:t>
      </w:r>
      <w:r w:rsidR="00D77854" w:rsidRPr="00237956">
        <w:rPr>
          <w:rFonts w:ascii="Times New Roman" w:hAnsi="Times New Roman" w:cs="Times New Roman"/>
          <w:szCs w:val="24"/>
          <w:lang w:val="en-GB"/>
        </w:rPr>
        <w:t xml:space="preserve">antecedent of student support (Ghosh et al. 2001) </w:t>
      </w:r>
      <w:r w:rsidR="000656F6" w:rsidRPr="00237956">
        <w:rPr>
          <w:rFonts w:ascii="Times New Roman" w:hAnsi="Times New Roman" w:cs="Times New Roman"/>
          <w:szCs w:val="24"/>
          <w:lang w:val="en-GB"/>
        </w:rPr>
        <w:t xml:space="preserve">as well as </w:t>
      </w:r>
      <w:r w:rsidR="00E92586" w:rsidRPr="00237956">
        <w:rPr>
          <w:rFonts w:ascii="Times New Roman" w:hAnsi="Times New Roman" w:cs="Times New Roman"/>
          <w:szCs w:val="24"/>
          <w:lang w:val="en-GB"/>
        </w:rPr>
        <w:t>those examining</w:t>
      </w:r>
      <w:r w:rsidR="00D77854" w:rsidRPr="00237956">
        <w:rPr>
          <w:rFonts w:ascii="Times New Roman" w:hAnsi="Times New Roman" w:cs="Times New Roman"/>
          <w:szCs w:val="24"/>
          <w:lang w:val="en-GB"/>
        </w:rPr>
        <w:t xml:space="preserve"> the role of commitment as </w:t>
      </w:r>
      <w:r w:rsidR="00686420" w:rsidRPr="00237956">
        <w:rPr>
          <w:rFonts w:ascii="Times New Roman" w:hAnsi="Times New Roman" w:cs="Times New Roman"/>
          <w:szCs w:val="24"/>
          <w:lang w:val="en-GB"/>
        </w:rPr>
        <w:t xml:space="preserve">a </w:t>
      </w:r>
      <w:r w:rsidR="00D77854" w:rsidRPr="00237956">
        <w:rPr>
          <w:rFonts w:ascii="Times New Roman" w:hAnsi="Times New Roman" w:cs="Times New Roman"/>
          <w:szCs w:val="24"/>
          <w:lang w:val="en-GB"/>
        </w:rPr>
        <w:t>factor leading to the formation of alumni attitude toward donations (Baruch and Sang, 2012; Jillapalli and Jillapalli 2014; Poole 2017)</w:t>
      </w:r>
      <w:r w:rsidR="006D1C24" w:rsidRPr="00237956">
        <w:rPr>
          <w:rFonts w:ascii="Times New Roman" w:hAnsi="Times New Roman" w:cs="Times New Roman"/>
          <w:szCs w:val="24"/>
          <w:lang w:val="en-GB"/>
        </w:rPr>
        <w:t>.</w:t>
      </w:r>
    </w:p>
    <w:p w14:paraId="590C42DA" w14:textId="79A32B8E" w:rsidR="00662FBA" w:rsidRPr="00237956" w:rsidRDefault="00927092" w:rsidP="00237956">
      <w:pPr>
        <w:autoSpaceDE w:val="0"/>
        <w:autoSpaceDN w:val="0"/>
        <w:adjustRightInd w:val="0"/>
        <w:spacing w:after="0" w:line="240" w:lineRule="auto"/>
        <w:ind w:left="567" w:right="1133"/>
        <w:rPr>
          <w:rFonts w:ascii="Times New Roman" w:hAnsi="Times New Roman" w:cs="Times New Roman"/>
          <w:szCs w:val="24"/>
          <w:lang w:val="en-GB"/>
        </w:rPr>
      </w:pPr>
      <w:r w:rsidRPr="00237956">
        <w:rPr>
          <w:rFonts w:ascii="Times New Roman" w:hAnsi="Times New Roman" w:cs="Times New Roman"/>
          <w:szCs w:val="24"/>
          <w:lang w:val="en-GB"/>
        </w:rPr>
        <w:t xml:space="preserve">Although </w:t>
      </w:r>
      <w:r w:rsidR="00430B21" w:rsidRPr="00237956">
        <w:rPr>
          <w:rFonts w:ascii="Times New Roman" w:hAnsi="Times New Roman" w:cs="Times New Roman"/>
          <w:szCs w:val="24"/>
          <w:lang w:val="en-GB"/>
        </w:rPr>
        <w:t xml:space="preserve">much </w:t>
      </w:r>
      <w:r w:rsidRPr="00237956">
        <w:rPr>
          <w:rFonts w:ascii="Times New Roman" w:hAnsi="Times New Roman" w:cs="Times New Roman"/>
          <w:szCs w:val="24"/>
          <w:lang w:val="en-GB"/>
        </w:rPr>
        <w:t>less significant, a difference in favour of the American sample also emerge</w:t>
      </w:r>
      <w:r w:rsidR="00E5289F" w:rsidRPr="00237956">
        <w:rPr>
          <w:rFonts w:ascii="Times New Roman" w:hAnsi="Times New Roman" w:cs="Times New Roman"/>
          <w:szCs w:val="24"/>
          <w:lang w:val="en-GB"/>
        </w:rPr>
        <w:t>s</w:t>
      </w:r>
      <w:r w:rsidRPr="00237956">
        <w:rPr>
          <w:rFonts w:ascii="Times New Roman" w:hAnsi="Times New Roman" w:cs="Times New Roman"/>
          <w:szCs w:val="24"/>
          <w:lang w:val="en-GB"/>
        </w:rPr>
        <w:t xml:space="preserve"> for the relationship between support and attitude toward donation (H4)</w:t>
      </w:r>
      <w:r w:rsidR="00430B21" w:rsidRPr="00237956">
        <w:rPr>
          <w:rFonts w:ascii="Times New Roman" w:hAnsi="Times New Roman" w:cs="Times New Roman"/>
          <w:szCs w:val="24"/>
          <w:lang w:val="en-GB"/>
        </w:rPr>
        <w:t>.</w:t>
      </w:r>
      <w:r w:rsidR="008D6EBF" w:rsidRPr="00237956">
        <w:rPr>
          <w:rFonts w:ascii="Times New Roman" w:hAnsi="Times New Roman" w:cs="Times New Roman"/>
          <w:szCs w:val="24"/>
          <w:lang w:val="en-GB"/>
        </w:rPr>
        <w:t xml:space="preserve"> </w:t>
      </w:r>
    </w:p>
    <w:p w14:paraId="3B1E13C4" w14:textId="2D096BF5" w:rsidR="000656F6" w:rsidRPr="00237956" w:rsidRDefault="00B21668" w:rsidP="00237956">
      <w:pPr>
        <w:autoSpaceDE w:val="0"/>
        <w:autoSpaceDN w:val="0"/>
        <w:adjustRightInd w:val="0"/>
        <w:spacing w:after="0" w:line="240" w:lineRule="auto"/>
        <w:ind w:left="567" w:right="1133"/>
        <w:rPr>
          <w:rFonts w:ascii="Times New Roman" w:hAnsi="Times New Roman" w:cs="Times New Roman"/>
          <w:szCs w:val="24"/>
          <w:lang w:val="en-GB"/>
        </w:rPr>
      </w:pPr>
      <w:r w:rsidRPr="00237956">
        <w:rPr>
          <w:rFonts w:ascii="Times New Roman" w:hAnsi="Times New Roman" w:cs="Times New Roman"/>
          <w:szCs w:val="24"/>
          <w:lang w:val="en-GB"/>
        </w:rPr>
        <w:t xml:space="preserve">More </w:t>
      </w:r>
      <w:r w:rsidR="00686420" w:rsidRPr="00237956">
        <w:rPr>
          <w:rFonts w:ascii="Times New Roman" w:hAnsi="Times New Roman" w:cs="Times New Roman"/>
          <w:szCs w:val="24"/>
          <w:lang w:val="en-GB"/>
        </w:rPr>
        <w:t>specifically</w:t>
      </w:r>
      <w:r w:rsidRPr="00237956">
        <w:rPr>
          <w:rFonts w:ascii="Times New Roman" w:hAnsi="Times New Roman" w:cs="Times New Roman"/>
          <w:szCs w:val="24"/>
          <w:lang w:val="en-GB"/>
        </w:rPr>
        <w:t xml:space="preserve">, </w:t>
      </w:r>
      <w:r w:rsidR="00A315B0" w:rsidRPr="00237956">
        <w:rPr>
          <w:rFonts w:ascii="Times New Roman" w:hAnsi="Times New Roman" w:cs="Times New Roman"/>
          <w:szCs w:val="24"/>
          <w:lang w:val="en-GB"/>
        </w:rPr>
        <w:t xml:space="preserve">this result underlines </w:t>
      </w:r>
      <w:r w:rsidRPr="00237956">
        <w:rPr>
          <w:rFonts w:ascii="Times New Roman" w:hAnsi="Times New Roman" w:cs="Times New Roman"/>
          <w:szCs w:val="24"/>
          <w:lang w:val="en-GB"/>
        </w:rPr>
        <w:t xml:space="preserve">how supportive alumni-university relationships represent, for the American HEIs, </w:t>
      </w:r>
      <w:r w:rsidR="00C10C31" w:rsidRPr="00237956">
        <w:rPr>
          <w:rFonts w:ascii="Times New Roman" w:hAnsi="Times New Roman" w:cs="Times New Roman"/>
          <w:szCs w:val="24"/>
          <w:lang w:val="en-GB"/>
        </w:rPr>
        <w:t xml:space="preserve">a more significant predictor in the development of alumni inclination to donate to their alma mater, thus confirming previous studies analysing this connection (Diaz Vidal and </w:t>
      </w:r>
      <w:proofErr w:type="spellStart"/>
      <w:r w:rsidR="00C10C31" w:rsidRPr="00237956">
        <w:rPr>
          <w:rFonts w:ascii="Times New Roman" w:hAnsi="Times New Roman" w:cs="Times New Roman"/>
          <w:szCs w:val="24"/>
          <w:lang w:val="en-GB"/>
        </w:rPr>
        <w:t>Pittz</w:t>
      </w:r>
      <w:proofErr w:type="spellEnd"/>
      <w:r w:rsidR="00C10C31" w:rsidRPr="00237956">
        <w:rPr>
          <w:rFonts w:ascii="Times New Roman" w:hAnsi="Times New Roman" w:cs="Times New Roman"/>
          <w:szCs w:val="24"/>
          <w:lang w:val="en-GB"/>
        </w:rPr>
        <w:t xml:space="preserve"> 2019; Newman and </w:t>
      </w:r>
      <w:proofErr w:type="spellStart"/>
      <w:r w:rsidR="00C10C31" w:rsidRPr="00237956">
        <w:rPr>
          <w:rFonts w:ascii="Times New Roman" w:hAnsi="Times New Roman" w:cs="Times New Roman"/>
          <w:szCs w:val="24"/>
          <w:lang w:val="en-GB"/>
        </w:rPr>
        <w:t>Petrosko</w:t>
      </w:r>
      <w:proofErr w:type="spellEnd"/>
      <w:r w:rsidR="00C10C31" w:rsidRPr="00237956">
        <w:rPr>
          <w:rFonts w:ascii="Times New Roman" w:hAnsi="Times New Roman" w:cs="Times New Roman"/>
          <w:szCs w:val="24"/>
          <w:lang w:val="en-GB"/>
        </w:rPr>
        <w:t xml:space="preserve"> 2011). </w:t>
      </w:r>
    </w:p>
    <w:p w14:paraId="7F4B5923" w14:textId="460A5296" w:rsidR="002B0C35" w:rsidRPr="00771F08" w:rsidRDefault="001E2086" w:rsidP="00237956">
      <w:pPr>
        <w:autoSpaceDE w:val="0"/>
        <w:autoSpaceDN w:val="0"/>
        <w:adjustRightInd w:val="0"/>
        <w:spacing w:after="0" w:line="240" w:lineRule="auto"/>
        <w:ind w:left="567" w:right="1133"/>
        <w:rPr>
          <w:rFonts w:ascii="Times New Roman" w:hAnsi="Times New Roman" w:cs="Times New Roman"/>
          <w:lang w:val="en-GB"/>
        </w:rPr>
      </w:pPr>
      <w:r w:rsidRPr="00237956">
        <w:rPr>
          <w:rFonts w:ascii="Times New Roman" w:hAnsi="Times New Roman" w:cs="Times New Roman"/>
          <w:szCs w:val="24"/>
          <w:lang w:val="en-GB"/>
        </w:rPr>
        <w:t>Overall, t</w:t>
      </w:r>
      <w:r w:rsidR="008D02D0" w:rsidRPr="00237956">
        <w:rPr>
          <w:rFonts w:ascii="Times New Roman" w:hAnsi="Times New Roman" w:cs="Times New Roman"/>
          <w:szCs w:val="24"/>
          <w:lang w:val="en-GB"/>
        </w:rPr>
        <w:t>hese</w:t>
      </w:r>
      <w:r w:rsidR="00A033ED" w:rsidRPr="00237956">
        <w:rPr>
          <w:rFonts w:ascii="Times New Roman" w:hAnsi="Times New Roman" w:cs="Times New Roman"/>
          <w:szCs w:val="24"/>
          <w:lang w:val="en-GB"/>
        </w:rPr>
        <w:t xml:space="preserve"> result</w:t>
      </w:r>
      <w:r w:rsidR="008D02D0" w:rsidRPr="00237956">
        <w:rPr>
          <w:rFonts w:ascii="Times New Roman" w:hAnsi="Times New Roman" w:cs="Times New Roman"/>
          <w:szCs w:val="24"/>
          <w:lang w:val="en-GB"/>
        </w:rPr>
        <w:t>s</w:t>
      </w:r>
      <w:r w:rsidR="00A033ED" w:rsidRPr="00237956">
        <w:rPr>
          <w:rFonts w:ascii="Times New Roman" w:hAnsi="Times New Roman" w:cs="Times New Roman"/>
          <w:szCs w:val="24"/>
          <w:lang w:val="en-GB"/>
        </w:rPr>
        <w:t xml:space="preserve"> </w:t>
      </w:r>
      <w:r w:rsidR="00800DE5" w:rsidRPr="00237956">
        <w:rPr>
          <w:rFonts w:ascii="Times New Roman" w:hAnsi="Times New Roman" w:cs="Times New Roman"/>
          <w:szCs w:val="24"/>
          <w:lang w:val="en-GB"/>
        </w:rPr>
        <w:t>underline</w:t>
      </w:r>
      <w:r w:rsidR="00A033ED" w:rsidRPr="00237956">
        <w:rPr>
          <w:rFonts w:ascii="Times New Roman" w:hAnsi="Times New Roman" w:cs="Times New Roman"/>
          <w:szCs w:val="24"/>
          <w:lang w:val="en-GB"/>
        </w:rPr>
        <w:t xml:space="preserve"> how the American universities </w:t>
      </w:r>
      <w:r w:rsidR="00F91FFC" w:rsidRPr="00237956">
        <w:rPr>
          <w:rFonts w:ascii="Times New Roman" w:hAnsi="Times New Roman" w:cs="Times New Roman"/>
          <w:szCs w:val="24"/>
          <w:lang w:val="en-GB"/>
        </w:rPr>
        <w:t xml:space="preserve">are </w:t>
      </w:r>
      <w:r w:rsidR="003D211B" w:rsidRPr="00237956">
        <w:rPr>
          <w:rFonts w:ascii="Times New Roman" w:hAnsi="Times New Roman" w:cs="Times New Roman"/>
          <w:szCs w:val="24"/>
          <w:lang w:val="en-GB"/>
        </w:rPr>
        <w:t xml:space="preserve">more </w:t>
      </w:r>
      <w:r w:rsidR="00F91FFC" w:rsidRPr="00237956">
        <w:rPr>
          <w:rFonts w:ascii="Times New Roman" w:hAnsi="Times New Roman" w:cs="Times New Roman"/>
          <w:szCs w:val="24"/>
          <w:lang w:val="en-GB"/>
        </w:rPr>
        <w:t>able</w:t>
      </w:r>
      <w:r w:rsidR="00A033ED" w:rsidRPr="00237956">
        <w:rPr>
          <w:rFonts w:ascii="Times New Roman" w:hAnsi="Times New Roman" w:cs="Times New Roman"/>
          <w:szCs w:val="24"/>
          <w:lang w:val="en-GB"/>
        </w:rPr>
        <w:t xml:space="preserve"> to trigger a virtuous </w:t>
      </w:r>
      <w:r w:rsidR="00E7121A" w:rsidRPr="00237956">
        <w:rPr>
          <w:rFonts w:ascii="Times New Roman" w:hAnsi="Times New Roman" w:cs="Times New Roman"/>
          <w:szCs w:val="24"/>
          <w:lang w:val="en-GB"/>
        </w:rPr>
        <w:t xml:space="preserve">cycle in the relations with their students, since when </w:t>
      </w:r>
      <w:r w:rsidR="00EF6027" w:rsidRPr="00237956">
        <w:rPr>
          <w:rFonts w:ascii="Times New Roman" w:hAnsi="Times New Roman" w:cs="Times New Roman"/>
          <w:szCs w:val="24"/>
          <w:lang w:val="en-GB"/>
        </w:rPr>
        <w:t>students</w:t>
      </w:r>
      <w:r w:rsidR="00E7121A" w:rsidRPr="00237956">
        <w:rPr>
          <w:rFonts w:ascii="Times New Roman" w:hAnsi="Times New Roman" w:cs="Times New Roman"/>
          <w:szCs w:val="24"/>
          <w:lang w:val="en-GB"/>
        </w:rPr>
        <w:t xml:space="preserve"> enter the American HE</w:t>
      </w:r>
      <w:r w:rsidR="00EF6027" w:rsidRPr="00237956">
        <w:rPr>
          <w:rFonts w:ascii="Times New Roman" w:hAnsi="Times New Roman" w:cs="Times New Roman"/>
          <w:szCs w:val="24"/>
          <w:lang w:val="en-GB"/>
        </w:rPr>
        <w:t>Is</w:t>
      </w:r>
      <w:r w:rsidR="003B0CD2" w:rsidRPr="00237956">
        <w:rPr>
          <w:rFonts w:ascii="Times New Roman" w:hAnsi="Times New Roman" w:cs="Times New Roman"/>
          <w:szCs w:val="24"/>
          <w:lang w:val="en-GB"/>
        </w:rPr>
        <w:t xml:space="preserve">, they </w:t>
      </w:r>
      <w:r w:rsidR="00FB0BA3" w:rsidRPr="00237956">
        <w:rPr>
          <w:rFonts w:ascii="Times New Roman" w:hAnsi="Times New Roman" w:cs="Times New Roman"/>
          <w:szCs w:val="24"/>
          <w:lang w:val="en-GB"/>
        </w:rPr>
        <w:t>become</w:t>
      </w:r>
      <w:r w:rsidR="003B0CD2" w:rsidRPr="00237956">
        <w:rPr>
          <w:rFonts w:ascii="Times New Roman" w:hAnsi="Times New Roman" w:cs="Times New Roman"/>
          <w:szCs w:val="24"/>
          <w:lang w:val="en-GB"/>
        </w:rPr>
        <w:t xml:space="preserve"> involved </w:t>
      </w:r>
      <w:r w:rsidR="00677175" w:rsidRPr="00237956">
        <w:rPr>
          <w:rFonts w:ascii="Times New Roman" w:hAnsi="Times New Roman" w:cs="Times New Roman"/>
          <w:szCs w:val="24"/>
          <w:lang w:val="en-GB"/>
        </w:rPr>
        <w:t xml:space="preserve">in </w:t>
      </w:r>
      <w:r w:rsidR="003B0CD2" w:rsidRPr="00237956">
        <w:rPr>
          <w:rFonts w:ascii="Times New Roman" w:hAnsi="Times New Roman" w:cs="Times New Roman"/>
          <w:szCs w:val="24"/>
          <w:lang w:val="en-GB"/>
        </w:rPr>
        <w:t>the university’s life to the point of</w:t>
      </w:r>
      <w:r w:rsidR="003B0CD2" w:rsidRPr="00771F08">
        <w:rPr>
          <w:rFonts w:ascii="Times New Roman" w:hAnsi="Times New Roman" w:cs="Times New Roman"/>
          <w:szCs w:val="24"/>
          <w:lang w:val="en-GB"/>
        </w:rPr>
        <w:t xml:space="preserve"> transforming this engagement status into trust and then into support and affective commitment, which in turn </w:t>
      </w:r>
      <w:r w:rsidR="00677175" w:rsidRPr="00771F08">
        <w:rPr>
          <w:rFonts w:ascii="Times New Roman" w:hAnsi="Times New Roman" w:cs="Times New Roman"/>
          <w:szCs w:val="24"/>
          <w:lang w:val="en-GB"/>
        </w:rPr>
        <w:t>leads to</w:t>
      </w:r>
      <w:r w:rsidR="00EF6027" w:rsidRPr="00771F08">
        <w:rPr>
          <w:rFonts w:ascii="Times New Roman" w:hAnsi="Times New Roman" w:cs="Times New Roman"/>
          <w:szCs w:val="24"/>
          <w:lang w:val="en-GB"/>
        </w:rPr>
        <w:t xml:space="preserve"> positively influencing</w:t>
      </w:r>
      <w:r w:rsidR="003B0CD2" w:rsidRPr="00771F08">
        <w:rPr>
          <w:rFonts w:ascii="Times New Roman" w:hAnsi="Times New Roman" w:cs="Times New Roman"/>
          <w:szCs w:val="24"/>
          <w:lang w:val="en-GB"/>
        </w:rPr>
        <w:t xml:space="preserve"> attitudes toward donation</w:t>
      </w:r>
      <w:r w:rsidR="0000404A" w:rsidRPr="00771F08">
        <w:rPr>
          <w:rFonts w:ascii="Times New Roman" w:hAnsi="Times New Roman" w:cs="Times New Roman"/>
          <w:szCs w:val="24"/>
          <w:lang w:val="en-GB"/>
        </w:rPr>
        <w:t>, once studies are over</w:t>
      </w:r>
      <w:r w:rsidR="003B0CD2" w:rsidRPr="00771F08">
        <w:rPr>
          <w:rFonts w:ascii="Times New Roman" w:hAnsi="Times New Roman" w:cs="Times New Roman"/>
          <w:szCs w:val="24"/>
          <w:lang w:val="en-GB"/>
        </w:rPr>
        <w:t>. In contrast,</w:t>
      </w:r>
      <w:r w:rsidR="00A033ED" w:rsidRPr="00771F08">
        <w:rPr>
          <w:rFonts w:ascii="Times New Roman" w:hAnsi="Times New Roman" w:cs="Times New Roman"/>
          <w:szCs w:val="24"/>
          <w:lang w:val="en-GB"/>
        </w:rPr>
        <w:t xml:space="preserve"> Italian universities appear to be</w:t>
      </w:r>
      <w:r w:rsidR="003B0CD2" w:rsidRPr="00771F08">
        <w:rPr>
          <w:rFonts w:ascii="Times New Roman" w:hAnsi="Times New Roman" w:cs="Times New Roman"/>
          <w:szCs w:val="24"/>
          <w:lang w:val="en-GB"/>
        </w:rPr>
        <w:t xml:space="preserve"> less</w:t>
      </w:r>
      <w:r w:rsidR="00A033ED" w:rsidRPr="00771F08">
        <w:rPr>
          <w:rFonts w:ascii="Times New Roman" w:hAnsi="Times New Roman" w:cs="Times New Roman"/>
          <w:szCs w:val="24"/>
          <w:lang w:val="en-GB"/>
        </w:rPr>
        <w:t xml:space="preserve"> able to activate this process, failing to transform their </w:t>
      </w:r>
      <w:r w:rsidR="003B0CD2" w:rsidRPr="00771F08">
        <w:rPr>
          <w:rFonts w:ascii="Times New Roman" w:hAnsi="Times New Roman" w:cs="Times New Roman"/>
          <w:szCs w:val="24"/>
          <w:lang w:val="en-GB"/>
        </w:rPr>
        <w:t>alumni commitment into</w:t>
      </w:r>
      <w:r w:rsidR="00A033ED" w:rsidRPr="00771F08">
        <w:rPr>
          <w:rFonts w:ascii="Times New Roman" w:hAnsi="Times New Roman" w:cs="Times New Roman"/>
          <w:szCs w:val="24"/>
          <w:lang w:val="en-GB"/>
        </w:rPr>
        <w:t xml:space="preserve"> </w:t>
      </w:r>
      <w:r w:rsidR="003B0CD2" w:rsidRPr="00771F08">
        <w:rPr>
          <w:rFonts w:ascii="Times New Roman" w:hAnsi="Times New Roman" w:cs="Times New Roman"/>
          <w:szCs w:val="24"/>
          <w:lang w:val="en-GB"/>
        </w:rPr>
        <w:t xml:space="preserve">a more marked inclination to support </w:t>
      </w:r>
      <w:r w:rsidR="00FB0BA3" w:rsidRPr="00771F08">
        <w:rPr>
          <w:rFonts w:ascii="Times New Roman" w:hAnsi="Times New Roman" w:cs="Times New Roman"/>
          <w:szCs w:val="24"/>
          <w:lang w:val="en-GB"/>
        </w:rPr>
        <w:t>them</w:t>
      </w:r>
      <w:r w:rsidR="003B0CD2" w:rsidRPr="00771F08">
        <w:rPr>
          <w:rFonts w:ascii="Times New Roman" w:hAnsi="Times New Roman" w:cs="Times New Roman"/>
          <w:szCs w:val="24"/>
          <w:lang w:val="en-GB"/>
        </w:rPr>
        <w:t xml:space="preserve"> with donations. </w:t>
      </w:r>
      <w:r w:rsidR="00EF6027" w:rsidRPr="00771F08">
        <w:rPr>
          <w:rFonts w:ascii="Times New Roman" w:hAnsi="Times New Roman" w:cs="Times New Roman"/>
          <w:szCs w:val="24"/>
          <w:lang w:val="en-GB"/>
        </w:rPr>
        <w:t>In regards to</w:t>
      </w:r>
      <w:r w:rsidR="006A7264" w:rsidRPr="00771F08">
        <w:rPr>
          <w:rFonts w:ascii="Times New Roman" w:hAnsi="Times New Roman" w:cs="Times New Roman"/>
          <w:szCs w:val="24"/>
          <w:lang w:val="en-GB"/>
        </w:rPr>
        <w:t xml:space="preserve"> the insignificance of the relationship between commitment and attitude toward donations in the Italian context, this </w:t>
      </w:r>
      <w:r w:rsidR="00467746" w:rsidRPr="00771F08">
        <w:rPr>
          <w:rFonts w:ascii="Times New Roman" w:hAnsi="Times New Roman" w:cs="Times New Roman"/>
          <w:szCs w:val="24"/>
          <w:lang w:val="en-GB"/>
        </w:rPr>
        <w:t xml:space="preserve">result </w:t>
      </w:r>
      <w:r w:rsidR="006C0A15" w:rsidRPr="00771F08">
        <w:rPr>
          <w:rFonts w:ascii="Times New Roman" w:hAnsi="Times New Roman" w:cs="Times New Roman"/>
          <w:szCs w:val="24"/>
          <w:lang w:val="en-GB"/>
        </w:rPr>
        <w:t xml:space="preserve">may </w:t>
      </w:r>
      <w:r w:rsidR="004E02F8" w:rsidRPr="00771F08">
        <w:rPr>
          <w:rFonts w:ascii="Times New Roman" w:hAnsi="Times New Roman" w:cs="Times New Roman"/>
          <w:szCs w:val="24"/>
          <w:lang w:val="en-GB"/>
        </w:rPr>
        <w:t xml:space="preserve">appear </w:t>
      </w:r>
      <w:r w:rsidR="00232AE6" w:rsidRPr="00771F08">
        <w:rPr>
          <w:rFonts w:ascii="Times New Roman" w:hAnsi="Times New Roman" w:cs="Times New Roman"/>
          <w:szCs w:val="24"/>
          <w:lang w:val="en-GB"/>
        </w:rPr>
        <w:t xml:space="preserve">at first sight </w:t>
      </w:r>
      <w:r w:rsidR="004E02F8" w:rsidRPr="00771F08">
        <w:rPr>
          <w:rFonts w:ascii="Times New Roman" w:hAnsi="Times New Roman" w:cs="Times New Roman"/>
          <w:szCs w:val="24"/>
          <w:lang w:val="en-GB"/>
        </w:rPr>
        <w:t xml:space="preserve">to be </w:t>
      </w:r>
      <w:r w:rsidR="00857DDE" w:rsidRPr="00771F08">
        <w:rPr>
          <w:rFonts w:ascii="Times New Roman" w:hAnsi="Times New Roman" w:cs="Times New Roman"/>
          <w:szCs w:val="24"/>
          <w:lang w:val="en-GB"/>
        </w:rPr>
        <w:t>in contrast</w:t>
      </w:r>
      <w:r w:rsidR="004E02F8" w:rsidRPr="00771F08">
        <w:rPr>
          <w:rFonts w:ascii="Times New Roman" w:hAnsi="Times New Roman" w:cs="Times New Roman"/>
          <w:szCs w:val="24"/>
          <w:lang w:val="en-GB"/>
        </w:rPr>
        <w:t xml:space="preserve"> to what might be expected in light of </w:t>
      </w:r>
      <w:r w:rsidR="003E7144" w:rsidRPr="00771F08">
        <w:rPr>
          <w:rFonts w:ascii="Times New Roman" w:hAnsi="Times New Roman" w:cs="Times New Roman"/>
          <w:lang w:val="en-GB"/>
        </w:rPr>
        <w:t>Italy</w:t>
      </w:r>
      <w:r w:rsidR="004E02F8" w:rsidRPr="00771F08">
        <w:rPr>
          <w:rFonts w:ascii="Times New Roman" w:hAnsi="Times New Roman" w:cs="Times New Roman"/>
          <w:lang w:val="en-GB"/>
        </w:rPr>
        <w:t>’s</w:t>
      </w:r>
      <w:r w:rsidR="003E7144" w:rsidRPr="00771F08">
        <w:rPr>
          <w:rFonts w:ascii="Times New Roman" w:hAnsi="Times New Roman" w:cs="Times New Roman"/>
          <w:lang w:val="en-GB"/>
        </w:rPr>
        <w:t xml:space="preserve"> higher </w:t>
      </w:r>
      <w:r w:rsidR="004E02F8" w:rsidRPr="00771F08">
        <w:rPr>
          <w:rFonts w:ascii="Times New Roman" w:hAnsi="Times New Roman" w:cs="Times New Roman"/>
          <w:lang w:val="en-GB"/>
        </w:rPr>
        <w:t>scores for</w:t>
      </w:r>
      <w:r w:rsidR="003E7144" w:rsidRPr="00771F08">
        <w:rPr>
          <w:rFonts w:ascii="Times New Roman" w:hAnsi="Times New Roman" w:cs="Times New Roman"/>
          <w:lang w:val="en-GB"/>
        </w:rPr>
        <w:t xml:space="preserve"> uncertainty avoidance and long-term orientation</w:t>
      </w:r>
      <w:r w:rsidR="002B0C35" w:rsidRPr="00771F08">
        <w:rPr>
          <w:rFonts w:ascii="Times New Roman" w:hAnsi="Times New Roman" w:cs="Times New Roman"/>
          <w:lang w:val="en-GB"/>
        </w:rPr>
        <w:t xml:space="preserve"> (Hofstede</w:t>
      </w:r>
      <w:r w:rsidR="007444AD" w:rsidRPr="00771F08">
        <w:rPr>
          <w:rFonts w:ascii="Times New Roman" w:hAnsi="Times New Roman" w:cs="Times New Roman"/>
          <w:lang w:val="en-GB"/>
        </w:rPr>
        <w:t xml:space="preserve"> 2003)</w:t>
      </w:r>
      <w:r w:rsidR="0060438E" w:rsidRPr="00771F08">
        <w:rPr>
          <w:rFonts w:ascii="Times New Roman" w:hAnsi="Times New Roman" w:cs="Times New Roman"/>
          <w:lang w:val="en-GB"/>
        </w:rPr>
        <w:t xml:space="preserve">, which might have </w:t>
      </w:r>
      <w:r w:rsidR="00380DE7" w:rsidRPr="00771F08">
        <w:rPr>
          <w:rFonts w:ascii="Times New Roman" w:hAnsi="Times New Roman" w:cs="Times New Roman"/>
          <w:lang w:val="en-GB"/>
        </w:rPr>
        <w:t xml:space="preserve">been expected to lead to Italians investing </w:t>
      </w:r>
      <w:r w:rsidR="007444AD" w:rsidRPr="00771F08">
        <w:rPr>
          <w:rFonts w:ascii="Times New Roman" w:hAnsi="Times New Roman" w:cs="Times New Roman"/>
          <w:lang w:val="en-GB"/>
        </w:rPr>
        <w:t>in higher education for the future</w:t>
      </w:r>
      <w:r w:rsidR="004E02F8" w:rsidRPr="00771F08">
        <w:rPr>
          <w:rFonts w:ascii="Times New Roman" w:hAnsi="Times New Roman" w:cs="Times New Roman"/>
          <w:lang w:val="en-GB"/>
        </w:rPr>
        <w:t xml:space="preserve">. </w:t>
      </w:r>
      <w:r w:rsidR="002B1687" w:rsidRPr="00771F08">
        <w:rPr>
          <w:rFonts w:ascii="Times New Roman" w:hAnsi="Times New Roman" w:cs="Times New Roman"/>
          <w:lang w:val="en-GB"/>
        </w:rPr>
        <w:t>O</w:t>
      </w:r>
      <w:r w:rsidR="00615AF3" w:rsidRPr="00771F08">
        <w:rPr>
          <w:rFonts w:ascii="Times New Roman" w:hAnsi="Times New Roman" w:cs="Times New Roman"/>
          <w:lang w:val="en-GB"/>
        </w:rPr>
        <w:t xml:space="preserve">n the </w:t>
      </w:r>
      <w:r w:rsidR="002B1687" w:rsidRPr="00771F08">
        <w:rPr>
          <w:rFonts w:ascii="Times New Roman" w:hAnsi="Times New Roman" w:cs="Times New Roman"/>
          <w:lang w:val="en-GB"/>
        </w:rPr>
        <w:t>other hand</w:t>
      </w:r>
      <w:r w:rsidR="00615AF3" w:rsidRPr="00771F08">
        <w:rPr>
          <w:rFonts w:ascii="Times New Roman" w:hAnsi="Times New Roman" w:cs="Times New Roman"/>
          <w:lang w:val="en-GB"/>
        </w:rPr>
        <w:t>, w</w:t>
      </w:r>
      <w:r w:rsidR="000C0E62" w:rsidRPr="00771F08">
        <w:rPr>
          <w:rFonts w:ascii="Times New Roman" w:hAnsi="Times New Roman" w:cs="Times New Roman"/>
          <w:lang w:val="en-GB"/>
        </w:rPr>
        <w:t xml:space="preserve">e speculate that perhaps </w:t>
      </w:r>
      <w:r w:rsidR="008546B1" w:rsidRPr="00771F08">
        <w:rPr>
          <w:rFonts w:ascii="Times New Roman" w:hAnsi="Times New Roman" w:cs="Times New Roman"/>
          <w:lang w:val="en-GB"/>
        </w:rPr>
        <w:t xml:space="preserve">alumni spending on donations might </w:t>
      </w:r>
      <w:r w:rsidR="001979A5" w:rsidRPr="00771F08">
        <w:rPr>
          <w:rFonts w:ascii="Times New Roman" w:hAnsi="Times New Roman" w:cs="Times New Roman"/>
          <w:lang w:val="en-GB"/>
        </w:rPr>
        <w:t xml:space="preserve">be considered as indulgent, and thus in line with </w:t>
      </w:r>
      <w:r w:rsidR="00AE3577" w:rsidRPr="00771F08">
        <w:rPr>
          <w:rFonts w:ascii="Times New Roman" w:hAnsi="Times New Roman" w:cs="Times New Roman"/>
          <w:lang w:val="en-GB"/>
        </w:rPr>
        <w:t xml:space="preserve">the </w:t>
      </w:r>
      <w:r w:rsidR="001979A5" w:rsidRPr="00771F08">
        <w:rPr>
          <w:rFonts w:ascii="Times New Roman" w:hAnsi="Times New Roman" w:cs="Times New Roman"/>
          <w:lang w:val="en-GB"/>
        </w:rPr>
        <w:t xml:space="preserve">US’s </w:t>
      </w:r>
      <w:r w:rsidR="00A746F0" w:rsidRPr="00771F08">
        <w:rPr>
          <w:rFonts w:ascii="Times New Roman" w:hAnsi="Times New Roman" w:cs="Times New Roman"/>
          <w:lang w:val="en-GB"/>
        </w:rPr>
        <w:t>higher scores</w:t>
      </w:r>
      <w:r w:rsidR="001979A5" w:rsidRPr="00771F08">
        <w:rPr>
          <w:rFonts w:ascii="Times New Roman" w:hAnsi="Times New Roman" w:cs="Times New Roman"/>
          <w:lang w:val="en-GB"/>
        </w:rPr>
        <w:t xml:space="preserve"> on indulgence</w:t>
      </w:r>
      <w:r w:rsidR="001979A5" w:rsidRPr="00771F08" w:rsidDel="00C51B0D">
        <w:rPr>
          <w:rFonts w:ascii="Times New Roman" w:hAnsi="Times New Roman" w:cs="Times New Roman"/>
          <w:szCs w:val="24"/>
          <w:lang w:val="en-GB"/>
        </w:rPr>
        <w:t xml:space="preserve"> </w:t>
      </w:r>
      <w:r w:rsidR="002B0C35" w:rsidRPr="00771F08">
        <w:rPr>
          <w:rFonts w:ascii="Times New Roman" w:hAnsi="Times New Roman" w:cs="Times New Roman"/>
          <w:lang w:val="en-GB"/>
        </w:rPr>
        <w:t xml:space="preserve">(Hofstede </w:t>
      </w:r>
      <w:r w:rsidR="00A746F0" w:rsidRPr="00771F08">
        <w:rPr>
          <w:rFonts w:ascii="Times New Roman" w:hAnsi="Times New Roman" w:cs="Times New Roman"/>
          <w:lang w:val="en-GB"/>
        </w:rPr>
        <w:t xml:space="preserve">2003). </w:t>
      </w:r>
      <w:r w:rsidR="00773C3A" w:rsidRPr="00771F08">
        <w:rPr>
          <w:rFonts w:ascii="Times New Roman" w:hAnsi="Times New Roman" w:cs="Times New Roman"/>
          <w:lang w:val="en-GB"/>
        </w:rPr>
        <w:t xml:space="preserve">As </w:t>
      </w:r>
      <w:r w:rsidR="002517FB" w:rsidRPr="00771F08">
        <w:rPr>
          <w:rFonts w:ascii="Times New Roman" w:hAnsi="Times New Roman" w:cs="Times New Roman"/>
          <w:lang w:val="en-GB"/>
        </w:rPr>
        <w:t xml:space="preserve">noted </w:t>
      </w:r>
      <w:r w:rsidR="00773C3A" w:rsidRPr="00771F08">
        <w:rPr>
          <w:rFonts w:ascii="Times New Roman" w:hAnsi="Times New Roman" w:cs="Times New Roman"/>
          <w:lang w:val="en-GB"/>
        </w:rPr>
        <w:t xml:space="preserve">earlier, </w:t>
      </w:r>
      <w:r w:rsidR="00773C3A" w:rsidRPr="00771F08">
        <w:rPr>
          <w:rFonts w:ascii="Times New Roman" w:hAnsi="Times New Roman" w:cs="Times New Roman"/>
          <w:szCs w:val="24"/>
          <w:lang w:val="en-GB"/>
        </w:rPr>
        <w:t xml:space="preserve">collecting data from more than one country was intended primarily to help confirm the stability of the model </w:t>
      </w:r>
      <w:r w:rsidR="00773C3A" w:rsidRPr="00771F08">
        <w:rPr>
          <w:rFonts w:ascii="Times New Roman" w:hAnsi="Times New Roman" w:cs="Times New Roman"/>
          <w:szCs w:val="24"/>
          <w:lang w:val="en-GB"/>
        </w:rPr>
        <w:fldChar w:fldCharType="begin" w:fldLock="1"/>
      </w:r>
      <w:r w:rsidR="00773C3A" w:rsidRPr="00771F08">
        <w:rPr>
          <w:rFonts w:ascii="Times New Roman" w:hAnsi="Times New Roman" w:cs="Times New Roman"/>
          <w:szCs w:val="24"/>
          <w:lang w:val="en-GB"/>
        </w:rPr>
        <w:instrText>ADDIN CSL_CITATION { "citationItems" : [ { "id" : "ITEM-1", "itemData" : { "DOI" : "10.1108/02651331011088245", "ISSN" : "0265-1335", "abstract" : "Purpose \u2013 The paper seeks to provide guidance for those who have data from multiple countries and are considering writing a comparative or cross\u2010cultural/national research paper.Design/methodology/approach \u2013 The approach taken is an essay format.Findings \u2013 International comparative marketing research studies are often rejected from the International Marketing Review because authors develop theory for which they have inappropriate data.Research limitations/implications \u2013 Research models need to be commensurate with the data available. Models that claim to assess how nation\u2010level variables of interest differentially drive beliefs, attitudes, and behaviors across countries, and yet only test the models using samples from two or three countries are not appropriate. Appropriate solutions for researchers seeking to undertake international comparative research are suggested.Originality/value \u2013 The paper provides researchers with insights into successful strategies for publishing international comparative research.", "author" : [ { "dropping-particle" : "", "family" : "Cadogan", "given" : "John", "non-dropping-particle" : "", "parse-names" : false, "suffix" : "" } ], "container-title" : "International Marketing Review", "id" : "ITEM-1", "issue" : "6", "issued" : { "date-parts" : [ [ "2010", "11", "2" ] ] }, "page" : "601-605", "publisher" : "Emerald Group Publishing Limited", "title" : "Comparative, cross\u2010cultural, and cross\u2010national research", "type" : "article-journal", "volume" : "27" }, "uris" : [ "http://www.mendeley.com/documents/?uuid=75441ca0-1acb-36e3-bf68-42c83d69d2b4" ] } ], "mendeley" : { "formattedCitation" : "(Cadogan, 2010)", "plainTextFormattedCitation" : "(Cadogan, 2010)", "previouslyFormattedCitation" : "(Cadogan, 2010)" }, "properties" : { "noteIndex" : 0 }, "schema" : "https://github.com/citation-style-language/schema/raw/master/csl-citation.json" }</w:instrText>
      </w:r>
      <w:r w:rsidR="00773C3A" w:rsidRPr="00771F08">
        <w:rPr>
          <w:rFonts w:ascii="Times New Roman" w:hAnsi="Times New Roman" w:cs="Times New Roman"/>
          <w:szCs w:val="24"/>
          <w:lang w:val="en-GB"/>
        </w:rPr>
        <w:fldChar w:fldCharType="separate"/>
      </w:r>
      <w:r w:rsidR="00773C3A" w:rsidRPr="00771F08">
        <w:rPr>
          <w:rFonts w:ascii="Times New Roman" w:hAnsi="Times New Roman" w:cs="Times New Roman"/>
          <w:szCs w:val="24"/>
          <w:lang w:val="en-GB"/>
        </w:rPr>
        <w:t>(Cadogan 2010)</w:t>
      </w:r>
      <w:r w:rsidR="00773C3A" w:rsidRPr="00771F08">
        <w:rPr>
          <w:rFonts w:ascii="Times New Roman" w:hAnsi="Times New Roman" w:cs="Times New Roman"/>
          <w:szCs w:val="24"/>
          <w:lang w:val="en-GB"/>
        </w:rPr>
        <w:fldChar w:fldCharType="end"/>
      </w:r>
      <w:r w:rsidR="00773C3A" w:rsidRPr="00771F08">
        <w:rPr>
          <w:rFonts w:ascii="Times New Roman" w:hAnsi="Times New Roman" w:cs="Times New Roman"/>
          <w:szCs w:val="24"/>
          <w:lang w:val="en-GB"/>
        </w:rPr>
        <w:t xml:space="preserve">. In this respect, </w:t>
      </w:r>
      <w:r w:rsidR="00773C3A" w:rsidRPr="00771F08">
        <w:rPr>
          <w:rFonts w:ascii="Times New Roman" w:hAnsi="Times New Roman" w:cs="Times New Roman"/>
          <w:lang w:val="en-GB"/>
        </w:rPr>
        <w:t xml:space="preserve">it appears that Italy and the US have similar models of engagement through trust to commitment and also in </w:t>
      </w:r>
      <w:r w:rsidR="00287CC0" w:rsidRPr="00771F08">
        <w:rPr>
          <w:rFonts w:ascii="Times New Roman" w:hAnsi="Times New Roman" w:cs="Times New Roman"/>
          <w:lang w:val="en-GB"/>
        </w:rPr>
        <w:t>the</w:t>
      </w:r>
      <w:r w:rsidR="00773C3A" w:rsidRPr="00771F08">
        <w:rPr>
          <w:rFonts w:ascii="Times New Roman" w:hAnsi="Times New Roman" w:cs="Times New Roman"/>
          <w:lang w:val="en-GB"/>
        </w:rPr>
        <w:t xml:space="preserve"> direct and indirect influence of trust on attitude towards donations. Nonetheless, there are differences in the</w:t>
      </w:r>
      <w:r w:rsidR="002362EB" w:rsidRPr="00771F08">
        <w:rPr>
          <w:rFonts w:ascii="Times New Roman" w:hAnsi="Times New Roman" w:cs="Times New Roman"/>
          <w:lang w:val="en-GB"/>
        </w:rPr>
        <w:t xml:space="preserve"> "support" arm of the model, </w:t>
      </w:r>
      <w:r w:rsidR="00773C3A" w:rsidRPr="00771F08">
        <w:rPr>
          <w:rFonts w:ascii="Times New Roman" w:hAnsi="Times New Roman" w:cs="Times New Roman"/>
          <w:lang w:val="en-GB"/>
        </w:rPr>
        <w:t xml:space="preserve">particularly </w:t>
      </w:r>
      <w:r w:rsidR="002362EB" w:rsidRPr="00771F08">
        <w:rPr>
          <w:rFonts w:ascii="Times New Roman" w:hAnsi="Times New Roman" w:cs="Times New Roman"/>
          <w:lang w:val="en-GB"/>
        </w:rPr>
        <w:t>in turning commitment into donations</w:t>
      </w:r>
      <w:r w:rsidR="002517FB" w:rsidRPr="00771F08">
        <w:rPr>
          <w:rFonts w:ascii="Times New Roman" w:hAnsi="Times New Roman" w:cs="Times New Roman"/>
          <w:lang w:val="en-GB"/>
        </w:rPr>
        <w:t>,</w:t>
      </w:r>
      <w:r w:rsidR="002362EB" w:rsidRPr="00771F08">
        <w:rPr>
          <w:rFonts w:ascii="Times New Roman" w:hAnsi="Times New Roman" w:cs="Times New Roman"/>
          <w:lang w:val="en-GB"/>
        </w:rPr>
        <w:t xml:space="preserve"> </w:t>
      </w:r>
      <w:r w:rsidR="002517FB" w:rsidRPr="00771F08">
        <w:rPr>
          <w:rFonts w:ascii="Times New Roman" w:hAnsi="Times New Roman" w:cs="Times New Roman"/>
          <w:lang w:val="en-GB"/>
        </w:rPr>
        <w:t xml:space="preserve">which </w:t>
      </w:r>
      <w:r w:rsidR="00773C3A" w:rsidRPr="00771F08">
        <w:rPr>
          <w:rFonts w:ascii="Times New Roman" w:hAnsi="Times New Roman" w:cs="Times New Roman"/>
          <w:lang w:val="en-GB"/>
        </w:rPr>
        <w:t>may</w:t>
      </w:r>
      <w:r w:rsidR="002362EB" w:rsidRPr="00771F08">
        <w:rPr>
          <w:rFonts w:ascii="Times New Roman" w:hAnsi="Times New Roman" w:cs="Times New Roman"/>
          <w:lang w:val="en-GB"/>
        </w:rPr>
        <w:t xml:space="preserve"> be </w:t>
      </w:r>
      <w:r w:rsidR="00773C3A" w:rsidRPr="00771F08">
        <w:rPr>
          <w:rFonts w:ascii="Times New Roman" w:hAnsi="Times New Roman" w:cs="Times New Roman"/>
          <w:lang w:val="en-GB"/>
        </w:rPr>
        <w:t>down to</w:t>
      </w:r>
      <w:r w:rsidR="002362EB" w:rsidRPr="00771F08">
        <w:rPr>
          <w:rFonts w:ascii="Times New Roman" w:hAnsi="Times New Roman" w:cs="Times New Roman"/>
          <w:lang w:val="en-GB"/>
        </w:rPr>
        <w:t xml:space="preserve"> cultural difference</w:t>
      </w:r>
      <w:r w:rsidR="00773C3A" w:rsidRPr="00771F08">
        <w:rPr>
          <w:rFonts w:ascii="Times New Roman" w:hAnsi="Times New Roman" w:cs="Times New Roman"/>
          <w:lang w:val="en-GB"/>
        </w:rPr>
        <w:t>s</w:t>
      </w:r>
      <w:r w:rsidR="005B66E5" w:rsidRPr="00771F08">
        <w:rPr>
          <w:rFonts w:ascii="Times New Roman" w:hAnsi="Times New Roman" w:cs="Times New Roman"/>
          <w:lang w:val="en-GB"/>
        </w:rPr>
        <w:t xml:space="preserve"> and possibly due to the fact that Italians may consider higher education as a long-term investment</w:t>
      </w:r>
      <w:r w:rsidR="002517FB" w:rsidRPr="00771F08">
        <w:rPr>
          <w:rFonts w:ascii="Times New Roman" w:hAnsi="Times New Roman" w:cs="Times New Roman"/>
          <w:lang w:val="en-GB"/>
        </w:rPr>
        <w:t>,</w:t>
      </w:r>
      <w:r w:rsidR="005B66E5" w:rsidRPr="00771F08">
        <w:rPr>
          <w:rFonts w:ascii="Times New Roman" w:hAnsi="Times New Roman" w:cs="Times New Roman"/>
          <w:lang w:val="en-GB"/>
        </w:rPr>
        <w:t xml:space="preserve"> which is not the case for the Americans</w:t>
      </w:r>
      <w:r w:rsidR="00287CC0" w:rsidRPr="00771F08">
        <w:rPr>
          <w:rFonts w:ascii="Times New Roman" w:hAnsi="Times New Roman" w:cs="Times New Roman"/>
          <w:lang w:val="en-GB"/>
        </w:rPr>
        <w:t>.</w:t>
      </w:r>
      <w:r w:rsidR="002362EB" w:rsidRPr="00771F08">
        <w:rPr>
          <w:rFonts w:ascii="Times New Roman" w:hAnsi="Times New Roman" w:cs="Times New Roman"/>
          <w:lang w:val="en-GB"/>
        </w:rPr>
        <w:t xml:space="preserve"> </w:t>
      </w:r>
      <w:r w:rsidR="00287CC0" w:rsidRPr="00771F08">
        <w:rPr>
          <w:rFonts w:ascii="Times New Roman" w:hAnsi="Times New Roman" w:cs="Times New Roman"/>
          <w:lang w:val="en-GB"/>
        </w:rPr>
        <w:t>The influence of differences in sampling cannot be eliminated but gender and age are non-significant as covariates.</w:t>
      </w:r>
    </w:p>
    <w:p w14:paraId="23B55339" w14:textId="77777777" w:rsidR="005B66E5" w:rsidRPr="00771F08" w:rsidRDefault="005B66E5" w:rsidP="00237956">
      <w:pPr>
        <w:autoSpaceDE w:val="0"/>
        <w:autoSpaceDN w:val="0"/>
        <w:adjustRightInd w:val="0"/>
        <w:spacing w:after="0" w:line="240" w:lineRule="auto"/>
        <w:ind w:left="567" w:right="1133"/>
        <w:rPr>
          <w:rFonts w:ascii="Times New Roman" w:hAnsi="Times New Roman" w:cs="Times New Roman"/>
          <w:lang w:val="en-GB"/>
        </w:rPr>
      </w:pPr>
    </w:p>
    <w:p w14:paraId="4213FFF8" w14:textId="6D87252A" w:rsidR="005C7714" w:rsidRPr="00771F08" w:rsidRDefault="00953E60" w:rsidP="00237956">
      <w:pPr>
        <w:autoSpaceDE w:val="0"/>
        <w:autoSpaceDN w:val="0"/>
        <w:adjustRightInd w:val="0"/>
        <w:spacing w:after="0" w:line="240" w:lineRule="auto"/>
        <w:ind w:left="567" w:right="1133"/>
        <w:rPr>
          <w:rFonts w:ascii="Times New Roman" w:hAnsi="Times New Roman" w:cs="Times New Roman"/>
          <w:i/>
          <w:szCs w:val="24"/>
          <w:lang w:val="en-GB"/>
        </w:rPr>
      </w:pPr>
      <w:r w:rsidRPr="00771F08">
        <w:rPr>
          <w:rFonts w:ascii="Times New Roman" w:hAnsi="Times New Roman" w:cs="Times New Roman"/>
          <w:i/>
          <w:szCs w:val="24"/>
          <w:lang w:val="en-GB"/>
        </w:rPr>
        <w:t>5</w:t>
      </w:r>
      <w:r w:rsidR="0050434F" w:rsidRPr="00771F08">
        <w:rPr>
          <w:rFonts w:ascii="Times New Roman" w:hAnsi="Times New Roman" w:cs="Times New Roman"/>
          <w:i/>
          <w:szCs w:val="24"/>
          <w:lang w:val="en-GB"/>
        </w:rPr>
        <w:t>.2 Theoretical and managerial implications</w:t>
      </w:r>
    </w:p>
    <w:p w14:paraId="6D88CA41" w14:textId="5D7F6906" w:rsidR="00AD1C2F" w:rsidRPr="00771F08" w:rsidRDefault="00DE5EB5" w:rsidP="00237956">
      <w:pPr>
        <w:autoSpaceDE w:val="0"/>
        <w:autoSpaceDN w:val="0"/>
        <w:adjustRightInd w:val="0"/>
        <w:spacing w:after="0" w:line="240" w:lineRule="auto"/>
        <w:ind w:left="567" w:right="1133"/>
        <w:rPr>
          <w:rFonts w:ascii="Times New Roman" w:hAnsi="Times New Roman" w:cs="Times New Roman"/>
          <w:lang w:val="en-GB"/>
        </w:rPr>
      </w:pPr>
      <w:r w:rsidRPr="00771F08">
        <w:rPr>
          <w:rFonts w:ascii="Times New Roman" w:hAnsi="Times New Roman" w:cs="Times New Roman"/>
          <w:szCs w:val="24"/>
          <w:lang w:val="en-GB"/>
        </w:rPr>
        <w:t>Theoretically</w:t>
      </w:r>
      <w:r w:rsidR="005C7714" w:rsidRPr="00771F08">
        <w:rPr>
          <w:rFonts w:ascii="Times New Roman" w:hAnsi="Times New Roman" w:cs="Times New Roman"/>
          <w:szCs w:val="24"/>
          <w:lang w:val="en-GB"/>
        </w:rPr>
        <w:t xml:space="preserve">, </w:t>
      </w:r>
      <w:r w:rsidR="00F84FEE" w:rsidRPr="00771F08">
        <w:rPr>
          <w:rFonts w:ascii="Times New Roman" w:hAnsi="Times New Roman" w:cs="Times New Roman"/>
          <w:szCs w:val="24"/>
          <w:lang w:val="en-GB"/>
        </w:rPr>
        <w:t>the study</w:t>
      </w:r>
      <w:r w:rsidR="005C7714" w:rsidRPr="00771F08">
        <w:rPr>
          <w:rFonts w:ascii="Times New Roman" w:hAnsi="Times New Roman" w:cs="Times New Roman"/>
          <w:szCs w:val="24"/>
          <w:lang w:val="en-GB"/>
        </w:rPr>
        <w:t xml:space="preserve"> aimed to address a gap concerning the </w:t>
      </w:r>
      <w:r w:rsidR="00F84FEE" w:rsidRPr="00771F08">
        <w:rPr>
          <w:rFonts w:ascii="Times New Roman" w:hAnsi="Times New Roman" w:cs="Times New Roman"/>
          <w:szCs w:val="24"/>
          <w:lang w:val="en-GB"/>
        </w:rPr>
        <w:t xml:space="preserve">role of trust </w:t>
      </w:r>
      <w:r w:rsidR="000D36AE" w:rsidRPr="00771F08">
        <w:rPr>
          <w:rFonts w:ascii="Times New Roman" w:hAnsi="Times New Roman" w:cs="Times New Roman"/>
          <w:szCs w:val="24"/>
          <w:lang w:val="en-GB"/>
        </w:rPr>
        <w:t>in the HE context</w:t>
      </w:r>
      <w:r w:rsidR="00F84FEE" w:rsidRPr="00771F08">
        <w:rPr>
          <w:rFonts w:ascii="Times New Roman" w:hAnsi="Times New Roman" w:cs="Times New Roman"/>
          <w:szCs w:val="24"/>
          <w:lang w:val="en-GB"/>
        </w:rPr>
        <w:t xml:space="preserve"> (Yousaf</w:t>
      </w:r>
      <w:r w:rsidRPr="00771F08">
        <w:rPr>
          <w:rFonts w:ascii="Times New Roman" w:hAnsi="Times New Roman" w:cs="Times New Roman"/>
          <w:szCs w:val="24"/>
          <w:lang w:val="en-GB"/>
        </w:rPr>
        <w:t xml:space="preserve"> et al. </w:t>
      </w:r>
      <w:r w:rsidR="00B50C90" w:rsidRPr="00771F08">
        <w:rPr>
          <w:rFonts w:ascii="Times New Roman" w:hAnsi="Times New Roman" w:cs="Times New Roman"/>
          <w:szCs w:val="24"/>
          <w:lang w:val="en-GB"/>
        </w:rPr>
        <w:t>2018</w:t>
      </w:r>
      <w:r w:rsidRPr="00771F08">
        <w:rPr>
          <w:rFonts w:ascii="Times New Roman" w:hAnsi="Times New Roman" w:cs="Times New Roman"/>
          <w:szCs w:val="24"/>
          <w:lang w:val="en-GB"/>
        </w:rPr>
        <w:t xml:space="preserve">; Carvalho and De Oliveira </w:t>
      </w:r>
      <w:proofErr w:type="spellStart"/>
      <w:r w:rsidRPr="00771F08">
        <w:rPr>
          <w:rFonts w:ascii="Times New Roman" w:hAnsi="Times New Roman" w:cs="Times New Roman"/>
          <w:szCs w:val="24"/>
          <w:lang w:val="en-GB"/>
        </w:rPr>
        <w:t>Mota</w:t>
      </w:r>
      <w:proofErr w:type="spellEnd"/>
      <w:r w:rsidRPr="00771F08">
        <w:rPr>
          <w:rFonts w:ascii="Times New Roman" w:hAnsi="Times New Roman" w:cs="Times New Roman"/>
          <w:szCs w:val="24"/>
          <w:lang w:val="en-GB"/>
        </w:rPr>
        <w:t xml:space="preserve"> </w:t>
      </w:r>
      <w:r w:rsidR="00F84FEE" w:rsidRPr="00771F08">
        <w:rPr>
          <w:rFonts w:ascii="Times New Roman" w:hAnsi="Times New Roman" w:cs="Times New Roman"/>
          <w:szCs w:val="24"/>
          <w:lang w:val="en-GB"/>
        </w:rPr>
        <w:t xml:space="preserve">2010). </w:t>
      </w:r>
      <w:r w:rsidR="000D36AE" w:rsidRPr="00771F08">
        <w:rPr>
          <w:rFonts w:ascii="Times New Roman" w:hAnsi="Times New Roman" w:cs="Times New Roman"/>
          <w:szCs w:val="24"/>
          <w:lang w:val="en-GB"/>
        </w:rPr>
        <w:t xml:space="preserve">In particular, the relationship between engagement and trust has been </w:t>
      </w:r>
      <w:r w:rsidR="00727F74" w:rsidRPr="00771F08">
        <w:rPr>
          <w:rFonts w:ascii="Times New Roman" w:hAnsi="Times New Roman" w:cs="Times New Roman"/>
          <w:szCs w:val="24"/>
          <w:lang w:val="en-GB"/>
        </w:rPr>
        <w:t>analy</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ed</w:t>
      </w:r>
      <w:r w:rsidR="000D36AE" w:rsidRPr="00771F08">
        <w:rPr>
          <w:rFonts w:ascii="Times New Roman" w:hAnsi="Times New Roman" w:cs="Times New Roman"/>
          <w:szCs w:val="24"/>
          <w:lang w:val="en-GB"/>
        </w:rPr>
        <w:t>, thus enrich</w:t>
      </w:r>
      <w:r w:rsidR="006310B9" w:rsidRPr="00771F08">
        <w:rPr>
          <w:rFonts w:ascii="Times New Roman" w:hAnsi="Times New Roman" w:cs="Times New Roman"/>
          <w:szCs w:val="24"/>
          <w:lang w:val="en-GB"/>
        </w:rPr>
        <w:t>ing</w:t>
      </w:r>
      <w:r w:rsidR="000D36AE" w:rsidRPr="00771F08">
        <w:rPr>
          <w:rFonts w:ascii="Times New Roman" w:hAnsi="Times New Roman" w:cs="Times New Roman"/>
          <w:szCs w:val="24"/>
          <w:lang w:val="en-GB"/>
        </w:rPr>
        <w:t xml:space="preserve"> the literature focused on the analysis of </w:t>
      </w:r>
      <w:r w:rsidR="005D7DF3" w:rsidRPr="00771F08">
        <w:rPr>
          <w:rFonts w:ascii="Times New Roman" w:hAnsi="Times New Roman" w:cs="Times New Roman"/>
          <w:szCs w:val="24"/>
          <w:lang w:val="en-GB"/>
        </w:rPr>
        <w:t>the antecedents</w:t>
      </w:r>
      <w:r w:rsidR="000D36AE" w:rsidRPr="00771F08">
        <w:rPr>
          <w:rFonts w:ascii="Times New Roman" w:hAnsi="Times New Roman" w:cs="Times New Roman"/>
          <w:lang w:val="en-GB"/>
        </w:rPr>
        <w:t xml:space="preserve"> </w:t>
      </w:r>
      <w:r w:rsidR="006310B9" w:rsidRPr="00771F08">
        <w:rPr>
          <w:rFonts w:ascii="Times New Roman" w:hAnsi="Times New Roman" w:cs="Times New Roman"/>
          <w:lang w:val="en-GB"/>
        </w:rPr>
        <w:t xml:space="preserve">of trust </w:t>
      </w:r>
      <w:r w:rsidR="007E6884" w:rsidRPr="00771F08">
        <w:rPr>
          <w:rFonts w:ascii="Times New Roman" w:hAnsi="Times New Roman" w:cs="Times New Roman"/>
          <w:lang w:val="en-GB"/>
        </w:rPr>
        <w:t>(</w:t>
      </w:r>
      <w:r w:rsidR="00EA4961" w:rsidRPr="00771F08">
        <w:rPr>
          <w:rFonts w:ascii="Times New Roman" w:hAnsi="Times New Roman" w:cs="Times New Roman"/>
          <w:lang w:val="en-GB"/>
        </w:rPr>
        <w:t>Dennis et al</w:t>
      </w:r>
      <w:r w:rsidR="00AF4395" w:rsidRPr="00771F08">
        <w:rPr>
          <w:rFonts w:ascii="Times New Roman" w:hAnsi="Times New Roman" w:cs="Times New Roman"/>
          <w:lang w:val="en-GB"/>
        </w:rPr>
        <w:t xml:space="preserve"> </w:t>
      </w:r>
      <w:r w:rsidR="007E6884" w:rsidRPr="00771F08">
        <w:rPr>
          <w:rFonts w:ascii="Times New Roman" w:hAnsi="Times New Roman" w:cs="Times New Roman"/>
          <w:lang w:val="en-GB"/>
        </w:rPr>
        <w:t>2016; Jillapalli and Jillapalli</w:t>
      </w:r>
      <w:r w:rsidR="000D36AE" w:rsidRPr="00771F08">
        <w:rPr>
          <w:rFonts w:ascii="Times New Roman" w:hAnsi="Times New Roman" w:cs="Times New Roman"/>
          <w:lang w:val="en-GB"/>
        </w:rPr>
        <w:t xml:space="preserve"> 2014)</w:t>
      </w:r>
      <w:r w:rsidR="005D7DF3" w:rsidRPr="00771F08">
        <w:rPr>
          <w:rFonts w:ascii="Times New Roman" w:hAnsi="Times New Roman" w:cs="Times New Roman"/>
          <w:lang w:val="en-GB"/>
        </w:rPr>
        <w:t xml:space="preserve">. The </w:t>
      </w:r>
      <w:r w:rsidR="006E0FB7" w:rsidRPr="00771F08">
        <w:rPr>
          <w:rFonts w:ascii="Times New Roman" w:hAnsi="Times New Roman" w:cs="Times New Roman"/>
          <w:lang w:val="en-GB"/>
        </w:rPr>
        <w:t xml:space="preserve">study </w:t>
      </w:r>
      <w:r w:rsidR="005D7DF3" w:rsidRPr="00771F08">
        <w:rPr>
          <w:rFonts w:ascii="Times New Roman" w:hAnsi="Times New Roman" w:cs="Times New Roman"/>
          <w:lang w:val="en-GB"/>
        </w:rPr>
        <w:t>also investigate</w:t>
      </w:r>
      <w:r w:rsidR="006310B9" w:rsidRPr="00771F08">
        <w:rPr>
          <w:rFonts w:ascii="Times New Roman" w:hAnsi="Times New Roman" w:cs="Times New Roman"/>
          <w:lang w:val="en-GB"/>
        </w:rPr>
        <w:t>s</w:t>
      </w:r>
      <w:r w:rsidR="005D7DF3" w:rsidRPr="00771F08">
        <w:rPr>
          <w:rFonts w:ascii="Times New Roman" w:hAnsi="Times New Roman" w:cs="Times New Roman"/>
          <w:lang w:val="en-GB"/>
        </w:rPr>
        <w:t xml:space="preserve"> the connections between trust and </w:t>
      </w:r>
      <w:r w:rsidR="00566387" w:rsidRPr="00771F08">
        <w:rPr>
          <w:rFonts w:ascii="Times New Roman" w:hAnsi="Times New Roman" w:cs="Times New Roman"/>
          <w:lang w:val="en-GB"/>
        </w:rPr>
        <w:t xml:space="preserve">(i) </w:t>
      </w:r>
      <w:r w:rsidR="005D7DF3" w:rsidRPr="00771F08">
        <w:rPr>
          <w:rFonts w:ascii="Times New Roman" w:hAnsi="Times New Roman" w:cs="Times New Roman"/>
          <w:lang w:val="en-GB"/>
        </w:rPr>
        <w:t xml:space="preserve">support, </w:t>
      </w:r>
      <w:r w:rsidR="00566387" w:rsidRPr="00771F08">
        <w:rPr>
          <w:rFonts w:ascii="Times New Roman" w:hAnsi="Times New Roman" w:cs="Times New Roman"/>
          <w:lang w:val="en-GB"/>
        </w:rPr>
        <w:t xml:space="preserve">(ii) </w:t>
      </w:r>
      <w:r w:rsidR="005D7DF3" w:rsidRPr="00771F08">
        <w:rPr>
          <w:rFonts w:ascii="Times New Roman" w:hAnsi="Times New Roman" w:cs="Times New Roman"/>
          <w:lang w:val="en-GB"/>
        </w:rPr>
        <w:t xml:space="preserve">commitment, and </w:t>
      </w:r>
      <w:r w:rsidR="00566387" w:rsidRPr="00771F08">
        <w:rPr>
          <w:rFonts w:ascii="Times New Roman" w:hAnsi="Times New Roman" w:cs="Times New Roman"/>
          <w:lang w:val="en-GB"/>
        </w:rPr>
        <w:t xml:space="preserve">(iii) </w:t>
      </w:r>
      <w:r w:rsidR="005D7DF3" w:rsidRPr="00771F08">
        <w:rPr>
          <w:rFonts w:ascii="Times New Roman" w:hAnsi="Times New Roman" w:cs="Times New Roman"/>
          <w:lang w:val="en-GB"/>
        </w:rPr>
        <w:t>alumni’s attitude to donat</w:t>
      </w:r>
      <w:r w:rsidR="00EF6027" w:rsidRPr="00771F08">
        <w:rPr>
          <w:rFonts w:ascii="Times New Roman" w:hAnsi="Times New Roman" w:cs="Times New Roman"/>
          <w:lang w:val="en-GB"/>
        </w:rPr>
        <w:t>ing</w:t>
      </w:r>
      <w:r w:rsidR="005D7DF3" w:rsidRPr="00771F08">
        <w:rPr>
          <w:rFonts w:ascii="Times New Roman" w:hAnsi="Times New Roman" w:cs="Times New Roman"/>
          <w:lang w:val="en-GB"/>
        </w:rPr>
        <w:t xml:space="preserve">. </w:t>
      </w:r>
      <w:r w:rsidR="006310B9" w:rsidRPr="00771F08">
        <w:rPr>
          <w:rFonts w:ascii="Times New Roman" w:hAnsi="Times New Roman" w:cs="Times New Roman"/>
          <w:lang w:val="en-GB"/>
        </w:rPr>
        <w:t>C</w:t>
      </w:r>
      <w:r w:rsidR="005D7DF3" w:rsidRPr="00771F08">
        <w:rPr>
          <w:rFonts w:ascii="Times New Roman" w:hAnsi="Times New Roman" w:cs="Times New Roman"/>
          <w:lang w:val="en-GB"/>
        </w:rPr>
        <w:t>oncern</w:t>
      </w:r>
      <w:r w:rsidR="006310B9" w:rsidRPr="00771F08">
        <w:rPr>
          <w:rFonts w:ascii="Times New Roman" w:hAnsi="Times New Roman" w:cs="Times New Roman"/>
          <w:lang w:val="en-GB"/>
        </w:rPr>
        <w:t>ing</w:t>
      </w:r>
      <w:r w:rsidR="006E0FB7" w:rsidRPr="00771F08">
        <w:rPr>
          <w:rFonts w:ascii="Times New Roman" w:hAnsi="Times New Roman" w:cs="Times New Roman"/>
          <w:lang w:val="en-GB"/>
        </w:rPr>
        <w:t xml:space="preserve"> </w:t>
      </w:r>
      <w:r w:rsidR="005D7DF3" w:rsidRPr="00771F08">
        <w:rPr>
          <w:rFonts w:ascii="Times New Roman" w:hAnsi="Times New Roman" w:cs="Times New Roman"/>
          <w:lang w:val="en-GB"/>
        </w:rPr>
        <w:t>the first two relationships, the study corroborate</w:t>
      </w:r>
      <w:r w:rsidR="006E0FB7" w:rsidRPr="00771F08">
        <w:rPr>
          <w:rFonts w:ascii="Times New Roman" w:hAnsi="Times New Roman" w:cs="Times New Roman"/>
          <w:lang w:val="en-GB"/>
        </w:rPr>
        <w:t>s</w:t>
      </w:r>
      <w:r w:rsidR="005D7DF3" w:rsidRPr="00771F08">
        <w:rPr>
          <w:rFonts w:ascii="Times New Roman" w:hAnsi="Times New Roman" w:cs="Times New Roman"/>
          <w:lang w:val="en-GB"/>
        </w:rPr>
        <w:t xml:space="preserve"> the findings of previous studies (</w:t>
      </w:r>
      <w:r w:rsidR="00EA4961" w:rsidRPr="00771F08">
        <w:rPr>
          <w:rFonts w:ascii="Times New Roman" w:hAnsi="Times New Roman" w:cs="Times New Roman"/>
          <w:lang w:val="en-GB"/>
        </w:rPr>
        <w:t>Dennis et al</w:t>
      </w:r>
      <w:r w:rsidR="00AF4395" w:rsidRPr="00771F08">
        <w:rPr>
          <w:rFonts w:ascii="Times New Roman" w:hAnsi="Times New Roman" w:cs="Times New Roman"/>
          <w:lang w:val="en-GB"/>
        </w:rPr>
        <w:t xml:space="preserve"> </w:t>
      </w:r>
      <w:r w:rsidR="005D7DF3" w:rsidRPr="00771F08">
        <w:rPr>
          <w:rFonts w:ascii="Times New Roman" w:hAnsi="Times New Roman" w:cs="Times New Roman"/>
          <w:lang w:val="en-GB"/>
        </w:rPr>
        <w:t>2016; Gho</w:t>
      </w:r>
      <w:r w:rsidR="007E6884" w:rsidRPr="00771F08">
        <w:rPr>
          <w:rFonts w:ascii="Times New Roman" w:hAnsi="Times New Roman" w:cs="Times New Roman"/>
          <w:lang w:val="en-GB"/>
        </w:rPr>
        <w:t>sh et al. 2001; Jillapalli and Jillapalli</w:t>
      </w:r>
      <w:r w:rsidR="00D50807" w:rsidRPr="00771F08">
        <w:rPr>
          <w:rFonts w:ascii="Times New Roman" w:hAnsi="Times New Roman" w:cs="Times New Roman"/>
          <w:lang w:val="en-GB"/>
        </w:rPr>
        <w:t xml:space="preserve"> </w:t>
      </w:r>
      <w:r w:rsidR="005D7DF3" w:rsidRPr="00771F08">
        <w:rPr>
          <w:rFonts w:ascii="Times New Roman" w:hAnsi="Times New Roman" w:cs="Times New Roman"/>
          <w:lang w:val="en-GB"/>
        </w:rPr>
        <w:t>2014)</w:t>
      </w:r>
      <w:r w:rsidR="00D50807" w:rsidRPr="00771F08">
        <w:rPr>
          <w:rFonts w:ascii="Times New Roman" w:hAnsi="Times New Roman" w:cs="Times New Roman"/>
          <w:lang w:val="en-GB"/>
        </w:rPr>
        <w:t xml:space="preserve">, by identifying the influence of trust on both constructs. </w:t>
      </w:r>
      <w:r w:rsidR="006E0FB7" w:rsidRPr="00771F08">
        <w:rPr>
          <w:rFonts w:ascii="Times New Roman" w:hAnsi="Times New Roman" w:cs="Times New Roman"/>
          <w:lang w:val="en-GB"/>
        </w:rPr>
        <w:t xml:space="preserve">As regards </w:t>
      </w:r>
      <w:r w:rsidR="00566387" w:rsidRPr="00771F08">
        <w:rPr>
          <w:rFonts w:ascii="Times New Roman" w:hAnsi="Times New Roman" w:cs="Times New Roman"/>
          <w:lang w:val="en-GB"/>
        </w:rPr>
        <w:t>the relationship between trust and attitude to donat</w:t>
      </w:r>
      <w:r w:rsidR="006310B9" w:rsidRPr="00771F08">
        <w:rPr>
          <w:rFonts w:ascii="Times New Roman" w:hAnsi="Times New Roman" w:cs="Times New Roman"/>
          <w:lang w:val="en-GB"/>
        </w:rPr>
        <w:t>ing</w:t>
      </w:r>
      <w:r w:rsidR="00566387" w:rsidRPr="00771F08">
        <w:rPr>
          <w:rFonts w:ascii="Times New Roman" w:hAnsi="Times New Roman" w:cs="Times New Roman"/>
          <w:lang w:val="en-GB"/>
        </w:rPr>
        <w:t>, the present research underline</w:t>
      </w:r>
      <w:r w:rsidR="006310B9" w:rsidRPr="00771F08">
        <w:rPr>
          <w:rFonts w:ascii="Times New Roman" w:hAnsi="Times New Roman" w:cs="Times New Roman"/>
          <w:lang w:val="en-GB"/>
        </w:rPr>
        <w:t>s</w:t>
      </w:r>
      <w:r w:rsidR="00566387" w:rsidRPr="00771F08">
        <w:rPr>
          <w:rFonts w:ascii="Times New Roman" w:hAnsi="Times New Roman" w:cs="Times New Roman"/>
          <w:lang w:val="en-GB"/>
        </w:rPr>
        <w:t xml:space="preserve"> the significance of this tie in the HE context</w:t>
      </w:r>
      <w:r w:rsidR="00EF6027" w:rsidRPr="00771F08">
        <w:rPr>
          <w:rFonts w:ascii="Times New Roman" w:hAnsi="Times New Roman" w:cs="Times New Roman"/>
          <w:lang w:val="en-GB"/>
        </w:rPr>
        <w:t xml:space="preserve"> too</w:t>
      </w:r>
      <w:r w:rsidR="00566387" w:rsidRPr="00771F08">
        <w:rPr>
          <w:rFonts w:ascii="Times New Roman" w:hAnsi="Times New Roman" w:cs="Times New Roman"/>
          <w:lang w:val="en-GB"/>
        </w:rPr>
        <w:t xml:space="preserve">, thus enriching previous </w:t>
      </w:r>
      <w:r w:rsidR="007E02CE" w:rsidRPr="00771F08">
        <w:rPr>
          <w:rFonts w:ascii="Times New Roman" w:hAnsi="Times New Roman" w:cs="Times New Roman"/>
          <w:lang w:val="en-GB"/>
        </w:rPr>
        <w:t xml:space="preserve">findings which have </w:t>
      </w:r>
      <w:r w:rsidR="00727F74" w:rsidRPr="00771F08">
        <w:rPr>
          <w:rFonts w:ascii="Times New Roman" w:hAnsi="Times New Roman" w:cs="Times New Roman"/>
          <w:lang w:val="en-GB"/>
        </w:rPr>
        <w:t>analy</w:t>
      </w:r>
      <w:r w:rsidR="00771F08" w:rsidRPr="00771F08">
        <w:rPr>
          <w:rFonts w:ascii="Times New Roman" w:hAnsi="Times New Roman" w:cs="Times New Roman"/>
          <w:lang w:val="en-GB"/>
        </w:rPr>
        <w:t>s</w:t>
      </w:r>
      <w:r w:rsidR="00727F74" w:rsidRPr="00771F08">
        <w:rPr>
          <w:rFonts w:ascii="Times New Roman" w:hAnsi="Times New Roman" w:cs="Times New Roman"/>
          <w:lang w:val="en-GB"/>
        </w:rPr>
        <w:t>ed</w:t>
      </w:r>
      <w:r w:rsidR="007E02CE" w:rsidRPr="00771F08">
        <w:rPr>
          <w:rFonts w:ascii="Times New Roman" w:hAnsi="Times New Roman" w:cs="Times New Roman"/>
          <w:lang w:val="en-GB"/>
        </w:rPr>
        <w:t xml:space="preserve"> this relationship in different sectors, such as the charity and non-profit ones </w:t>
      </w:r>
      <w:r w:rsidR="00363C4F" w:rsidRPr="00771F08">
        <w:rPr>
          <w:rFonts w:ascii="Times New Roman" w:hAnsi="Times New Roman" w:cs="Times New Roman"/>
          <w:lang w:val="en-GB"/>
        </w:rPr>
        <w:t>(Melen</w:t>
      </w:r>
      <w:r w:rsidR="00F73DB3" w:rsidRPr="00771F08">
        <w:rPr>
          <w:rFonts w:ascii="Times New Roman" w:hAnsi="Times New Roman" w:cs="Times New Roman"/>
          <w:lang w:val="en-GB"/>
        </w:rPr>
        <w:t xml:space="preserve">dez 2001; </w:t>
      </w:r>
      <w:proofErr w:type="spellStart"/>
      <w:r w:rsidR="00F73DB3" w:rsidRPr="00771F08">
        <w:rPr>
          <w:rFonts w:ascii="Times New Roman" w:hAnsi="Times New Roman" w:cs="Times New Roman"/>
          <w:lang w:val="en-GB"/>
        </w:rPr>
        <w:t>Sargeant</w:t>
      </w:r>
      <w:proofErr w:type="spellEnd"/>
      <w:r w:rsidR="00F73DB3" w:rsidRPr="00771F08">
        <w:rPr>
          <w:rFonts w:ascii="Times New Roman" w:hAnsi="Times New Roman" w:cs="Times New Roman"/>
          <w:lang w:val="en-GB"/>
        </w:rPr>
        <w:t xml:space="preserve"> and</w:t>
      </w:r>
      <w:r w:rsidR="007E02CE" w:rsidRPr="00771F08">
        <w:rPr>
          <w:rFonts w:ascii="Times New Roman" w:hAnsi="Times New Roman" w:cs="Times New Roman"/>
          <w:lang w:val="en-GB"/>
        </w:rPr>
        <w:t xml:space="preserve"> Lee, 2004)</w:t>
      </w:r>
      <w:r w:rsidR="00566387" w:rsidRPr="00771F08">
        <w:rPr>
          <w:rFonts w:ascii="Times New Roman" w:hAnsi="Times New Roman" w:cs="Times New Roman"/>
          <w:lang w:val="en-GB"/>
        </w:rPr>
        <w:t xml:space="preserve">. </w:t>
      </w:r>
      <w:r w:rsidR="0024447D" w:rsidRPr="00771F08">
        <w:rPr>
          <w:rFonts w:ascii="Times New Roman" w:hAnsi="Times New Roman" w:cs="Times New Roman"/>
          <w:szCs w:val="24"/>
          <w:lang w:val="en-GB"/>
        </w:rPr>
        <w:lastRenderedPageBreak/>
        <w:t>Moreover, starting from the key role currently assumed by alumni contributions in the HE context</w:t>
      </w:r>
      <w:r w:rsidR="00B736D3" w:rsidRPr="00771F08">
        <w:rPr>
          <w:rFonts w:ascii="Times New Roman" w:hAnsi="Times New Roman" w:cs="Times New Roman"/>
          <w:lang w:val="en-GB"/>
        </w:rPr>
        <w:t xml:space="preserve"> (</w:t>
      </w:r>
      <w:r w:rsidR="00F73DB3" w:rsidRPr="00771F08">
        <w:rPr>
          <w:rFonts w:ascii="Times New Roman" w:hAnsi="Times New Roman" w:cs="Times New Roman"/>
          <w:lang w:val="en-GB"/>
        </w:rPr>
        <w:t>Durango-Cohen and Balasubramanian 2015</w:t>
      </w:r>
      <w:r w:rsidR="0024447D" w:rsidRPr="00771F08">
        <w:rPr>
          <w:rFonts w:ascii="Times New Roman" w:hAnsi="Times New Roman" w:cs="Times New Roman"/>
          <w:lang w:val="en-GB"/>
        </w:rPr>
        <w:t>), the paper identif</w:t>
      </w:r>
      <w:r w:rsidR="006310B9" w:rsidRPr="00771F08">
        <w:rPr>
          <w:rFonts w:ascii="Times New Roman" w:hAnsi="Times New Roman" w:cs="Times New Roman"/>
          <w:lang w:val="en-GB"/>
        </w:rPr>
        <w:t>ies</w:t>
      </w:r>
      <w:r w:rsidR="009170ED" w:rsidRPr="00771F08">
        <w:rPr>
          <w:rFonts w:ascii="Times New Roman" w:hAnsi="Times New Roman" w:cs="Times New Roman"/>
          <w:lang w:val="en-GB"/>
        </w:rPr>
        <w:t xml:space="preserve"> </w:t>
      </w:r>
      <w:r w:rsidR="0024447D" w:rsidRPr="00771F08">
        <w:rPr>
          <w:rFonts w:ascii="Times New Roman" w:hAnsi="Times New Roman" w:cs="Times New Roman"/>
          <w:lang w:val="en-GB"/>
        </w:rPr>
        <w:t xml:space="preserve">three outcomes leading alumni to become more inclined to donate to their alma mater, namely </w:t>
      </w:r>
      <w:r w:rsidR="003F6F42" w:rsidRPr="00771F08">
        <w:rPr>
          <w:rFonts w:ascii="Times New Roman" w:hAnsi="Times New Roman" w:cs="Times New Roman"/>
          <w:lang w:val="en-GB"/>
        </w:rPr>
        <w:t>trust, support, and commitment, although with different results for the two investigated samples.</w:t>
      </w:r>
      <w:r w:rsidR="00895147" w:rsidRPr="00771F08">
        <w:rPr>
          <w:rFonts w:ascii="Times New Roman" w:hAnsi="Times New Roman" w:cs="Times New Roman"/>
          <w:lang w:val="en-GB"/>
        </w:rPr>
        <w:t xml:space="preserve"> </w:t>
      </w:r>
      <w:r w:rsidR="00934CA5" w:rsidRPr="00771F08">
        <w:rPr>
          <w:rFonts w:ascii="Times New Roman" w:hAnsi="Times New Roman" w:cs="Times New Roman"/>
          <w:lang w:val="en-GB"/>
        </w:rPr>
        <w:t xml:space="preserve">Overall, the study </w:t>
      </w:r>
      <w:r w:rsidR="00363C4F" w:rsidRPr="00771F08">
        <w:rPr>
          <w:rFonts w:ascii="Times New Roman" w:hAnsi="Times New Roman" w:cs="Times New Roman"/>
          <w:lang w:val="en-GB"/>
        </w:rPr>
        <w:t>provide</w:t>
      </w:r>
      <w:r w:rsidR="006310B9" w:rsidRPr="00771F08">
        <w:rPr>
          <w:rFonts w:ascii="Times New Roman" w:hAnsi="Times New Roman" w:cs="Times New Roman"/>
          <w:lang w:val="en-GB"/>
        </w:rPr>
        <w:t>s</w:t>
      </w:r>
      <w:r w:rsidR="00363C4F" w:rsidRPr="00771F08">
        <w:rPr>
          <w:rFonts w:ascii="Times New Roman" w:hAnsi="Times New Roman" w:cs="Times New Roman"/>
          <w:lang w:val="en-GB"/>
        </w:rPr>
        <w:t xml:space="preserve"> relevant contribution</w:t>
      </w:r>
      <w:r w:rsidR="00622CFB" w:rsidRPr="00771F08">
        <w:rPr>
          <w:rFonts w:ascii="Times New Roman" w:hAnsi="Times New Roman" w:cs="Times New Roman"/>
          <w:lang w:val="en-GB"/>
        </w:rPr>
        <w:t>s</w:t>
      </w:r>
      <w:r w:rsidR="00363C4F" w:rsidRPr="00771F08">
        <w:rPr>
          <w:rFonts w:ascii="Times New Roman" w:hAnsi="Times New Roman" w:cs="Times New Roman"/>
          <w:lang w:val="en-GB"/>
        </w:rPr>
        <w:t xml:space="preserve"> to the extant HE literature by </w:t>
      </w:r>
      <w:r w:rsidR="00501188" w:rsidRPr="00771F08">
        <w:rPr>
          <w:rFonts w:ascii="Times New Roman" w:hAnsi="Times New Roman" w:cs="Times New Roman"/>
          <w:lang w:val="en-GB"/>
        </w:rPr>
        <w:t>analy</w:t>
      </w:r>
      <w:r w:rsidR="00771F08" w:rsidRPr="00771F08">
        <w:rPr>
          <w:rFonts w:ascii="Times New Roman" w:hAnsi="Times New Roman" w:cs="Times New Roman"/>
          <w:lang w:val="en-GB"/>
        </w:rPr>
        <w:t>s</w:t>
      </w:r>
      <w:r w:rsidR="00501188" w:rsidRPr="00771F08">
        <w:rPr>
          <w:rFonts w:ascii="Times New Roman" w:hAnsi="Times New Roman" w:cs="Times New Roman"/>
          <w:lang w:val="en-GB"/>
        </w:rPr>
        <w:t>ing</w:t>
      </w:r>
      <w:r w:rsidR="00363C4F" w:rsidRPr="00771F08">
        <w:rPr>
          <w:rFonts w:ascii="Times New Roman" w:hAnsi="Times New Roman" w:cs="Times New Roman"/>
          <w:lang w:val="en-GB"/>
        </w:rPr>
        <w:t xml:space="preserve"> the influence of trust on the formation of alumni’s attitudes and </w:t>
      </w:r>
      <w:r w:rsidR="00175ACB" w:rsidRPr="00771F08">
        <w:rPr>
          <w:rFonts w:ascii="Times New Roman" w:hAnsi="Times New Roman" w:cs="Times New Roman"/>
          <w:lang w:val="en-GB"/>
        </w:rPr>
        <w:t>behaviours</w:t>
      </w:r>
      <w:r w:rsidR="00363C4F" w:rsidRPr="00771F08">
        <w:rPr>
          <w:rFonts w:ascii="Times New Roman" w:hAnsi="Times New Roman" w:cs="Times New Roman"/>
          <w:lang w:val="en-GB"/>
        </w:rPr>
        <w:t xml:space="preserve"> and by identifying a possible process leading alumni to </w:t>
      </w:r>
      <w:r w:rsidR="00EF6027" w:rsidRPr="00771F08">
        <w:rPr>
          <w:rFonts w:ascii="Times New Roman" w:hAnsi="Times New Roman" w:cs="Times New Roman"/>
          <w:lang w:val="en-GB"/>
        </w:rPr>
        <w:t>change</w:t>
      </w:r>
      <w:r w:rsidR="00363C4F" w:rsidRPr="00771F08">
        <w:rPr>
          <w:rFonts w:ascii="Times New Roman" w:hAnsi="Times New Roman" w:cs="Times New Roman"/>
          <w:lang w:val="en-GB"/>
        </w:rPr>
        <w:t xml:space="preserve"> their attitude to</w:t>
      </w:r>
      <w:r w:rsidR="00505292" w:rsidRPr="00771F08">
        <w:rPr>
          <w:rFonts w:ascii="Times New Roman" w:hAnsi="Times New Roman" w:cs="Times New Roman"/>
          <w:lang w:val="en-GB"/>
        </w:rPr>
        <w:t>wards</w:t>
      </w:r>
      <w:r w:rsidR="00363C4F" w:rsidRPr="00771F08">
        <w:rPr>
          <w:rFonts w:ascii="Times New Roman" w:hAnsi="Times New Roman" w:cs="Times New Roman"/>
          <w:lang w:val="en-GB"/>
        </w:rPr>
        <w:t xml:space="preserve"> donat</w:t>
      </w:r>
      <w:r w:rsidR="00EF6027" w:rsidRPr="00771F08">
        <w:rPr>
          <w:rFonts w:ascii="Times New Roman" w:hAnsi="Times New Roman" w:cs="Times New Roman"/>
          <w:lang w:val="en-GB"/>
        </w:rPr>
        <w:t>ing</w:t>
      </w:r>
      <w:r w:rsidR="00363C4F" w:rsidRPr="00771F08">
        <w:rPr>
          <w:rFonts w:ascii="Times New Roman" w:hAnsi="Times New Roman" w:cs="Times New Roman"/>
          <w:lang w:val="en-GB"/>
        </w:rPr>
        <w:t xml:space="preserve"> to their universities. </w:t>
      </w:r>
      <w:r w:rsidR="00A357A1" w:rsidRPr="00771F08">
        <w:rPr>
          <w:rFonts w:ascii="Times New Roman" w:hAnsi="Times New Roman" w:cs="Times New Roman"/>
          <w:lang w:val="en-GB"/>
        </w:rPr>
        <w:t xml:space="preserve">Testing in more than one country helped to confirm the stability of the model. The main difference between the countries is in the US being more successful at turning commitment into donations. </w:t>
      </w:r>
      <w:r w:rsidR="00622CFB" w:rsidRPr="00771F08">
        <w:rPr>
          <w:rFonts w:ascii="Times New Roman" w:hAnsi="Times New Roman" w:cs="Times New Roman"/>
          <w:lang w:val="en-GB"/>
        </w:rPr>
        <w:t xml:space="preserve">In this respect, </w:t>
      </w:r>
      <w:r w:rsidR="00EF6027" w:rsidRPr="00771F08">
        <w:rPr>
          <w:rFonts w:ascii="Times New Roman" w:hAnsi="Times New Roman" w:cs="Times New Roman"/>
          <w:lang w:val="en-GB"/>
        </w:rPr>
        <w:t xml:space="preserve">the </w:t>
      </w:r>
      <w:r w:rsidR="0053143D" w:rsidRPr="00771F08">
        <w:rPr>
          <w:rFonts w:ascii="Times New Roman" w:hAnsi="Times New Roman" w:cs="Times New Roman"/>
          <w:lang w:val="en-GB"/>
        </w:rPr>
        <w:t>results highlight how the American universities</w:t>
      </w:r>
      <w:r w:rsidR="006310B9" w:rsidRPr="00771F08">
        <w:rPr>
          <w:rFonts w:ascii="Times New Roman" w:hAnsi="Times New Roman" w:cs="Times New Roman"/>
          <w:lang w:val="en-GB"/>
        </w:rPr>
        <w:t xml:space="preserve"> </w:t>
      </w:r>
      <w:r w:rsidR="009170ED" w:rsidRPr="00771F08">
        <w:rPr>
          <w:rFonts w:ascii="Times New Roman" w:hAnsi="Times New Roman" w:cs="Times New Roman"/>
          <w:lang w:val="en-GB"/>
        </w:rPr>
        <w:t xml:space="preserve">are </w:t>
      </w:r>
      <w:r w:rsidR="00505292" w:rsidRPr="00771F08">
        <w:rPr>
          <w:rFonts w:ascii="Times New Roman" w:hAnsi="Times New Roman" w:cs="Times New Roman"/>
          <w:lang w:val="en-GB"/>
        </w:rPr>
        <w:t xml:space="preserve">more </w:t>
      </w:r>
      <w:r w:rsidR="0053143D" w:rsidRPr="00771F08">
        <w:rPr>
          <w:rFonts w:ascii="Times New Roman" w:hAnsi="Times New Roman" w:cs="Times New Roman"/>
          <w:lang w:val="en-GB"/>
        </w:rPr>
        <w:t>able to manage this virtuous cycle since students</w:t>
      </w:r>
      <w:r w:rsidR="00EF6027" w:rsidRPr="00771F08">
        <w:rPr>
          <w:rFonts w:ascii="Times New Roman" w:hAnsi="Times New Roman" w:cs="Times New Roman"/>
          <w:lang w:val="en-GB"/>
        </w:rPr>
        <w:t xml:space="preserve"> who are </w:t>
      </w:r>
      <w:r w:rsidR="0053143D" w:rsidRPr="00771F08">
        <w:rPr>
          <w:rFonts w:ascii="Times New Roman" w:hAnsi="Times New Roman" w:cs="Times New Roman"/>
          <w:lang w:val="en-GB"/>
        </w:rPr>
        <w:t xml:space="preserve">engaged with them will probably become more confident and committed alumni, supporters, and donors. </w:t>
      </w:r>
      <w:r w:rsidR="0073524A" w:rsidRPr="00237956">
        <w:rPr>
          <w:rFonts w:ascii="Times New Roman" w:hAnsi="Times New Roman" w:cs="Times New Roman"/>
          <w:lang w:val="en-GB"/>
        </w:rPr>
        <w:t>Such findings may need to be contextualised more</w:t>
      </w:r>
      <w:r w:rsidR="00686420" w:rsidRPr="00237956">
        <w:rPr>
          <w:rFonts w:ascii="Times New Roman" w:hAnsi="Times New Roman" w:cs="Times New Roman"/>
          <w:lang w:val="en-GB"/>
        </w:rPr>
        <w:t>, though,</w:t>
      </w:r>
      <w:r w:rsidR="0073524A" w:rsidRPr="00237956">
        <w:rPr>
          <w:rFonts w:ascii="Times New Roman" w:hAnsi="Times New Roman" w:cs="Times New Roman"/>
          <w:lang w:val="en-GB"/>
        </w:rPr>
        <w:t xml:space="preserve"> as both the student and the HE education context in which they operate can affect alumni loyalty and in turn support (</w:t>
      </w:r>
      <w:proofErr w:type="spellStart"/>
      <w:r w:rsidR="0073524A" w:rsidRPr="00237956">
        <w:rPr>
          <w:rFonts w:ascii="Times New Roman" w:hAnsi="Times New Roman" w:cs="Times New Roman"/>
          <w:lang w:val="en-GB"/>
        </w:rPr>
        <w:t>Iskhakova</w:t>
      </w:r>
      <w:proofErr w:type="spellEnd"/>
      <w:r w:rsidR="00104FFA" w:rsidRPr="00237956">
        <w:rPr>
          <w:rFonts w:ascii="Times New Roman" w:hAnsi="Times New Roman" w:cs="Times New Roman"/>
          <w:lang w:val="en-GB"/>
        </w:rPr>
        <w:t xml:space="preserve"> et al</w:t>
      </w:r>
      <w:r w:rsidR="0073524A" w:rsidRPr="00237956">
        <w:rPr>
          <w:rFonts w:ascii="Times New Roman" w:hAnsi="Times New Roman" w:cs="Times New Roman"/>
          <w:lang w:val="en-GB"/>
        </w:rPr>
        <w:t>, 2020).</w:t>
      </w:r>
    </w:p>
    <w:p w14:paraId="13A259FF" w14:textId="609C426F" w:rsidR="00505AFA" w:rsidRPr="00771F08" w:rsidRDefault="0036673A" w:rsidP="00237956">
      <w:pPr>
        <w:autoSpaceDE w:val="0"/>
        <w:autoSpaceDN w:val="0"/>
        <w:adjustRightInd w:val="0"/>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Managerially</w:t>
      </w:r>
      <w:r w:rsidR="00A1023A" w:rsidRPr="00771F08">
        <w:rPr>
          <w:rFonts w:ascii="Times New Roman" w:hAnsi="Times New Roman" w:cs="Times New Roman"/>
          <w:szCs w:val="24"/>
          <w:lang w:val="en-GB"/>
        </w:rPr>
        <w:t xml:space="preserve">, </w:t>
      </w:r>
      <w:r w:rsidR="0099012D" w:rsidRPr="00771F08">
        <w:rPr>
          <w:rFonts w:ascii="Times New Roman" w:hAnsi="Times New Roman" w:cs="Times New Roman"/>
          <w:szCs w:val="24"/>
          <w:lang w:val="en-GB"/>
        </w:rPr>
        <w:t>the</w:t>
      </w:r>
      <w:r w:rsidR="00B03096" w:rsidRPr="00771F08">
        <w:rPr>
          <w:rFonts w:ascii="Times New Roman" w:hAnsi="Times New Roman" w:cs="Times New Roman"/>
          <w:szCs w:val="24"/>
          <w:lang w:val="en-GB"/>
        </w:rPr>
        <w:t xml:space="preserve"> </w:t>
      </w:r>
      <w:r w:rsidR="00093166" w:rsidRPr="00771F08">
        <w:rPr>
          <w:rFonts w:ascii="Times New Roman" w:hAnsi="Times New Roman" w:cs="Times New Roman"/>
          <w:szCs w:val="24"/>
          <w:lang w:val="en-GB"/>
        </w:rPr>
        <w:t>study</w:t>
      </w:r>
      <w:r w:rsidR="001B4EBD" w:rsidRPr="00771F08">
        <w:rPr>
          <w:rFonts w:ascii="Times New Roman" w:hAnsi="Times New Roman" w:cs="Times New Roman"/>
          <w:szCs w:val="24"/>
          <w:lang w:val="en-GB"/>
        </w:rPr>
        <w:t xml:space="preserve"> provide</w:t>
      </w:r>
      <w:r w:rsidR="004A4114" w:rsidRPr="00771F08">
        <w:rPr>
          <w:rFonts w:ascii="Times New Roman" w:hAnsi="Times New Roman" w:cs="Times New Roman"/>
          <w:szCs w:val="24"/>
          <w:lang w:val="en-GB"/>
        </w:rPr>
        <w:t>s</w:t>
      </w:r>
      <w:r w:rsidR="00B03096" w:rsidRPr="00771F08">
        <w:rPr>
          <w:rFonts w:ascii="Times New Roman" w:hAnsi="Times New Roman" w:cs="Times New Roman"/>
          <w:szCs w:val="24"/>
          <w:lang w:val="en-GB"/>
        </w:rPr>
        <w:t xml:space="preserve"> significant implications for universities </w:t>
      </w:r>
      <w:r w:rsidR="00C5343B" w:rsidRPr="00771F08">
        <w:rPr>
          <w:rFonts w:ascii="Times New Roman" w:hAnsi="Times New Roman" w:cs="Times New Roman"/>
          <w:szCs w:val="24"/>
          <w:lang w:val="en-GB"/>
        </w:rPr>
        <w:t xml:space="preserve">that </w:t>
      </w:r>
      <w:r w:rsidR="00B03096" w:rsidRPr="00771F08">
        <w:rPr>
          <w:rFonts w:ascii="Times New Roman" w:hAnsi="Times New Roman" w:cs="Times New Roman"/>
          <w:szCs w:val="24"/>
          <w:lang w:val="en-GB"/>
        </w:rPr>
        <w:t>want to</w:t>
      </w:r>
      <w:r w:rsidR="004D19F3" w:rsidRPr="00771F08">
        <w:rPr>
          <w:rFonts w:ascii="Times New Roman" w:hAnsi="Times New Roman" w:cs="Times New Roman"/>
          <w:szCs w:val="24"/>
          <w:lang w:val="en-GB"/>
        </w:rPr>
        <w:t xml:space="preserve"> </w:t>
      </w:r>
      <w:r w:rsidR="00EF6027" w:rsidRPr="00771F08">
        <w:rPr>
          <w:rFonts w:ascii="Times New Roman" w:hAnsi="Times New Roman" w:cs="Times New Roman"/>
          <w:szCs w:val="24"/>
          <w:lang w:val="en-GB"/>
        </w:rPr>
        <w:t>change</w:t>
      </w:r>
      <w:r w:rsidR="004D19F3" w:rsidRPr="00771F08">
        <w:rPr>
          <w:rFonts w:ascii="Times New Roman" w:hAnsi="Times New Roman" w:cs="Times New Roman"/>
          <w:szCs w:val="24"/>
          <w:lang w:val="en-GB"/>
        </w:rPr>
        <w:t xml:space="preserve"> </w:t>
      </w:r>
      <w:r w:rsidR="00B03096" w:rsidRPr="00771F08">
        <w:rPr>
          <w:rFonts w:ascii="Times New Roman" w:hAnsi="Times New Roman" w:cs="Times New Roman"/>
          <w:szCs w:val="24"/>
          <w:lang w:val="en-GB"/>
        </w:rPr>
        <w:t xml:space="preserve">alumni attitude toward donations. </w:t>
      </w:r>
      <w:r w:rsidR="001F7707" w:rsidRPr="00771F08">
        <w:rPr>
          <w:rFonts w:ascii="Times New Roman" w:hAnsi="Times New Roman" w:cs="Times New Roman"/>
          <w:szCs w:val="24"/>
          <w:lang w:val="en-GB"/>
        </w:rPr>
        <w:t>In particular, both Italian and American HE</w:t>
      </w:r>
      <w:r w:rsidR="00EF6027" w:rsidRPr="00771F08">
        <w:rPr>
          <w:rFonts w:ascii="Times New Roman" w:hAnsi="Times New Roman" w:cs="Times New Roman"/>
          <w:szCs w:val="24"/>
          <w:lang w:val="en-GB"/>
        </w:rPr>
        <w:t>Is</w:t>
      </w:r>
      <w:r w:rsidR="001F7707" w:rsidRPr="00771F08">
        <w:rPr>
          <w:rFonts w:ascii="Times New Roman" w:hAnsi="Times New Roman" w:cs="Times New Roman"/>
          <w:szCs w:val="24"/>
          <w:lang w:val="en-GB"/>
        </w:rPr>
        <w:t xml:space="preserve"> should encourage </w:t>
      </w:r>
      <w:r w:rsidR="004D19F3" w:rsidRPr="00771F08">
        <w:rPr>
          <w:rFonts w:ascii="Times New Roman" w:hAnsi="Times New Roman" w:cs="Times New Roman"/>
          <w:szCs w:val="24"/>
          <w:lang w:val="en-GB"/>
        </w:rPr>
        <w:t xml:space="preserve">students </w:t>
      </w:r>
      <w:r w:rsidR="001F7707" w:rsidRPr="00771F08">
        <w:rPr>
          <w:rFonts w:ascii="Times New Roman" w:hAnsi="Times New Roman" w:cs="Times New Roman"/>
          <w:szCs w:val="24"/>
          <w:lang w:val="en-GB"/>
        </w:rPr>
        <w:t>to become</w:t>
      </w:r>
      <w:r w:rsidR="00647427" w:rsidRPr="00771F08">
        <w:rPr>
          <w:rFonts w:ascii="Times New Roman" w:hAnsi="Times New Roman" w:cs="Times New Roman"/>
          <w:szCs w:val="24"/>
          <w:lang w:val="en-GB"/>
        </w:rPr>
        <w:t xml:space="preserve"> more</w:t>
      </w:r>
      <w:r w:rsidR="001F7707" w:rsidRPr="00771F08">
        <w:rPr>
          <w:rFonts w:ascii="Times New Roman" w:hAnsi="Times New Roman" w:cs="Times New Roman"/>
          <w:szCs w:val="24"/>
          <w:lang w:val="en-GB"/>
        </w:rPr>
        <w:t xml:space="preserve"> engaged in their university, by instil</w:t>
      </w:r>
      <w:r w:rsidR="0059143E" w:rsidRPr="00771F08">
        <w:rPr>
          <w:rFonts w:ascii="Times New Roman" w:hAnsi="Times New Roman" w:cs="Times New Roman"/>
          <w:szCs w:val="24"/>
          <w:lang w:val="en-GB"/>
        </w:rPr>
        <w:t>ling</w:t>
      </w:r>
      <w:r w:rsidR="001F7707" w:rsidRPr="00771F08">
        <w:rPr>
          <w:rFonts w:ascii="Times New Roman" w:hAnsi="Times New Roman" w:cs="Times New Roman"/>
          <w:szCs w:val="24"/>
          <w:lang w:val="en-GB"/>
        </w:rPr>
        <w:t xml:space="preserve"> a sense of affinity between students and their alma mater. </w:t>
      </w:r>
      <w:r w:rsidR="00A2042D" w:rsidRPr="00771F08">
        <w:rPr>
          <w:rFonts w:ascii="Times New Roman" w:hAnsi="Times New Roman" w:cs="Times New Roman"/>
          <w:szCs w:val="24"/>
          <w:lang w:val="en-GB"/>
        </w:rPr>
        <w:t xml:space="preserve">Notably, </w:t>
      </w:r>
      <w:r w:rsidR="00EA4961" w:rsidRPr="00771F08">
        <w:rPr>
          <w:rFonts w:ascii="Times New Roman" w:hAnsi="Times New Roman" w:cs="Times New Roman"/>
          <w:lang w:val="en-GB"/>
        </w:rPr>
        <w:t>Dennis et al</w:t>
      </w:r>
      <w:r w:rsidR="00AF4395" w:rsidRPr="00771F08">
        <w:rPr>
          <w:rFonts w:ascii="Times New Roman" w:hAnsi="Times New Roman" w:cs="Times New Roman"/>
          <w:szCs w:val="24"/>
          <w:lang w:val="en-GB"/>
        </w:rPr>
        <w:t xml:space="preserve"> </w:t>
      </w:r>
      <w:r w:rsidR="000658D8" w:rsidRPr="00771F08">
        <w:rPr>
          <w:rFonts w:ascii="Times New Roman" w:hAnsi="Times New Roman" w:cs="Times New Roman"/>
          <w:szCs w:val="24"/>
          <w:lang w:val="en-GB"/>
        </w:rPr>
        <w:t xml:space="preserve">(2016) recommended </w:t>
      </w:r>
      <w:r w:rsidR="00EF6027" w:rsidRPr="00771F08">
        <w:rPr>
          <w:rFonts w:ascii="Times New Roman" w:hAnsi="Times New Roman" w:cs="Times New Roman"/>
          <w:szCs w:val="24"/>
          <w:lang w:val="en-GB"/>
        </w:rPr>
        <w:t xml:space="preserve">that </w:t>
      </w:r>
      <w:r w:rsidR="008473FF" w:rsidRPr="00771F08">
        <w:rPr>
          <w:rFonts w:ascii="Times New Roman" w:hAnsi="Times New Roman" w:cs="Times New Roman"/>
          <w:szCs w:val="24"/>
          <w:lang w:val="en-GB"/>
        </w:rPr>
        <w:t>universities</w:t>
      </w:r>
      <w:r w:rsidR="00C644F4" w:rsidRPr="00771F08">
        <w:rPr>
          <w:rFonts w:ascii="Times New Roman" w:hAnsi="Times New Roman" w:cs="Times New Roman"/>
          <w:szCs w:val="24"/>
          <w:lang w:val="en-GB"/>
        </w:rPr>
        <w:t xml:space="preserve"> build marketing and </w:t>
      </w:r>
      <w:r w:rsidR="00024605" w:rsidRPr="00771F08">
        <w:rPr>
          <w:rFonts w:ascii="Times New Roman" w:hAnsi="Times New Roman" w:cs="Times New Roman"/>
          <w:szCs w:val="24"/>
          <w:lang w:val="en-GB"/>
        </w:rPr>
        <w:t>student recruitment</w:t>
      </w:r>
      <w:r w:rsidR="000658D8" w:rsidRPr="00771F08">
        <w:rPr>
          <w:rFonts w:ascii="Times New Roman" w:hAnsi="Times New Roman" w:cs="Times New Roman"/>
          <w:szCs w:val="24"/>
          <w:lang w:val="en-GB"/>
        </w:rPr>
        <w:t xml:space="preserve"> by creating and nurturing relationships in novel</w:t>
      </w:r>
      <w:r w:rsidR="00C644F4" w:rsidRPr="00771F08">
        <w:rPr>
          <w:rFonts w:ascii="Times New Roman" w:hAnsi="Times New Roman" w:cs="Times New Roman"/>
          <w:szCs w:val="24"/>
          <w:lang w:val="en-GB"/>
        </w:rPr>
        <w:t xml:space="preserve"> </w:t>
      </w:r>
      <w:r w:rsidR="000658D8" w:rsidRPr="00771F08">
        <w:rPr>
          <w:rFonts w:ascii="Times New Roman" w:hAnsi="Times New Roman" w:cs="Times New Roman"/>
          <w:szCs w:val="24"/>
          <w:lang w:val="en-GB"/>
        </w:rPr>
        <w:t>ways with students, for example using networking events,</w:t>
      </w:r>
      <w:r w:rsidR="00C348F4" w:rsidRPr="00771F08">
        <w:rPr>
          <w:rFonts w:ascii="Times New Roman" w:hAnsi="Times New Roman" w:cs="Times New Roman"/>
          <w:szCs w:val="24"/>
          <w:lang w:val="en-GB"/>
        </w:rPr>
        <w:t xml:space="preserve"> </w:t>
      </w:r>
      <w:r w:rsidR="000658D8" w:rsidRPr="00771F08">
        <w:rPr>
          <w:rFonts w:ascii="Times New Roman" w:hAnsi="Times New Roman" w:cs="Times New Roman"/>
          <w:szCs w:val="24"/>
          <w:lang w:val="en-GB"/>
        </w:rPr>
        <w:t xml:space="preserve">social media </w:t>
      </w:r>
      <w:r w:rsidR="00230D00" w:rsidRPr="00771F08">
        <w:rPr>
          <w:rFonts w:ascii="Times New Roman" w:hAnsi="Times New Roman" w:cs="Times New Roman"/>
          <w:szCs w:val="24"/>
          <w:lang w:val="en-GB"/>
        </w:rPr>
        <w:t xml:space="preserve">(Dyson et al. 2015), </w:t>
      </w:r>
      <w:r w:rsidR="000658D8" w:rsidRPr="00771F08">
        <w:rPr>
          <w:rFonts w:ascii="Times New Roman" w:hAnsi="Times New Roman" w:cs="Times New Roman"/>
          <w:szCs w:val="24"/>
          <w:lang w:val="en-GB"/>
        </w:rPr>
        <w:t xml:space="preserve">campaigns, </w:t>
      </w:r>
      <w:r w:rsidR="00727F74" w:rsidRPr="00771F08">
        <w:rPr>
          <w:rFonts w:ascii="Times New Roman" w:hAnsi="Times New Roman" w:cs="Times New Roman"/>
          <w:szCs w:val="24"/>
          <w:lang w:val="en-GB"/>
        </w:rPr>
        <w:t>customi</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ed</w:t>
      </w:r>
      <w:r w:rsidR="000658D8" w:rsidRPr="00771F08">
        <w:rPr>
          <w:rFonts w:ascii="Times New Roman" w:hAnsi="Times New Roman" w:cs="Times New Roman"/>
          <w:szCs w:val="24"/>
          <w:lang w:val="en-GB"/>
        </w:rPr>
        <w:t xml:space="preserve"> clothing, regalia</w:t>
      </w:r>
      <w:r w:rsidR="009E12F7" w:rsidRPr="00771F08">
        <w:rPr>
          <w:rFonts w:ascii="Times New Roman" w:hAnsi="Times New Roman" w:cs="Times New Roman"/>
          <w:szCs w:val="24"/>
          <w:lang w:val="en-GB"/>
        </w:rPr>
        <w:t>,</w:t>
      </w:r>
      <w:r w:rsidR="000658D8" w:rsidRPr="00771F08">
        <w:rPr>
          <w:rFonts w:ascii="Times New Roman" w:hAnsi="Times New Roman" w:cs="Times New Roman"/>
          <w:szCs w:val="24"/>
          <w:lang w:val="en-GB"/>
        </w:rPr>
        <w:t xml:space="preserve"> and so on.</w:t>
      </w:r>
      <w:r w:rsidR="00144F26" w:rsidRPr="00771F08">
        <w:rPr>
          <w:rFonts w:ascii="Times New Roman" w:hAnsi="Times New Roman" w:cs="Times New Roman"/>
          <w:szCs w:val="24"/>
          <w:lang w:val="en-GB"/>
        </w:rPr>
        <w:t xml:space="preserve"> </w:t>
      </w:r>
      <w:r w:rsidR="009E12F7" w:rsidRPr="00771F08">
        <w:rPr>
          <w:rFonts w:ascii="Times New Roman" w:hAnsi="Times New Roman" w:cs="Times New Roman"/>
          <w:szCs w:val="24"/>
          <w:lang w:val="en-GB"/>
        </w:rPr>
        <w:t xml:space="preserve">Moreover, all these activities </w:t>
      </w:r>
      <w:r w:rsidR="009F6863" w:rsidRPr="00771F08">
        <w:rPr>
          <w:rFonts w:ascii="Times New Roman" w:hAnsi="Times New Roman" w:cs="Times New Roman"/>
          <w:szCs w:val="24"/>
          <w:lang w:val="en-GB"/>
        </w:rPr>
        <w:t xml:space="preserve">could make </w:t>
      </w:r>
      <w:r w:rsidR="009A4B6F" w:rsidRPr="00771F08">
        <w:rPr>
          <w:rFonts w:ascii="Times New Roman" w:hAnsi="Times New Roman" w:cs="Times New Roman"/>
          <w:szCs w:val="24"/>
          <w:lang w:val="en-GB"/>
        </w:rPr>
        <w:t xml:space="preserve">the </w:t>
      </w:r>
      <w:r w:rsidR="009F6863" w:rsidRPr="00771F08">
        <w:rPr>
          <w:rFonts w:ascii="Times New Roman" w:hAnsi="Times New Roman" w:cs="Times New Roman"/>
          <w:szCs w:val="24"/>
          <w:lang w:val="en-GB"/>
        </w:rPr>
        <w:t>university experiences</w:t>
      </w:r>
      <w:r w:rsidR="009A4B6F" w:rsidRPr="00771F08">
        <w:rPr>
          <w:rFonts w:ascii="Times New Roman" w:hAnsi="Times New Roman" w:cs="Times New Roman"/>
          <w:szCs w:val="24"/>
          <w:lang w:val="en-GB"/>
        </w:rPr>
        <w:t xml:space="preserve">, </w:t>
      </w:r>
      <w:r w:rsidR="00EF6027" w:rsidRPr="00771F08">
        <w:rPr>
          <w:rFonts w:ascii="Times New Roman" w:hAnsi="Times New Roman" w:cs="Times New Roman"/>
          <w:szCs w:val="24"/>
          <w:lang w:val="en-GB"/>
        </w:rPr>
        <w:t xml:space="preserve">as </w:t>
      </w:r>
      <w:r w:rsidR="009A4B6F" w:rsidRPr="00771F08">
        <w:rPr>
          <w:rFonts w:ascii="Times New Roman" w:hAnsi="Times New Roman" w:cs="Times New Roman"/>
          <w:szCs w:val="24"/>
          <w:lang w:val="en-GB"/>
        </w:rPr>
        <w:t>lived by students,</w:t>
      </w:r>
      <w:r w:rsidR="009F6863" w:rsidRPr="00771F08">
        <w:rPr>
          <w:rFonts w:ascii="Times New Roman" w:hAnsi="Times New Roman" w:cs="Times New Roman"/>
          <w:szCs w:val="24"/>
          <w:lang w:val="en-GB"/>
        </w:rPr>
        <w:t xml:space="preserve"> ever more positive, thus transforming them into more confident individuals, beyond their graduation</w:t>
      </w:r>
      <w:r w:rsidR="00EF6027" w:rsidRPr="00771F08">
        <w:rPr>
          <w:rFonts w:ascii="Times New Roman" w:hAnsi="Times New Roman" w:cs="Times New Roman"/>
          <w:szCs w:val="24"/>
          <w:lang w:val="en-GB"/>
        </w:rPr>
        <w:t xml:space="preserve"> too</w:t>
      </w:r>
      <w:r w:rsidR="009F6863" w:rsidRPr="00771F08">
        <w:rPr>
          <w:rFonts w:ascii="Times New Roman" w:hAnsi="Times New Roman" w:cs="Times New Roman"/>
          <w:szCs w:val="24"/>
          <w:lang w:val="en-GB"/>
        </w:rPr>
        <w:t>. For this reason, alumni’s trust should be nourished over time</w:t>
      </w:r>
      <w:r w:rsidR="00E30E9E" w:rsidRPr="00771F08">
        <w:rPr>
          <w:rFonts w:ascii="Times New Roman" w:hAnsi="Times New Roman" w:cs="Times New Roman"/>
          <w:szCs w:val="24"/>
          <w:lang w:val="en-GB"/>
        </w:rPr>
        <w:t xml:space="preserve"> by universities</w:t>
      </w:r>
      <w:r w:rsidR="009F6863" w:rsidRPr="00771F08">
        <w:rPr>
          <w:rFonts w:ascii="Times New Roman" w:hAnsi="Times New Roman" w:cs="Times New Roman"/>
          <w:szCs w:val="24"/>
          <w:lang w:val="en-GB"/>
        </w:rPr>
        <w:t xml:space="preserve"> since </w:t>
      </w:r>
      <w:r w:rsidR="00E30E9E" w:rsidRPr="00771F08">
        <w:rPr>
          <w:rFonts w:ascii="Times New Roman" w:hAnsi="Times New Roman" w:cs="Times New Roman"/>
          <w:szCs w:val="24"/>
          <w:lang w:val="en-GB"/>
        </w:rPr>
        <w:t>it</w:t>
      </w:r>
      <w:r w:rsidR="00EF6027" w:rsidRPr="00771F08">
        <w:rPr>
          <w:rFonts w:ascii="Times New Roman" w:hAnsi="Times New Roman" w:cs="Times New Roman"/>
          <w:szCs w:val="24"/>
          <w:lang w:val="en-GB"/>
        </w:rPr>
        <w:t xml:space="preserve"> is</w:t>
      </w:r>
      <w:r w:rsidR="00E30E9E" w:rsidRPr="00771F08">
        <w:rPr>
          <w:rFonts w:ascii="Times New Roman" w:hAnsi="Times New Roman" w:cs="Times New Roman"/>
          <w:szCs w:val="24"/>
          <w:lang w:val="en-GB"/>
        </w:rPr>
        <w:t xml:space="preserve"> becom</w:t>
      </w:r>
      <w:r w:rsidR="00EF6027" w:rsidRPr="00771F08">
        <w:rPr>
          <w:rFonts w:ascii="Times New Roman" w:hAnsi="Times New Roman" w:cs="Times New Roman"/>
          <w:szCs w:val="24"/>
          <w:lang w:val="en-GB"/>
        </w:rPr>
        <w:t>ing</w:t>
      </w:r>
      <w:r w:rsidR="00E30E9E" w:rsidRPr="00771F08">
        <w:rPr>
          <w:rFonts w:ascii="Times New Roman" w:hAnsi="Times New Roman" w:cs="Times New Roman"/>
          <w:szCs w:val="24"/>
          <w:lang w:val="en-GB"/>
        </w:rPr>
        <w:t xml:space="preserve"> fundamental in order to build committed and supportive relationships with their alumni. </w:t>
      </w:r>
      <w:r w:rsidR="009A4B6F" w:rsidRPr="00771F08">
        <w:rPr>
          <w:rFonts w:ascii="Times New Roman" w:hAnsi="Times New Roman" w:cs="Times New Roman"/>
          <w:szCs w:val="24"/>
          <w:lang w:val="en-GB"/>
        </w:rPr>
        <w:t>Therefore</w:t>
      </w:r>
      <w:r w:rsidR="00E30E9E" w:rsidRPr="00771F08">
        <w:rPr>
          <w:rFonts w:ascii="Times New Roman" w:hAnsi="Times New Roman" w:cs="Times New Roman"/>
          <w:szCs w:val="24"/>
          <w:lang w:val="en-GB"/>
        </w:rPr>
        <w:t xml:space="preserve">, by continuing beyond graduation, this sense of belonging </w:t>
      </w:r>
      <w:r w:rsidR="009A4B6F" w:rsidRPr="00771F08">
        <w:rPr>
          <w:rFonts w:ascii="Times New Roman" w:hAnsi="Times New Roman" w:cs="Times New Roman"/>
          <w:szCs w:val="24"/>
          <w:lang w:val="en-GB"/>
        </w:rPr>
        <w:t xml:space="preserve">could </w:t>
      </w:r>
      <w:r w:rsidR="00E30E9E" w:rsidRPr="00771F08">
        <w:rPr>
          <w:rFonts w:ascii="Times New Roman" w:hAnsi="Times New Roman" w:cs="Times New Roman"/>
          <w:szCs w:val="24"/>
          <w:lang w:val="en-GB"/>
        </w:rPr>
        <w:t>stimulat</w:t>
      </w:r>
      <w:r w:rsidR="0040069E" w:rsidRPr="00771F08">
        <w:rPr>
          <w:rFonts w:ascii="Times New Roman" w:hAnsi="Times New Roman" w:cs="Times New Roman"/>
          <w:szCs w:val="24"/>
          <w:lang w:val="en-GB"/>
        </w:rPr>
        <w:t>e</w:t>
      </w:r>
      <w:r w:rsidR="00E30E9E" w:rsidRPr="00771F08">
        <w:rPr>
          <w:rFonts w:ascii="Times New Roman" w:hAnsi="Times New Roman" w:cs="Times New Roman"/>
          <w:szCs w:val="24"/>
          <w:lang w:val="en-GB"/>
        </w:rPr>
        <w:t xml:space="preserve"> alumni’s attitudes toward volunteering and donations. </w:t>
      </w:r>
      <w:r w:rsidR="009A4B6F" w:rsidRPr="00771F08">
        <w:rPr>
          <w:rFonts w:ascii="Times New Roman" w:hAnsi="Times New Roman" w:cs="Times New Roman"/>
          <w:szCs w:val="24"/>
          <w:lang w:val="en-GB"/>
        </w:rPr>
        <w:t>Overall, the results confirm</w:t>
      </w:r>
      <w:r w:rsidR="009170ED" w:rsidRPr="00771F08">
        <w:rPr>
          <w:rFonts w:ascii="Times New Roman" w:hAnsi="Times New Roman" w:cs="Times New Roman"/>
          <w:szCs w:val="24"/>
          <w:lang w:val="en-GB"/>
        </w:rPr>
        <w:t xml:space="preserve"> </w:t>
      </w:r>
      <w:r w:rsidR="009A4B6F" w:rsidRPr="00771F08">
        <w:rPr>
          <w:rFonts w:ascii="Times New Roman" w:hAnsi="Times New Roman" w:cs="Times New Roman"/>
          <w:szCs w:val="24"/>
          <w:lang w:val="en-GB"/>
        </w:rPr>
        <w:t xml:space="preserve">the key role of trust in shaping alumni attitudes </w:t>
      </w:r>
      <w:r w:rsidR="00286223" w:rsidRPr="00771F08">
        <w:rPr>
          <w:rFonts w:ascii="Times New Roman" w:hAnsi="Times New Roman" w:cs="Times New Roman"/>
          <w:szCs w:val="24"/>
          <w:lang w:val="en-GB"/>
        </w:rPr>
        <w:t>toward donations. It is thus crucial for American and Italian HE</w:t>
      </w:r>
      <w:r w:rsidR="00EF6027" w:rsidRPr="00771F08">
        <w:rPr>
          <w:rFonts w:ascii="Times New Roman" w:hAnsi="Times New Roman" w:cs="Times New Roman"/>
          <w:szCs w:val="24"/>
          <w:lang w:val="en-GB"/>
        </w:rPr>
        <w:t>I</w:t>
      </w:r>
      <w:r w:rsidR="00286223" w:rsidRPr="00771F08">
        <w:rPr>
          <w:rFonts w:ascii="Times New Roman" w:hAnsi="Times New Roman" w:cs="Times New Roman"/>
          <w:szCs w:val="24"/>
          <w:lang w:val="en-GB"/>
        </w:rPr>
        <w:t>s to make every effort</w:t>
      </w:r>
      <w:r w:rsidR="00EF6027" w:rsidRPr="00771F08">
        <w:rPr>
          <w:rFonts w:ascii="Times New Roman" w:hAnsi="Times New Roman" w:cs="Times New Roman"/>
          <w:szCs w:val="24"/>
          <w:lang w:val="en-GB"/>
        </w:rPr>
        <w:t>,</w:t>
      </w:r>
      <w:r w:rsidR="00286223" w:rsidRPr="00771F08">
        <w:rPr>
          <w:rFonts w:ascii="Times New Roman" w:hAnsi="Times New Roman" w:cs="Times New Roman"/>
          <w:szCs w:val="24"/>
          <w:lang w:val="en-GB"/>
        </w:rPr>
        <w:t xml:space="preserve"> </w:t>
      </w:r>
      <w:r w:rsidR="00EF6027" w:rsidRPr="00771F08">
        <w:rPr>
          <w:rFonts w:ascii="Times New Roman" w:hAnsi="Times New Roman" w:cs="Times New Roman"/>
          <w:szCs w:val="24"/>
          <w:lang w:val="en-GB"/>
        </w:rPr>
        <w:t xml:space="preserve">for example, </w:t>
      </w:r>
      <w:r w:rsidR="00286223" w:rsidRPr="00771F08">
        <w:rPr>
          <w:rFonts w:ascii="Times New Roman" w:hAnsi="Times New Roman" w:cs="Times New Roman"/>
          <w:szCs w:val="24"/>
          <w:lang w:val="en-GB"/>
        </w:rPr>
        <w:t xml:space="preserve">to </w:t>
      </w:r>
      <w:r w:rsidR="00727F74" w:rsidRPr="00771F08">
        <w:rPr>
          <w:rFonts w:ascii="Times New Roman" w:hAnsi="Times New Roman" w:cs="Times New Roman"/>
          <w:szCs w:val="24"/>
          <w:lang w:val="en-GB"/>
        </w:rPr>
        <w:t>organi</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e</w:t>
      </w:r>
      <w:r w:rsidR="00EF6027" w:rsidRPr="00771F08">
        <w:rPr>
          <w:rFonts w:ascii="Times New Roman" w:hAnsi="Times New Roman" w:cs="Times New Roman"/>
          <w:szCs w:val="24"/>
          <w:lang w:val="en-GB"/>
        </w:rPr>
        <w:t xml:space="preserve"> </w:t>
      </w:r>
      <w:r w:rsidR="00286223" w:rsidRPr="00771F08">
        <w:rPr>
          <w:rFonts w:ascii="Times New Roman" w:hAnsi="Times New Roman" w:cs="Times New Roman"/>
          <w:szCs w:val="24"/>
          <w:lang w:val="en-GB"/>
        </w:rPr>
        <w:t>extra-</w:t>
      </w:r>
      <w:r w:rsidR="00EF6027" w:rsidRPr="00771F08">
        <w:rPr>
          <w:rFonts w:ascii="Times New Roman" w:hAnsi="Times New Roman" w:cs="Times New Roman"/>
          <w:szCs w:val="24"/>
          <w:lang w:val="en-GB"/>
        </w:rPr>
        <w:t>curricular</w:t>
      </w:r>
      <w:r w:rsidR="00286223" w:rsidRPr="00771F08">
        <w:rPr>
          <w:rFonts w:ascii="Times New Roman" w:hAnsi="Times New Roman" w:cs="Times New Roman"/>
          <w:szCs w:val="24"/>
          <w:lang w:val="en-GB"/>
        </w:rPr>
        <w:t xml:space="preserve"> activities, which can help to enhance the quality of their educational experiences. On the other hand, </w:t>
      </w:r>
      <w:r w:rsidR="00BC2079" w:rsidRPr="00771F08">
        <w:rPr>
          <w:rFonts w:ascii="Times New Roman" w:hAnsi="Times New Roman" w:cs="Times New Roman"/>
          <w:szCs w:val="24"/>
          <w:lang w:val="en-GB"/>
        </w:rPr>
        <w:t xml:space="preserve">affective commitment represents a </w:t>
      </w:r>
      <w:r w:rsidR="002C3EC0" w:rsidRPr="00771F08">
        <w:rPr>
          <w:rFonts w:ascii="Times New Roman" w:hAnsi="Times New Roman" w:cs="Times New Roman"/>
          <w:szCs w:val="24"/>
          <w:lang w:val="en-GB"/>
        </w:rPr>
        <w:t>significant predictor</w:t>
      </w:r>
      <w:r w:rsidR="00AE2943" w:rsidRPr="00771F08">
        <w:rPr>
          <w:rFonts w:ascii="Times New Roman" w:hAnsi="Times New Roman" w:cs="Times New Roman"/>
          <w:szCs w:val="24"/>
          <w:lang w:val="en-GB"/>
        </w:rPr>
        <w:t xml:space="preserve"> of attitude toward donation</w:t>
      </w:r>
      <w:r w:rsidR="00286223" w:rsidRPr="00771F08">
        <w:rPr>
          <w:rFonts w:ascii="Times New Roman" w:hAnsi="Times New Roman" w:cs="Times New Roman"/>
          <w:szCs w:val="24"/>
          <w:lang w:val="en-GB"/>
        </w:rPr>
        <w:t xml:space="preserve"> only for American universities. This means that </w:t>
      </w:r>
      <w:r w:rsidR="00662156" w:rsidRPr="00771F08">
        <w:rPr>
          <w:rFonts w:ascii="Times New Roman" w:hAnsi="Times New Roman" w:cs="Times New Roman"/>
          <w:szCs w:val="24"/>
          <w:lang w:val="en-GB"/>
        </w:rPr>
        <w:t>Italian universities</w:t>
      </w:r>
      <w:r w:rsidR="007D71B9" w:rsidRPr="00771F08">
        <w:rPr>
          <w:rFonts w:ascii="Times New Roman" w:hAnsi="Times New Roman" w:cs="Times New Roman"/>
          <w:szCs w:val="24"/>
          <w:lang w:val="en-GB"/>
        </w:rPr>
        <w:t xml:space="preserve"> </w:t>
      </w:r>
      <w:r w:rsidR="00760CD4" w:rsidRPr="00771F08">
        <w:rPr>
          <w:rFonts w:ascii="Times New Roman" w:hAnsi="Times New Roman" w:cs="Times New Roman"/>
          <w:szCs w:val="24"/>
          <w:lang w:val="en-GB"/>
        </w:rPr>
        <w:t xml:space="preserve">should </w:t>
      </w:r>
      <w:r w:rsidR="0059143E" w:rsidRPr="00771F08">
        <w:rPr>
          <w:rFonts w:ascii="Times New Roman" w:hAnsi="Times New Roman" w:cs="Times New Roman"/>
          <w:szCs w:val="24"/>
          <w:lang w:val="en-GB"/>
        </w:rPr>
        <w:t xml:space="preserve">do </w:t>
      </w:r>
      <w:r w:rsidR="00760CD4" w:rsidRPr="00771F08">
        <w:rPr>
          <w:rFonts w:ascii="Times New Roman" w:hAnsi="Times New Roman" w:cs="Times New Roman"/>
          <w:szCs w:val="24"/>
          <w:lang w:val="en-GB"/>
        </w:rPr>
        <w:t xml:space="preserve">more </w:t>
      </w:r>
      <w:r w:rsidR="0059143E" w:rsidRPr="00771F08">
        <w:rPr>
          <w:rFonts w:ascii="Times New Roman" w:hAnsi="Times New Roman" w:cs="Times New Roman"/>
          <w:szCs w:val="24"/>
          <w:lang w:val="en-GB"/>
        </w:rPr>
        <w:t xml:space="preserve">to </w:t>
      </w:r>
      <w:r w:rsidR="00E12677" w:rsidRPr="00771F08">
        <w:rPr>
          <w:rFonts w:ascii="Times New Roman" w:hAnsi="Times New Roman" w:cs="Times New Roman"/>
          <w:szCs w:val="24"/>
          <w:lang w:val="en-GB"/>
        </w:rPr>
        <w:t>stimulate the</w:t>
      </w:r>
      <w:r w:rsidR="00813E58" w:rsidRPr="00771F08">
        <w:rPr>
          <w:rFonts w:ascii="Times New Roman" w:hAnsi="Times New Roman" w:cs="Times New Roman"/>
          <w:szCs w:val="24"/>
          <w:lang w:val="en-GB"/>
        </w:rPr>
        <w:t xml:space="preserve"> alumni</w:t>
      </w:r>
      <w:r w:rsidR="00E12677" w:rsidRPr="00771F08">
        <w:rPr>
          <w:rFonts w:ascii="Times New Roman" w:hAnsi="Times New Roman" w:cs="Times New Roman"/>
          <w:szCs w:val="24"/>
          <w:lang w:val="en-GB"/>
        </w:rPr>
        <w:t xml:space="preserve"> level </w:t>
      </w:r>
      <w:r w:rsidR="00813E58" w:rsidRPr="00771F08">
        <w:rPr>
          <w:rFonts w:ascii="Times New Roman" w:hAnsi="Times New Roman" w:cs="Times New Roman"/>
          <w:szCs w:val="24"/>
          <w:lang w:val="en-GB"/>
        </w:rPr>
        <w:t xml:space="preserve">of </w:t>
      </w:r>
      <w:r w:rsidR="00286223" w:rsidRPr="00771F08">
        <w:rPr>
          <w:rFonts w:ascii="Times New Roman" w:hAnsi="Times New Roman" w:cs="Times New Roman"/>
          <w:szCs w:val="24"/>
          <w:lang w:val="en-GB"/>
        </w:rPr>
        <w:t>commitment</w:t>
      </w:r>
      <w:r w:rsidR="00E12677" w:rsidRPr="00771F08">
        <w:rPr>
          <w:rFonts w:ascii="Times New Roman" w:hAnsi="Times New Roman" w:cs="Times New Roman"/>
          <w:szCs w:val="24"/>
          <w:lang w:val="en-GB"/>
        </w:rPr>
        <w:t xml:space="preserve"> with their alma mater fr</w:t>
      </w:r>
      <w:r w:rsidR="00425EE4" w:rsidRPr="00771F08">
        <w:rPr>
          <w:rFonts w:ascii="Times New Roman" w:hAnsi="Times New Roman" w:cs="Times New Roman"/>
          <w:szCs w:val="24"/>
          <w:lang w:val="en-GB"/>
        </w:rPr>
        <w:t xml:space="preserve">om an emotional </w:t>
      </w:r>
      <w:r w:rsidR="002517FB" w:rsidRPr="00771F08">
        <w:rPr>
          <w:rFonts w:ascii="Times New Roman" w:hAnsi="Times New Roman" w:cs="Times New Roman"/>
          <w:szCs w:val="24"/>
          <w:lang w:val="en-GB"/>
        </w:rPr>
        <w:t>point of view</w:t>
      </w:r>
      <w:r w:rsidR="00760CD4" w:rsidRPr="00771F08">
        <w:rPr>
          <w:rFonts w:ascii="Times New Roman" w:hAnsi="Times New Roman" w:cs="Times New Roman"/>
          <w:szCs w:val="24"/>
          <w:lang w:val="en-GB"/>
        </w:rPr>
        <w:t xml:space="preserve">. </w:t>
      </w:r>
      <w:r w:rsidR="00286223" w:rsidRPr="00771F08">
        <w:rPr>
          <w:rFonts w:ascii="Times New Roman" w:hAnsi="Times New Roman" w:cs="Times New Roman"/>
          <w:szCs w:val="24"/>
          <w:lang w:val="en-GB"/>
        </w:rPr>
        <w:t xml:space="preserve">In particular, </w:t>
      </w:r>
      <w:r w:rsidR="0045144A" w:rsidRPr="00771F08">
        <w:rPr>
          <w:rFonts w:ascii="Times New Roman" w:hAnsi="Times New Roman" w:cs="Times New Roman"/>
          <w:szCs w:val="24"/>
          <w:lang w:val="en-GB"/>
        </w:rPr>
        <w:t xml:space="preserve">universities could adopt different tools (e.g. university’s merchandising, social media communities, official websites) in order to stimulate the level of alumni’s commitment, thus making it possible to develop and maintain continuous and direct contacts with them. </w:t>
      </w:r>
    </w:p>
    <w:p w14:paraId="7274790E" w14:textId="0E75D26F" w:rsidR="000B643E" w:rsidRDefault="00D413F7" w:rsidP="00237956">
      <w:pPr>
        <w:autoSpaceDE w:val="0"/>
        <w:autoSpaceDN w:val="0"/>
        <w:adjustRightInd w:val="0"/>
        <w:spacing w:after="0" w:line="240" w:lineRule="auto"/>
        <w:ind w:left="567" w:right="1133"/>
        <w:rPr>
          <w:rFonts w:ascii="Times New Roman" w:hAnsi="Times New Roman" w:cs="Times New Roman"/>
          <w:szCs w:val="24"/>
          <w:lang w:val="en-GB"/>
        </w:rPr>
      </w:pPr>
      <w:r w:rsidRPr="00771F08">
        <w:rPr>
          <w:rFonts w:ascii="Times New Roman" w:hAnsi="Times New Roman" w:cs="Times New Roman"/>
          <w:szCs w:val="24"/>
          <w:lang w:val="en-GB"/>
        </w:rPr>
        <w:t xml:space="preserve">Finally, the identification of a virtuous cycle able to increase the inclinations of alumni to donate to their alma mater represents a further implication provided by the study. </w:t>
      </w:r>
      <w:r w:rsidR="0040069E" w:rsidRPr="00771F08">
        <w:rPr>
          <w:rFonts w:ascii="Times New Roman" w:hAnsi="Times New Roman" w:cs="Times New Roman"/>
          <w:szCs w:val="24"/>
          <w:lang w:val="en-GB"/>
        </w:rPr>
        <w:t>T</w:t>
      </w:r>
      <w:r w:rsidRPr="00771F08">
        <w:rPr>
          <w:rFonts w:ascii="Times New Roman" w:hAnsi="Times New Roman" w:cs="Times New Roman"/>
          <w:szCs w:val="24"/>
          <w:lang w:val="en-GB"/>
        </w:rPr>
        <w:t>he more</w:t>
      </w:r>
      <w:r w:rsidR="00EF6027" w:rsidRPr="00771F08">
        <w:rPr>
          <w:rFonts w:ascii="Times New Roman" w:hAnsi="Times New Roman" w:cs="Times New Roman"/>
          <w:szCs w:val="24"/>
          <w:lang w:val="en-GB"/>
        </w:rPr>
        <w:t xml:space="preserve"> positive</w:t>
      </w:r>
      <w:r w:rsidRPr="00771F08">
        <w:rPr>
          <w:rFonts w:ascii="Times New Roman" w:hAnsi="Times New Roman" w:cs="Times New Roman"/>
          <w:szCs w:val="24"/>
          <w:lang w:val="en-GB"/>
        </w:rPr>
        <w:t xml:space="preserve"> the experiences </w:t>
      </w:r>
      <w:r w:rsidR="002517FB" w:rsidRPr="00771F08">
        <w:rPr>
          <w:rFonts w:ascii="Times New Roman" w:hAnsi="Times New Roman" w:cs="Times New Roman"/>
          <w:szCs w:val="24"/>
          <w:lang w:val="en-GB"/>
        </w:rPr>
        <w:t xml:space="preserve">undergone </w:t>
      </w:r>
      <w:r w:rsidRPr="00771F08">
        <w:rPr>
          <w:rFonts w:ascii="Times New Roman" w:hAnsi="Times New Roman" w:cs="Times New Roman"/>
          <w:szCs w:val="24"/>
          <w:lang w:val="en-GB"/>
        </w:rPr>
        <w:t xml:space="preserve">by students during their degree course </w:t>
      </w:r>
      <w:r w:rsidR="0040069E" w:rsidRPr="00771F08">
        <w:rPr>
          <w:rFonts w:ascii="Times New Roman" w:hAnsi="Times New Roman" w:cs="Times New Roman"/>
          <w:szCs w:val="24"/>
          <w:lang w:val="en-GB"/>
        </w:rPr>
        <w:t>are</w:t>
      </w:r>
      <w:r w:rsidR="00EF6027" w:rsidRPr="00771F08">
        <w:rPr>
          <w:rFonts w:ascii="Times New Roman" w:hAnsi="Times New Roman" w:cs="Times New Roman"/>
          <w:szCs w:val="24"/>
          <w:lang w:val="en-GB"/>
        </w:rPr>
        <w:t xml:space="preserve">, </w:t>
      </w:r>
      <w:r w:rsidRPr="00771F08">
        <w:rPr>
          <w:rFonts w:ascii="Times New Roman" w:hAnsi="Times New Roman" w:cs="Times New Roman"/>
          <w:szCs w:val="24"/>
          <w:lang w:val="en-GB"/>
        </w:rPr>
        <w:t xml:space="preserve">the more they will become confident alumni in the future. </w:t>
      </w:r>
      <w:r w:rsidR="0040069E" w:rsidRPr="00771F08">
        <w:rPr>
          <w:rFonts w:ascii="Times New Roman" w:hAnsi="Times New Roman" w:cs="Times New Roman"/>
          <w:szCs w:val="24"/>
          <w:lang w:val="en-GB"/>
        </w:rPr>
        <w:t>T</w:t>
      </w:r>
      <w:r w:rsidRPr="00771F08">
        <w:rPr>
          <w:rFonts w:ascii="Times New Roman" w:hAnsi="Times New Roman" w:cs="Times New Roman"/>
          <w:szCs w:val="24"/>
          <w:lang w:val="en-GB"/>
        </w:rPr>
        <w:t xml:space="preserve">his trust, built and nourished over time, could be translated into emotional attachment (commitment) and supportive </w:t>
      </w:r>
      <w:r w:rsidR="00175ACB" w:rsidRPr="00771F08">
        <w:rPr>
          <w:rFonts w:ascii="Times New Roman" w:hAnsi="Times New Roman" w:cs="Times New Roman"/>
          <w:szCs w:val="24"/>
          <w:lang w:val="en-GB"/>
        </w:rPr>
        <w:t>behaviours</w:t>
      </w:r>
      <w:r w:rsidRPr="00771F08">
        <w:rPr>
          <w:rFonts w:ascii="Times New Roman" w:hAnsi="Times New Roman" w:cs="Times New Roman"/>
          <w:szCs w:val="24"/>
          <w:lang w:val="en-GB"/>
        </w:rPr>
        <w:t xml:space="preserve"> (support), which in turn can also lead to a more marked alumn</w:t>
      </w:r>
      <w:r w:rsidR="00EF6027" w:rsidRPr="00771F08">
        <w:rPr>
          <w:rFonts w:ascii="Times New Roman" w:hAnsi="Times New Roman" w:cs="Times New Roman"/>
          <w:szCs w:val="24"/>
          <w:lang w:val="en-GB"/>
        </w:rPr>
        <w:t>i</w:t>
      </w:r>
      <w:r w:rsidRPr="00771F08">
        <w:rPr>
          <w:rFonts w:ascii="Times New Roman" w:hAnsi="Times New Roman" w:cs="Times New Roman"/>
          <w:szCs w:val="24"/>
          <w:lang w:val="en-GB"/>
        </w:rPr>
        <w:t xml:space="preserve"> inclination to donate.</w:t>
      </w:r>
      <w:r w:rsidR="00B81AAC" w:rsidRPr="00771F08">
        <w:rPr>
          <w:rFonts w:ascii="Times New Roman" w:hAnsi="Times New Roman" w:cs="Times New Roman"/>
          <w:szCs w:val="24"/>
          <w:lang w:val="en-GB"/>
        </w:rPr>
        <w:t xml:space="preserve"> </w:t>
      </w:r>
      <w:r w:rsidR="00EF6027" w:rsidRPr="00771F08">
        <w:rPr>
          <w:rFonts w:ascii="Times New Roman" w:hAnsi="Times New Roman" w:cs="Times New Roman"/>
          <w:szCs w:val="24"/>
          <w:lang w:val="en-GB"/>
        </w:rPr>
        <w:t xml:space="preserve">Faced with this possible process, universities are recommended to </w:t>
      </w:r>
      <w:r w:rsidR="00727F74" w:rsidRPr="00771F08">
        <w:rPr>
          <w:rFonts w:ascii="Times New Roman" w:hAnsi="Times New Roman" w:cs="Times New Roman"/>
          <w:szCs w:val="24"/>
          <w:lang w:val="en-GB"/>
        </w:rPr>
        <w:t>organi</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e</w:t>
      </w:r>
      <w:r w:rsidR="00EF6027" w:rsidRPr="00771F08">
        <w:rPr>
          <w:rFonts w:ascii="Times New Roman" w:hAnsi="Times New Roman" w:cs="Times New Roman"/>
          <w:szCs w:val="24"/>
          <w:lang w:val="en-GB"/>
        </w:rPr>
        <w:t xml:space="preserve"> specific activities for each phase in order to: </w:t>
      </w:r>
      <w:r w:rsidR="00B81AAC" w:rsidRPr="00771F08">
        <w:rPr>
          <w:rFonts w:ascii="Times New Roman" w:hAnsi="Times New Roman" w:cs="Times New Roman"/>
          <w:szCs w:val="24"/>
          <w:lang w:val="en-GB"/>
        </w:rPr>
        <w:t xml:space="preserve">(i) </w:t>
      </w:r>
      <w:r w:rsidR="00C26003" w:rsidRPr="00771F08">
        <w:rPr>
          <w:rFonts w:ascii="Times New Roman" w:hAnsi="Times New Roman" w:cs="Times New Roman"/>
          <w:szCs w:val="24"/>
          <w:lang w:val="en-GB"/>
        </w:rPr>
        <w:t xml:space="preserve">allow students to </w:t>
      </w:r>
      <w:r w:rsidR="002517FB" w:rsidRPr="00771F08">
        <w:rPr>
          <w:rFonts w:ascii="Times New Roman" w:hAnsi="Times New Roman" w:cs="Times New Roman"/>
          <w:szCs w:val="24"/>
          <w:lang w:val="en-GB"/>
        </w:rPr>
        <w:t xml:space="preserve">have </w:t>
      </w:r>
      <w:r w:rsidR="00C26003" w:rsidRPr="00771F08">
        <w:rPr>
          <w:rFonts w:ascii="Times New Roman" w:hAnsi="Times New Roman" w:cs="Times New Roman"/>
          <w:szCs w:val="24"/>
          <w:lang w:val="en-GB"/>
        </w:rPr>
        <w:t xml:space="preserve">positive experiences during their degree course (not only experiences related to </w:t>
      </w:r>
      <w:r w:rsidR="00142F0A" w:rsidRPr="00771F08">
        <w:rPr>
          <w:rFonts w:ascii="Times New Roman" w:hAnsi="Times New Roman" w:cs="Times New Roman"/>
          <w:szCs w:val="24"/>
          <w:lang w:val="en-GB"/>
        </w:rPr>
        <w:t>their academic career</w:t>
      </w:r>
      <w:r w:rsidR="00C26003" w:rsidRPr="00771F08">
        <w:rPr>
          <w:rFonts w:ascii="Times New Roman" w:hAnsi="Times New Roman" w:cs="Times New Roman"/>
          <w:szCs w:val="24"/>
          <w:lang w:val="en-GB"/>
        </w:rPr>
        <w:t xml:space="preserve">, but also linked to moments of leisure and interaction </w:t>
      </w:r>
      <w:r w:rsidR="00142F0A" w:rsidRPr="00771F08">
        <w:rPr>
          <w:rFonts w:ascii="Times New Roman" w:hAnsi="Times New Roman" w:cs="Times New Roman"/>
          <w:szCs w:val="24"/>
          <w:lang w:val="en-GB"/>
        </w:rPr>
        <w:t xml:space="preserve">between each other); (ii) maintain and constantly nurture the trust of their </w:t>
      </w:r>
      <w:r w:rsidR="00C35BEF" w:rsidRPr="00771F08">
        <w:rPr>
          <w:rFonts w:ascii="Times New Roman" w:hAnsi="Times New Roman" w:cs="Times New Roman"/>
          <w:szCs w:val="24"/>
          <w:lang w:val="en-GB"/>
        </w:rPr>
        <w:t>alumni</w:t>
      </w:r>
      <w:r w:rsidR="00142F0A" w:rsidRPr="00771F08">
        <w:rPr>
          <w:rFonts w:ascii="Times New Roman" w:hAnsi="Times New Roman" w:cs="Times New Roman"/>
          <w:szCs w:val="24"/>
          <w:lang w:val="en-GB"/>
        </w:rPr>
        <w:t xml:space="preserve">, by adopting activities </w:t>
      </w:r>
      <w:r w:rsidR="00C35BEF" w:rsidRPr="00771F08">
        <w:rPr>
          <w:rFonts w:ascii="Times New Roman" w:hAnsi="Times New Roman" w:cs="Times New Roman"/>
          <w:szCs w:val="24"/>
          <w:lang w:val="en-GB"/>
        </w:rPr>
        <w:t>aimed at</w:t>
      </w:r>
      <w:r w:rsidR="00142F0A" w:rsidRPr="00771F08">
        <w:rPr>
          <w:rFonts w:ascii="Times New Roman" w:hAnsi="Times New Roman" w:cs="Times New Roman"/>
          <w:szCs w:val="24"/>
          <w:lang w:val="en-GB"/>
        </w:rPr>
        <w:t xml:space="preserve"> remind</w:t>
      </w:r>
      <w:r w:rsidR="00C35BEF" w:rsidRPr="00771F08">
        <w:rPr>
          <w:rFonts w:ascii="Times New Roman" w:hAnsi="Times New Roman" w:cs="Times New Roman"/>
          <w:szCs w:val="24"/>
          <w:lang w:val="en-GB"/>
        </w:rPr>
        <w:t>ing</w:t>
      </w:r>
      <w:r w:rsidR="00142F0A" w:rsidRPr="00771F08">
        <w:rPr>
          <w:rFonts w:ascii="Times New Roman" w:hAnsi="Times New Roman" w:cs="Times New Roman"/>
          <w:szCs w:val="24"/>
          <w:lang w:val="en-GB"/>
        </w:rPr>
        <w:t xml:space="preserve"> </w:t>
      </w:r>
      <w:r w:rsidR="00C35BEF" w:rsidRPr="00771F08">
        <w:rPr>
          <w:rFonts w:ascii="Times New Roman" w:hAnsi="Times New Roman" w:cs="Times New Roman"/>
          <w:szCs w:val="24"/>
          <w:lang w:val="en-GB"/>
        </w:rPr>
        <w:t xml:space="preserve">them </w:t>
      </w:r>
      <w:r w:rsidR="00142F0A" w:rsidRPr="00771F08">
        <w:rPr>
          <w:rFonts w:ascii="Times New Roman" w:hAnsi="Times New Roman" w:cs="Times New Roman"/>
          <w:szCs w:val="24"/>
          <w:lang w:val="en-GB"/>
        </w:rPr>
        <w:t xml:space="preserve">that the university has not forgotten </w:t>
      </w:r>
      <w:r w:rsidR="00C35BEF" w:rsidRPr="00771F08">
        <w:rPr>
          <w:rFonts w:ascii="Times New Roman" w:hAnsi="Times New Roman" w:cs="Times New Roman"/>
          <w:szCs w:val="24"/>
          <w:lang w:val="en-GB"/>
        </w:rPr>
        <w:t>its students</w:t>
      </w:r>
      <w:r w:rsidR="00142F0A" w:rsidRPr="00771F08">
        <w:rPr>
          <w:rFonts w:ascii="Times New Roman" w:hAnsi="Times New Roman" w:cs="Times New Roman"/>
          <w:szCs w:val="24"/>
          <w:lang w:val="en-GB"/>
        </w:rPr>
        <w:t xml:space="preserve"> after </w:t>
      </w:r>
      <w:r w:rsidR="00C35BEF" w:rsidRPr="00771F08">
        <w:rPr>
          <w:rFonts w:ascii="Times New Roman" w:hAnsi="Times New Roman" w:cs="Times New Roman"/>
          <w:szCs w:val="24"/>
          <w:lang w:val="en-GB"/>
        </w:rPr>
        <w:t>their graduation (e.g.</w:t>
      </w:r>
      <w:r w:rsidR="008E3B9F" w:rsidRPr="00771F08">
        <w:rPr>
          <w:rFonts w:ascii="Times New Roman" w:hAnsi="Times New Roman" w:cs="Times New Roman"/>
          <w:szCs w:val="24"/>
          <w:lang w:val="en-GB"/>
        </w:rPr>
        <w:t>,</w:t>
      </w:r>
      <w:r w:rsidR="00C35BEF" w:rsidRPr="00771F08">
        <w:rPr>
          <w:rFonts w:ascii="Times New Roman" w:hAnsi="Times New Roman" w:cs="Times New Roman"/>
          <w:szCs w:val="24"/>
          <w:lang w:val="en-GB"/>
        </w:rPr>
        <w:t xml:space="preserve"> </w:t>
      </w:r>
      <w:r w:rsidR="00727F74" w:rsidRPr="00771F08">
        <w:rPr>
          <w:rFonts w:ascii="Times New Roman" w:hAnsi="Times New Roman" w:cs="Times New Roman"/>
          <w:szCs w:val="24"/>
          <w:lang w:val="en-GB"/>
        </w:rPr>
        <w:t>organi</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ation</w:t>
      </w:r>
      <w:r w:rsidR="00C35BEF" w:rsidRPr="00771F08">
        <w:rPr>
          <w:rFonts w:ascii="Times New Roman" w:hAnsi="Times New Roman" w:cs="Times New Roman"/>
          <w:szCs w:val="24"/>
          <w:lang w:val="en-GB"/>
        </w:rPr>
        <w:t xml:space="preserve"> of events dedicated to ex-students; submission of newsletters or online surveys with the final aim of learning more about their work path after graduation, or in order to inform them about new educational opportunities such as </w:t>
      </w:r>
      <w:r w:rsidR="00EF6027" w:rsidRPr="00771F08">
        <w:rPr>
          <w:rFonts w:ascii="Times New Roman" w:hAnsi="Times New Roman" w:cs="Times New Roman"/>
          <w:szCs w:val="24"/>
          <w:lang w:val="en-GB"/>
        </w:rPr>
        <w:t>M</w:t>
      </w:r>
      <w:r w:rsidR="00C35BEF" w:rsidRPr="00771F08">
        <w:rPr>
          <w:rFonts w:ascii="Times New Roman" w:hAnsi="Times New Roman" w:cs="Times New Roman"/>
          <w:szCs w:val="24"/>
          <w:lang w:val="en-GB"/>
        </w:rPr>
        <w:t>asters</w:t>
      </w:r>
      <w:r w:rsidR="00786EBA" w:rsidRPr="00771F08">
        <w:rPr>
          <w:rFonts w:ascii="Times New Roman" w:hAnsi="Times New Roman" w:cs="Times New Roman"/>
          <w:szCs w:val="24"/>
          <w:lang w:val="en-GB"/>
        </w:rPr>
        <w:t>, which could</w:t>
      </w:r>
      <w:r w:rsidR="00C35BEF" w:rsidRPr="00771F08">
        <w:rPr>
          <w:rFonts w:ascii="Times New Roman" w:hAnsi="Times New Roman" w:cs="Times New Roman"/>
          <w:szCs w:val="24"/>
          <w:lang w:val="en-GB"/>
        </w:rPr>
        <w:t xml:space="preserve"> </w:t>
      </w:r>
      <w:r w:rsidR="00786EBA" w:rsidRPr="00771F08">
        <w:rPr>
          <w:rFonts w:ascii="Times New Roman" w:hAnsi="Times New Roman" w:cs="Times New Roman"/>
          <w:szCs w:val="24"/>
          <w:lang w:val="en-GB"/>
        </w:rPr>
        <w:t>allow</w:t>
      </w:r>
      <w:r w:rsidR="00C35BEF" w:rsidRPr="00771F08">
        <w:rPr>
          <w:rFonts w:ascii="Times New Roman" w:hAnsi="Times New Roman" w:cs="Times New Roman"/>
          <w:szCs w:val="24"/>
          <w:lang w:val="en-GB"/>
        </w:rPr>
        <w:t xml:space="preserve"> them to </w:t>
      </w:r>
      <w:r w:rsidR="0040069E" w:rsidRPr="00771F08">
        <w:rPr>
          <w:rFonts w:ascii="Times New Roman" w:hAnsi="Times New Roman" w:cs="Times New Roman"/>
          <w:szCs w:val="24"/>
          <w:lang w:val="en-GB"/>
        </w:rPr>
        <w:t xml:space="preserve">build upon </w:t>
      </w:r>
      <w:r w:rsidR="00C35BEF" w:rsidRPr="00771F08">
        <w:rPr>
          <w:rFonts w:ascii="Times New Roman" w:hAnsi="Times New Roman" w:cs="Times New Roman"/>
          <w:szCs w:val="24"/>
          <w:lang w:val="en-GB"/>
        </w:rPr>
        <w:t>their previous studies)</w:t>
      </w:r>
      <w:r w:rsidR="00786EBA" w:rsidRPr="00771F08">
        <w:rPr>
          <w:rFonts w:ascii="Times New Roman" w:hAnsi="Times New Roman" w:cs="Times New Roman"/>
          <w:szCs w:val="24"/>
          <w:lang w:val="en-GB"/>
        </w:rPr>
        <w:t xml:space="preserve">; (iii) </w:t>
      </w:r>
      <w:r w:rsidR="007D1A76" w:rsidRPr="00771F08">
        <w:rPr>
          <w:rFonts w:ascii="Times New Roman" w:hAnsi="Times New Roman" w:cs="Times New Roman"/>
          <w:szCs w:val="24"/>
          <w:lang w:val="en-GB"/>
        </w:rPr>
        <w:t>adopt multiple tools able to strengthen the alumni’s e</w:t>
      </w:r>
      <w:r w:rsidR="00CD46DB" w:rsidRPr="00771F08">
        <w:rPr>
          <w:rFonts w:ascii="Times New Roman" w:hAnsi="Times New Roman" w:cs="Times New Roman"/>
          <w:szCs w:val="24"/>
          <w:lang w:val="en-GB"/>
        </w:rPr>
        <w:t xml:space="preserve">motional attachment </w:t>
      </w:r>
      <w:r w:rsidR="007D1A76" w:rsidRPr="00771F08">
        <w:rPr>
          <w:rFonts w:ascii="Times New Roman" w:hAnsi="Times New Roman" w:cs="Times New Roman"/>
          <w:szCs w:val="24"/>
          <w:lang w:val="en-GB"/>
        </w:rPr>
        <w:t>(e.g.</w:t>
      </w:r>
      <w:r w:rsidR="008E3B9F" w:rsidRPr="00771F08">
        <w:rPr>
          <w:rFonts w:ascii="Times New Roman" w:hAnsi="Times New Roman" w:cs="Times New Roman"/>
          <w:szCs w:val="24"/>
          <w:lang w:val="en-GB"/>
        </w:rPr>
        <w:t>,</w:t>
      </w:r>
      <w:r w:rsidR="007D1A76" w:rsidRPr="00771F08">
        <w:rPr>
          <w:sz w:val="20"/>
          <w:lang w:val="en-GB"/>
        </w:rPr>
        <w:t xml:space="preserve"> </w:t>
      </w:r>
      <w:r w:rsidR="0040069E" w:rsidRPr="00771F08">
        <w:rPr>
          <w:rFonts w:ascii="Times New Roman" w:hAnsi="Times New Roman" w:cs="Times New Roman"/>
          <w:szCs w:val="24"/>
          <w:lang w:val="en-GB"/>
        </w:rPr>
        <w:t xml:space="preserve">related to the </w:t>
      </w:r>
      <w:r w:rsidR="007D1A76" w:rsidRPr="00771F08">
        <w:rPr>
          <w:rFonts w:ascii="Times New Roman" w:hAnsi="Times New Roman" w:cs="Times New Roman"/>
          <w:szCs w:val="24"/>
          <w:lang w:val="en-GB"/>
        </w:rPr>
        <w:t>uni</w:t>
      </w:r>
      <w:r w:rsidR="008E3B9F" w:rsidRPr="00771F08">
        <w:rPr>
          <w:rFonts w:ascii="Times New Roman" w:hAnsi="Times New Roman" w:cs="Times New Roman"/>
          <w:szCs w:val="24"/>
          <w:lang w:val="en-GB"/>
        </w:rPr>
        <w:t xml:space="preserve">versity’s merchandising); (iv) stimulate the alumni’s supportive </w:t>
      </w:r>
      <w:r w:rsidR="00175ACB" w:rsidRPr="00771F08">
        <w:rPr>
          <w:rFonts w:ascii="Times New Roman" w:hAnsi="Times New Roman" w:cs="Times New Roman"/>
          <w:szCs w:val="24"/>
          <w:lang w:val="en-GB"/>
        </w:rPr>
        <w:t>behaviours</w:t>
      </w:r>
      <w:r w:rsidR="008E3B9F" w:rsidRPr="00771F08">
        <w:rPr>
          <w:rFonts w:ascii="Times New Roman" w:hAnsi="Times New Roman" w:cs="Times New Roman"/>
          <w:szCs w:val="24"/>
          <w:lang w:val="en-GB"/>
        </w:rPr>
        <w:t xml:space="preserve">, thus transforming </w:t>
      </w:r>
      <w:r w:rsidR="008E3B9F" w:rsidRPr="00771F08">
        <w:rPr>
          <w:rFonts w:ascii="Times New Roman" w:hAnsi="Times New Roman" w:cs="Times New Roman"/>
          <w:szCs w:val="24"/>
          <w:lang w:val="en-GB"/>
        </w:rPr>
        <w:lastRenderedPageBreak/>
        <w:t xml:space="preserve">them into active stakeholders (e.g., management of the social media communities, forums, blogs, </w:t>
      </w:r>
      <w:r w:rsidR="00195B7B" w:rsidRPr="00771F08">
        <w:rPr>
          <w:rFonts w:ascii="Times New Roman" w:hAnsi="Times New Roman" w:cs="Times New Roman"/>
          <w:szCs w:val="24"/>
          <w:lang w:val="en-GB"/>
        </w:rPr>
        <w:t>creation of</w:t>
      </w:r>
      <w:r w:rsidR="008E3B9F" w:rsidRPr="00771F08">
        <w:rPr>
          <w:rFonts w:ascii="Times New Roman" w:hAnsi="Times New Roman" w:cs="Times New Roman"/>
          <w:szCs w:val="24"/>
          <w:lang w:val="en-GB"/>
        </w:rPr>
        <w:t xml:space="preserve"> online groups</w:t>
      </w:r>
      <w:r w:rsidR="003808A7" w:rsidRPr="00771F08">
        <w:rPr>
          <w:rFonts w:ascii="Times New Roman" w:hAnsi="Times New Roman" w:cs="Times New Roman"/>
          <w:szCs w:val="24"/>
          <w:lang w:val="en-GB"/>
        </w:rPr>
        <w:t xml:space="preserve"> specifically target</w:t>
      </w:r>
      <w:r w:rsidR="007B0C5B" w:rsidRPr="00771F08">
        <w:rPr>
          <w:rFonts w:ascii="Times New Roman" w:hAnsi="Times New Roman" w:cs="Times New Roman"/>
          <w:szCs w:val="24"/>
          <w:lang w:val="en-GB"/>
        </w:rPr>
        <w:t>ing</w:t>
      </w:r>
      <w:r w:rsidR="009170ED" w:rsidRPr="00771F08">
        <w:rPr>
          <w:rFonts w:ascii="Times New Roman" w:hAnsi="Times New Roman" w:cs="Times New Roman"/>
          <w:szCs w:val="24"/>
          <w:lang w:val="en-GB"/>
        </w:rPr>
        <w:t xml:space="preserve"> </w:t>
      </w:r>
      <w:r w:rsidR="003808A7" w:rsidRPr="00771F08">
        <w:rPr>
          <w:rFonts w:ascii="Times New Roman" w:hAnsi="Times New Roman" w:cs="Times New Roman"/>
          <w:szCs w:val="24"/>
          <w:lang w:val="en-GB"/>
        </w:rPr>
        <w:t xml:space="preserve">ex-students with the aim of </w:t>
      </w:r>
      <w:r w:rsidR="007B0C5B" w:rsidRPr="00771F08">
        <w:rPr>
          <w:rFonts w:ascii="Times New Roman" w:hAnsi="Times New Roman" w:cs="Times New Roman"/>
          <w:szCs w:val="24"/>
          <w:lang w:val="en-GB"/>
        </w:rPr>
        <w:t>encouraging</w:t>
      </w:r>
      <w:r w:rsidR="009170ED" w:rsidRPr="00771F08">
        <w:rPr>
          <w:rFonts w:ascii="Times New Roman" w:hAnsi="Times New Roman" w:cs="Times New Roman"/>
          <w:szCs w:val="24"/>
          <w:lang w:val="en-GB"/>
        </w:rPr>
        <w:t xml:space="preserve"> </w:t>
      </w:r>
      <w:r w:rsidR="003808A7" w:rsidRPr="00771F08">
        <w:rPr>
          <w:rFonts w:ascii="Times New Roman" w:hAnsi="Times New Roman" w:cs="Times New Roman"/>
          <w:szCs w:val="24"/>
          <w:lang w:val="en-GB"/>
        </w:rPr>
        <w:t>them</w:t>
      </w:r>
      <w:r w:rsidR="007B0C5B" w:rsidRPr="00771F08">
        <w:rPr>
          <w:rFonts w:ascii="Times New Roman" w:hAnsi="Times New Roman" w:cs="Times New Roman"/>
          <w:szCs w:val="24"/>
          <w:lang w:val="en-GB"/>
        </w:rPr>
        <w:t xml:space="preserve"> to</w:t>
      </w:r>
      <w:r w:rsidR="008E3B9F" w:rsidRPr="00771F08">
        <w:rPr>
          <w:rFonts w:ascii="Times New Roman" w:hAnsi="Times New Roman" w:cs="Times New Roman"/>
          <w:szCs w:val="24"/>
          <w:lang w:val="en-GB"/>
        </w:rPr>
        <w:t xml:space="preserve"> participate in university life even after their graduation).</w:t>
      </w:r>
    </w:p>
    <w:p w14:paraId="4EDA0C3E" w14:textId="77777777" w:rsidR="00175ACB" w:rsidRPr="00771F08" w:rsidRDefault="00175ACB" w:rsidP="00237956">
      <w:pPr>
        <w:autoSpaceDE w:val="0"/>
        <w:autoSpaceDN w:val="0"/>
        <w:adjustRightInd w:val="0"/>
        <w:spacing w:after="0" w:line="240" w:lineRule="auto"/>
        <w:ind w:left="567" w:right="1133"/>
        <w:rPr>
          <w:rFonts w:ascii="Times New Roman" w:hAnsi="Times New Roman" w:cs="Times New Roman"/>
          <w:szCs w:val="24"/>
          <w:lang w:val="en-GB"/>
        </w:rPr>
      </w:pPr>
    </w:p>
    <w:p w14:paraId="51D42FD1" w14:textId="27816EF7" w:rsidR="00F006D6" w:rsidRPr="00771F08" w:rsidRDefault="00981A19" w:rsidP="00237956">
      <w:pPr>
        <w:pStyle w:val="ListParagraph"/>
        <w:numPr>
          <w:ilvl w:val="0"/>
          <w:numId w:val="3"/>
        </w:numPr>
        <w:autoSpaceDE w:val="0"/>
        <w:autoSpaceDN w:val="0"/>
        <w:adjustRightInd w:val="0"/>
        <w:spacing w:after="0" w:line="240" w:lineRule="auto"/>
        <w:ind w:right="1133"/>
        <w:rPr>
          <w:rFonts w:ascii="Times New Roman" w:hAnsi="Times New Roman" w:cs="Times New Roman"/>
          <w:b/>
          <w:szCs w:val="24"/>
          <w:lang w:val="en-GB"/>
        </w:rPr>
      </w:pPr>
      <w:r w:rsidRPr="00771F08">
        <w:rPr>
          <w:rFonts w:ascii="Times New Roman" w:hAnsi="Times New Roman" w:cs="Times New Roman"/>
          <w:b/>
          <w:szCs w:val="24"/>
          <w:lang w:val="en-GB"/>
        </w:rPr>
        <w:t>Limit</w:t>
      </w:r>
      <w:r w:rsidR="000308A6" w:rsidRPr="00771F08">
        <w:rPr>
          <w:rFonts w:ascii="Times New Roman" w:hAnsi="Times New Roman" w:cs="Times New Roman"/>
          <w:b/>
          <w:szCs w:val="24"/>
          <w:lang w:val="en-GB"/>
        </w:rPr>
        <w:t>ation</w:t>
      </w:r>
      <w:r w:rsidRPr="00771F08">
        <w:rPr>
          <w:rFonts w:ascii="Times New Roman" w:hAnsi="Times New Roman" w:cs="Times New Roman"/>
          <w:b/>
          <w:szCs w:val="24"/>
          <w:lang w:val="en-GB"/>
        </w:rPr>
        <w:t>s</w:t>
      </w:r>
      <w:r w:rsidR="00F006D6" w:rsidRPr="00771F08">
        <w:rPr>
          <w:rFonts w:ascii="Times New Roman" w:hAnsi="Times New Roman" w:cs="Times New Roman"/>
          <w:b/>
          <w:szCs w:val="24"/>
          <w:lang w:val="en-GB"/>
        </w:rPr>
        <w:t xml:space="preserve"> and future research</w:t>
      </w:r>
    </w:p>
    <w:p w14:paraId="44376E2A" w14:textId="4B96316B" w:rsidR="00AA6FCF" w:rsidRPr="00771F08" w:rsidRDefault="004D5FAC" w:rsidP="00237956">
      <w:pPr>
        <w:autoSpaceDE w:val="0"/>
        <w:autoSpaceDN w:val="0"/>
        <w:adjustRightInd w:val="0"/>
        <w:spacing w:after="0" w:line="240" w:lineRule="auto"/>
        <w:ind w:left="567" w:right="1133"/>
        <w:rPr>
          <w:rFonts w:ascii="Times New Roman" w:hAnsi="Times New Roman" w:cs="Times New Roman"/>
          <w:b/>
          <w:lang w:val="en-GB"/>
        </w:rPr>
      </w:pPr>
      <w:r w:rsidRPr="00771F08">
        <w:rPr>
          <w:rFonts w:ascii="Times New Roman" w:hAnsi="Times New Roman" w:cs="Times New Roman"/>
          <w:szCs w:val="24"/>
          <w:lang w:val="en-GB"/>
        </w:rPr>
        <w:t xml:space="preserve">This paper </w:t>
      </w:r>
      <w:r w:rsidR="00B62546" w:rsidRPr="00771F08">
        <w:rPr>
          <w:rFonts w:ascii="Times New Roman" w:hAnsi="Times New Roman" w:cs="Times New Roman"/>
          <w:szCs w:val="24"/>
          <w:lang w:val="en-GB"/>
        </w:rPr>
        <w:t xml:space="preserve">is subject to </w:t>
      </w:r>
      <w:r w:rsidRPr="00771F08">
        <w:rPr>
          <w:rFonts w:ascii="Times New Roman" w:hAnsi="Times New Roman" w:cs="Times New Roman"/>
          <w:szCs w:val="24"/>
          <w:lang w:val="en-GB"/>
        </w:rPr>
        <w:t>some limit</w:t>
      </w:r>
      <w:r w:rsidR="00147ABF" w:rsidRPr="00771F08">
        <w:rPr>
          <w:rFonts w:ascii="Times New Roman" w:hAnsi="Times New Roman" w:cs="Times New Roman"/>
          <w:szCs w:val="24"/>
          <w:lang w:val="en-GB"/>
        </w:rPr>
        <w:t>ation</w:t>
      </w:r>
      <w:r w:rsidR="00ED2BF7" w:rsidRPr="00771F08">
        <w:rPr>
          <w:rFonts w:ascii="Times New Roman" w:hAnsi="Times New Roman" w:cs="Times New Roman"/>
          <w:szCs w:val="24"/>
          <w:lang w:val="en-GB"/>
        </w:rPr>
        <w:t>s. First</w:t>
      </w:r>
      <w:r w:rsidRPr="00771F08">
        <w:rPr>
          <w:rFonts w:ascii="Times New Roman" w:hAnsi="Times New Roman" w:cs="Times New Roman"/>
          <w:szCs w:val="24"/>
          <w:lang w:val="en-GB"/>
        </w:rPr>
        <w:t xml:space="preserve">, we focused our attention only on the </w:t>
      </w:r>
      <w:r w:rsidR="00F63238" w:rsidRPr="00771F08">
        <w:rPr>
          <w:rFonts w:ascii="Times New Roman" w:hAnsi="Times New Roman" w:cs="Times New Roman"/>
          <w:szCs w:val="24"/>
          <w:lang w:val="en-GB"/>
        </w:rPr>
        <w:t xml:space="preserve">engagement, </w:t>
      </w:r>
      <w:r w:rsidR="00B81AAC" w:rsidRPr="00771F08">
        <w:rPr>
          <w:rFonts w:ascii="Times New Roman" w:hAnsi="Times New Roman" w:cs="Times New Roman"/>
          <w:szCs w:val="24"/>
          <w:lang w:val="en-GB"/>
        </w:rPr>
        <w:t>trust, support, and commitment</w:t>
      </w:r>
      <w:r w:rsidRPr="00771F08">
        <w:rPr>
          <w:rFonts w:ascii="Times New Roman" w:hAnsi="Times New Roman" w:cs="Times New Roman"/>
          <w:szCs w:val="24"/>
          <w:lang w:val="en-GB"/>
        </w:rPr>
        <w:t xml:space="preserve"> construct</w:t>
      </w:r>
      <w:r w:rsidR="00B81AAC" w:rsidRPr="00771F08">
        <w:rPr>
          <w:rFonts w:ascii="Times New Roman" w:hAnsi="Times New Roman" w:cs="Times New Roman"/>
          <w:szCs w:val="24"/>
          <w:lang w:val="en-GB"/>
        </w:rPr>
        <w:t>s</w:t>
      </w:r>
      <w:r w:rsidRPr="00771F08">
        <w:rPr>
          <w:rFonts w:ascii="Times New Roman" w:hAnsi="Times New Roman" w:cs="Times New Roman"/>
          <w:szCs w:val="24"/>
          <w:lang w:val="en-GB"/>
        </w:rPr>
        <w:t xml:space="preserve"> </w:t>
      </w:r>
      <w:r w:rsidR="00F1332A" w:rsidRPr="00771F08">
        <w:rPr>
          <w:rFonts w:ascii="Times New Roman" w:hAnsi="Times New Roman" w:cs="Times New Roman"/>
          <w:szCs w:val="24"/>
          <w:lang w:val="en-GB"/>
        </w:rPr>
        <w:t>as antecedents of</w:t>
      </w:r>
      <w:r w:rsidR="00921965" w:rsidRPr="00771F08">
        <w:rPr>
          <w:rFonts w:ascii="Times New Roman" w:hAnsi="Times New Roman" w:cs="Times New Roman"/>
          <w:szCs w:val="24"/>
          <w:lang w:val="en-GB"/>
        </w:rPr>
        <w:t xml:space="preserve"> </w:t>
      </w:r>
      <w:r w:rsidRPr="00771F08">
        <w:rPr>
          <w:rFonts w:ascii="Times New Roman" w:hAnsi="Times New Roman" w:cs="Times New Roman"/>
          <w:szCs w:val="24"/>
          <w:lang w:val="en-GB"/>
        </w:rPr>
        <w:t xml:space="preserve">attitude toward donations. </w:t>
      </w:r>
      <w:r w:rsidR="00135381" w:rsidRPr="00771F08">
        <w:rPr>
          <w:rFonts w:ascii="Times New Roman" w:hAnsi="Times New Roman" w:cs="Times New Roman"/>
          <w:szCs w:val="24"/>
          <w:lang w:val="en-GB"/>
        </w:rPr>
        <w:t>In the future, i</w:t>
      </w:r>
      <w:r w:rsidRPr="00771F08">
        <w:rPr>
          <w:rFonts w:ascii="Times New Roman" w:hAnsi="Times New Roman" w:cs="Times New Roman"/>
          <w:szCs w:val="24"/>
          <w:lang w:val="en-GB"/>
        </w:rPr>
        <w:t xml:space="preserve">t could be interesting to </w:t>
      </w:r>
      <w:r w:rsidR="00501188" w:rsidRPr="00771F08">
        <w:rPr>
          <w:rFonts w:ascii="Times New Roman" w:hAnsi="Times New Roman" w:cs="Times New Roman"/>
          <w:szCs w:val="24"/>
          <w:lang w:val="en-GB"/>
        </w:rPr>
        <w:t>analy</w:t>
      </w:r>
      <w:r w:rsidR="00771F08" w:rsidRPr="00771F08">
        <w:rPr>
          <w:rFonts w:ascii="Times New Roman" w:hAnsi="Times New Roman" w:cs="Times New Roman"/>
          <w:szCs w:val="24"/>
          <w:lang w:val="en-GB"/>
        </w:rPr>
        <w:t>s</w:t>
      </w:r>
      <w:r w:rsidR="00501188" w:rsidRPr="00771F08">
        <w:rPr>
          <w:rFonts w:ascii="Times New Roman" w:hAnsi="Times New Roman" w:cs="Times New Roman"/>
          <w:szCs w:val="24"/>
          <w:lang w:val="en-GB"/>
        </w:rPr>
        <w:t>e</w:t>
      </w:r>
      <w:r w:rsidRPr="00771F08">
        <w:rPr>
          <w:rFonts w:ascii="Times New Roman" w:hAnsi="Times New Roman" w:cs="Times New Roman"/>
          <w:szCs w:val="24"/>
          <w:lang w:val="en-GB"/>
        </w:rPr>
        <w:t xml:space="preserve"> additional </w:t>
      </w:r>
      <w:r w:rsidR="00697311" w:rsidRPr="00771F08">
        <w:rPr>
          <w:rFonts w:ascii="Times New Roman" w:hAnsi="Times New Roman" w:cs="Times New Roman"/>
          <w:szCs w:val="24"/>
          <w:lang w:val="en-GB"/>
        </w:rPr>
        <w:t xml:space="preserve">constructs </w:t>
      </w:r>
      <w:r w:rsidRPr="00771F08">
        <w:rPr>
          <w:rFonts w:ascii="Times New Roman" w:hAnsi="Times New Roman" w:cs="Times New Roman"/>
          <w:szCs w:val="24"/>
          <w:lang w:val="en-GB"/>
        </w:rPr>
        <w:t xml:space="preserve">such as </w:t>
      </w:r>
      <w:r w:rsidR="000F7130" w:rsidRPr="00771F08">
        <w:rPr>
          <w:rFonts w:ascii="Times New Roman" w:hAnsi="Times New Roman" w:cs="Times New Roman"/>
          <w:szCs w:val="24"/>
          <w:lang w:val="en-GB"/>
        </w:rPr>
        <w:t>attachment strength</w:t>
      </w:r>
      <w:r w:rsidR="00872002" w:rsidRPr="00771F08">
        <w:rPr>
          <w:rFonts w:ascii="Times New Roman" w:hAnsi="Times New Roman" w:cs="Times New Roman"/>
          <w:szCs w:val="24"/>
          <w:lang w:val="en-GB"/>
        </w:rPr>
        <w:t>, reputation, satisfaction, and perceived quality (</w:t>
      </w:r>
      <w:r w:rsidR="00EA4961" w:rsidRPr="00771F08">
        <w:rPr>
          <w:rFonts w:ascii="Times New Roman" w:hAnsi="Times New Roman" w:cs="Times New Roman"/>
          <w:lang w:val="en-GB"/>
        </w:rPr>
        <w:t>Dennis et al</w:t>
      </w:r>
      <w:r w:rsidR="00AF4395" w:rsidRPr="00771F08">
        <w:rPr>
          <w:rFonts w:ascii="Times New Roman" w:hAnsi="Times New Roman" w:cs="Times New Roman"/>
          <w:szCs w:val="24"/>
          <w:lang w:val="en-GB"/>
        </w:rPr>
        <w:t xml:space="preserve"> </w:t>
      </w:r>
      <w:r w:rsidR="000F7130" w:rsidRPr="00771F08">
        <w:rPr>
          <w:rFonts w:ascii="Times New Roman" w:hAnsi="Times New Roman" w:cs="Times New Roman"/>
          <w:szCs w:val="24"/>
          <w:lang w:val="en-GB"/>
        </w:rPr>
        <w:t xml:space="preserve">2016; Jillapalli and Jillapalli </w:t>
      </w:r>
      <w:r w:rsidR="00872002" w:rsidRPr="00771F08">
        <w:rPr>
          <w:rFonts w:ascii="Times New Roman" w:hAnsi="Times New Roman" w:cs="Times New Roman"/>
          <w:szCs w:val="24"/>
          <w:lang w:val="en-GB"/>
        </w:rPr>
        <w:t>2014).</w:t>
      </w:r>
      <w:r w:rsidR="00E960E5" w:rsidRPr="00771F08">
        <w:rPr>
          <w:rFonts w:ascii="Times New Roman" w:hAnsi="Times New Roman" w:cs="Times New Roman"/>
          <w:szCs w:val="24"/>
          <w:lang w:val="en-GB"/>
        </w:rPr>
        <w:t xml:space="preserve"> </w:t>
      </w:r>
      <w:r w:rsidR="00697311" w:rsidRPr="00771F08">
        <w:rPr>
          <w:rFonts w:ascii="Times New Roman" w:hAnsi="Times New Roman" w:cs="Times New Roman"/>
          <w:szCs w:val="24"/>
          <w:lang w:val="en-GB"/>
        </w:rPr>
        <w:t xml:space="preserve">Similarly, future studies could also focus attention on additional outcome variables, such as the actual </w:t>
      </w:r>
      <w:r w:rsidR="00175ACB" w:rsidRPr="00771F08">
        <w:rPr>
          <w:rFonts w:ascii="Times New Roman" w:hAnsi="Times New Roman" w:cs="Times New Roman"/>
          <w:szCs w:val="24"/>
          <w:lang w:val="en-GB"/>
        </w:rPr>
        <w:t>behaviours</w:t>
      </w:r>
      <w:r w:rsidR="00697311" w:rsidRPr="00771F08">
        <w:rPr>
          <w:rFonts w:ascii="Times New Roman" w:hAnsi="Times New Roman" w:cs="Times New Roman"/>
          <w:szCs w:val="24"/>
          <w:lang w:val="en-GB"/>
        </w:rPr>
        <w:t xml:space="preserve"> of alumni giving instead of their attitude toward donations. </w:t>
      </w:r>
      <w:r w:rsidR="001A332D" w:rsidRPr="00771F08">
        <w:rPr>
          <w:rFonts w:ascii="Times New Roman" w:hAnsi="Times New Roman" w:cs="Times New Roman"/>
          <w:szCs w:val="24"/>
          <w:lang w:val="en-GB"/>
        </w:rPr>
        <w:t>Second,</w:t>
      </w:r>
      <w:r w:rsidR="00F1332A" w:rsidRPr="00771F08">
        <w:rPr>
          <w:rFonts w:ascii="Times New Roman" w:hAnsi="Times New Roman" w:cs="Times New Roman"/>
          <w:szCs w:val="24"/>
          <w:lang w:val="en-GB"/>
        </w:rPr>
        <w:t xml:space="preserve"> we employed</w:t>
      </w:r>
      <w:r w:rsidR="00697311" w:rsidRPr="00771F08">
        <w:rPr>
          <w:rFonts w:ascii="Times New Roman" w:hAnsi="Times New Roman" w:cs="Times New Roman"/>
          <w:szCs w:val="24"/>
          <w:lang w:val="en-GB"/>
        </w:rPr>
        <w:t xml:space="preserve"> </w:t>
      </w:r>
      <w:r w:rsidR="009913D3" w:rsidRPr="00771F08">
        <w:rPr>
          <w:rFonts w:ascii="Times New Roman" w:hAnsi="Times New Roman" w:cs="Times New Roman"/>
          <w:szCs w:val="24"/>
          <w:lang w:val="en-GB"/>
        </w:rPr>
        <w:t xml:space="preserve">a </w:t>
      </w:r>
      <w:r w:rsidR="00E960E5" w:rsidRPr="00771F08">
        <w:rPr>
          <w:rFonts w:ascii="Times New Roman" w:hAnsi="Times New Roman" w:cs="Times New Roman"/>
          <w:szCs w:val="24"/>
          <w:lang w:val="en-GB"/>
        </w:rPr>
        <w:t>convenien</w:t>
      </w:r>
      <w:r w:rsidR="00785194" w:rsidRPr="00771F08">
        <w:rPr>
          <w:rFonts w:ascii="Times New Roman" w:hAnsi="Times New Roman" w:cs="Times New Roman"/>
          <w:szCs w:val="24"/>
          <w:lang w:val="en-GB"/>
        </w:rPr>
        <w:t>ce</w:t>
      </w:r>
      <w:r w:rsidR="001A332D" w:rsidRPr="00771F08">
        <w:rPr>
          <w:rFonts w:ascii="Times New Roman" w:hAnsi="Times New Roman" w:cs="Times New Roman"/>
          <w:szCs w:val="24"/>
          <w:lang w:val="en-GB"/>
        </w:rPr>
        <w:t xml:space="preserve"> sample</w:t>
      </w:r>
      <w:r w:rsidR="00E960E5" w:rsidRPr="00771F08">
        <w:rPr>
          <w:rFonts w:ascii="Times New Roman" w:hAnsi="Times New Roman" w:cs="Times New Roman"/>
          <w:szCs w:val="24"/>
          <w:lang w:val="en-GB"/>
        </w:rPr>
        <w:t xml:space="preserve">, </w:t>
      </w:r>
      <w:r w:rsidR="006F0266" w:rsidRPr="00771F08">
        <w:rPr>
          <w:rFonts w:ascii="Times New Roman" w:hAnsi="Times New Roman" w:cs="Times New Roman"/>
          <w:szCs w:val="24"/>
          <w:lang w:val="en-GB"/>
        </w:rPr>
        <w:t>which compromise</w:t>
      </w:r>
      <w:r w:rsidR="00F31CD4" w:rsidRPr="00771F08">
        <w:rPr>
          <w:rFonts w:ascii="Times New Roman" w:hAnsi="Times New Roman" w:cs="Times New Roman"/>
          <w:szCs w:val="24"/>
          <w:lang w:val="en-GB"/>
        </w:rPr>
        <w:t>s</w:t>
      </w:r>
      <w:r w:rsidR="00E960E5" w:rsidRPr="00771F08">
        <w:rPr>
          <w:rFonts w:ascii="Times New Roman" w:hAnsi="Times New Roman" w:cs="Times New Roman"/>
          <w:szCs w:val="24"/>
          <w:lang w:val="en-GB"/>
        </w:rPr>
        <w:t xml:space="preserve"> the ability to </w:t>
      </w:r>
      <w:r w:rsidR="00727F74" w:rsidRPr="00771F08">
        <w:rPr>
          <w:rFonts w:ascii="Times New Roman" w:hAnsi="Times New Roman" w:cs="Times New Roman"/>
          <w:szCs w:val="24"/>
          <w:lang w:val="en-GB"/>
        </w:rPr>
        <w:t>generali</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e</w:t>
      </w:r>
      <w:r w:rsidR="00E960E5" w:rsidRPr="00771F08">
        <w:rPr>
          <w:rFonts w:ascii="Times New Roman" w:hAnsi="Times New Roman" w:cs="Times New Roman"/>
          <w:szCs w:val="24"/>
          <w:lang w:val="en-GB"/>
        </w:rPr>
        <w:t xml:space="preserve"> to the population. Future studies could use the insights emerging from this work as a basis for developing </w:t>
      </w:r>
      <w:r w:rsidR="00F1332A" w:rsidRPr="00771F08">
        <w:rPr>
          <w:rFonts w:ascii="Times New Roman" w:hAnsi="Times New Roman" w:cs="Times New Roman"/>
          <w:szCs w:val="24"/>
          <w:lang w:val="en-GB"/>
        </w:rPr>
        <w:t>studies</w:t>
      </w:r>
      <w:r w:rsidR="00E960E5" w:rsidRPr="00771F08">
        <w:rPr>
          <w:rFonts w:ascii="Times New Roman" w:hAnsi="Times New Roman" w:cs="Times New Roman"/>
          <w:szCs w:val="24"/>
          <w:lang w:val="en-GB"/>
        </w:rPr>
        <w:t xml:space="preserve"> on the same </w:t>
      </w:r>
      <w:r w:rsidR="00785194" w:rsidRPr="00771F08">
        <w:rPr>
          <w:rFonts w:ascii="Times New Roman" w:hAnsi="Times New Roman" w:cs="Times New Roman"/>
          <w:szCs w:val="24"/>
          <w:lang w:val="en-GB"/>
        </w:rPr>
        <w:t xml:space="preserve">or extended </w:t>
      </w:r>
      <w:r w:rsidR="00E960E5" w:rsidRPr="00771F08">
        <w:rPr>
          <w:rFonts w:ascii="Times New Roman" w:hAnsi="Times New Roman" w:cs="Times New Roman"/>
          <w:szCs w:val="24"/>
          <w:lang w:val="en-GB"/>
        </w:rPr>
        <w:t>target population</w:t>
      </w:r>
      <w:r w:rsidR="00785194" w:rsidRPr="00771F08">
        <w:rPr>
          <w:rFonts w:ascii="Times New Roman" w:hAnsi="Times New Roman" w:cs="Times New Roman"/>
          <w:szCs w:val="24"/>
          <w:lang w:val="en-GB"/>
        </w:rPr>
        <w:t>s</w:t>
      </w:r>
      <w:r w:rsidR="00F1332A" w:rsidRPr="00771F08">
        <w:rPr>
          <w:rFonts w:ascii="Times New Roman" w:hAnsi="Times New Roman" w:cs="Times New Roman"/>
          <w:szCs w:val="24"/>
          <w:lang w:val="en-GB"/>
        </w:rPr>
        <w:t xml:space="preserve"> by drawing </w:t>
      </w:r>
      <w:r w:rsidR="002517FB" w:rsidRPr="00771F08">
        <w:rPr>
          <w:rFonts w:ascii="Times New Roman" w:hAnsi="Times New Roman" w:cs="Times New Roman"/>
          <w:szCs w:val="24"/>
          <w:lang w:val="en-GB"/>
        </w:rPr>
        <w:t xml:space="preserve">on </w:t>
      </w:r>
      <w:r w:rsidR="00F1332A" w:rsidRPr="00771F08">
        <w:rPr>
          <w:rFonts w:ascii="Times New Roman" w:hAnsi="Times New Roman" w:cs="Times New Roman"/>
          <w:szCs w:val="24"/>
          <w:lang w:val="en-GB"/>
        </w:rPr>
        <w:t>probability samples</w:t>
      </w:r>
      <w:r w:rsidR="00E960E5" w:rsidRPr="00771F08">
        <w:rPr>
          <w:rFonts w:ascii="Times New Roman" w:hAnsi="Times New Roman" w:cs="Times New Roman"/>
          <w:szCs w:val="24"/>
          <w:lang w:val="en-GB"/>
        </w:rPr>
        <w:t>.</w:t>
      </w:r>
      <w:r w:rsidR="00AA6FCF" w:rsidRPr="00771F08">
        <w:rPr>
          <w:rFonts w:ascii="Times New Roman" w:hAnsi="Times New Roman" w:cs="Times New Roman"/>
          <w:szCs w:val="24"/>
          <w:lang w:val="en-GB"/>
        </w:rPr>
        <w:t xml:space="preserve"> </w:t>
      </w:r>
      <w:r w:rsidR="00540876" w:rsidRPr="00771F08">
        <w:rPr>
          <w:rFonts w:ascii="Times New Roman" w:hAnsi="Times New Roman" w:cs="Times New Roman"/>
          <w:szCs w:val="24"/>
          <w:lang w:val="en-GB"/>
        </w:rPr>
        <w:t>Third</w:t>
      </w:r>
      <w:r w:rsidR="00D24B19" w:rsidRPr="00771F08">
        <w:rPr>
          <w:rFonts w:ascii="Times New Roman" w:hAnsi="Times New Roman" w:cs="Times New Roman"/>
          <w:szCs w:val="24"/>
          <w:lang w:val="en-GB"/>
        </w:rPr>
        <w:t xml:space="preserve">, only two countries (USA and Italy) have been selected and </w:t>
      </w:r>
      <w:r w:rsidR="00727F74" w:rsidRPr="00771F08">
        <w:rPr>
          <w:rFonts w:ascii="Times New Roman" w:hAnsi="Times New Roman" w:cs="Times New Roman"/>
          <w:szCs w:val="24"/>
          <w:lang w:val="en-GB"/>
        </w:rPr>
        <w:t>analy</w:t>
      </w:r>
      <w:r w:rsidR="00771F08" w:rsidRPr="00771F08">
        <w:rPr>
          <w:rFonts w:ascii="Times New Roman" w:hAnsi="Times New Roman" w:cs="Times New Roman"/>
          <w:szCs w:val="24"/>
          <w:lang w:val="en-GB"/>
        </w:rPr>
        <w:t>s</w:t>
      </w:r>
      <w:r w:rsidR="00727F74" w:rsidRPr="00771F08">
        <w:rPr>
          <w:rFonts w:ascii="Times New Roman" w:hAnsi="Times New Roman" w:cs="Times New Roman"/>
          <w:szCs w:val="24"/>
          <w:lang w:val="en-GB"/>
        </w:rPr>
        <w:t>ed</w:t>
      </w:r>
      <w:r w:rsidR="004471FF" w:rsidRPr="00771F08">
        <w:rPr>
          <w:rFonts w:ascii="Times New Roman" w:hAnsi="Times New Roman" w:cs="Times New Roman"/>
          <w:szCs w:val="24"/>
          <w:lang w:val="en-GB"/>
        </w:rPr>
        <w:t>.</w:t>
      </w:r>
      <w:r w:rsidR="00D24B19" w:rsidRPr="00771F08">
        <w:rPr>
          <w:rFonts w:ascii="Times New Roman" w:hAnsi="Times New Roman" w:cs="Times New Roman"/>
          <w:szCs w:val="24"/>
          <w:lang w:val="en-GB"/>
        </w:rPr>
        <w:t xml:space="preserve"> </w:t>
      </w:r>
      <w:r w:rsidR="00826DD9" w:rsidRPr="00771F08">
        <w:rPr>
          <w:rFonts w:ascii="Times New Roman" w:hAnsi="Times New Roman" w:cs="Times New Roman"/>
          <w:szCs w:val="24"/>
          <w:lang w:val="en-GB"/>
        </w:rPr>
        <w:t>A</w:t>
      </w:r>
      <w:r w:rsidR="004025F3" w:rsidRPr="00771F08">
        <w:rPr>
          <w:rFonts w:ascii="Times New Roman" w:hAnsi="Times New Roman" w:cs="Times New Roman"/>
          <w:szCs w:val="24"/>
          <w:lang w:val="en-GB"/>
        </w:rPr>
        <w:t>s there are differences between these two countries</w:t>
      </w:r>
      <w:r w:rsidR="00E876B3" w:rsidRPr="00771F08">
        <w:rPr>
          <w:rFonts w:ascii="Times New Roman" w:hAnsi="Times New Roman" w:cs="Times New Roman"/>
          <w:szCs w:val="24"/>
          <w:lang w:val="en-GB"/>
        </w:rPr>
        <w:t>,</w:t>
      </w:r>
      <w:r w:rsidR="00D24B19" w:rsidRPr="00771F08">
        <w:rPr>
          <w:rFonts w:ascii="Times New Roman" w:hAnsi="Times New Roman" w:cs="Times New Roman"/>
          <w:szCs w:val="24"/>
          <w:lang w:val="en-GB"/>
        </w:rPr>
        <w:t xml:space="preserve"> additional countries </w:t>
      </w:r>
      <w:r w:rsidR="004025F3" w:rsidRPr="00771F08">
        <w:rPr>
          <w:rFonts w:ascii="Times New Roman" w:hAnsi="Times New Roman" w:cs="Times New Roman"/>
          <w:szCs w:val="24"/>
          <w:lang w:val="en-GB"/>
        </w:rPr>
        <w:t xml:space="preserve">should </w:t>
      </w:r>
      <w:r w:rsidR="00D24B19" w:rsidRPr="00771F08">
        <w:rPr>
          <w:rFonts w:ascii="Times New Roman" w:hAnsi="Times New Roman" w:cs="Times New Roman"/>
          <w:szCs w:val="24"/>
          <w:lang w:val="en-GB"/>
        </w:rPr>
        <w:t>be investigated</w:t>
      </w:r>
      <w:r w:rsidR="004025F3" w:rsidRPr="00771F08">
        <w:rPr>
          <w:rFonts w:ascii="Times New Roman" w:hAnsi="Times New Roman" w:cs="Times New Roman"/>
          <w:szCs w:val="24"/>
          <w:lang w:val="en-GB"/>
        </w:rPr>
        <w:t xml:space="preserve"> in a cross-national </w:t>
      </w:r>
      <w:r w:rsidR="001959E5" w:rsidRPr="00771F08">
        <w:rPr>
          <w:rFonts w:ascii="Times New Roman" w:hAnsi="Times New Roman" w:cs="Times New Roman"/>
          <w:szCs w:val="24"/>
          <w:lang w:val="en-GB"/>
        </w:rPr>
        <w:t>study</w:t>
      </w:r>
      <w:r w:rsidR="00D24B19" w:rsidRPr="00771F08">
        <w:rPr>
          <w:rFonts w:ascii="Times New Roman" w:hAnsi="Times New Roman" w:cs="Times New Roman"/>
          <w:szCs w:val="24"/>
          <w:lang w:val="en-GB"/>
        </w:rPr>
        <w:t xml:space="preserve">. </w:t>
      </w:r>
      <w:r w:rsidR="00EF3036" w:rsidRPr="00771F08">
        <w:rPr>
          <w:rFonts w:ascii="Times New Roman" w:hAnsi="Times New Roman" w:cs="Times New Roman"/>
          <w:szCs w:val="24"/>
          <w:lang w:val="en-GB"/>
        </w:rPr>
        <w:t xml:space="preserve">In particular, cultural differences should be investigated, </w:t>
      </w:r>
      <w:r w:rsidR="00FB559A" w:rsidRPr="00771F08">
        <w:rPr>
          <w:rFonts w:ascii="Times New Roman" w:hAnsi="Times New Roman" w:cs="Times New Roman"/>
          <w:szCs w:val="24"/>
          <w:lang w:val="en-GB"/>
        </w:rPr>
        <w:t>not least</w:t>
      </w:r>
      <w:r w:rsidR="00EF3036" w:rsidRPr="00771F08">
        <w:rPr>
          <w:rFonts w:ascii="Times New Roman" w:hAnsi="Times New Roman" w:cs="Times New Roman"/>
          <w:szCs w:val="24"/>
          <w:lang w:val="en-GB"/>
        </w:rPr>
        <w:t xml:space="preserve"> to explore the possible influence of indulgence.</w:t>
      </w:r>
      <w:r w:rsidR="001A332D" w:rsidRPr="00771F08">
        <w:rPr>
          <w:rFonts w:ascii="Times New Roman" w:hAnsi="Times New Roman" w:cs="Times New Roman"/>
          <w:szCs w:val="24"/>
          <w:lang w:val="en-GB"/>
        </w:rPr>
        <w:t xml:space="preserve"> </w:t>
      </w:r>
      <w:r w:rsidR="00540876" w:rsidRPr="00771F08">
        <w:rPr>
          <w:rFonts w:ascii="Times New Roman" w:hAnsi="Times New Roman" w:cs="Times New Roman"/>
          <w:szCs w:val="24"/>
          <w:lang w:val="en-GB"/>
        </w:rPr>
        <w:t>In addition</w:t>
      </w:r>
      <w:r w:rsidR="00AA6FCF" w:rsidRPr="00771F08">
        <w:rPr>
          <w:rFonts w:ascii="Times New Roman" w:hAnsi="Times New Roman" w:cs="Times New Roman"/>
          <w:szCs w:val="24"/>
          <w:lang w:val="en-GB"/>
        </w:rPr>
        <w:t xml:space="preserve">, future studies could focus their attention on </w:t>
      </w:r>
      <w:r w:rsidR="000D7388" w:rsidRPr="00771F08">
        <w:rPr>
          <w:rFonts w:ascii="Times New Roman" w:hAnsi="Times New Roman" w:cs="Times New Roman"/>
          <w:szCs w:val="24"/>
          <w:lang w:val="en-GB"/>
        </w:rPr>
        <w:t xml:space="preserve">more </w:t>
      </w:r>
      <w:r w:rsidR="00AA6FCF" w:rsidRPr="00771F08">
        <w:rPr>
          <w:rFonts w:ascii="Times New Roman" w:hAnsi="Times New Roman" w:cs="Times New Roman"/>
          <w:szCs w:val="24"/>
          <w:lang w:val="en-GB"/>
        </w:rPr>
        <w:t>countries</w:t>
      </w:r>
      <w:r w:rsidR="00A8304D">
        <w:rPr>
          <w:rFonts w:ascii="Times New Roman" w:hAnsi="Times New Roman" w:cs="Times New Roman"/>
          <w:szCs w:val="24"/>
          <w:lang w:val="en-GB"/>
        </w:rPr>
        <w:t>,</w:t>
      </w:r>
      <w:r w:rsidR="00AA6FCF" w:rsidRPr="00771F08">
        <w:rPr>
          <w:rFonts w:ascii="Times New Roman" w:hAnsi="Times New Roman" w:cs="Times New Roman"/>
          <w:szCs w:val="24"/>
          <w:lang w:val="en-GB"/>
        </w:rPr>
        <w:t xml:space="preserve"> showing differences in terms of marketi</w:t>
      </w:r>
      <w:r w:rsidR="00B033C0" w:rsidRPr="00771F08">
        <w:rPr>
          <w:rFonts w:ascii="Times New Roman" w:hAnsi="Times New Roman" w:cs="Times New Roman"/>
          <w:szCs w:val="24"/>
          <w:lang w:val="en-GB"/>
        </w:rPr>
        <w:t>s</w:t>
      </w:r>
      <w:r w:rsidR="00AA6FCF" w:rsidRPr="00771F08">
        <w:rPr>
          <w:rFonts w:ascii="Times New Roman" w:hAnsi="Times New Roman" w:cs="Times New Roman"/>
          <w:szCs w:val="24"/>
          <w:lang w:val="en-GB"/>
        </w:rPr>
        <w:t xml:space="preserve">ation of HE, fees, or systems (for instance, public versus private). </w:t>
      </w:r>
      <w:bookmarkStart w:id="2" w:name="_Hlk16971644"/>
      <w:r w:rsidR="00E64B17" w:rsidRPr="00771F08">
        <w:rPr>
          <w:rFonts w:ascii="Times New Roman" w:hAnsi="Times New Roman" w:cs="Times New Roman"/>
          <w:szCs w:val="24"/>
          <w:lang w:val="en-GB"/>
        </w:rPr>
        <w:t xml:space="preserve">Samples </w:t>
      </w:r>
      <w:r w:rsidR="00B93574" w:rsidRPr="00771F08">
        <w:rPr>
          <w:rFonts w:ascii="Times New Roman" w:hAnsi="Times New Roman" w:cs="Times New Roman"/>
          <w:szCs w:val="24"/>
          <w:lang w:val="en-GB"/>
        </w:rPr>
        <w:t>could</w:t>
      </w:r>
      <w:r w:rsidR="00E64B17" w:rsidRPr="00771F08">
        <w:rPr>
          <w:rFonts w:ascii="Times New Roman" w:hAnsi="Times New Roman" w:cs="Times New Roman"/>
          <w:szCs w:val="24"/>
          <w:lang w:val="en-GB"/>
        </w:rPr>
        <w:t xml:space="preserve"> not </w:t>
      </w:r>
      <w:r w:rsidR="00B93574" w:rsidRPr="00771F08">
        <w:rPr>
          <w:rFonts w:ascii="Times New Roman" w:hAnsi="Times New Roman" w:cs="Times New Roman"/>
          <w:szCs w:val="24"/>
          <w:lang w:val="en-GB"/>
        </w:rPr>
        <w:t xml:space="preserve">be </w:t>
      </w:r>
      <w:r w:rsidR="00E64B17" w:rsidRPr="00771F08">
        <w:rPr>
          <w:rFonts w:ascii="Times New Roman" w:hAnsi="Times New Roman" w:cs="Times New Roman"/>
          <w:szCs w:val="24"/>
          <w:lang w:val="en-GB"/>
        </w:rPr>
        <w:t xml:space="preserve">representative of each country, but rather aimed to provide a reasonable </w:t>
      </w:r>
      <w:r w:rsidR="002A7025" w:rsidRPr="00771F08">
        <w:rPr>
          <w:rFonts w:ascii="Times New Roman" w:hAnsi="Times New Roman" w:cs="Times New Roman"/>
          <w:szCs w:val="24"/>
          <w:lang w:val="en-GB"/>
        </w:rPr>
        <w:t>distribution among</w:t>
      </w:r>
      <w:r w:rsidR="00E64B17" w:rsidRPr="00771F08">
        <w:rPr>
          <w:rFonts w:ascii="Times New Roman" w:hAnsi="Times New Roman" w:cs="Times New Roman"/>
          <w:szCs w:val="24"/>
          <w:lang w:val="en-GB"/>
        </w:rPr>
        <w:t xml:space="preserve"> demographic characteristics. </w:t>
      </w:r>
      <w:r w:rsidR="000D7388" w:rsidRPr="00771F08">
        <w:rPr>
          <w:rFonts w:ascii="Times New Roman" w:hAnsi="Times New Roman" w:cs="Times New Roman"/>
          <w:lang w:val="en-GB"/>
        </w:rPr>
        <w:t xml:space="preserve">The differences that we report between the samples might be cultural differences surrounding the idea of donating to higher education, but might also arise from the uncontrolled nature of the schools represented, the degrees </w:t>
      </w:r>
      <w:r w:rsidR="00A8304D">
        <w:rPr>
          <w:rFonts w:ascii="Times New Roman" w:hAnsi="Times New Roman" w:cs="Times New Roman"/>
          <w:lang w:val="en-GB"/>
        </w:rPr>
        <w:t>awarded</w:t>
      </w:r>
      <w:r w:rsidR="000D7388" w:rsidRPr="00771F08">
        <w:rPr>
          <w:rFonts w:ascii="Times New Roman" w:hAnsi="Times New Roman" w:cs="Times New Roman"/>
          <w:lang w:val="en-GB"/>
        </w:rPr>
        <w:t xml:space="preserve">, the ages of the participants, or something else not measured. Cross-cultural research with more controlled samples is recommended to resolve these issues. </w:t>
      </w:r>
      <w:r w:rsidR="00AA6FCF" w:rsidRPr="00771F08">
        <w:rPr>
          <w:rFonts w:ascii="Times New Roman" w:hAnsi="Times New Roman" w:cs="Times New Roman"/>
          <w:szCs w:val="24"/>
          <w:lang w:val="en-GB"/>
        </w:rPr>
        <w:t>Finally, since only the point of view of alumni has been investigated in this work, future research could examine the specific actions adopted by the management of American and Italian universities, in order to identify how the former manage to create the virtuous cycle, and why the latter are not able to create it.</w:t>
      </w:r>
      <w:bookmarkEnd w:id="2"/>
    </w:p>
    <w:p w14:paraId="44AD11DA" w14:textId="70236D56" w:rsidR="0045781B" w:rsidRPr="00771F08" w:rsidRDefault="0045781B" w:rsidP="00237956">
      <w:pPr>
        <w:spacing w:after="0" w:line="240" w:lineRule="auto"/>
        <w:ind w:right="1133"/>
        <w:rPr>
          <w:rFonts w:ascii="Times New Roman" w:hAnsi="Times New Roman" w:cs="Times New Roman"/>
          <w:b/>
          <w:sz w:val="24"/>
          <w:lang w:val="en-GB"/>
        </w:rPr>
      </w:pPr>
    </w:p>
    <w:p w14:paraId="59092CFB" w14:textId="230C5A52" w:rsidR="00BA4D75" w:rsidRPr="00771F08" w:rsidRDefault="00BE5B80" w:rsidP="00237956">
      <w:pPr>
        <w:spacing w:after="0" w:line="240" w:lineRule="auto"/>
        <w:ind w:left="567" w:right="1133"/>
        <w:rPr>
          <w:rFonts w:ascii="Times New Roman" w:hAnsi="Times New Roman" w:cs="Times New Roman"/>
          <w:b/>
          <w:lang w:val="en-GB"/>
        </w:rPr>
      </w:pPr>
      <w:r w:rsidRPr="00771F08">
        <w:rPr>
          <w:rFonts w:ascii="Times New Roman" w:hAnsi="Times New Roman" w:cs="Times New Roman"/>
          <w:b/>
          <w:lang w:val="en-GB"/>
        </w:rPr>
        <w:t>References</w:t>
      </w:r>
    </w:p>
    <w:p w14:paraId="4C480148" w14:textId="12D121F0" w:rsidR="00130200" w:rsidRPr="00771F08" w:rsidRDefault="00130200"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Bagozzi, R. P., &amp; Yi, Y. (1988). On the evaluation of structural equation models. </w:t>
      </w:r>
      <w:r w:rsidR="004C0D36" w:rsidRPr="00771F08">
        <w:rPr>
          <w:rFonts w:ascii="Times New Roman" w:hAnsi="Times New Roman" w:cs="Times New Roman"/>
          <w:i/>
          <w:lang w:val="en-GB"/>
        </w:rPr>
        <w:t>Journal of the Academy of Marketing Science</w:t>
      </w:r>
      <w:r w:rsidRPr="00771F08">
        <w:rPr>
          <w:rFonts w:ascii="Times New Roman" w:hAnsi="Times New Roman" w:cs="Times New Roman"/>
          <w:i/>
          <w:lang w:val="en-GB"/>
        </w:rPr>
        <w:t>, 1</w:t>
      </w:r>
      <w:r w:rsidRPr="00771F08">
        <w:rPr>
          <w:rFonts w:ascii="Times New Roman" w:hAnsi="Times New Roman" w:cs="Times New Roman"/>
          <w:lang w:val="en-GB"/>
        </w:rPr>
        <w:t>6(1), 74-94.</w:t>
      </w:r>
    </w:p>
    <w:p w14:paraId="09210035" w14:textId="53437713" w:rsidR="004C0D36" w:rsidRPr="00771F08" w:rsidRDefault="004C0D36"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Bagozzi, R. P., &amp; Yi, Y. (2012). Specification, evaluation, and interpretation of structural equation models. </w:t>
      </w:r>
      <w:r w:rsidRPr="00771F08">
        <w:rPr>
          <w:rFonts w:ascii="Times New Roman" w:hAnsi="Times New Roman" w:cs="Times New Roman"/>
          <w:i/>
          <w:lang w:val="en-GB"/>
        </w:rPr>
        <w:t>Journal of the Academy of Marketing Science</w:t>
      </w:r>
      <w:r w:rsidRPr="00771F08">
        <w:rPr>
          <w:rFonts w:ascii="Times New Roman" w:hAnsi="Times New Roman" w:cs="Times New Roman"/>
          <w:lang w:val="en-GB"/>
        </w:rPr>
        <w:t xml:space="preserve">, </w:t>
      </w:r>
      <w:r w:rsidRPr="00771F08">
        <w:rPr>
          <w:rFonts w:ascii="Times New Roman" w:hAnsi="Times New Roman" w:cs="Times New Roman"/>
          <w:i/>
          <w:lang w:val="en-GB"/>
        </w:rPr>
        <w:t>40</w:t>
      </w:r>
      <w:r w:rsidRPr="00771F08">
        <w:rPr>
          <w:rFonts w:ascii="Times New Roman" w:hAnsi="Times New Roman" w:cs="Times New Roman"/>
          <w:lang w:val="en-GB"/>
        </w:rPr>
        <w:t>(1), 8-34</w:t>
      </w:r>
    </w:p>
    <w:p w14:paraId="2FD76D87" w14:textId="77777777" w:rsidR="004C0D36" w:rsidRPr="00771F08" w:rsidRDefault="004C0D36"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Balaji, M. S., Roy, S. K., &amp; </w:t>
      </w:r>
      <w:proofErr w:type="spellStart"/>
      <w:r w:rsidRPr="00771F08">
        <w:rPr>
          <w:rFonts w:ascii="Times New Roman" w:hAnsi="Times New Roman" w:cs="Times New Roman"/>
          <w:lang w:val="en-GB"/>
        </w:rPr>
        <w:t>Sadeque</w:t>
      </w:r>
      <w:proofErr w:type="spellEnd"/>
      <w:r w:rsidRPr="00771F08">
        <w:rPr>
          <w:rFonts w:ascii="Times New Roman" w:hAnsi="Times New Roman" w:cs="Times New Roman"/>
          <w:lang w:val="en-GB"/>
        </w:rPr>
        <w:t xml:space="preserve">, S. (2016). Antecedents and consequences of university brand identification. </w:t>
      </w:r>
      <w:r w:rsidRPr="00771F08">
        <w:rPr>
          <w:rFonts w:ascii="Times New Roman" w:hAnsi="Times New Roman" w:cs="Times New Roman"/>
          <w:i/>
          <w:lang w:val="en-GB"/>
        </w:rPr>
        <w:t>Journal of Business Research</w:t>
      </w:r>
      <w:r w:rsidRPr="00771F08">
        <w:rPr>
          <w:rFonts w:ascii="Times New Roman" w:hAnsi="Times New Roman" w:cs="Times New Roman"/>
          <w:lang w:val="en-GB"/>
        </w:rPr>
        <w:t xml:space="preserve">, </w:t>
      </w:r>
      <w:r w:rsidRPr="00771F08">
        <w:rPr>
          <w:rFonts w:ascii="Times New Roman" w:hAnsi="Times New Roman" w:cs="Times New Roman"/>
          <w:i/>
          <w:lang w:val="en-GB"/>
        </w:rPr>
        <w:t>69</w:t>
      </w:r>
      <w:r w:rsidRPr="00771F08">
        <w:rPr>
          <w:rFonts w:ascii="Times New Roman" w:hAnsi="Times New Roman" w:cs="Times New Roman"/>
          <w:lang w:val="en-GB"/>
        </w:rPr>
        <w:t>(8), 3023-3032.</w:t>
      </w:r>
    </w:p>
    <w:p w14:paraId="49A17B77" w14:textId="06979DB0" w:rsidR="008D58BC" w:rsidRPr="00771F08" w:rsidRDefault="008D58BC"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Banahene</w:t>
      </w:r>
      <w:proofErr w:type="spellEnd"/>
      <w:r w:rsidRPr="00771F08">
        <w:rPr>
          <w:rFonts w:ascii="Times New Roman" w:hAnsi="Times New Roman" w:cs="Times New Roman"/>
          <w:lang w:val="en-GB"/>
        </w:rPr>
        <w:t xml:space="preserve">, S. (2017). The impact of brand personality and students’ self-concept on brand engagement. </w:t>
      </w:r>
      <w:r w:rsidRPr="00771F08">
        <w:rPr>
          <w:rFonts w:ascii="Times New Roman" w:hAnsi="Times New Roman" w:cs="Times New Roman"/>
          <w:i/>
          <w:lang w:val="en-GB"/>
        </w:rPr>
        <w:t>International Journal of Business and Social Research, 7</w:t>
      </w:r>
      <w:r w:rsidRPr="00771F08">
        <w:rPr>
          <w:rFonts w:ascii="Times New Roman" w:hAnsi="Times New Roman" w:cs="Times New Roman"/>
          <w:lang w:val="en-GB"/>
        </w:rPr>
        <w:t>(8), 12-25.</w:t>
      </w:r>
    </w:p>
    <w:p w14:paraId="6063D6E0" w14:textId="2F6E5E88" w:rsidR="004430B1" w:rsidRPr="00771F08" w:rsidRDefault="00B171B9"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Baruch, Y., &amp;</w:t>
      </w:r>
      <w:r w:rsidR="004430B1" w:rsidRPr="00771F08">
        <w:rPr>
          <w:rFonts w:ascii="Times New Roman" w:hAnsi="Times New Roman" w:cs="Times New Roman"/>
          <w:lang w:val="en-GB"/>
        </w:rPr>
        <w:t xml:space="preserve"> Sang, K. J. (2012). Predicting MBA graduates’ donation behaviour to their alma mater. </w:t>
      </w:r>
      <w:r w:rsidR="004430B1" w:rsidRPr="00771F08">
        <w:rPr>
          <w:rFonts w:ascii="Times New Roman" w:hAnsi="Times New Roman" w:cs="Times New Roman"/>
          <w:i/>
          <w:lang w:val="en-GB"/>
        </w:rPr>
        <w:t>Journal of Management Development</w:t>
      </w:r>
      <w:r w:rsidR="004430B1" w:rsidRPr="00771F08">
        <w:rPr>
          <w:rFonts w:ascii="Times New Roman" w:hAnsi="Times New Roman" w:cs="Times New Roman"/>
          <w:lang w:val="en-GB"/>
        </w:rPr>
        <w:t xml:space="preserve">, </w:t>
      </w:r>
      <w:r w:rsidR="004430B1" w:rsidRPr="00771F08">
        <w:rPr>
          <w:rFonts w:ascii="Times New Roman" w:hAnsi="Times New Roman" w:cs="Times New Roman"/>
          <w:i/>
          <w:lang w:val="en-GB"/>
        </w:rPr>
        <w:t>31</w:t>
      </w:r>
      <w:r w:rsidR="004430B1" w:rsidRPr="00771F08">
        <w:rPr>
          <w:rFonts w:ascii="Times New Roman" w:hAnsi="Times New Roman" w:cs="Times New Roman"/>
          <w:lang w:val="en-GB"/>
        </w:rPr>
        <w:t>(8), 808-825.</w:t>
      </w:r>
    </w:p>
    <w:p w14:paraId="75018232" w14:textId="4B9FE1E3" w:rsidR="00F6528C" w:rsidRPr="00771F08" w:rsidRDefault="00C14694"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Bastedo</w:t>
      </w:r>
      <w:proofErr w:type="spellEnd"/>
      <w:r w:rsidRPr="00771F08">
        <w:rPr>
          <w:rFonts w:ascii="Times New Roman" w:hAnsi="Times New Roman" w:cs="Times New Roman"/>
          <w:lang w:val="en-GB"/>
        </w:rPr>
        <w:t>, M. N., Samuels, E., &amp;</w:t>
      </w:r>
      <w:r w:rsidR="00F6528C" w:rsidRPr="00771F08">
        <w:rPr>
          <w:rFonts w:ascii="Times New Roman" w:hAnsi="Times New Roman" w:cs="Times New Roman"/>
          <w:lang w:val="en-GB"/>
        </w:rPr>
        <w:t xml:space="preserve"> Kleinman, M. (2014). Do charismatic presidents influence college applications and alumni donations? Organizational identity and performance in US higher education. </w:t>
      </w:r>
      <w:r w:rsidR="00F6528C" w:rsidRPr="00771F08">
        <w:rPr>
          <w:rFonts w:ascii="Times New Roman" w:hAnsi="Times New Roman" w:cs="Times New Roman"/>
          <w:i/>
          <w:lang w:val="en-GB"/>
        </w:rPr>
        <w:t>Higher Education</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68</w:t>
      </w:r>
      <w:r w:rsidR="00F6528C" w:rsidRPr="00771F08">
        <w:rPr>
          <w:rFonts w:ascii="Times New Roman" w:hAnsi="Times New Roman" w:cs="Times New Roman"/>
          <w:lang w:val="en-GB"/>
        </w:rPr>
        <w:t>(3), 397-415.</w:t>
      </w:r>
    </w:p>
    <w:p w14:paraId="73323BA9" w14:textId="387051D5" w:rsidR="004430B1" w:rsidRPr="00771F08" w:rsidRDefault="00CA73A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Behling, O., &amp;</w:t>
      </w:r>
      <w:r w:rsidR="004430B1" w:rsidRPr="00771F08">
        <w:rPr>
          <w:rFonts w:ascii="Times New Roman" w:hAnsi="Times New Roman" w:cs="Times New Roman"/>
          <w:lang w:val="en-GB"/>
        </w:rPr>
        <w:t xml:space="preserve"> Law, K. S. (2000). </w:t>
      </w:r>
      <w:r w:rsidR="004430B1" w:rsidRPr="00771F08">
        <w:rPr>
          <w:rFonts w:ascii="Times New Roman" w:hAnsi="Times New Roman" w:cs="Times New Roman"/>
          <w:i/>
          <w:lang w:val="en-GB"/>
        </w:rPr>
        <w:t>Translating questionnaires and other research instruments: Problems and solutions</w:t>
      </w:r>
      <w:r w:rsidR="004430B1" w:rsidRPr="00771F08">
        <w:rPr>
          <w:rFonts w:ascii="Times New Roman" w:hAnsi="Times New Roman" w:cs="Times New Roman"/>
          <w:lang w:val="en-GB"/>
        </w:rPr>
        <w:t xml:space="preserve"> (Vol. 133). </w:t>
      </w:r>
      <w:r w:rsidRPr="00771F08">
        <w:rPr>
          <w:rFonts w:ascii="Times New Roman" w:hAnsi="Times New Roman" w:cs="Times New Roman"/>
          <w:lang w:val="en-GB"/>
        </w:rPr>
        <w:t xml:space="preserve">London: </w:t>
      </w:r>
      <w:r w:rsidR="004430B1" w:rsidRPr="00771F08">
        <w:rPr>
          <w:rFonts w:ascii="Times New Roman" w:hAnsi="Times New Roman" w:cs="Times New Roman"/>
          <w:lang w:val="en-GB"/>
        </w:rPr>
        <w:t>Sage.</w:t>
      </w:r>
    </w:p>
    <w:p w14:paraId="48001C0A" w14:textId="434ED1C6" w:rsidR="00C85840" w:rsidRPr="00771F08" w:rsidRDefault="00C85840"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Bellezza</w:t>
      </w:r>
      <w:proofErr w:type="spellEnd"/>
      <w:r w:rsidRPr="00771F08">
        <w:rPr>
          <w:rFonts w:ascii="Times New Roman" w:hAnsi="Times New Roman" w:cs="Times New Roman"/>
          <w:lang w:val="en-GB"/>
        </w:rPr>
        <w:t xml:space="preserve">, S., &amp; </w:t>
      </w:r>
      <w:proofErr w:type="spellStart"/>
      <w:r w:rsidRPr="00771F08">
        <w:rPr>
          <w:rFonts w:ascii="Times New Roman" w:hAnsi="Times New Roman" w:cs="Times New Roman"/>
          <w:lang w:val="en-GB"/>
        </w:rPr>
        <w:t>Keinan</w:t>
      </w:r>
      <w:proofErr w:type="spellEnd"/>
      <w:r w:rsidRPr="00771F08">
        <w:rPr>
          <w:rFonts w:ascii="Times New Roman" w:hAnsi="Times New Roman" w:cs="Times New Roman"/>
          <w:lang w:val="en-GB"/>
        </w:rPr>
        <w:t xml:space="preserve">, A. (2014). Brand tourists: how non–core users enhance the brand image by eliciting pride. </w:t>
      </w:r>
      <w:r w:rsidRPr="00771F08">
        <w:rPr>
          <w:rFonts w:ascii="Times New Roman" w:hAnsi="Times New Roman" w:cs="Times New Roman"/>
          <w:i/>
          <w:lang w:val="en-GB"/>
        </w:rPr>
        <w:t>Journal of Consumer Research, 41</w:t>
      </w:r>
      <w:r w:rsidRPr="00771F08">
        <w:rPr>
          <w:rFonts w:ascii="Times New Roman" w:hAnsi="Times New Roman" w:cs="Times New Roman"/>
          <w:lang w:val="en-GB"/>
        </w:rPr>
        <w:t>(2), 397-417.</w:t>
      </w:r>
    </w:p>
    <w:p w14:paraId="24ADBEF9" w14:textId="26BEB76D" w:rsidR="00827DA8" w:rsidRPr="00771F08" w:rsidRDefault="00827DA8"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Brislin</w:t>
      </w:r>
      <w:proofErr w:type="spellEnd"/>
      <w:r w:rsidRPr="00771F08">
        <w:rPr>
          <w:rFonts w:ascii="Times New Roman" w:hAnsi="Times New Roman" w:cs="Times New Roman"/>
          <w:lang w:val="en-GB"/>
        </w:rPr>
        <w:t xml:space="preserve">, R. W. (1970). Back-translation for cross-cultural research. </w:t>
      </w:r>
      <w:r w:rsidRPr="00771F08">
        <w:rPr>
          <w:rFonts w:ascii="Times New Roman" w:hAnsi="Times New Roman" w:cs="Times New Roman"/>
          <w:i/>
          <w:lang w:val="en-GB"/>
        </w:rPr>
        <w:t>Journal of cross-cultural psychology</w:t>
      </w:r>
      <w:r w:rsidRPr="00771F08">
        <w:rPr>
          <w:rFonts w:ascii="Times New Roman" w:hAnsi="Times New Roman" w:cs="Times New Roman"/>
          <w:lang w:val="en-GB"/>
        </w:rPr>
        <w:t xml:space="preserve">, </w:t>
      </w:r>
      <w:r w:rsidRPr="00771F08">
        <w:rPr>
          <w:rFonts w:ascii="Times New Roman" w:hAnsi="Times New Roman" w:cs="Times New Roman"/>
          <w:i/>
          <w:lang w:val="en-GB"/>
        </w:rPr>
        <w:t>1</w:t>
      </w:r>
      <w:r w:rsidRPr="00771F08">
        <w:rPr>
          <w:rFonts w:ascii="Times New Roman" w:hAnsi="Times New Roman" w:cs="Times New Roman"/>
          <w:lang w:val="en-GB"/>
        </w:rPr>
        <w:t>(3), 185-216.</w:t>
      </w:r>
    </w:p>
    <w:p w14:paraId="6C621AB7" w14:textId="267F13DF" w:rsidR="007A5DE5" w:rsidRPr="00771F08" w:rsidRDefault="007A5DE5"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Brodie, R. J., Hollebeek, L. D., </w:t>
      </w:r>
      <w:proofErr w:type="spellStart"/>
      <w:r w:rsidRPr="00771F08">
        <w:rPr>
          <w:rFonts w:ascii="Times New Roman" w:hAnsi="Times New Roman" w:cs="Times New Roman"/>
          <w:lang w:val="en-GB"/>
        </w:rPr>
        <w:t>Jurić</w:t>
      </w:r>
      <w:proofErr w:type="spellEnd"/>
      <w:r w:rsidRPr="00771F08">
        <w:rPr>
          <w:rFonts w:ascii="Times New Roman" w:hAnsi="Times New Roman" w:cs="Times New Roman"/>
          <w:lang w:val="en-GB"/>
        </w:rPr>
        <w:t xml:space="preserve">, B., &amp; </w:t>
      </w:r>
      <w:proofErr w:type="spellStart"/>
      <w:r w:rsidRPr="00771F08">
        <w:rPr>
          <w:rFonts w:ascii="Times New Roman" w:hAnsi="Times New Roman" w:cs="Times New Roman"/>
          <w:lang w:val="en-GB"/>
        </w:rPr>
        <w:t>Ilić</w:t>
      </w:r>
      <w:proofErr w:type="spellEnd"/>
      <w:r w:rsidRPr="00771F08">
        <w:rPr>
          <w:rFonts w:ascii="Times New Roman" w:hAnsi="Times New Roman" w:cs="Times New Roman"/>
          <w:lang w:val="en-GB"/>
        </w:rPr>
        <w:t xml:space="preserve">, A. (2011). Customer engagement: Conceptual domain, fundamental propositions, and implications for research. </w:t>
      </w:r>
      <w:r w:rsidRPr="00771F08">
        <w:rPr>
          <w:rFonts w:ascii="Times New Roman" w:hAnsi="Times New Roman" w:cs="Times New Roman"/>
          <w:i/>
          <w:lang w:val="en-GB"/>
        </w:rPr>
        <w:t>Journal of service research, 14</w:t>
      </w:r>
      <w:r w:rsidRPr="00771F08">
        <w:rPr>
          <w:rFonts w:ascii="Times New Roman" w:hAnsi="Times New Roman" w:cs="Times New Roman"/>
          <w:lang w:val="en-GB"/>
        </w:rPr>
        <w:t>(3), 252-271.</w:t>
      </w:r>
    </w:p>
    <w:p w14:paraId="483454C8" w14:textId="709AE857" w:rsidR="004C0D36" w:rsidRPr="00771F08" w:rsidRDefault="004C0D36"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Byrne, Barbara M. (2016). </w:t>
      </w:r>
      <w:r w:rsidRPr="00771F08">
        <w:rPr>
          <w:rFonts w:ascii="Times New Roman" w:hAnsi="Times New Roman" w:cs="Times New Roman"/>
          <w:i/>
          <w:lang w:val="en-GB"/>
        </w:rPr>
        <w:t xml:space="preserve">Structural equation </w:t>
      </w:r>
      <w:proofErr w:type="spellStart"/>
      <w:r w:rsidRPr="00771F08">
        <w:rPr>
          <w:rFonts w:ascii="Times New Roman" w:hAnsi="Times New Roman" w:cs="Times New Roman"/>
          <w:i/>
          <w:lang w:val="en-GB"/>
        </w:rPr>
        <w:t>modeling</w:t>
      </w:r>
      <w:proofErr w:type="spellEnd"/>
      <w:r w:rsidRPr="00771F08">
        <w:rPr>
          <w:rFonts w:ascii="Times New Roman" w:hAnsi="Times New Roman" w:cs="Times New Roman"/>
          <w:i/>
          <w:lang w:val="en-GB"/>
        </w:rPr>
        <w:t xml:space="preserve"> with AMOS: Basic concepts, applications, and programming</w:t>
      </w:r>
      <w:r w:rsidRPr="00771F08">
        <w:rPr>
          <w:rFonts w:ascii="Times New Roman" w:hAnsi="Times New Roman" w:cs="Times New Roman"/>
          <w:lang w:val="en-GB"/>
        </w:rPr>
        <w:t>, New York: Routledge.</w:t>
      </w:r>
    </w:p>
    <w:p w14:paraId="4E0C5AAB" w14:textId="01C30E04" w:rsidR="00F72ACC" w:rsidRPr="0061725A" w:rsidRDefault="00F72ACC" w:rsidP="00237956">
      <w:pPr>
        <w:spacing w:after="0" w:line="240" w:lineRule="auto"/>
        <w:ind w:left="851" w:right="1133" w:hanging="284"/>
        <w:jc w:val="both"/>
        <w:rPr>
          <w:rFonts w:ascii="Times New Roman" w:hAnsi="Times New Roman"/>
          <w:noProof/>
          <w:lang w:val="pt-BR"/>
        </w:rPr>
      </w:pPr>
      <w:r w:rsidRPr="00771F08">
        <w:rPr>
          <w:rFonts w:ascii="Times New Roman" w:hAnsi="Times New Roman"/>
          <w:noProof/>
          <w:lang w:val="en-GB"/>
        </w:rPr>
        <w:lastRenderedPageBreak/>
        <w:t>Cadogan, J. (2010)</w:t>
      </w:r>
      <w:r w:rsidR="00CA73AC" w:rsidRPr="00771F08">
        <w:rPr>
          <w:rFonts w:ascii="Times New Roman" w:hAnsi="Times New Roman"/>
          <w:noProof/>
          <w:lang w:val="en-GB"/>
        </w:rPr>
        <w:t xml:space="preserve">. </w:t>
      </w:r>
      <w:r w:rsidRPr="00771F08">
        <w:rPr>
          <w:rFonts w:ascii="Times New Roman" w:hAnsi="Times New Roman"/>
          <w:noProof/>
          <w:lang w:val="en-GB"/>
        </w:rPr>
        <w:t>Comparative, cross‐cultura</w:t>
      </w:r>
      <w:r w:rsidR="00CA73AC" w:rsidRPr="00771F08">
        <w:rPr>
          <w:rFonts w:ascii="Times New Roman" w:hAnsi="Times New Roman"/>
          <w:noProof/>
          <w:lang w:val="en-GB"/>
        </w:rPr>
        <w:t>l, and cross‐national research.</w:t>
      </w:r>
      <w:r w:rsidRPr="00771F08">
        <w:rPr>
          <w:rFonts w:ascii="Times New Roman" w:hAnsi="Times New Roman"/>
          <w:noProof/>
          <w:lang w:val="en-GB"/>
        </w:rPr>
        <w:t xml:space="preserve"> </w:t>
      </w:r>
      <w:r w:rsidRPr="0061725A">
        <w:rPr>
          <w:rFonts w:ascii="Times New Roman" w:hAnsi="Times New Roman"/>
          <w:i/>
          <w:iCs/>
          <w:noProof/>
          <w:lang w:val="pt-BR"/>
        </w:rPr>
        <w:t>International Marketing Review</w:t>
      </w:r>
      <w:r w:rsidR="00CA73AC" w:rsidRPr="0061725A">
        <w:rPr>
          <w:rFonts w:ascii="Times New Roman" w:hAnsi="Times New Roman"/>
          <w:noProof/>
          <w:lang w:val="pt-BR"/>
        </w:rPr>
        <w:t xml:space="preserve">, </w:t>
      </w:r>
      <w:r w:rsidRPr="0061725A">
        <w:rPr>
          <w:rFonts w:ascii="Times New Roman" w:hAnsi="Times New Roman"/>
          <w:i/>
          <w:noProof/>
          <w:lang w:val="pt-BR"/>
        </w:rPr>
        <w:t>27</w:t>
      </w:r>
      <w:r w:rsidR="00CA73AC" w:rsidRPr="0061725A">
        <w:rPr>
          <w:rFonts w:ascii="Times New Roman" w:hAnsi="Times New Roman"/>
          <w:noProof/>
          <w:lang w:val="pt-BR"/>
        </w:rPr>
        <w:t xml:space="preserve">(6), </w:t>
      </w:r>
      <w:r w:rsidRPr="0061725A">
        <w:rPr>
          <w:rFonts w:ascii="Times New Roman" w:hAnsi="Times New Roman"/>
          <w:noProof/>
          <w:lang w:val="pt-BR"/>
        </w:rPr>
        <w:t>601–605.</w:t>
      </w:r>
    </w:p>
    <w:p w14:paraId="32FD4FAC" w14:textId="7448B7FB" w:rsidR="00B50C90" w:rsidRPr="00771F08" w:rsidRDefault="00B50C90" w:rsidP="00237956">
      <w:pPr>
        <w:spacing w:after="0" w:line="240" w:lineRule="auto"/>
        <w:ind w:left="851" w:right="1133" w:hanging="284"/>
        <w:jc w:val="both"/>
        <w:rPr>
          <w:rFonts w:ascii="Times New Roman" w:hAnsi="Times New Roman"/>
          <w:noProof/>
          <w:lang w:val="en-GB"/>
        </w:rPr>
      </w:pPr>
      <w:r w:rsidRPr="0061725A">
        <w:rPr>
          <w:rFonts w:ascii="Times New Roman" w:hAnsi="Times New Roman"/>
          <w:noProof/>
          <w:lang w:val="pt-BR"/>
        </w:rPr>
        <w:t xml:space="preserve">Carvalho, S. W., &amp; De Oliveira Mota, M. (2010). </w:t>
      </w:r>
      <w:r w:rsidRPr="00771F08">
        <w:rPr>
          <w:rFonts w:ascii="Times New Roman" w:hAnsi="Times New Roman"/>
          <w:noProof/>
          <w:lang w:val="en-GB"/>
        </w:rPr>
        <w:t>The role of trust in creating value and student loyalty in relational exchanges between higher education institutions and their students. </w:t>
      </w:r>
      <w:r w:rsidRPr="00771F08">
        <w:rPr>
          <w:rFonts w:ascii="Times New Roman" w:hAnsi="Times New Roman"/>
          <w:i/>
          <w:noProof/>
          <w:lang w:val="en-GB"/>
        </w:rPr>
        <w:t>Journal of marketing for higher education, 20</w:t>
      </w:r>
      <w:r w:rsidRPr="00771F08">
        <w:rPr>
          <w:rFonts w:ascii="Times New Roman" w:hAnsi="Times New Roman"/>
          <w:noProof/>
          <w:lang w:val="en-GB"/>
        </w:rPr>
        <w:t>(1), 145-165.</w:t>
      </w:r>
    </w:p>
    <w:p w14:paraId="24C6FE63" w14:textId="34BE4645" w:rsidR="001832CF" w:rsidRPr="00771F08" w:rsidRDefault="001832CF" w:rsidP="00237956">
      <w:pPr>
        <w:spacing w:after="0" w:line="240" w:lineRule="auto"/>
        <w:ind w:left="851" w:right="1133" w:hanging="284"/>
        <w:jc w:val="both"/>
        <w:rPr>
          <w:rFonts w:ascii="Times New Roman" w:hAnsi="Times New Roman"/>
          <w:noProof/>
          <w:lang w:val="en-GB"/>
        </w:rPr>
      </w:pPr>
      <w:r w:rsidRPr="00771F08">
        <w:rPr>
          <w:rFonts w:ascii="Times New Roman" w:hAnsi="Times New Roman"/>
          <w:noProof/>
          <w:lang w:val="en-GB"/>
        </w:rPr>
        <w:t xml:space="preserve">Cho, M., Lemon, L.L., Levenshus, A.B. </w:t>
      </w:r>
      <w:r w:rsidR="00D876C6" w:rsidRPr="00771F08">
        <w:rPr>
          <w:rFonts w:ascii="Times New Roman" w:hAnsi="Times New Roman"/>
          <w:noProof/>
          <w:lang w:val="en-GB"/>
        </w:rPr>
        <w:t>&amp;</w:t>
      </w:r>
      <w:r w:rsidRPr="00771F08">
        <w:rPr>
          <w:rFonts w:ascii="Times New Roman" w:hAnsi="Times New Roman"/>
          <w:noProof/>
          <w:lang w:val="en-GB"/>
        </w:rPr>
        <w:t xml:space="preserve"> Childers, C.C. (2019)</w:t>
      </w:r>
      <w:r w:rsidR="00D876C6" w:rsidRPr="00771F08">
        <w:rPr>
          <w:rFonts w:ascii="Times New Roman" w:hAnsi="Times New Roman"/>
          <w:noProof/>
          <w:lang w:val="en-GB"/>
        </w:rPr>
        <w:t>.</w:t>
      </w:r>
      <w:r w:rsidRPr="00771F08">
        <w:rPr>
          <w:rFonts w:ascii="Times New Roman" w:hAnsi="Times New Roman"/>
          <w:noProof/>
          <w:lang w:val="en-GB"/>
        </w:rPr>
        <w:t xml:space="preserve"> Current students as university donors?: determinants in college students’ intentions to donate and share information about university crowdfunding efforts</w:t>
      </w:r>
      <w:r w:rsidRPr="00771F08">
        <w:rPr>
          <w:rFonts w:ascii="Times New Roman" w:hAnsi="Times New Roman"/>
          <w:i/>
          <w:iCs/>
          <w:noProof/>
          <w:lang w:val="en-GB"/>
        </w:rPr>
        <w:t>. International Review on Public and Nonprofit Marketing</w:t>
      </w:r>
      <w:r w:rsidRPr="00771F08">
        <w:rPr>
          <w:rFonts w:ascii="Times New Roman" w:hAnsi="Times New Roman"/>
          <w:noProof/>
          <w:lang w:val="en-GB"/>
        </w:rPr>
        <w:t xml:space="preserve">. </w:t>
      </w:r>
      <w:r w:rsidRPr="00771F08">
        <w:rPr>
          <w:rFonts w:ascii="Times New Roman" w:hAnsi="Times New Roman"/>
          <w:i/>
          <w:iCs/>
          <w:noProof/>
          <w:lang w:val="en-GB"/>
        </w:rPr>
        <w:t>16</w:t>
      </w:r>
      <w:r w:rsidRPr="00771F08">
        <w:rPr>
          <w:rFonts w:ascii="Times New Roman" w:hAnsi="Times New Roman"/>
          <w:noProof/>
          <w:lang w:val="en-GB"/>
        </w:rPr>
        <w:t>, 23–41.</w:t>
      </w:r>
    </w:p>
    <w:p w14:paraId="2D532A2A" w14:textId="0CB81412" w:rsidR="008B539E" w:rsidRPr="00771F08" w:rsidRDefault="00827DA8"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Clark, K.D. </w:t>
      </w:r>
      <w:r w:rsidR="00CA73AC" w:rsidRPr="00771F08">
        <w:rPr>
          <w:rFonts w:ascii="Times New Roman" w:hAnsi="Times New Roman" w:cs="Times New Roman"/>
          <w:lang w:val="en-GB"/>
        </w:rPr>
        <w:t>&amp;</w:t>
      </w:r>
      <w:r w:rsidR="008B539E" w:rsidRPr="00771F08">
        <w:rPr>
          <w:rFonts w:ascii="Times New Roman" w:hAnsi="Times New Roman" w:cs="Times New Roman"/>
          <w:lang w:val="en-GB"/>
        </w:rPr>
        <w:t xml:space="preserve"> Cullen, P. (2016). Study</w:t>
      </w:r>
      <w:r w:rsidR="00CA73AC" w:rsidRPr="00771F08">
        <w:rPr>
          <w:rFonts w:ascii="Times New Roman" w:hAnsi="Times New Roman" w:cs="Times New Roman"/>
          <w:lang w:val="en-GB"/>
        </w:rPr>
        <w:t xml:space="preserve"> abroad for business students: T</w:t>
      </w:r>
      <w:r w:rsidR="007D0F20" w:rsidRPr="00771F08">
        <w:rPr>
          <w:rFonts w:ascii="Times New Roman" w:hAnsi="Times New Roman" w:cs="Times New Roman"/>
          <w:lang w:val="en-GB"/>
        </w:rPr>
        <w:t xml:space="preserve">he Italian case. </w:t>
      </w:r>
      <w:r w:rsidR="008B539E" w:rsidRPr="00771F08">
        <w:rPr>
          <w:rFonts w:ascii="Times New Roman" w:hAnsi="Times New Roman" w:cs="Times New Roman"/>
          <w:lang w:val="en-GB"/>
        </w:rPr>
        <w:t>In P. Cu</w:t>
      </w:r>
      <w:r w:rsidR="00071525" w:rsidRPr="00771F08">
        <w:rPr>
          <w:rFonts w:ascii="Times New Roman" w:hAnsi="Times New Roman" w:cs="Times New Roman"/>
          <w:lang w:val="en-GB"/>
        </w:rPr>
        <w:t>llen and</w:t>
      </w:r>
      <w:r w:rsidR="008B539E" w:rsidRPr="00771F08">
        <w:rPr>
          <w:rFonts w:ascii="Times New Roman" w:hAnsi="Times New Roman" w:cs="Times New Roman"/>
          <w:lang w:val="en-GB"/>
        </w:rPr>
        <w:t xml:space="preserve"> M.E. </w:t>
      </w:r>
      <w:proofErr w:type="spellStart"/>
      <w:r w:rsidR="008B539E" w:rsidRPr="00771F08">
        <w:rPr>
          <w:rFonts w:ascii="Times New Roman" w:hAnsi="Times New Roman" w:cs="Times New Roman"/>
          <w:lang w:val="en-GB"/>
        </w:rPr>
        <w:t>Montironi</w:t>
      </w:r>
      <w:proofErr w:type="spellEnd"/>
      <w:r w:rsidR="008B539E" w:rsidRPr="00771F08">
        <w:rPr>
          <w:rFonts w:ascii="Times New Roman" w:hAnsi="Times New Roman" w:cs="Times New Roman"/>
          <w:lang w:val="en-GB"/>
        </w:rPr>
        <w:t xml:space="preserve"> (Eds.), </w:t>
      </w:r>
      <w:r w:rsidR="008B539E" w:rsidRPr="00771F08">
        <w:rPr>
          <w:rFonts w:ascii="Times New Roman" w:hAnsi="Times New Roman" w:cs="Times New Roman"/>
          <w:i/>
          <w:lang w:val="en-GB"/>
        </w:rPr>
        <w:t>Teaching Business Culture in the Italian Context. Global and Intercultural Challenge</w:t>
      </w:r>
      <w:r w:rsidRPr="00771F08">
        <w:rPr>
          <w:rFonts w:ascii="Times New Roman" w:hAnsi="Times New Roman" w:cs="Times New Roman"/>
          <w:lang w:val="en-GB"/>
        </w:rPr>
        <w:t xml:space="preserve"> (</w:t>
      </w:r>
      <w:r w:rsidR="008B539E" w:rsidRPr="00771F08">
        <w:rPr>
          <w:rFonts w:ascii="Times New Roman" w:hAnsi="Times New Roman" w:cs="Times New Roman"/>
          <w:lang w:val="en-GB"/>
        </w:rPr>
        <w:t>15-40). Frankfurt: Peter Lang.</w:t>
      </w:r>
    </w:p>
    <w:p w14:paraId="0CE69E8E" w14:textId="31E3E073" w:rsidR="0050097D" w:rsidRDefault="0050097D"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Clotfelter, C. T. (2003). Alumni giving to elite private colleges and universities. </w:t>
      </w:r>
      <w:r w:rsidRPr="00771F08">
        <w:rPr>
          <w:rFonts w:ascii="Times New Roman" w:hAnsi="Times New Roman" w:cs="Times New Roman"/>
          <w:i/>
          <w:lang w:val="en-GB"/>
        </w:rPr>
        <w:t>Economics of Education review, 22</w:t>
      </w:r>
      <w:r w:rsidRPr="00771F08">
        <w:rPr>
          <w:rFonts w:ascii="Times New Roman" w:hAnsi="Times New Roman" w:cs="Times New Roman"/>
          <w:lang w:val="en-GB"/>
        </w:rPr>
        <w:t>(2), 109-120.</w:t>
      </w:r>
    </w:p>
    <w:p w14:paraId="0E267758" w14:textId="0C31DAE8" w:rsidR="000F5291" w:rsidRPr="00771F08" w:rsidRDefault="000F5291" w:rsidP="00237956">
      <w:pPr>
        <w:spacing w:after="0" w:line="240" w:lineRule="auto"/>
        <w:ind w:left="851" w:right="1133" w:hanging="284"/>
        <w:jc w:val="both"/>
        <w:rPr>
          <w:rFonts w:ascii="Times New Roman" w:hAnsi="Times New Roman" w:cs="Times New Roman"/>
          <w:lang w:val="en-GB"/>
        </w:rPr>
      </w:pPr>
      <w:proofErr w:type="spellStart"/>
      <w:r w:rsidRPr="00237956">
        <w:rPr>
          <w:rFonts w:ascii="Times New Roman" w:hAnsi="Times New Roman" w:cs="Times New Roman"/>
          <w:lang w:val="en-GB"/>
        </w:rPr>
        <w:t>Dass</w:t>
      </w:r>
      <w:proofErr w:type="spellEnd"/>
      <w:r w:rsidRPr="00237956">
        <w:rPr>
          <w:rFonts w:ascii="Times New Roman" w:hAnsi="Times New Roman" w:cs="Times New Roman"/>
          <w:lang w:val="en-GB"/>
        </w:rPr>
        <w:t xml:space="preserve">, S., </w:t>
      </w:r>
      <w:proofErr w:type="spellStart"/>
      <w:r w:rsidRPr="00237956">
        <w:rPr>
          <w:rFonts w:ascii="Times New Roman" w:hAnsi="Times New Roman" w:cs="Times New Roman"/>
          <w:lang w:val="en-GB"/>
        </w:rPr>
        <w:t>Popli</w:t>
      </w:r>
      <w:proofErr w:type="spellEnd"/>
      <w:r w:rsidRPr="00237956">
        <w:rPr>
          <w:rFonts w:ascii="Times New Roman" w:hAnsi="Times New Roman" w:cs="Times New Roman"/>
          <w:lang w:val="en-GB"/>
        </w:rPr>
        <w:t xml:space="preserve">, S., Sarkar, A., Sarkar, J. G., &amp; Vinay, M. (2020). Empirically examining the psychological mechanism of a loved and trusted business school brand. </w:t>
      </w:r>
      <w:r w:rsidRPr="00237956">
        <w:rPr>
          <w:rFonts w:ascii="Times New Roman" w:hAnsi="Times New Roman" w:cs="Times New Roman"/>
          <w:i/>
          <w:lang w:val="en-GB"/>
        </w:rPr>
        <w:t>Journal of Marketing for Higher Education</w:t>
      </w:r>
      <w:r w:rsidRPr="00237956">
        <w:rPr>
          <w:rFonts w:ascii="Times New Roman" w:hAnsi="Times New Roman" w:cs="Times New Roman"/>
          <w:lang w:val="en-GB"/>
        </w:rPr>
        <w:t>, Article in press.</w:t>
      </w:r>
      <w:r>
        <w:rPr>
          <w:rFonts w:ascii="Times New Roman" w:hAnsi="Times New Roman" w:cs="Times New Roman"/>
          <w:lang w:val="en-GB"/>
        </w:rPr>
        <w:t xml:space="preserve"> </w:t>
      </w:r>
    </w:p>
    <w:p w14:paraId="0162BF8A" w14:textId="1F55F6A9" w:rsidR="00527A86" w:rsidRPr="00537692" w:rsidRDefault="00527A86" w:rsidP="00237956">
      <w:pPr>
        <w:spacing w:after="0" w:line="240" w:lineRule="auto"/>
        <w:ind w:left="851" w:right="1133" w:hanging="284"/>
        <w:jc w:val="both"/>
        <w:rPr>
          <w:rFonts w:ascii="Times New Roman" w:hAnsi="Times New Roman" w:cs="Times New Roman"/>
        </w:rPr>
      </w:pPr>
      <w:r w:rsidRPr="00771F08">
        <w:rPr>
          <w:rFonts w:ascii="Times New Roman" w:hAnsi="Times New Roman" w:cs="Times New Roman"/>
          <w:lang w:val="en-GB"/>
        </w:rPr>
        <w:t xml:space="preserve">De </w:t>
      </w:r>
      <w:proofErr w:type="spellStart"/>
      <w:r w:rsidRPr="00771F08">
        <w:rPr>
          <w:rFonts w:ascii="Times New Roman" w:hAnsi="Times New Roman" w:cs="Times New Roman"/>
          <w:lang w:val="en-GB"/>
        </w:rPr>
        <w:t>Feo</w:t>
      </w:r>
      <w:proofErr w:type="spellEnd"/>
      <w:r w:rsidRPr="00771F08">
        <w:rPr>
          <w:rFonts w:ascii="Times New Roman" w:hAnsi="Times New Roman" w:cs="Times New Roman"/>
          <w:lang w:val="en-GB"/>
        </w:rPr>
        <w:t xml:space="preserve">, A. &amp; </w:t>
      </w:r>
      <w:proofErr w:type="spellStart"/>
      <w:r w:rsidRPr="00771F08">
        <w:rPr>
          <w:rFonts w:ascii="Times New Roman" w:hAnsi="Times New Roman" w:cs="Times New Roman"/>
          <w:lang w:val="en-GB"/>
        </w:rPr>
        <w:t>Pitzalis</w:t>
      </w:r>
      <w:proofErr w:type="spellEnd"/>
      <w:r w:rsidRPr="00771F08">
        <w:rPr>
          <w:rFonts w:ascii="Times New Roman" w:hAnsi="Times New Roman" w:cs="Times New Roman"/>
          <w:lang w:val="en-GB"/>
        </w:rPr>
        <w:t>, M. (2017). Service or market logic? The restructuring of the tertiary education system in Italy</w:t>
      </w:r>
      <w:r w:rsidR="00EA4961" w:rsidRPr="00771F08">
        <w:rPr>
          <w:rFonts w:ascii="Times New Roman" w:hAnsi="Times New Roman" w:cs="Times New Roman"/>
          <w:lang w:val="en-GB"/>
        </w:rPr>
        <w:t>.</w:t>
      </w:r>
      <w:r w:rsidRPr="00771F08">
        <w:rPr>
          <w:rFonts w:ascii="Times New Roman" w:hAnsi="Times New Roman" w:cs="Times New Roman"/>
          <w:lang w:val="en-GB"/>
        </w:rPr>
        <w:t xml:space="preserve"> </w:t>
      </w:r>
      <w:r w:rsidRPr="00537692">
        <w:rPr>
          <w:rFonts w:ascii="Times New Roman" w:hAnsi="Times New Roman" w:cs="Times New Roman"/>
          <w:i/>
          <w:iCs/>
        </w:rPr>
        <w:t>Rassegna Italiana di Sociologia</w:t>
      </w:r>
      <w:r w:rsidRPr="00537692">
        <w:rPr>
          <w:rFonts w:ascii="Times New Roman" w:hAnsi="Times New Roman" w:cs="Times New Roman"/>
        </w:rPr>
        <w:t xml:space="preserve"> Fascicolo 2, aprile-giugno, 219-250.</w:t>
      </w:r>
    </w:p>
    <w:p w14:paraId="046D14F4" w14:textId="3CC62856" w:rsidR="00EA4961" w:rsidRPr="00771F08" w:rsidRDefault="00EA4961" w:rsidP="00237956">
      <w:pPr>
        <w:spacing w:after="0" w:line="240" w:lineRule="auto"/>
        <w:ind w:left="851" w:right="1133" w:hanging="284"/>
        <w:jc w:val="both"/>
        <w:rPr>
          <w:rFonts w:ascii="Times New Roman" w:hAnsi="Times New Roman" w:cs="Times New Roman"/>
          <w:lang w:val="en-GB"/>
        </w:rPr>
      </w:pPr>
      <w:r w:rsidRPr="00537692">
        <w:rPr>
          <w:rFonts w:ascii="Times New Roman" w:hAnsi="Times New Roman" w:cs="Times New Roman"/>
        </w:rPr>
        <w:t xml:space="preserve">Dennis, C., Papagiannidis, S., Alamanos, E., &amp; Bourlakis, M. (2016). </w:t>
      </w:r>
      <w:r w:rsidRPr="00771F08">
        <w:rPr>
          <w:rFonts w:ascii="Times New Roman" w:hAnsi="Times New Roman" w:cs="Times New Roman"/>
          <w:lang w:val="en-GB"/>
        </w:rPr>
        <w:t xml:space="preserve">The role of brand attachment strength in higher education. </w:t>
      </w:r>
      <w:r w:rsidRPr="00771F08">
        <w:rPr>
          <w:rFonts w:ascii="Times New Roman" w:hAnsi="Times New Roman" w:cs="Times New Roman"/>
          <w:i/>
          <w:iCs/>
          <w:lang w:val="en-GB"/>
        </w:rPr>
        <w:t>Journal of Business Research, 69</w:t>
      </w:r>
      <w:r w:rsidRPr="00771F08">
        <w:rPr>
          <w:rFonts w:ascii="Times New Roman" w:hAnsi="Times New Roman" w:cs="Times New Roman"/>
          <w:lang w:val="en-GB"/>
        </w:rPr>
        <w:t>(8), 3049-3057.</w:t>
      </w:r>
    </w:p>
    <w:p w14:paraId="61AEF2A3" w14:textId="1DCF4FFD" w:rsidR="00CF6B0E" w:rsidRPr="00771F08" w:rsidRDefault="00CF6B0E" w:rsidP="00237956">
      <w:pPr>
        <w:spacing w:after="0" w:line="240" w:lineRule="auto"/>
        <w:ind w:left="567" w:right="1133"/>
        <w:rPr>
          <w:rFonts w:ascii="Times New Roman" w:hAnsi="Times New Roman" w:cs="Times New Roman"/>
          <w:lang w:val="en-GB"/>
        </w:rPr>
      </w:pPr>
      <w:r w:rsidRPr="0061725A">
        <w:rPr>
          <w:rFonts w:ascii="Times New Roman" w:hAnsi="Times New Roman" w:cs="Times New Roman"/>
          <w:lang w:val="en-GB"/>
        </w:rPr>
        <w:t>Diaz Vidal</w:t>
      </w:r>
      <w:r w:rsidR="00384225" w:rsidRPr="0061725A">
        <w:rPr>
          <w:rFonts w:ascii="Times New Roman" w:hAnsi="Times New Roman" w:cs="Times New Roman"/>
          <w:lang w:val="en-GB"/>
        </w:rPr>
        <w:t>, D.</w:t>
      </w:r>
      <w:r w:rsidRPr="0061725A">
        <w:rPr>
          <w:rFonts w:ascii="Times New Roman" w:hAnsi="Times New Roman" w:cs="Times New Roman"/>
          <w:lang w:val="en-GB"/>
        </w:rPr>
        <w:t xml:space="preserve"> &amp;</w:t>
      </w:r>
      <w:r w:rsidR="00384225" w:rsidRPr="0061725A">
        <w:rPr>
          <w:rFonts w:ascii="Times New Roman" w:hAnsi="Times New Roman" w:cs="Times New Roman"/>
          <w:lang w:val="en-GB"/>
        </w:rPr>
        <w:t xml:space="preserve"> </w:t>
      </w:r>
      <w:proofErr w:type="spellStart"/>
      <w:r w:rsidRPr="0061725A">
        <w:rPr>
          <w:rFonts w:ascii="Times New Roman" w:hAnsi="Times New Roman" w:cs="Times New Roman"/>
          <w:lang w:val="en-GB"/>
        </w:rPr>
        <w:t>Pittz</w:t>
      </w:r>
      <w:proofErr w:type="spellEnd"/>
      <w:r w:rsidR="00384225" w:rsidRPr="0061725A">
        <w:rPr>
          <w:rFonts w:ascii="Times New Roman" w:hAnsi="Times New Roman" w:cs="Times New Roman"/>
          <w:lang w:val="en-GB"/>
        </w:rPr>
        <w:t>, T.G.</w:t>
      </w:r>
      <w:r w:rsidRPr="0061725A">
        <w:rPr>
          <w:rFonts w:ascii="Times New Roman" w:hAnsi="Times New Roman" w:cs="Times New Roman"/>
          <w:lang w:val="en-GB"/>
        </w:rPr>
        <w:t xml:space="preserve"> (2019)</w:t>
      </w:r>
      <w:r w:rsidR="00384225" w:rsidRPr="0061725A">
        <w:rPr>
          <w:rFonts w:ascii="Times New Roman" w:hAnsi="Times New Roman" w:cs="Times New Roman"/>
          <w:lang w:val="en-GB"/>
        </w:rPr>
        <w:t>.</w:t>
      </w:r>
      <w:r w:rsidRPr="0061725A">
        <w:rPr>
          <w:rFonts w:ascii="Times New Roman" w:hAnsi="Times New Roman" w:cs="Times New Roman"/>
          <w:lang w:val="en-GB"/>
        </w:rPr>
        <w:t xml:space="preserve"> </w:t>
      </w:r>
      <w:r w:rsidRPr="00771F08">
        <w:rPr>
          <w:rFonts w:ascii="Times New Roman" w:hAnsi="Times New Roman" w:cs="Times New Roman"/>
          <w:lang w:val="en-GB"/>
        </w:rPr>
        <w:t>Educating beyond the classroom: alumni giving and the value of campus culture</w:t>
      </w:r>
      <w:r w:rsidR="00384225" w:rsidRPr="00771F08">
        <w:rPr>
          <w:rFonts w:ascii="Times New Roman" w:hAnsi="Times New Roman" w:cs="Times New Roman"/>
          <w:lang w:val="en-GB"/>
        </w:rPr>
        <w:t>.</w:t>
      </w:r>
      <w:r w:rsidRPr="00771F08">
        <w:rPr>
          <w:rFonts w:ascii="Times New Roman" w:hAnsi="Times New Roman" w:cs="Times New Roman"/>
          <w:lang w:val="en-GB"/>
        </w:rPr>
        <w:t xml:space="preserve"> </w:t>
      </w:r>
      <w:r w:rsidRPr="00771F08">
        <w:rPr>
          <w:rFonts w:ascii="Times New Roman" w:hAnsi="Times New Roman" w:cs="Times New Roman"/>
          <w:i/>
          <w:iCs/>
          <w:lang w:val="en-GB"/>
        </w:rPr>
        <w:t>Studies in Higher Education</w:t>
      </w:r>
      <w:r w:rsidR="00384225" w:rsidRPr="00771F08">
        <w:rPr>
          <w:rFonts w:ascii="Times New Roman" w:hAnsi="Times New Roman" w:cs="Times New Roman"/>
          <w:lang w:val="en-GB"/>
        </w:rPr>
        <w:t>,</w:t>
      </w:r>
      <w:r w:rsidRPr="00771F08">
        <w:rPr>
          <w:rFonts w:ascii="Times New Roman" w:hAnsi="Times New Roman" w:cs="Times New Roman"/>
          <w:lang w:val="en-GB"/>
        </w:rPr>
        <w:t xml:space="preserve"> </w:t>
      </w:r>
      <w:r w:rsidRPr="00771F08">
        <w:rPr>
          <w:rFonts w:ascii="Times New Roman" w:hAnsi="Times New Roman" w:cs="Times New Roman"/>
          <w:i/>
          <w:iCs/>
          <w:lang w:val="en-GB"/>
        </w:rPr>
        <w:t>44</w:t>
      </w:r>
      <w:r w:rsidR="00384225" w:rsidRPr="00771F08">
        <w:rPr>
          <w:rFonts w:ascii="Times New Roman" w:hAnsi="Times New Roman" w:cs="Times New Roman"/>
          <w:lang w:val="en-GB"/>
        </w:rPr>
        <w:t>(</w:t>
      </w:r>
      <w:r w:rsidRPr="00771F08">
        <w:rPr>
          <w:rFonts w:ascii="Times New Roman" w:hAnsi="Times New Roman" w:cs="Times New Roman"/>
          <w:lang w:val="en-GB"/>
        </w:rPr>
        <w:t>12</w:t>
      </w:r>
      <w:r w:rsidR="00384225" w:rsidRPr="00771F08">
        <w:rPr>
          <w:rFonts w:ascii="Times New Roman" w:hAnsi="Times New Roman" w:cs="Times New Roman"/>
          <w:lang w:val="en-GB"/>
        </w:rPr>
        <w:t>)</w:t>
      </w:r>
      <w:r w:rsidRPr="00771F08">
        <w:rPr>
          <w:rFonts w:ascii="Times New Roman" w:hAnsi="Times New Roman" w:cs="Times New Roman"/>
          <w:lang w:val="en-GB"/>
        </w:rPr>
        <w:t>, 2208-2222</w:t>
      </w:r>
      <w:r w:rsidR="00384225" w:rsidRPr="00771F08">
        <w:rPr>
          <w:rFonts w:ascii="Times New Roman" w:hAnsi="Times New Roman" w:cs="Times New Roman"/>
          <w:lang w:val="en-GB"/>
        </w:rPr>
        <w:t>.</w:t>
      </w:r>
    </w:p>
    <w:p w14:paraId="10BE14F0" w14:textId="7D0F47A0" w:rsidR="00684C52" w:rsidRPr="00771F08" w:rsidRDefault="00684C52"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Dowell, D., Morrison, M., &amp; Heffernan, T. (2015). The changing importance of affective trust and cognitive trust across the relationship lifecycle: A study of business-to-business relationships. </w:t>
      </w:r>
      <w:r w:rsidRPr="00771F08">
        <w:rPr>
          <w:rFonts w:ascii="Times New Roman" w:hAnsi="Times New Roman" w:cs="Times New Roman"/>
          <w:i/>
          <w:lang w:val="en-GB"/>
        </w:rPr>
        <w:t>Industrial Marketing Management, 44</w:t>
      </w:r>
      <w:r w:rsidRPr="00771F08">
        <w:rPr>
          <w:rFonts w:ascii="Times New Roman" w:hAnsi="Times New Roman" w:cs="Times New Roman"/>
          <w:lang w:val="en-GB"/>
        </w:rPr>
        <w:t>, 119-130.</w:t>
      </w:r>
    </w:p>
    <w:p w14:paraId="4E3BCB2C" w14:textId="4C3B7CB6" w:rsidR="00EC3FED" w:rsidRPr="00771F08" w:rsidRDefault="00EC3FED"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Drezner, N. D., &amp; Garvey, J. C. (2016). LGBTQ Alumni Philanthropy: Exploring (Un)Conscious Motivations for Giving Related to Identity and Experiences. </w:t>
      </w:r>
      <w:proofErr w:type="spellStart"/>
      <w:r w:rsidRPr="00771F08">
        <w:rPr>
          <w:rFonts w:ascii="Times New Roman" w:hAnsi="Times New Roman" w:cs="Times New Roman"/>
          <w:i/>
          <w:iCs/>
          <w:lang w:val="en-GB"/>
        </w:rPr>
        <w:t>Nonprofit</w:t>
      </w:r>
      <w:proofErr w:type="spellEnd"/>
      <w:r w:rsidRPr="00771F08">
        <w:rPr>
          <w:rFonts w:ascii="Times New Roman" w:hAnsi="Times New Roman" w:cs="Times New Roman"/>
          <w:i/>
          <w:iCs/>
          <w:lang w:val="en-GB"/>
        </w:rPr>
        <w:t xml:space="preserve"> and Voluntary Sector Quarterly</w:t>
      </w:r>
      <w:r w:rsidRPr="00771F08">
        <w:rPr>
          <w:rFonts w:ascii="Times New Roman" w:hAnsi="Times New Roman" w:cs="Times New Roman"/>
          <w:lang w:val="en-GB"/>
        </w:rPr>
        <w:t>, 45(1), 52-71.</w:t>
      </w:r>
    </w:p>
    <w:p w14:paraId="212C26DD" w14:textId="1596AFBE" w:rsidR="00294589" w:rsidRPr="00771F08" w:rsidRDefault="00294589"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Drezner, N.D. (2018) Philanthropic Mirroring: Exploring Identity-Based Fundraising in Higher Education, </w:t>
      </w:r>
      <w:r w:rsidRPr="00771F08">
        <w:rPr>
          <w:rFonts w:ascii="Times New Roman" w:hAnsi="Times New Roman" w:cs="Times New Roman"/>
          <w:i/>
          <w:iCs/>
          <w:lang w:val="en-GB"/>
        </w:rPr>
        <w:t>The Journal of Higher Education</w:t>
      </w:r>
      <w:r w:rsidRPr="00771F08">
        <w:rPr>
          <w:rFonts w:ascii="Times New Roman" w:hAnsi="Times New Roman" w:cs="Times New Roman"/>
          <w:lang w:val="en-GB"/>
        </w:rPr>
        <w:t xml:space="preserve">, </w:t>
      </w:r>
      <w:r w:rsidRPr="00771F08">
        <w:rPr>
          <w:rFonts w:ascii="Times New Roman" w:hAnsi="Times New Roman" w:cs="Times New Roman"/>
          <w:i/>
          <w:iCs/>
          <w:lang w:val="en-GB"/>
        </w:rPr>
        <w:t>89</w:t>
      </w:r>
      <w:r w:rsidR="00941D8E" w:rsidRPr="00771F08">
        <w:rPr>
          <w:rFonts w:ascii="Times New Roman" w:hAnsi="Times New Roman" w:cs="Times New Roman"/>
          <w:lang w:val="en-GB"/>
        </w:rPr>
        <w:t>(</w:t>
      </w:r>
      <w:r w:rsidRPr="00771F08">
        <w:rPr>
          <w:rFonts w:ascii="Times New Roman" w:hAnsi="Times New Roman" w:cs="Times New Roman"/>
          <w:lang w:val="en-GB"/>
        </w:rPr>
        <w:t>3</w:t>
      </w:r>
      <w:r w:rsidR="00941D8E" w:rsidRPr="00771F08">
        <w:rPr>
          <w:rFonts w:ascii="Times New Roman" w:hAnsi="Times New Roman" w:cs="Times New Roman"/>
          <w:lang w:val="en-GB"/>
        </w:rPr>
        <w:t>)</w:t>
      </w:r>
      <w:r w:rsidRPr="00771F08">
        <w:rPr>
          <w:rFonts w:ascii="Times New Roman" w:hAnsi="Times New Roman" w:cs="Times New Roman"/>
          <w:lang w:val="en-GB"/>
        </w:rPr>
        <w:t>, 261-293.</w:t>
      </w:r>
    </w:p>
    <w:p w14:paraId="19D5A736" w14:textId="49DCB687" w:rsidR="00941D8E" w:rsidRDefault="00941D8E"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Drezner, N. D. (2019). The global growth of higher education philanthropy and fundraising. In </w:t>
      </w:r>
      <w:r w:rsidRPr="00771F08">
        <w:rPr>
          <w:rFonts w:ascii="Times New Roman" w:hAnsi="Times New Roman" w:cs="Times New Roman"/>
          <w:i/>
          <w:iCs/>
          <w:lang w:val="en-GB"/>
        </w:rPr>
        <w:t>Philanthropy in Education</w:t>
      </w:r>
      <w:r w:rsidRPr="00771F08">
        <w:rPr>
          <w:rFonts w:ascii="Times New Roman" w:hAnsi="Times New Roman" w:cs="Times New Roman"/>
          <w:lang w:val="en-GB"/>
        </w:rPr>
        <w:t>. Edward Elgar Publishing.</w:t>
      </w:r>
    </w:p>
    <w:p w14:paraId="33533D00" w14:textId="7CCB5A04" w:rsidR="006F15E4" w:rsidRDefault="006F15E4" w:rsidP="00237956">
      <w:pPr>
        <w:spacing w:after="0" w:line="240" w:lineRule="auto"/>
        <w:ind w:left="851" w:right="1133" w:hanging="284"/>
        <w:jc w:val="both"/>
        <w:rPr>
          <w:rFonts w:ascii="Times New Roman" w:hAnsi="Times New Roman" w:cs="Times New Roman"/>
          <w:lang w:val="en-GB"/>
        </w:rPr>
      </w:pPr>
      <w:r w:rsidRPr="00237956">
        <w:rPr>
          <w:rFonts w:ascii="Times New Roman" w:hAnsi="Times New Roman" w:cs="Times New Roman"/>
          <w:lang w:val="en-GB"/>
        </w:rPr>
        <w:t xml:space="preserve">Drezner, N.; </w:t>
      </w:r>
      <w:proofErr w:type="spellStart"/>
      <w:r w:rsidRPr="00237956">
        <w:rPr>
          <w:rFonts w:ascii="Times New Roman" w:hAnsi="Times New Roman" w:cs="Times New Roman"/>
          <w:lang w:val="en-GB"/>
        </w:rPr>
        <w:t>Pizmony</w:t>
      </w:r>
      <w:proofErr w:type="spellEnd"/>
      <w:r w:rsidRPr="00237956">
        <w:rPr>
          <w:rFonts w:ascii="Times New Roman" w:hAnsi="Times New Roman" w:cs="Times New Roman"/>
          <w:lang w:val="en-GB"/>
        </w:rPr>
        <w:t>-Levy, O.; &amp; Anderson-Long, M. (2020). In "Alma Mater" We Trust? Exploring Attitudes Toward Institutions and Alumni Giving</w:t>
      </w:r>
      <w:r w:rsidRPr="00237956">
        <w:rPr>
          <w:rFonts w:ascii="Times New Roman" w:hAnsi="Times New Roman" w:cs="Times New Roman"/>
          <w:i/>
          <w:iCs/>
          <w:lang w:val="en-GB"/>
        </w:rPr>
        <w:t>. Teachers College Record</w:t>
      </w:r>
      <w:r w:rsidRPr="005D400D">
        <w:rPr>
          <w:rFonts w:ascii="Times New Roman" w:hAnsi="Times New Roman" w:cs="Times New Roman"/>
          <w:highlight w:val="yellow"/>
          <w:lang w:val="en-GB"/>
        </w:rPr>
        <w:t>.</w:t>
      </w:r>
    </w:p>
    <w:p w14:paraId="011CE411" w14:textId="4263EB20" w:rsidR="00F6528C" w:rsidRPr="00771F08" w:rsidRDefault="00F6528C" w:rsidP="00237956">
      <w:pPr>
        <w:spacing w:after="0" w:line="240" w:lineRule="auto"/>
        <w:ind w:left="851" w:right="1133" w:hanging="284"/>
        <w:jc w:val="both"/>
        <w:rPr>
          <w:rFonts w:ascii="Times New Roman" w:hAnsi="Times New Roman" w:cs="Times New Roman"/>
          <w:lang w:val="en-GB"/>
        </w:rPr>
      </w:pPr>
      <w:r w:rsidRPr="0061725A">
        <w:rPr>
          <w:rFonts w:ascii="Times New Roman" w:hAnsi="Times New Roman" w:cs="Times New Roman"/>
          <w:lang w:val="en-GB"/>
        </w:rPr>
        <w:t>Durango-Cohen,</w:t>
      </w:r>
      <w:r w:rsidR="00B171B9" w:rsidRPr="0061725A">
        <w:rPr>
          <w:rFonts w:ascii="Times New Roman" w:hAnsi="Times New Roman" w:cs="Times New Roman"/>
          <w:lang w:val="en-GB"/>
        </w:rPr>
        <w:t xml:space="preserve"> E. J., &amp;</w:t>
      </w:r>
      <w:r w:rsidRPr="0061725A">
        <w:rPr>
          <w:rFonts w:ascii="Times New Roman" w:hAnsi="Times New Roman" w:cs="Times New Roman"/>
          <w:lang w:val="en-GB"/>
        </w:rPr>
        <w:t xml:space="preserve"> Balasubramanian, S. K. (2015). </w:t>
      </w:r>
      <w:r w:rsidRPr="00771F08">
        <w:rPr>
          <w:rFonts w:ascii="Times New Roman" w:hAnsi="Times New Roman" w:cs="Times New Roman"/>
          <w:lang w:val="en-GB"/>
        </w:rPr>
        <w:t xml:space="preserve">Effective segmentation of university alumni: Mining contribution data with finite-mixture models. </w:t>
      </w:r>
      <w:r w:rsidRPr="00771F08">
        <w:rPr>
          <w:rFonts w:ascii="Times New Roman" w:hAnsi="Times New Roman" w:cs="Times New Roman"/>
          <w:i/>
          <w:lang w:val="en-GB"/>
        </w:rPr>
        <w:t>Research in Higher Education</w:t>
      </w:r>
      <w:r w:rsidRPr="00771F08">
        <w:rPr>
          <w:rFonts w:ascii="Times New Roman" w:hAnsi="Times New Roman" w:cs="Times New Roman"/>
          <w:lang w:val="en-GB"/>
        </w:rPr>
        <w:t xml:space="preserve">, </w:t>
      </w:r>
      <w:r w:rsidRPr="00771F08">
        <w:rPr>
          <w:rFonts w:ascii="Times New Roman" w:hAnsi="Times New Roman" w:cs="Times New Roman"/>
          <w:i/>
          <w:lang w:val="en-GB"/>
        </w:rPr>
        <w:t>56</w:t>
      </w:r>
      <w:r w:rsidRPr="00771F08">
        <w:rPr>
          <w:rFonts w:ascii="Times New Roman" w:hAnsi="Times New Roman" w:cs="Times New Roman"/>
          <w:lang w:val="en-GB"/>
        </w:rPr>
        <w:t>(1), 78-104.</w:t>
      </w:r>
    </w:p>
    <w:p w14:paraId="0E400CC9" w14:textId="3AA88FD6" w:rsidR="00230D00" w:rsidRPr="00771F08" w:rsidRDefault="00230D00"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Dyson, B., Vickers, K., Turtle, J., Cowan, S., &amp; </w:t>
      </w:r>
      <w:proofErr w:type="spellStart"/>
      <w:r w:rsidRPr="00771F08">
        <w:rPr>
          <w:rFonts w:ascii="Times New Roman" w:hAnsi="Times New Roman" w:cs="Times New Roman"/>
          <w:lang w:val="en-GB"/>
        </w:rPr>
        <w:t>Tassone</w:t>
      </w:r>
      <w:proofErr w:type="spellEnd"/>
      <w:r w:rsidRPr="00771F08">
        <w:rPr>
          <w:rFonts w:ascii="Times New Roman" w:hAnsi="Times New Roman" w:cs="Times New Roman"/>
          <w:lang w:val="en-GB"/>
        </w:rPr>
        <w:t xml:space="preserve">, A. (2015). Evaluating the use of Facebook to increase student engagement and understanding in lecture-based classes. </w:t>
      </w:r>
      <w:r w:rsidRPr="00771F08">
        <w:rPr>
          <w:rFonts w:ascii="Times New Roman" w:hAnsi="Times New Roman" w:cs="Times New Roman"/>
          <w:i/>
          <w:lang w:val="en-GB"/>
        </w:rPr>
        <w:t>Higher Education</w:t>
      </w:r>
      <w:r w:rsidRPr="00771F08">
        <w:rPr>
          <w:rFonts w:ascii="Times New Roman" w:hAnsi="Times New Roman" w:cs="Times New Roman"/>
          <w:lang w:val="en-GB"/>
        </w:rPr>
        <w:t xml:space="preserve">, </w:t>
      </w:r>
      <w:r w:rsidRPr="00771F08">
        <w:rPr>
          <w:rFonts w:ascii="Times New Roman" w:hAnsi="Times New Roman" w:cs="Times New Roman"/>
          <w:i/>
          <w:lang w:val="en-GB"/>
        </w:rPr>
        <w:t>69</w:t>
      </w:r>
      <w:r w:rsidRPr="00771F08">
        <w:rPr>
          <w:rFonts w:ascii="Times New Roman" w:hAnsi="Times New Roman" w:cs="Times New Roman"/>
          <w:lang w:val="en-GB"/>
        </w:rPr>
        <w:t>(2), 303-313.</w:t>
      </w:r>
    </w:p>
    <w:p w14:paraId="31C8F069" w14:textId="26C095E5" w:rsidR="004C0D36" w:rsidRPr="00771F08" w:rsidRDefault="004C0D36"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Fabrigar</w:t>
      </w:r>
      <w:proofErr w:type="spellEnd"/>
      <w:r w:rsidRPr="00771F08">
        <w:rPr>
          <w:rFonts w:ascii="Times New Roman" w:hAnsi="Times New Roman" w:cs="Times New Roman"/>
          <w:lang w:val="en-GB"/>
        </w:rPr>
        <w:t xml:space="preserve">, L. R., Porter, R. D., &amp; Norris, M. E. (2010). Some things you should know about structural equation </w:t>
      </w:r>
      <w:proofErr w:type="spellStart"/>
      <w:r w:rsidRPr="00771F08">
        <w:rPr>
          <w:rFonts w:ascii="Times New Roman" w:hAnsi="Times New Roman" w:cs="Times New Roman"/>
          <w:lang w:val="en-GB"/>
        </w:rPr>
        <w:t>modeling</w:t>
      </w:r>
      <w:proofErr w:type="spellEnd"/>
      <w:r w:rsidRPr="00771F08">
        <w:rPr>
          <w:rFonts w:ascii="Times New Roman" w:hAnsi="Times New Roman" w:cs="Times New Roman"/>
          <w:lang w:val="en-GB"/>
        </w:rPr>
        <w:t xml:space="preserve"> but never thought to ask. </w:t>
      </w:r>
      <w:r w:rsidRPr="00771F08">
        <w:rPr>
          <w:rFonts w:ascii="Times New Roman" w:hAnsi="Times New Roman" w:cs="Times New Roman"/>
          <w:i/>
          <w:lang w:val="en-GB"/>
        </w:rPr>
        <w:t>Journal of Consumer Psychology,</w:t>
      </w:r>
      <w:r w:rsidRPr="00771F08">
        <w:rPr>
          <w:rFonts w:ascii="Times New Roman" w:hAnsi="Times New Roman" w:cs="Times New Roman"/>
          <w:lang w:val="en-GB"/>
        </w:rPr>
        <w:t xml:space="preserve"> </w:t>
      </w:r>
      <w:r w:rsidRPr="00771F08">
        <w:rPr>
          <w:rFonts w:ascii="Times New Roman" w:hAnsi="Times New Roman" w:cs="Times New Roman"/>
          <w:i/>
          <w:lang w:val="en-GB"/>
        </w:rPr>
        <w:t>20</w:t>
      </w:r>
      <w:r w:rsidRPr="00771F08">
        <w:rPr>
          <w:rFonts w:ascii="Times New Roman" w:hAnsi="Times New Roman" w:cs="Times New Roman"/>
          <w:lang w:val="en-GB"/>
        </w:rPr>
        <w:t>(2), 221-225.</w:t>
      </w:r>
    </w:p>
    <w:p w14:paraId="5DB73560" w14:textId="2BA895F9" w:rsidR="00EA7638" w:rsidRPr="00771F08" w:rsidRDefault="00EA7638"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Fornell</w:t>
      </w:r>
      <w:proofErr w:type="spellEnd"/>
      <w:r w:rsidRPr="00771F08">
        <w:rPr>
          <w:rFonts w:ascii="Times New Roman" w:hAnsi="Times New Roman" w:cs="Times New Roman"/>
          <w:lang w:val="en-GB"/>
        </w:rPr>
        <w:t xml:space="preserve">, C., &amp; </w:t>
      </w:r>
      <w:proofErr w:type="spellStart"/>
      <w:r w:rsidRPr="00771F08">
        <w:rPr>
          <w:rFonts w:ascii="Times New Roman" w:hAnsi="Times New Roman" w:cs="Times New Roman"/>
          <w:lang w:val="en-GB"/>
        </w:rPr>
        <w:t>Larcker</w:t>
      </w:r>
      <w:proofErr w:type="spellEnd"/>
      <w:r w:rsidRPr="00771F08">
        <w:rPr>
          <w:rFonts w:ascii="Times New Roman" w:hAnsi="Times New Roman" w:cs="Times New Roman"/>
          <w:lang w:val="en-GB"/>
        </w:rPr>
        <w:t xml:space="preserve">, D. F. (1981). Evaluating structural equation models with unobservable variables and measurement error. </w:t>
      </w:r>
      <w:r w:rsidRPr="00771F08">
        <w:rPr>
          <w:rFonts w:ascii="Times New Roman" w:hAnsi="Times New Roman" w:cs="Times New Roman"/>
          <w:i/>
          <w:lang w:val="en-GB"/>
        </w:rPr>
        <w:t>Journal of marketing research, 18</w:t>
      </w:r>
      <w:r w:rsidRPr="00771F08">
        <w:rPr>
          <w:rFonts w:ascii="Times New Roman" w:hAnsi="Times New Roman" w:cs="Times New Roman"/>
          <w:lang w:val="en-GB"/>
        </w:rPr>
        <w:t>(1), 39-50.</w:t>
      </w:r>
    </w:p>
    <w:p w14:paraId="58B572B5" w14:textId="403B4AAD" w:rsidR="00E76C55" w:rsidRPr="00771F08" w:rsidRDefault="00E76C55"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Frasquet, M., Calderón, H., &amp; </w:t>
      </w:r>
      <w:proofErr w:type="spellStart"/>
      <w:r w:rsidRPr="00771F08">
        <w:rPr>
          <w:rFonts w:ascii="Times New Roman" w:hAnsi="Times New Roman" w:cs="Times New Roman"/>
          <w:lang w:val="en-GB"/>
        </w:rPr>
        <w:t>Cervera</w:t>
      </w:r>
      <w:proofErr w:type="spellEnd"/>
      <w:r w:rsidRPr="00771F08">
        <w:rPr>
          <w:rFonts w:ascii="Times New Roman" w:hAnsi="Times New Roman" w:cs="Times New Roman"/>
          <w:lang w:val="en-GB"/>
        </w:rPr>
        <w:t xml:space="preserve">, A. (2012). University–industry collaboration from a relationship marketing perspective: An empirical analysis in a Spanish University. </w:t>
      </w:r>
      <w:r w:rsidRPr="00771F08">
        <w:rPr>
          <w:rFonts w:ascii="Times New Roman" w:hAnsi="Times New Roman" w:cs="Times New Roman"/>
          <w:i/>
          <w:lang w:val="en-GB"/>
        </w:rPr>
        <w:t>Higher Education, 64</w:t>
      </w:r>
      <w:r w:rsidRPr="00771F08">
        <w:rPr>
          <w:rFonts w:ascii="Times New Roman" w:hAnsi="Times New Roman" w:cs="Times New Roman"/>
          <w:lang w:val="en-GB"/>
        </w:rPr>
        <w:t>(1), 85-98.</w:t>
      </w:r>
    </w:p>
    <w:p w14:paraId="3DAC97AE" w14:textId="35EEAF36" w:rsidR="00B825C9" w:rsidRPr="00771F08" w:rsidRDefault="00B825C9"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Gallo, M.L. (2018)</w:t>
      </w:r>
      <w:r w:rsidR="00D876C6" w:rsidRPr="00771F08">
        <w:rPr>
          <w:rFonts w:ascii="Times New Roman" w:hAnsi="Times New Roman" w:cs="Times New Roman"/>
          <w:lang w:val="en-GB"/>
        </w:rPr>
        <w:t>.</w:t>
      </w:r>
      <w:r w:rsidRPr="00771F08">
        <w:rPr>
          <w:rFonts w:ascii="Times New Roman" w:hAnsi="Times New Roman" w:cs="Times New Roman"/>
          <w:lang w:val="en-GB"/>
        </w:rPr>
        <w:t xml:space="preserve"> How are graduates and alumni featured in university strategic plans? Lessons from Ireland</w:t>
      </w:r>
      <w:r w:rsidR="00D876C6" w:rsidRPr="00771F08">
        <w:rPr>
          <w:rFonts w:ascii="Times New Roman" w:hAnsi="Times New Roman" w:cs="Times New Roman"/>
          <w:lang w:val="en-GB"/>
        </w:rPr>
        <w:t>.</w:t>
      </w:r>
      <w:r w:rsidRPr="00771F08">
        <w:rPr>
          <w:rFonts w:ascii="Times New Roman" w:hAnsi="Times New Roman" w:cs="Times New Roman"/>
          <w:lang w:val="en-GB"/>
        </w:rPr>
        <w:t xml:space="preserve"> </w:t>
      </w:r>
      <w:r w:rsidRPr="00771F08">
        <w:rPr>
          <w:rFonts w:ascii="Times New Roman" w:hAnsi="Times New Roman" w:cs="Times New Roman"/>
          <w:i/>
          <w:iCs/>
          <w:lang w:val="en-GB"/>
        </w:rPr>
        <w:t>Perspectives: Policy and Practice in Higher Education, 22</w:t>
      </w:r>
      <w:r w:rsidRPr="00771F08">
        <w:rPr>
          <w:rFonts w:ascii="Times New Roman" w:hAnsi="Times New Roman" w:cs="Times New Roman"/>
          <w:lang w:val="en-GB"/>
        </w:rPr>
        <w:t>(3), 92-97</w:t>
      </w:r>
      <w:r w:rsidR="00D876C6" w:rsidRPr="00771F08">
        <w:rPr>
          <w:rFonts w:ascii="Times New Roman" w:hAnsi="Times New Roman" w:cs="Times New Roman"/>
          <w:lang w:val="en-GB"/>
        </w:rPr>
        <w:t>.</w:t>
      </w:r>
    </w:p>
    <w:p w14:paraId="5D2C7406" w14:textId="05177C03" w:rsidR="00B50C90" w:rsidRPr="00771F08" w:rsidRDefault="00B50C90"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lastRenderedPageBreak/>
        <w:t xml:space="preserve">Ghosh, A. K., Whipple, T. W., &amp; Bryan, G. A. (2001). Student trust and its antecedents in higher education. </w:t>
      </w:r>
      <w:r w:rsidRPr="00771F08">
        <w:rPr>
          <w:rFonts w:ascii="Times New Roman" w:hAnsi="Times New Roman" w:cs="Times New Roman"/>
          <w:i/>
          <w:lang w:val="en-GB"/>
        </w:rPr>
        <w:t>The Journal of Higher Education, 72</w:t>
      </w:r>
      <w:r w:rsidRPr="00771F08">
        <w:rPr>
          <w:rFonts w:ascii="Times New Roman" w:hAnsi="Times New Roman" w:cs="Times New Roman"/>
          <w:lang w:val="en-GB"/>
        </w:rPr>
        <w:t>(3), 322-340.</w:t>
      </w:r>
    </w:p>
    <w:p w14:paraId="257889F8" w14:textId="1D2F271D" w:rsidR="00E25523" w:rsidRPr="00771F08" w:rsidRDefault="00E25523"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Gorsuch, R. (1983). </w:t>
      </w:r>
      <w:r w:rsidRPr="00771F08">
        <w:rPr>
          <w:rFonts w:ascii="Times New Roman" w:hAnsi="Times New Roman" w:cs="Times New Roman"/>
          <w:i/>
          <w:lang w:val="en-GB"/>
        </w:rPr>
        <w:t>Factor Analysis,</w:t>
      </w:r>
      <w:r w:rsidRPr="00771F08">
        <w:rPr>
          <w:rFonts w:ascii="Times New Roman" w:hAnsi="Times New Roman" w:cs="Times New Roman"/>
          <w:lang w:val="en-GB"/>
        </w:rPr>
        <w:t xml:space="preserve"> Erlbaum, Hillsdale, NJ. </w:t>
      </w:r>
    </w:p>
    <w:p w14:paraId="3BCBD3A4" w14:textId="5CC5A5DA" w:rsidR="00620C0F" w:rsidRPr="00771F08" w:rsidRDefault="00620C0F"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Gunsalus</w:t>
      </w:r>
      <w:proofErr w:type="spellEnd"/>
      <w:r w:rsidRPr="00771F08">
        <w:rPr>
          <w:rFonts w:ascii="Times New Roman" w:hAnsi="Times New Roman" w:cs="Times New Roman"/>
          <w:lang w:val="en-GB"/>
        </w:rPr>
        <w:t xml:space="preserve">, R. (2005). The relationship of institutional characteristics and giving participation rates of alumni. </w:t>
      </w:r>
      <w:r w:rsidRPr="00771F08">
        <w:rPr>
          <w:rFonts w:ascii="Times New Roman" w:hAnsi="Times New Roman" w:cs="Times New Roman"/>
          <w:i/>
          <w:lang w:val="en-GB"/>
        </w:rPr>
        <w:t>International Journal of Educational Advancement, 5</w:t>
      </w:r>
      <w:r w:rsidRPr="00771F08">
        <w:rPr>
          <w:rFonts w:ascii="Times New Roman" w:hAnsi="Times New Roman" w:cs="Times New Roman"/>
          <w:lang w:val="en-GB"/>
        </w:rPr>
        <w:t>(2), 162-170.</w:t>
      </w:r>
    </w:p>
    <w:p w14:paraId="5BC04A18" w14:textId="737C8372" w:rsidR="004C0D36" w:rsidRPr="00771F08" w:rsidRDefault="004C0D36"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Hair, J. F., Black, W. C., Anderson, R. E., &amp; </w:t>
      </w:r>
      <w:proofErr w:type="spellStart"/>
      <w:r w:rsidRPr="00771F08">
        <w:rPr>
          <w:rFonts w:ascii="Times New Roman" w:hAnsi="Times New Roman" w:cs="Times New Roman"/>
          <w:lang w:val="en-GB"/>
        </w:rPr>
        <w:t>Babin</w:t>
      </w:r>
      <w:proofErr w:type="spellEnd"/>
      <w:r w:rsidRPr="00771F08">
        <w:rPr>
          <w:rFonts w:ascii="Times New Roman" w:hAnsi="Times New Roman" w:cs="Times New Roman"/>
          <w:lang w:val="en-GB"/>
        </w:rPr>
        <w:t>, B. J. (2018). Multivariate Data Analysis (8th Edition). NJ: Prentice Hall.</w:t>
      </w:r>
    </w:p>
    <w:p w14:paraId="43B75BF7" w14:textId="2D4D94A3" w:rsidR="00735D30" w:rsidRPr="00771F08" w:rsidRDefault="00735D30"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Harrison, V.S. (2018) Understanding the donor experience: Applying stewardship theory to higher education donors. </w:t>
      </w:r>
      <w:r w:rsidRPr="00771F08">
        <w:rPr>
          <w:rFonts w:ascii="Times New Roman" w:hAnsi="Times New Roman" w:cs="Times New Roman"/>
          <w:i/>
          <w:iCs/>
          <w:lang w:val="en-GB"/>
        </w:rPr>
        <w:t>Public Relations Review,</w:t>
      </w:r>
      <w:r w:rsidRPr="00771F08">
        <w:rPr>
          <w:rFonts w:ascii="Times New Roman" w:hAnsi="Times New Roman" w:cs="Times New Roman"/>
          <w:lang w:val="en-GB"/>
        </w:rPr>
        <w:t xml:space="preserve"> </w:t>
      </w:r>
      <w:r w:rsidRPr="00771F08">
        <w:rPr>
          <w:rFonts w:ascii="Times New Roman" w:hAnsi="Times New Roman" w:cs="Times New Roman"/>
          <w:i/>
          <w:iCs/>
          <w:lang w:val="en-GB"/>
        </w:rPr>
        <w:t>44</w:t>
      </w:r>
      <w:r w:rsidRPr="00771F08">
        <w:rPr>
          <w:rFonts w:ascii="Times New Roman" w:hAnsi="Times New Roman" w:cs="Times New Roman"/>
          <w:lang w:val="en-GB"/>
        </w:rPr>
        <w:t xml:space="preserve">, 533–548. </w:t>
      </w:r>
    </w:p>
    <w:p w14:paraId="2A674C44" w14:textId="7D5C631B" w:rsidR="00EB54EE" w:rsidRDefault="00EB54EE"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Heffernan, T., Wilkins, S., &amp; Butt, M. M. (2018). Transnational higher education: The importance of institutional reputation, trust and student-university identification in international partnerships. </w:t>
      </w:r>
      <w:r w:rsidRPr="00771F08">
        <w:rPr>
          <w:rFonts w:ascii="Times New Roman" w:hAnsi="Times New Roman" w:cs="Times New Roman"/>
          <w:i/>
          <w:lang w:val="en-GB"/>
        </w:rPr>
        <w:t>International Journal of Educational Management, 32</w:t>
      </w:r>
      <w:r w:rsidRPr="00771F08">
        <w:rPr>
          <w:rFonts w:ascii="Times New Roman" w:hAnsi="Times New Roman" w:cs="Times New Roman"/>
          <w:lang w:val="en-GB"/>
        </w:rPr>
        <w:t>(2), 227-240.</w:t>
      </w:r>
    </w:p>
    <w:p w14:paraId="5C530D46" w14:textId="6C844038" w:rsidR="00AC28A5" w:rsidRPr="00771F08" w:rsidRDefault="00AC28A5" w:rsidP="00237956">
      <w:pPr>
        <w:spacing w:after="0" w:line="240" w:lineRule="auto"/>
        <w:ind w:left="851" w:right="1133" w:hanging="284"/>
        <w:jc w:val="both"/>
        <w:rPr>
          <w:rFonts w:ascii="Times New Roman" w:hAnsi="Times New Roman" w:cs="Times New Roman"/>
          <w:lang w:val="en-GB"/>
        </w:rPr>
      </w:pPr>
      <w:r w:rsidRPr="00237956">
        <w:rPr>
          <w:rFonts w:ascii="Times New Roman" w:hAnsi="Times New Roman" w:cs="Times New Roman"/>
          <w:lang w:val="en-GB"/>
        </w:rPr>
        <w:t xml:space="preserve">Helen, W. S. M., &amp; W. K. Ho. 2011. </w:t>
      </w:r>
      <w:r w:rsidRPr="00237956">
        <w:rPr>
          <w:rFonts w:ascii="Times New Roman" w:hAnsi="Times New Roman" w:cs="Times New Roman"/>
          <w:lang w:val="en-US"/>
        </w:rPr>
        <w:t xml:space="preserve">Building Relationship Between Education Institutions and Students: Student Loyalty in Self-financed Tertiary Education. </w:t>
      </w:r>
      <w:r w:rsidRPr="00237956">
        <w:rPr>
          <w:rFonts w:ascii="Times New Roman" w:hAnsi="Times New Roman" w:cs="Times New Roman"/>
          <w:i/>
          <w:lang w:val="en-US"/>
        </w:rPr>
        <w:t>IBIMA Business Review</w:t>
      </w:r>
      <w:r w:rsidRPr="00237956">
        <w:rPr>
          <w:rFonts w:ascii="Times New Roman" w:hAnsi="Times New Roman" w:cs="Times New Roman"/>
          <w:lang w:val="en-US"/>
        </w:rPr>
        <w:t xml:space="preserve"> </w:t>
      </w:r>
      <w:r w:rsidRPr="00237956">
        <w:rPr>
          <w:rFonts w:ascii="Times New Roman" w:hAnsi="Times New Roman" w:cs="Times New Roman"/>
          <w:i/>
          <w:lang w:val="en-US"/>
        </w:rPr>
        <w:t>22</w:t>
      </w:r>
      <w:r w:rsidRPr="00237956">
        <w:rPr>
          <w:rFonts w:ascii="Times New Roman" w:hAnsi="Times New Roman" w:cs="Times New Roman"/>
          <w:lang w:val="en-US"/>
        </w:rPr>
        <w:t>, 2011, 1–31.</w:t>
      </w:r>
    </w:p>
    <w:p w14:paraId="17EAD4A0" w14:textId="3ED17981" w:rsidR="00DD000C" w:rsidRPr="00771F08" w:rsidRDefault="00B171B9"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Hemsley-Brown, J. &amp;</w:t>
      </w:r>
      <w:r w:rsidR="00DD000C" w:rsidRPr="00771F08">
        <w:rPr>
          <w:rFonts w:ascii="Times New Roman" w:hAnsi="Times New Roman" w:cs="Times New Roman"/>
          <w:lang w:val="en-GB"/>
        </w:rPr>
        <w:t xml:space="preserve"> </w:t>
      </w:r>
      <w:proofErr w:type="spellStart"/>
      <w:r w:rsidR="00DD000C" w:rsidRPr="00771F08">
        <w:rPr>
          <w:rFonts w:ascii="Times New Roman" w:hAnsi="Times New Roman" w:cs="Times New Roman"/>
          <w:lang w:val="en-GB"/>
        </w:rPr>
        <w:t>Goonawardana</w:t>
      </w:r>
      <w:proofErr w:type="spellEnd"/>
      <w:r w:rsidR="00DD000C" w:rsidRPr="00771F08">
        <w:rPr>
          <w:rFonts w:ascii="Times New Roman" w:hAnsi="Times New Roman" w:cs="Times New Roman"/>
          <w:lang w:val="en-GB"/>
        </w:rPr>
        <w:t xml:space="preserve">, S. (2007). Brand harmonization in the international higher education market. </w:t>
      </w:r>
      <w:r w:rsidR="00DD000C" w:rsidRPr="00771F08">
        <w:rPr>
          <w:rFonts w:ascii="Times New Roman" w:hAnsi="Times New Roman" w:cs="Times New Roman"/>
          <w:i/>
          <w:lang w:val="en-GB"/>
        </w:rPr>
        <w:t>Journal of Business Research</w:t>
      </w:r>
      <w:r w:rsidR="00DD000C" w:rsidRPr="00771F08">
        <w:rPr>
          <w:rFonts w:ascii="Times New Roman" w:hAnsi="Times New Roman" w:cs="Times New Roman"/>
          <w:lang w:val="en-GB"/>
        </w:rPr>
        <w:t xml:space="preserve">, </w:t>
      </w:r>
      <w:r w:rsidR="00DD000C" w:rsidRPr="00771F08">
        <w:rPr>
          <w:rFonts w:ascii="Times New Roman" w:hAnsi="Times New Roman" w:cs="Times New Roman"/>
          <w:i/>
          <w:lang w:val="en-GB"/>
        </w:rPr>
        <w:t>60</w:t>
      </w:r>
      <w:r w:rsidR="00DD000C" w:rsidRPr="00771F08">
        <w:rPr>
          <w:rFonts w:ascii="Times New Roman" w:hAnsi="Times New Roman" w:cs="Times New Roman"/>
          <w:lang w:val="en-GB"/>
        </w:rPr>
        <w:t>(9), 942-948.</w:t>
      </w:r>
    </w:p>
    <w:p w14:paraId="3F1EB88D" w14:textId="57B0E140" w:rsidR="00F91F98" w:rsidRPr="00771F08" w:rsidRDefault="00F91F98"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Hennig-</w:t>
      </w:r>
      <w:proofErr w:type="spellStart"/>
      <w:r w:rsidRPr="00771F08">
        <w:rPr>
          <w:rFonts w:ascii="Times New Roman" w:hAnsi="Times New Roman" w:cs="Times New Roman"/>
          <w:lang w:val="en-GB"/>
        </w:rPr>
        <w:t>Thurau</w:t>
      </w:r>
      <w:proofErr w:type="spellEnd"/>
      <w:r w:rsidRPr="00771F08">
        <w:rPr>
          <w:rFonts w:ascii="Times New Roman" w:hAnsi="Times New Roman" w:cs="Times New Roman"/>
          <w:lang w:val="en-GB"/>
        </w:rPr>
        <w:t xml:space="preserve">, T., Langer, M. F., &amp; Hansen, U. (2001). </w:t>
      </w:r>
      <w:proofErr w:type="spellStart"/>
      <w:r w:rsidRPr="00771F08">
        <w:rPr>
          <w:rFonts w:ascii="Times New Roman" w:hAnsi="Times New Roman" w:cs="Times New Roman"/>
          <w:lang w:val="en-GB"/>
        </w:rPr>
        <w:t>Modeling</w:t>
      </w:r>
      <w:proofErr w:type="spellEnd"/>
      <w:r w:rsidRPr="00771F08">
        <w:rPr>
          <w:rFonts w:ascii="Times New Roman" w:hAnsi="Times New Roman" w:cs="Times New Roman"/>
          <w:lang w:val="en-GB"/>
        </w:rPr>
        <w:t xml:space="preserve"> and managing student loyalty: An approach based on the concept of relationship quality. </w:t>
      </w:r>
      <w:r w:rsidRPr="00771F08">
        <w:rPr>
          <w:rFonts w:ascii="Times New Roman" w:hAnsi="Times New Roman" w:cs="Times New Roman"/>
          <w:i/>
          <w:lang w:val="en-GB"/>
        </w:rPr>
        <w:t>Journal of service research, 3</w:t>
      </w:r>
      <w:r w:rsidRPr="00771F08">
        <w:rPr>
          <w:rFonts w:ascii="Times New Roman" w:hAnsi="Times New Roman" w:cs="Times New Roman"/>
          <w:lang w:val="en-GB"/>
        </w:rPr>
        <w:t>(4), 331-344.</w:t>
      </w:r>
    </w:p>
    <w:p w14:paraId="2E38DAC6" w14:textId="43494514" w:rsidR="002B3D69" w:rsidRPr="00771F08" w:rsidRDefault="00CA73A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Hofstede, G. (2003).</w:t>
      </w:r>
      <w:r w:rsidR="002B3D69" w:rsidRPr="00771F08">
        <w:rPr>
          <w:rFonts w:ascii="Times New Roman" w:hAnsi="Times New Roman" w:cs="Times New Roman"/>
          <w:lang w:val="en-GB"/>
        </w:rPr>
        <w:t xml:space="preserve"> </w:t>
      </w:r>
      <w:r w:rsidR="002B3D69" w:rsidRPr="00771F08">
        <w:rPr>
          <w:rFonts w:ascii="Times New Roman" w:hAnsi="Times New Roman" w:cs="Times New Roman"/>
          <w:i/>
          <w:lang w:val="en-GB"/>
        </w:rPr>
        <w:t xml:space="preserve">Culture’s Consequences: Comparing Values, </w:t>
      </w:r>
      <w:proofErr w:type="spellStart"/>
      <w:r w:rsidR="002B3D69" w:rsidRPr="00771F08">
        <w:rPr>
          <w:rFonts w:ascii="Times New Roman" w:hAnsi="Times New Roman" w:cs="Times New Roman"/>
          <w:i/>
          <w:lang w:val="en-GB"/>
        </w:rPr>
        <w:t>Behaviors</w:t>
      </w:r>
      <w:proofErr w:type="spellEnd"/>
      <w:r w:rsidR="002B3D69" w:rsidRPr="00771F08">
        <w:rPr>
          <w:rFonts w:ascii="Times New Roman" w:hAnsi="Times New Roman" w:cs="Times New Roman"/>
          <w:i/>
          <w:lang w:val="en-GB"/>
        </w:rPr>
        <w:t>, Institutions and Organizations Across Nations</w:t>
      </w:r>
      <w:r w:rsidRPr="00771F08">
        <w:rPr>
          <w:rFonts w:ascii="Times New Roman" w:hAnsi="Times New Roman" w:cs="Times New Roman"/>
          <w:lang w:val="en-GB"/>
        </w:rPr>
        <w:t xml:space="preserve">. </w:t>
      </w:r>
      <w:r w:rsidR="002B3D69" w:rsidRPr="00771F08">
        <w:rPr>
          <w:rFonts w:ascii="Times New Roman" w:hAnsi="Times New Roman" w:cs="Times New Roman"/>
          <w:lang w:val="en-GB"/>
        </w:rPr>
        <w:t>Thousand Oaks, CA: Sage Publications.</w:t>
      </w:r>
    </w:p>
    <w:p w14:paraId="2BEB31D9" w14:textId="25A53B5F" w:rsidR="00F6528C" w:rsidRPr="00771F08" w:rsidRDefault="00F6528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Holmes, J. (2009). Prestige, charitable deductions and other determinants of alumni giving: Evidence from a highly selective liberal arts college. </w:t>
      </w:r>
      <w:r w:rsidRPr="00771F08">
        <w:rPr>
          <w:rFonts w:ascii="Times New Roman" w:hAnsi="Times New Roman" w:cs="Times New Roman"/>
          <w:i/>
          <w:lang w:val="en-GB"/>
        </w:rPr>
        <w:t>Economics of Education Review</w:t>
      </w:r>
      <w:r w:rsidRPr="00771F08">
        <w:rPr>
          <w:rFonts w:ascii="Times New Roman" w:hAnsi="Times New Roman" w:cs="Times New Roman"/>
          <w:lang w:val="en-GB"/>
        </w:rPr>
        <w:t xml:space="preserve">, </w:t>
      </w:r>
      <w:r w:rsidRPr="00771F08">
        <w:rPr>
          <w:rFonts w:ascii="Times New Roman" w:hAnsi="Times New Roman" w:cs="Times New Roman"/>
          <w:i/>
          <w:lang w:val="en-GB"/>
        </w:rPr>
        <w:t>28,</w:t>
      </w:r>
      <w:r w:rsidRPr="00771F08">
        <w:rPr>
          <w:rFonts w:ascii="Times New Roman" w:hAnsi="Times New Roman" w:cs="Times New Roman"/>
          <w:lang w:val="en-GB"/>
        </w:rPr>
        <w:t xml:space="preserve"> 18–28.</w:t>
      </w:r>
    </w:p>
    <w:p w14:paraId="4EE367FA" w14:textId="5B87470B" w:rsidR="00615915" w:rsidRPr="00771F08" w:rsidRDefault="00615915"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Hueston</w:t>
      </w:r>
      <w:proofErr w:type="spellEnd"/>
      <w:r w:rsidRPr="00771F08">
        <w:rPr>
          <w:rFonts w:ascii="Times New Roman" w:hAnsi="Times New Roman" w:cs="Times New Roman"/>
          <w:lang w:val="en-GB"/>
        </w:rPr>
        <w:t xml:space="preserve">, F. R. (1992). Predicting alumni giving: A donor analysis test. </w:t>
      </w:r>
      <w:r w:rsidRPr="00771F08">
        <w:rPr>
          <w:rFonts w:ascii="Times New Roman" w:hAnsi="Times New Roman" w:cs="Times New Roman"/>
          <w:i/>
          <w:lang w:val="en-GB"/>
        </w:rPr>
        <w:t>Fundraising Management, 22</w:t>
      </w:r>
      <w:r w:rsidRPr="00771F08">
        <w:rPr>
          <w:rFonts w:ascii="Times New Roman" w:hAnsi="Times New Roman" w:cs="Times New Roman"/>
          <w:lang w:val="en-GB"/>
        </w:rPr>
        <w:t>, 19-22.</w:t>
      </w:r>
    </w:p>
    <w:p w14:paraId="34469C6F" w14:textId="39B6E1C2" w:rsidR="00E25523" w:rsidRPr="00771F08" w:rsidRDefault="00E25523"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Hutcheson, G., &amp; </w:t>
      </w:r>
      <w:proofErr w:type="spellStart"/>
      <w:r w:rsidRPr="00771F08">
        <w:rPr>
          <w:rFonts w:ascii="Times New Roman" w:hAnsi="Times New Roman" w:cs="Times New Roman"/>
          <w:lang w:val="en-GB"/>
        </w:rPr>
        <w:t>Sofroniou</w:t>
      </w:r>
      <w:proofErr w:type="spellEnd"/>
      <w:r w:rsidRPr="00771F08">
        <w:rPr>
          <w:rFonts w:ascii="Times New Roman" w:hAnsi="Times New Roman" w:cs="Times New Roman"/>
          <w:lang w:val="en-GB"/>
        </w:rPr>
        <w:t xml:space="preserve">, N. (1999). </w:t>
      </w:r>
      <w:r w:rsidRPr="00771F08">
        <w:rPr>
          <w:rFonts w:ascii="Times New Roman" w:hAnsi="Times New Roman" w:cs="Times New Roman"/>
          <w:i/>
          <w:lang w:val="en-GB"/>
        </w:rPr>
        <w:t>The Multivariate Social Scientist</w:t>
      </w:r>
      <w:r w:rsidRPr="00771F08">
        <w:rPr>
          <w:rFonts w:ascii="Times New Roman" w:hAnsi="Times New Roman" w:cs="Times New Roman"/>
          <w:lang w:val="en-GB"/>
        </w:rPr>
        <w:t xml:space="preserve">, Sage, London. </w:t>
      </w:r>
    </w:p>
    <w:p w14:paraId="78E418DC" w14:textId="441D54AF" w:rsidR="00F6528C" w:rsidRPr="00771F08" w:rsidRDefault="00951A7B" w:rsidP="00237956">
      <w:pPr>
        <w:spacing w:after="0" w:line="240" w:lineRule="auto"/>
        <w:ind w:left="851" w:right="1133" w:hanging="284"/>
        <w:jc w:val="both"/>
        <w:rPr>
          <w:rFonts w:ascii="Times New Roman" w:hAnsi="Times New Roman" w:cs="Times New Roman"/>
          <w:lang w:val="en-GB"/>
        </w:rPr>
      </w:pPr>
      <w:r w:rsidRPr="00537692">
        <w:rPr>
          <w:rFonts w:ascii="Times New Roman" w:hAnsi="Times New Roman" w:cs="Times New Roman"/>
        </w:rPr>
        <w:t>Jillapalli, R. K., &amp;</w:t>
      </w:r>
      <w:r w:rsidR="00F6528C" w:rsidRPr="00537692">
        <w:rPr>
          <w:rFonts w:ascii="Times New Roman" w:hAnsi="Times New Roman" w:cs="Times New Roman"/>
        </w:rPr>
        <w:t xml:space="preserve"> Jillapalli, R. (2014). </w:t>
      </w:r>
      <w:r w:rsidR="00F6528C" w:rsidRPr="00771F08">
        <w:rPr>
          <w:rFonts w:ascii="Times New Roman" w:hAnsi="Times New Roman" w:cs="Times New Roman"/>
          <w:lang w:val="en-GB"/>
        </w:rPr>
        <w:t>Do professors hav</w:t>
      </w:r>
      <w:r w:rsidR="0046455C" w:rsidRPr="00771F08">
        <w:rPr>
          <w:rFonts w:ascii="Times New Roman" w:hAnsi="Times New Roman" w:cs="Times New Roman"/>
          <w:lang w:val="en-GB"/>
        </w:rPr>
        <w:t xml:space="preserve">e customer-based brand equity? </w:t>
      </w:r>
      <w:r w:rsidR="00F6528C" w:rsidRPr="00771F08">
        <w:rPr>
          <w:rFonts w:ascii="Times New Roman" w:hAnsi="Times New Roman" w:cs="Times New Roman"/>
          <w:i/>
          <w:lang w:val="en-GB"/>
        </w:rPr>
        <w:t>Journal of Marketing for Higher Educatio</w:t>
      </w:r>
      <w:r w:rsidR="00F6528C" w:rsidRPr="00771F08">
        <w:rPr>
          <w:rFonts w:ascii="Times New Roman" w:hAnsi="Times New Roman" w:cs="Times New Roman"/>
          <w:lang w:val="en-GB"/>
        </w:rPr>
        <w:t xml:space="preserve">n, </w:t>
      </w:r>
      <w:r w:rsidR="00F6528C" w:rsidRPr="00771F08">
        <w:rPr>
          <w:rFonts w:ascii="Times New Roman" w:hAnsi="Times New Roman" w:cs="Times New Roman"/>
          <w:i/>
          <w:lang w:val="en-GB"/>
        </w:rPr>
        <w:t>24</w:t>
      </w:r>
      <w:r w:rsidR="00F6528C" w:rsidRPr="00771F08">
        <w:rPr>
          <w:rFonts w:ascii="Times New Roman" w:hAnsi="Times New Roman" w:cs="Times New Roman"/>
          <w:lang w:val="en-GB"/>
        </w:rPr>
        <w:t>(1), 22-40.</w:t>
      </w:r>
    </w:p>
    <w:p w14:paraId="4290CEAE" w14:textId="4855C00D" w:rsidR="007B4E2D" w:rsidRPr="00771F08" w:rsidRDefault="007B4E2D" w:rsidP="00237956">
      <w:pPr>
        <w:spacing w:after="0" w:line="240" w:lineRule="auto"/>
        <w:ind w:left="851" w:right="1133" w:hanging="284"/>
        <w:jc w:val="both"/>
        <w:rPr>
          <w:rFonts w:ascii="Times New Roman" w:hAnsi="Times New Roman" w:cs="Times New Roman"/>
          <w:lang w:val="en-GB"/>
        </w:rPr>
      </w:pPr>
      <w:proofErr w:type="spellStart"/>
      <w:r w:rsidRPr="00237956">
        <w:rPr>
          <w:rFonts w:ascii="Times New Roman" w:hAnsi="Times New Roman" w:cs="Times New Roman"/>
          <w:bCs/>
          <w:sz w:val="24"/>
          <w:szCs w:val="24"/>
          <w:lang w:val="en-GB"/>
        </w:rPr>
        <w:t>Iskhakova</w:t>
      </w:r>
      <w:proofErr w:type="spellEnd"/>
      <w:r w:rsidRPr="00237956">
        <w:rPr>
          <w:rFonts w:ascii="Times New Roman" w:hAnsi="Times New Roman" w:cs="Times New Roman"/>
          <w:bCs/>
          <w:sz w:val="24"/>
          <w:szCs w:val="24"/>
          <w:lang w:val="en-GB"/>
        </w:rPr>
        <w:t xml:space="preserve">, L., Hilbert, A., &amp; </w:t>
      </w:r>
      <w:proofErr w:type="spellStart"/>
      <w:r w:rsidRPr="00237956">
        <w:rPr>
          <w:rFonts w:ascii="Times New Roman" w:hAnsi="Times New Roman" w:cs="Times New Roman"/>
          <w:bCs/>
          <w:sz w:val="24"/>
          <w:szCs w:val="24"/>
          <w:lang w:val="en-GB"/>
        </w:rPr>
        <w:t>Joehnk</w:t>
      </w:r>
      <w:proofErr w:type="spellEnd"/>
      <w:r w:rsidRPr="00237956">
        <w:rPr>
          <w:rFonts w:ascii="Times New Roman" w:hAnsi="Times New Roman" w:cs="Times New Roman"/>
          <w:bCs/>
          <w:sz w:val="24"/>
          <w:szCs w:val="24"/>
          <w:lang w:val="en-GB"/>
        </w:rPr>
        <w:t xml:space="preserve"> P. (2020): </w:t>
      </w:r>
      <w:proofErr w:type="spellStart"/>
      <w:r w:rsidRPr="00237956">
        <w:rPr>
          <w:rFonts w:ascii="Times New Roman" w:hAnsi="Times New Roman" w:cs="Times New Roman"/>
          <w:bCs/>
          <w:sz w:val="24"/>
          <w:szCs w:val="24"/>
          <w:lang w:val="en-GB"/>
        </w:rPr>
        <w:t>Crosscultural</w:t>
      </w:r>
      <w:proofErr w:type="spellEnd"/>
      <w:r w:rsidRPr="00237956">
        <w:rPr>
          <w:rFonts w:ascii="Times New Roman" w:hAnsi="Times New Roman" w:cs="Times New Roman"/>
          <w:bCs/>
          <w:sz w:val="24"/>
          <w:szCs w:val="24"/>
          <w:lang w:val="en-GB"/>
        </w:rPr>
        <w:t xml:space="preserve"> Research in Alumni Loyalty: An Empirical Study among Master Students from German and Russian Universities, </w:t>
      </w:r>
      <w:r w:rsidRPr="00237956">
        <w:rPr>
          <w:rFonts w:ascii="Times New Roman" w:hAnsi="Times New Roman" w:cs="Times New Roman"/>
          <w:bCs/>
          <w:i/>
          <w:iCs/>
          <w:sz w:val="24"/>
          <w:szCs w:val="24"/>
          <w:lang w:val="en-GB"/>
        </w:rPr>
        <w:t xml:space="preserve">Journal of </w:t>
      </w:r>
      <w:proofErr w:type="spellStart"/>
      <w:r w:rsidRPr="00237956">
        <w:rPr>
          <w:rFonts w:ascii="Times New Roman" w:hAnsi="Times New Roman" w:cs="Times New Roman"/>
          <w:bCs/>
          <w:i/>
          <w:iCs/>
          <w:sz w:val="24"/>
          <w:szCs w:val="24"/>
          <w:lang w:val="en-GB"/>
        </w:rPr>
        <w:t>Nonprofit</w:t>
      </w:r>
      <w:proofErr w:type="spellEnd"/>
      <w:r w:rsidRPr="00237956">
        <w:rPr>
          <w:rFonts w:ascii="Times New Roman" w:hAnsi="Times New Roman" w:cs="Times New Roman"/>
          <w:bCs/>
          <w:i/>
          <w:iCs/>
          <w:sz w:val="24"/>
          <w:szCs w:val="24"/>
          <w:lang w:val="en-GB"/>
        </w:rPr>
        <w:t xml:space="preserve"> &amp; Public Sector Marketing</w:t>
      </w:r>
      <w:r w:rsidRPr="005D400D">
        <w:rPr>
          <w:rFonts w:ascii="Times New Roman" w:hAnsi="Times New Roman" w:cs="Times New Roman"/>
          <w:bCs/>
          <w:i/>
          <w:iCs/>
          <w:sz w:val="24"/>
          <w:szCs w:val="24"/>
          <w:highlight w:val="yellow"/>
          <w:lang w:val="en-GB"/>
        </w:rPr>
        <w:t>.</w:t>
      </w:r>
    </w:p>
    <w:p w14:paraId="619AB79E" w14:textId="78C1EC3D" w:rsidR="00F6528C" w:rsidRPr="00771F08" w:rsidRDefault="00F6528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Johnson, J</w:t>
      </w:r>
      <w:r w:rsidR="00F7122E" w:rsidRPr="00771F08">
        <w:rPr>
          <w:rFonts w:ascii="Times New Roman" w:hAnsi="Times New Roman" w:cs="Times New Roman"/>
          <w:lang w:val="en-GB"/>
        </w:rPr>
        <w:t>. W., Thomas, V., &amp;</w:t>
      </w:r>
      <w:r w:rsidRPr="00771F08">
        <w:rPr>
          <w:rFonts w:ascii="Times New Roman" w:hAnsi="Times New Roman" w:cs="Times New Roman"/>
          <w:lang w:val="en-GB"/>
        </w:rPr>
        <w:t xml:space="preserve"> Peck, J. (2010). Do specialized MBA programs cultivate alumn</w:t>
      </w:r>
      <w:r w:rsidR="0046455C" w:rsidRPr="00771F08">
        <w:rPr>
          <w:rFonts w:ascii="Times New Roman" w:hAnsi="Times New Roman" w:cs="Times New Roman"/>
          <w:lang w:val="en-GB"/>
        </w:rPr>
        <w:t xml:space="preserve">i relationships and donations? </w:t>
      </w:r>
      <w:r w:rsidRPr="00771F08">
        <w:rPr>
          <w:rFonts w:ascii="Times New Roman" w:hAnsi="Times New Roman" w:cs="Times New Roman"/>
          <w:i/>
          <w:lang w:val="en-GB"/>
        </w:rPr>
        <w:t>Journal of Marketing for Higher Education</w:t>
      </w:r>
      <w:r w:rsidRPr="00771F08">
        <w:rPr>
          <w:rFonts w:ascii="Times New Roman" w:hAnsi="Times New Roman" w:cs="Times New Roman"/>
          <w:lang w:val="en-GB"/>
        </w:rPr>
        <w:t xml:space="preserve">, </w:t>
      </w:r>
      <w:r w:rsidRPr="00771F08">
        <w:rPr>
          <w:rFonts w:ascii="Times New Roman" w:hAnsi="Times New Roman" w:cs="Times New Roman"/>
          <w:i/>
          <w:lang w:val="en-GB"/>
        </w:rPr>
        <w:t>20</w:t>
      </w:r>
      <w:r w:rsidRPr="00771F08">
        <w:rPr>
          <w:rFonts w:ascii="Times New Roman" w:hAnsi="Times New Roman" w:cs="Times New Roman"/>
          <w:lang w:val="en-GB"/>
        </w:rPr>
        <w:t>(1), 119-134.</w:t>
      </w:r>
    </w:p>
    <w:p w14:paraId="72FD646A" w14:textId="3F8CBCF4" w:rsidR="00E25523" w:rsidRPr="00771F08" w:rsidRDefault="00E25523"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Kline, R.B. (2011). </w:t>
      </w:r>
      <w:r w:rsidRPr="00771F08">
        <w:rPr>
          <w:rFonts w:ascii="Times New Roman" w:hAnsi="Times New Roman" w:cs="Times New Roman"/>
          <w:i/>
          <w:lang w:val="en-GB"/>
        </w:rPr>
        <w:t xml:space="preserve">Principles and Practice of Structural Equation </w:t>
      </w:r>
      <w:proofErr w:type="spellStart"/>
      <w:r w:rsidRPr="00771F08">
        <w:rPr>
          <w:rFonts w:ascii="Times New Roman" w:hAnsi="Times New Roman" w:cs="Times New Roman"/>
          <w:i/>
          <w:lang w:val="en-GB"/>
        </w:rPr>
        <w:t>Modeling</w:t>
      </w:r>
      <w:proofErr w:type="spellEnd"/>
      <w:r w:rsidRPr="00771F08">
        <w:rPr>
          <w:rFonts w:ascii="Times New Roman" w:hAnsi="Times New Roman" w:cs="Times New Roman"/>
          <w:i/>
          <w:lang w:val="en-GB"/>
        </w:rPr>
        <w:t>,</w:t>
      </w:r>
      <w:r w:rsidRPr="00771F08">
        <w:rPr>
          <w:rFonts w:ascii="Times New Roman" w:hAnsi="Times New Roman" w:cs="Times New Roman"/>
          <w:lang w:val="en-GB"/>
        </w:rPr>
        <w:t xml:space="preserve"> 3rd ed., Guilford, New York, NY.</w:t>
      </w:r>
    </w:p>
    <w:p w14:paraId="6BEFAEE4" w14:textId="26E9B760" w:rsidR="002A6AF9" w:rsidRPr="00771F08" w:rsidRDefault="002A6AF9"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Komljenovic</w:t>
      </w:r>
      <w:proofErr w:type="spellEnd"/>
      <w:r w:rsidRPr="00771F08">
        <w:rPr>
          <w:rFonts w:ascii="Times New Roman" w:hAnsi="Times New Roman" w:cs="Times New Roman"/>
          <w:lang w:val="en-GB"/>
        </w:rPr>
        <w:t xml:space="preserve">, J. (2019). Making higher education markets: trust-building strategies of private companies to enter the public sector. </w:t>
      </w:r>
      <w:r w:rsidRPr="00771F08">
        <w:rPr>
          <w:rFonts w:ascii="Times New Roman" w:hAnsi="Times New Roman" w:cs="Times New Roman"/>
          <w:i/>
          <w:lang w:val="en-GB"/>
        </w:rPr>
        <w:t>Higher Education, 78</w:t>
      </w:r>
      <w:r w:rsidRPr="00771F08">
        <w:rPr>
          <w:rFonts w:ascii="Times New Roman" w:hAnsi="Times New Roman" w:cs="Times New Roman"/>
          <w:lang w:val="en-GB"/>
        </w:rPr>
        <w:t>(1), 51-66.</w:t>
      </w:r>
    </w:p>
    <w:p w14:paraId="6F2CA68E" w14:textId="20EC3712" w:rsidR="004F0BB7" w:rsidRPr="00771F08" w:rsidRDefault="004F0BB7" w:rsidP="00237956">
      <w:pPr>
        <w:spacing w:after="0" w:line="240" w:lineRule="auto"/>
        <w:ind w:left="851" w:right="1133" w:hanging="284"/>
        <w:rPr>
          <w:rFonts w:ascii="Times New Roman" w:hAnsi="Times New Roman" w:cs="Times New Roman"/>
          <w:lang w:val="en-GB"/>
        </w:rPr>
      </w:pPr>
      <w:proofErr w:type="spellStart"/>
      <w:r w:rsidRPr="00771F08">
        <w:rPr>
          <w:rFonts w:ascii="Times New Roman" w:hAnsi="Times New Roman" w:cs="Times New Roman"/>
          <w:lang w:val="en-GB"/>
        </w:rPr>
        <w:t>Koranteng</w:t>
      </w:r>
      <w:proofErr w:type="spellEnd"/>
      <w:r w:rsidRPr="00771F08">
        <w:rPr>
          <w:rFonts w:ascii="Times New Roman" w:hAnsi="Times New Roman" w:cs="Times New Roman"/>
          <w:lang w:val="en-GB"/>
        </w:rPr>
        <w:t xml:space="preserve">, F.N., </w:t>
      </w:r>
      <w:proofErr w:type="spellStart"/>
      <w:r w:rsidRPr="00771F08">
        <w:rPr>
          <w:rFonts w:ascii="Times New Roman" w:hAnsi="Times New Roman" w:cs="Times New Roman"/>
          <w:lang w:val="en-GB"/>
        </w:rPr>
        <w:t>Wiafe</w:t>
      </w:r>
      <w:proofErr w:type="spellEnd"/>
      <w:r w:rsidRPr="00771F08">
        <w:rPr>
          <w:rFonts w:ascii="Times New Roman" w:hAnsi="Times New Roman" w:cs="Times New Roman"/>
          <w:lang w:val="en-GB"/>
        </w:rPr>
        <w:t xml:space="preserve">, I., &amp; </w:t>
      </w:r>
      <w:proofErr w:type="spellStart"/>
      <w:r w:rsidRPr="00771F08">
        <w:rPr>
          <w:rFonts w:ascii="Times New Roman" w:hAnsi="Times New Roman" w:cs="Times New Roman"/>
          <w:lang w:val="en-GB"/>
        </w:rPr>
        <w:t>Kuada</w:t>
      </w:r>
      <w:proofErr w:type="spellEnd"/>
      <w:r w:rsidRPr="00771F08">
        <w:rPr>
          <w:rFonts w:ascii="Times New Roman" w:hAnsi="Times New Roman" w:cs="Times New Roman"/>
          <w:lang w:val="en-GB"/>
        </w:rPr>
        <w:t xml:space="preserve">, E. (2019).  An Empirical Study of the Relationship Between Social Networking Sites and Students’ Engagement in Higher Education. </w:t>
      </w:r>
      <w:r w:rsidRPr="00771F08">
        <w:rPr>
          <w:rFonts w:ascii="Times New Roman" w:hAnsi="Times New Roman" w:cs="Times New Roman"/>
          <w:i/>
          <w:iCs/>
          <w:lang w:val="en-GB"/>
        </w:rPr>
        <w:t>Journal of Educational Computing Research</w:t>
      </w:r>
      <w:r w:rsidRPr="00771F08">
        <w:rPr>
          <w:rFonts w:ascii="Times New Roman" w:hAnsi="Times New Roman" w:cs="Times New Roman"/>
          <w:lang w:val="en-GB"/>
        </w:rPr>
        <w:t xml:space="preserve">, </w:t>
      </w:r>
      <w:r w:rsidRPr="00771F08">
        <w:rPr>
          <w:rFonts w:ascii="Times New Roman" w:hAnsi="Times New Roman" w:cs="Times New Roman"/>
          <w:i/>
          <w:iCs/>
          <w:lang w:val="en-GB"/>
        </w:rPr>
        <w:t>57</w:t>
      </w:r>
      <w:r w:rsidRPr="00771F08">
        <w:rPr>
          <w:rFonts w:ascii="Times New Roman" w:hAnsi="Times New Roman" w:cs="Times New Roman"/>
          <w:lang w:val="en-GB"/>
        </w:rPr>
        <w:t>(5), 1131–1159</w:t>
      </w:r>
    </w:p>
    <w:p w14:paraId="3DFE43F5" w14:textId="65644149" w:rsidR="00615915" w:rsidRPr="00771F08" w:rsidRDefault="00615915"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Leslie, L. L., &amp; Ramey, G. (1988). Donor </w:t>
      </w:r>
      <w:proofErr w:type="spellStart"/>
      <w:r w:rsidRPr="00771F08">
        <w:rPr>
          <w:rFonts w:ascii="Times New Roman" w:hAnsi="Times New Roman" w:cs="Times New Roman"/>
          <w:lang w:val="en-GB"/>
        </w:rPr>
        <w:t>behavior</w:t>
      </w:r>
      <w:proofErr w:type="spellEnd"/>
      <w:r w:rsidRPr="00771F08">
        <w:rPr>
          <w:rFonts w:ascii="Times New Roman" w:hAnsi="Times New Roman" w:cs="Times New Roman"/>
          <w:lang w:val="en-GB"/>
        </w:rPr>
        <w:t xml:space="preserve"> and voluntary support for higher education institutions. </w:t>
      </w:r>
      <w:r w:rsidRPr="00771F08">
        <w:rPr>
          <w:rFonts w:ascii="Times New Roman" w:hAnsi="Times New Roman" w:cs="Times New Roman"/>
          <w:i/>
          <w:lang w:val="en-GB"/>
        </w:rPr>
        <w:t>The Journal of Higher Education, 59</w:t>
      </w:r>
      <w:r w:rsidRPr="00771F08">
        <w:rPr>
          <w:rFonts w:ascii="Times New Roman" w:hAnsi="Times New Roman" w:cs="Times New Roman"/>
          <w:lang w:val="en-GB"/>
        </w:rPr>
        <w:t>(2), 115-132.</w:t>
      </w:r>
    </w:p>
    <w:p w14:paraId="27C71975" w14:textId="5BFE187C" w:rsidR="00F6528C" w:rsidRPr="00771F08" w:rsidRDefault="00951A7B"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Mael</w:t>
      </w:r>
      <w:proofErr w:type="spellEnd"/>
      <w:r w:rsidRPr="00771F08">
        <w:rPr>
          <w:rFonts w:ascii="Times New Roman" w:hAnsi="Times New Roman" w:cs="Times New Roman"/>
          <w:lang w:val="en-GB"/>
        </w:rPr>
        <w:t>, F., &amp;</w:t>
      </w:r>
      <w:r w:rsidR="00F6528C" w:rsidRPr="00771F08">
        <w:rPr>
          <w:rFonts w:ascii="Times New Roman" w:hAnsi="Times New Roman" w:cs="Times New Roman"/>
          <w:lang w:val="en-GB"/>
        </w:rPr>
        <w:t xml:space="preserve"> </w:t>
      </w:r>
      <w:proofErr w:type="spellStart"/>
      <w:r w:rsidR="00F6528C" w:rsidRPr="00771F08">
        <w:rPr>
          <w:rFonts w:ascii="Times New Roman" w:hAnsi="Times New Roman" w:cs="Times New Roman"/>
          <w:lang w:val="en-GB"/>
        </w:rPr>
        <w:t>Ashforth</w:t>
      </w:r>
      <w:proofErr w:type="spellEnd"/>
      <w:r w:rsidR="00F6528C" w:rsidRPr="00771F08">
        <w:rPr>
          <w:rFonts w:ascii="Times New Roman" w:hAnsi="Times New Roman" w:cs="Times New Roman"/>
          <w:lang w:val="en-GB"/>
        </w:rPr>
        <w:t xml:space="preserve">, B. E. (1992). Alumni and their alma mater: A partial test of the reformulated model of organizational identification. </w:t>
      </w:r>
      <w:r w:rsidR="00F6528C" w:rsidRPr="00771F08">
        <w:rPr>
          <w:rFonts w:ascii="Times New Roman" w:hAnsi="Times New Roman" w:cs="Times New Roman"/>
          <w:i/>
          <w:lang w:val="en-GB"/>
        </w:rPr>
        <w:t>Journal of organizational Behavior</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13</w:t>
      </w:r>
      <w:r w:rsidR="00F6528C" w:rsidRPr="00771F08">
        <w:rPr>
          <w:rFonts w:ascii="Times New Roman" w:hAnsi="Times New Roman" w:cs="Times New Roman"/>
          <w:lang w:val="en-GB"/>
        </w:rPr>
        <w:t>(2), 103-123.</w:t>
      </w:r>
    </w:p>
    <w:p w14:paraId="0EF7C19B" w14:textId="16368D9B" w:rsidR="00405F3C" w:rsidRPr="00771F08" w:rsidRDefault="00405F3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MacKenzie, S. B., &amp; Podsakoff, P. M. (2012). Common method bias in marketing: causes, mechanisms, and procedural remedies. </w:t>
      </w:r>
      <w:r w:rsidRPr="00771F08">
        <w:rPr>
          <w:rFonts w:ascii="Times New Roman" w:hAnsi="Times New Roman" w:cs="Times New Roman"/>
          <w:i/>
          <w:lang w:val="en-GB"/>
        </w:rPr>
        <w:t>Journal of retailing</w:t>
      </w:r>
      <w:r w:rsidRPr="00771F08">
        <w:rPr>
          <w:rFonts w:ascii="Times New Roman" w:hAnsi="Times New Roman" w:cs="Times New Roman"/>
          <w:lang w:val="en-GB"/>
        </w:rPr>
        <w:t xml:space="preserve">, </w:t>
      </w:r>
      <w:r w:rsidRPr="00771F08">
        <w:rPr>
          <w:rFonts w:ascii="Times New Roman" w:hAnsi="Times New Roman" w:cs="Times New Roman"/>
          <w:i/>
          <w:lang w:val="en-GB"/>
        </w:rPr>
        <w:t>88</w:t>
      </w:r>
      <w:r w:rsidRPr="00771F08">
        <w:rPr>
          <w:rFonts w:ascii="Times New Roman" w:hAnsi="Times New Roman" w:cs="Times New Roman"/>
          <w:lang w:val="en-GB"/>
        </w:rPr>
        <w:t>(4), 542-555.</w:t>
      </w:r>
    </w:p>
    <w:p w14:paraId="56E1C35D" w14:textId="573C829C" w:rsidR="00F6528C" w:rsidRPr="00771F08" w:rsidRDefault="00475C9C"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McAlexander</w:t>
      </w:r>
      <w:proofErr w:type="spellEnd"/>
      <w:r w:rsidRPr="00771F08">
        <w:rPr>
          <w:rFonts w:ascii="Times New Roman" w:hAnsi="Times New Roman" w:cs="Times New Roman"/>
          <w:lang w:val="en-GB"/>
        </w:rPr>
        <w:t>, J. H., &amp;</w:t>
      </w:r>
      <w:r w:rsidR="00F6528C" w:rsidRPr="00771F08">
        <w:rPr>
          <w:rFonts w:ascii="Times New Roman" w:hAnsi="Times New Roman" w:cs="Times New Roman"/>
          <w:lang w:val="en-GB"/>
        </w:rPr>
        <w:t xml:space="preserve"> Koenig, H. F. (2010). Contextual influences: Building brand community in large and small colleges. </w:t>
      </w:r>
      <w:r w:rsidR="00F6528C" w:rsidRPr="00771F08">
        <w:rPr>
          <w:rFonts w:ascii="Times New Roman" w:hAnsi="Times New Roman" w:cs="Times New Roman"/>
          <w:i/>
          <w:lang w:val="en-GB"/>
        </w:rPr>
        <w:t>Journal of Marketing for Higher Education</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20</w:t>
      </w:r>
      <w:r w:rsidR="00F6528C" w:rsidRPr="00771F08">
        <w:rPr>
          <w:rFonts w:ascii="Times New Roman" w:hAnsi="Times New Roman" w:cs="Times New Roman"/>
          <w:lang w:val="en-GB"/>
        </w:rPr>
        <w:t>(1), 69-84.</w:t>
      </w:r>
    </w:p>
    <w:p w14:paraId="523C05C6" w14:textId="796AE405" w:rsidR="00F6528C" w:rsidRPr="00771F08" w:rsidRDefault="00F6528C"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lastRenderedPageBreak/>
        <w:t>McDearmon</w:t>
      </w:r>
      <w:proofErr w:type="spellEnd"/>
      <w:r w:rsidRPr="00771F08">
        <w:rPr>
          <w:rFonts w:ascii="Times New Roman" w:hAnsi="Times New Roman" w:cs="Times New Roman"/>
          <w:lang w:val="en-GB"/>
        </w:rPr>
        <w:t xml:space="preserve">, J. T. (2013). Hail to thee, our alma mater: Alumni role identity and the relationship to institutional support </w:t>
      </w:r>
      <w:proofErr w:type="spellStart"/>
      <w:r w:rsidRPr="00771F08">
        <w:rPr>
          <w:rFonts w:ascii="Times New Roman" w:hAnsi="Times New Roman" w:cs="Times New Roman"/>
          <w:lang w:val="en-GB"/>
        </w:rPr>
        <w:t>behaviors</w:t>
      </w:r>
      <w:proofErr w:type="spellEnd"/>
      <w:r w:rsidRPr="00771F08">
        <w:rPr>
          <w:rFonts w:ascii="Times New Roman" w:hAnsi="Times New Roman" w:cs="Times New Roman"/>
          <w:lang w:val="en-GB"/>
        </w:rPr>
        <w:t xml:space="preserve">. </w:t>
      </w:r>
      <w:r w:rsidRPr="00771F08">
        <w:rPr>
          <w:rFonts w:ascii="Times New Roman" w:hAnsi="Times New Roman" w:cs="Times New Roman"/>
          <w:i/>
          <w:lang w:val="en-GB"/>
        </w:rPr>
        <w:t>Research in Higher Education</w:t>
      </w:r>
      <w:r w:rsidRPr="00771F08">
        <w:rPr>
          <w:rFonts w:ascii="Times New Roman" w:hAnsi="Times New Roman" w:cs="Times New Roman"/>
          <w:lang w:val="en-GB"/>
        </w:rPr>
        <w:t xml:space="preserve">, </w:t>
      </w:r>
      <w:r w:rsidRPr="00771F08">
        <w:rPr>
          <w:rFonts w:ascii="Times New Roman" w:hAnsi="Times New Roman" w:cs="Times New Roman"/>
          <w:i/>
          <w:lang w:val="en-GB"/>
        </w:rPr>
        <w:t>54</w:t>
      </w:r>
      <w:r w:rsidRPr="00771F08">
        <w:rPr>
          <w:rFonts w:ascii="Times New Roman" w:hAnsi="Times New Roman" w:cs="Times New Roman"/>
          <w:lang w:val="en-GB"/>
        </w:rPr>
        <w:t>(3), 283-302.</w:t>
      </w:r>
    </w:p>
    <w:p w14:paraId="47ABDC16" w14:textId="59154633" w:rsidR="003161FA" w:rsidRPr="00771F08" w:rsidRDefault="003161FA"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McDonald, M. (2014). Colleges raise record $33.8 billion exceeding U.S. peak in 2009. Retrieved 26th June, 2014, from </w:t>
      </w:r>
      <w:hyperlink r:id="rId13" w:history="1">
        <w:r w:rsidR="00C3402A" w:rsidRPr="00771F08">
          <w:rPr>
            <w:rStyle w:val="Hyperlink"/>
            <w:rFonts w:ascii="Times New Roman" w:hAnsi="Times New Roman" w:cs="Times New Roman"/>
            <w:color w:val="auto"/>
            <w:lang w:val="en-GB"/>
          </w:rPr>
          <w:t>http://www.bloomberg.com/news/articles/2014-02-12/college-donations-rise-to-record-as-stocks-gain-fueled-giving</w:t>
        </w:r>
      </w:hyperlink>
      <w:r w:rsidRPr="00771F08">
        <w:rPr>
          <w:rFonts w:ascii="Times New Roman" w:hAnsi="Times New Roman" w:cs="Times New Roman"/>
          <w:lang w:val="en-GB"/>
        </w:rPr>
        <w:t>.</w:t>
      </w:r>
    </w:p>
    <w:p w14:paraId="1F778A73" w14:textId="77777777" w:rsidR="00C3402A" w:rsidRPr="00771F08" w:rsidRDefault="00C3402A" w:rsidP="00237956">
      <w:pPr>
        <w:spacing w:after="0" w:line="240" w:lineRule="auto"/>
        <w:ind w:left="851" w:right="1133" w:hanging="284"/>
        <w:jc w:val="both"/>
        <w:rPr>
          <w:rFonts w:ascii="Times New Roman" w:hAnsi="Times New Roman" w:cs="Times New Roman"/>
          <w:i/>
          <w:lang w:val="en-GB"/>
        </w:rPr>
      </w:pPr>
      <w:r w:rsidRPr="00771F08">
        <w:rPr>
          <w:rFonts w:ascii="Times New Roman" w:hAnsi="Times New Roman" w:cs="Times New Roman"/>
          <w:lang w:val="en-GB"/>
        </w:rPr>
        <w:t xml:space="preserve">Melendez, S. E. (2001). The </w:t>
      </w:r>
      <w:proofErr w:type="spellStart"/>
      <w:r w:rsidRPr="00771F08">
        <w:rPr>
          <w:rFonts w:ascii="Times New Roman" w:hAnsi="Times New Roman" w:cs="Times New Roman"/>
          <w:lang w:val="en-GB"/>
        </w:rPr>
        <w:t>nonprofit</w:t>
      </w:r>
      <w:proofErr w:type="spellEnd"/>
      <w:r w:rsidRPr="00771F08">
        <w:rPr>
          <w:rFonts w:ascii="Times New Roman" w:hAnsi="Times New Roman" w:cs="Times New Roman"/>
          <w:lang w:val="en-GB"/>
        </w:rPr>
        <w:t xml:space="preserve"> sector and accountability. </w:t>
      </w:r>
      <w:r w:rsidRPr="00771F08">
        <w:rPr>
          <w:rFonts w:ascii="Times New Roman" w:hAnsi="Times New Roman" w:cs="Times New Roman"/>
          <w:i/>
          <w:lang w:val="en-GB"/>
        </w:rPr>
        <w:t>New Directions</w:t>
      </w:r>
    </w:p>
    <w:p w14:paraId="6CDF3058" w14:textId="62D3A441" w:rsidR="00C3402A" w:rsidRPr="00771F08" w:rsidRDefault="00C3402A"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i/>
          <w:lang w:val="en-GB"/>
        </w:rPr>
        <w:t>for Philanthropic Fundraising, 31</w:t>
      </w:r>
      <w:r w:rsidRPr="00771F08">
        <w:rPr>
          <w:rFonts w:ascii="Times New Roman" w:hAnsi="Times New Roman" w:cs="Times New Roman"/>
          <w:lang w:val="en-GB"/>
        </w:rPr>
        <w:t>, 121–132.</w:t>
      </w:r>
    </w:p>
    <w:p w14:paraId="1F1104A7" w14:textId="509A3308" w:rsidR="00CE5DB7" w:rsidRPr="00771F08" w:rsidRDefault="00CE5DB7"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Moorman, C., </w:t>
      </w:r>
      <w:proofErr w:type="spellStart"/>
      <w:r w:rsidRPr="00771F08">
        <w:rPr>
          <w:rFonts w:ascii="Times New Roman" w:hAnsi="Times New Roman" w:cs="Times New Roman"/>
          <w:lang w:val="en-GB"/>
        </w:rPr>
        <w:t>Zaltman</w:t>
      </w:r>
      <w:proofErr w:type="spellEnd"/>
      <w:r w:rsidRPr="00771F08">
        <w:rPr>
          <w:rFonts w:ascii="Times New Roman" w:hAnsi="Times New Roman" w:cs="Times New Roman"/>
          <w:lang w:val="en-GB"/>
        </w:rPr>
        <w:t xml:space="preserve">, G., &amp; Deshpande, R. (1992). Relationships between providers and users of market research: the dynamics of trust within and between organizations. </w:t>
      </w:r>
      <w:r w:rsidRPr="00771F08">
        <w:rPr>
          <w:rFonts w:ascii="Times New Roman" w:hAnsi="Times New Roman" w:cs="Times New Roman"/>
          <w:i/>
          <w:lang w:val="en-GB"/>
        </w:rPr>
        <w:t>Journal of marketing research, 29</w:t>
      </w:r>
      <w:r w:rsidRPr="00771F08">
        <w:rPr>
          <w:rFonts w:ascii="Times New Roman" w:hAnsi="Times New Roman" w:cs="Times New Roman"/>
          <w:lang w:val="en-GB"/>
        </w:rPr>
        <w:t>(3), 314-328.</w:t>
      </w:r>
    </w:p>
    <w:p w14:paraId="3806D10A" w14:textId="29076CF8" w:rsidR="00CE5DB7" w:rsidRPr="00771F08" w:rsidRDefault="00CE5DB7"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Morgan, R. M., &amp; Hunt, S. D. (1994). The commitment-trust theory of relationship marketing. </w:t>
      </w:r>
      <w:r w:rsidRPr="00771F08">
        <w:rPr>
          <w:rFonts w:ascii="Times New Roman" w:hAnsi="Times New Roman" w:cs="Times New Roman"/>
          <w:i/>
          <w:lang w:val="en-GB"/>
        </w:rPr>
        <w:t>Journal of marketing, 58</w:t>
      </w:r>
      <w:r w:rsidRPr="00771F08">
        <w:rPr>
          <w:rFonts w:ascii="Times New Roman" w:hAnsi="Times New Roman" w:cs="Times New Roman"/>
          <w:lang w:val="en-GB"/>
        </w:rPr>
        <w:t>(3), 20-38.</w:t>
      </w:r>
    </w:p>
    <w:p w14:paraId="15BBE0A8" w14:textId="6DDF35BA" w:rsidR="00F6528C" w:rsidRPr="00771F08" w:rsidRDefault="00AA6F47"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Newman, M. D., &amp;</w:t>
      </w:r>
      <w:r w:rsidR="00F6528C" w:rsidRPr="00771F08">
        <w:rPr>
          <w:rFonts w:ascii="Times New Roman" w:hAnsi="Times New Roman" w:cs="Times New Roman"/>
          <w:lang w:val="en-GB"/>
        </w:rPr>
        <w:t xml:space="preserve"> </w:t>
      </w:r>
      <w:proofErr w:type="spellStart"/>
      <w:r w:rsidR="00F6528C" w:rsidRPr="00771F08">
        <w:rPr>
          <w:rFonts w:ascii="Times New Roman" w:hAnsi="Times New Roman" w:cs="Times New Roman"/>
          <w:lang w:val="en-GB"/>
        </w:rPr>
        <w:t>Petrosko</w:t>
      </w:r>
      <w:proofErr w:type="spellEnd"/>
      <w:r w:rsidR="00F6528C" w:rsidRPr="00771F08">
        <w:rPr>
          <w:rFonts w:ascii="Times New Roman" w:hAnsi="Times New Roman" w:cs="Times New Roman"/>
          <w:lang w:val="en-GB"/>
        </w:rPr>
        <w:t xml:space="preserve">, J. M. (2011). Predictors of alumni association membership. </w:t>
      </w:r>
      <w:r w:rsidR="00F6528C" w:rsidRPr="00771F08">
        <w:rPr>
          <w:rFonts w:ascii="Times New Roman" w:hAnsi="Times New Roman" w:cs="Times New Roman"/>
          <w:i/>
          <w:lang w:val="en-GB"/>
        </w:rPr>
        <w:t>Research in Higher Education</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52</w:t>
      </w:r>
      <w:r w:rsidR="00F6528C" w:rsidRPr="00771F08">
        <w:rPr>
          <w:rFonts w:ascii="Times New Roman" w:hAnsi="Times New Roman" w:cs="Times New Roman"/>
          <w:lang w:val="en-GB"/>
        </w:rPr>
        <w:t>(7), 738-759.</w:t>
      </w:r>
    </w:p>
    <w:p w14:paraId="63A644B3" w14:textId="20ED76FC" w:rsidR="00F6528C" w:rsidRPr="00771F08" w:rsidRDefault="00DF72F0"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Okunade</w:t>
      </w:r>
      <w:proofErr w:type="spellEnd"/>
      <w:r w:rsidRPr="00771F08">
        <w:rPr>
          <w:rFonts w:ascii="Times New Roman" w:hAnsi="Times New Roman" w:cs="Times New Roman"/>
          <w:lang w:val="en-GB"/>
        </w:rPr>
        <w:t>, A. A., &amp;</w:t>
      </w:r>
      <w:r w:rsidR="00F6528C" w:rsidRPr="00771F08">
        <w:rPr>
          <w:rFonts w:ascii="Times New Roman" w:hAnsi="Times New Roman" w:cs="Times New Roman"/>
          <w:lang w:val="en-GB"/>
        </w:rPr>
        <w:t xml:space="preserve"> </w:t>
      </w:r>
      <w:proofErr w:type="spellStart"/>
      <w:r w:rsidR="00F6528C" w:rsidRPr="00771F08">
        <w:rPr>
          <w:rFonts w:ascii="Times New Roman" w:hAnsi="Times New Roman" w:cs="Times New Roman"/>
          <w:lang w:val="en-GB"/>
        </w:rPr>
        <w:t>Berl</w:t>
      </w:r>
      <w:proofErr w:type="spellEnd"/>
      <w:r w:rsidR="00F6528C" w:rsidRPr="00771F08">
        <w:rPr>
          <w:rFonts w:ascii="Times New Roman" w:hAnsi="Times New Roman" w:cs="Times New Roman"/>
          <w:lang w:val="en-GB"/>
        </w:rPr>
        <w:t xml:space="preserve">, R. L. (1997). Determinants of charitable giving of business school alumni. </w:t>
      </w:r>
      <w:r w:rsidR="00F6528C" w:rsidRPr="00771F08">
        <w:rPr>
          <w:rFonts w:ascii="Times New Roman" w:hAnsi="Times New Roman" w:cs="Times New Roman"/>
          <w:i/>
          <w:lang w:val="en-GB"/>
        </w:rPr>
        <w:t>Research in higher education</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38</w:t>
      </w:r>
      <w:r w:rsidR="00F6528C" w:rsidRPr="00771F08">
        <w:rPr>
          <w:rFonts w:ascii="Times New Roman" w:hAnsi="Times New Roman" w:cs="Times New Roman"/>
          <w:lang w:val="en-GB"/>
        </w:rPr>
        <w:t>(2), 201-214.</w:t>
      </w:r>
    </w:p>
    <w:p w14:paraId="1B200A51" w14:textId="77777777" w:rsidR="007B4E2D" w:rsidRPr="00771F08" w:rsidRDefault="007B4E2D" w:rsidP="00237956">
      <w:pPr>
        <w:spacing w:after="0" w:line="240" w:lineRule="auto"/>
        <w:ind w:left="567" w:right="1133"/>
        <w:rPr>
          <w:rFonts w:ascii="Times New Roman" w:hAnsi="Times New Roman" w:cs="Times New Roman"/>
          <w:bCs/>
          <w:sz w:val="24"/>
          <w:szCs w:val="24"/>
          <w:lang w:val="en-GB"/>
        </w:rPr>
      </w:pPr>
      <w:r w:rsidRPr="00237956">
        <w:rPr>
          <w:rFonts w:ascii="Times New Roman" w:hAnsi="Times New Roman" w:cs="Times New Roman"/>
          <w:bCs/>
          <w:sz w:val="24"/>
          <w:szCs w:val="24"/>
          <w:lang w:val="en-GB"/>
        </w:rPr>
        <w:t xml:space="preserve">Pedro, I. M., Mendes, J.C., &amp; Pereira, L.N. (2020) Understanding Alumni-Alma mater commitment Relationships upstream and downstream. </w:t>
      </w:r>
      <w:r w:rsidRPr="00237956">
        <w:rPr>
          <w:rFonts w:ascii="Times New Roman" w:hAnsi="Times New Roman" w:cs="Times New Roman"/>
          <w:bCs/>
          <w:i/>
          <w:iCs/>
          <w:sz w:val="24"/>
          <w:szCs w:val="24"/>
          <w:lang w:val="en-GB"/>
        </w:rPr>
        <w:t>Journal of Marketing for Higher Education</w:t>
      </w:r>
      <w:r w:rsidRPr="00771F08">
        <w:rPr>
          <w:rFonts w:ascii="Times New Roman" w:hAnsi="Times New Roman" w:cs="Times New Roman"/>
          <w:bCs/>
          <w:sz w:val="24"/>
          <w:szCs w:val="24"/>
          <w:lang w:val="en-GB"/>
        </w:rPr>
        <w:t xml:space="preserve"> </w:t>
      </w:r>
    </w:p>
    <w:p w14:paraId="54A63202" w14:textId="36E3C80B" w:rsidR="00F6528C" w:rsidRDefault="00F6528C"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Perin</w:t>
      </w:r>
      <w:proofErr w:type="spellEnd"/>
      <w:r w:rsidRPr="00771F08">
        <w:rPr>
          <w:rFonts w:ascii="Times New Roman" w:hAnsi="Times New Roman" w:cs="Times New Roman"/>
          <w:lang w:val="en-GB"/>
        </w:rPr>
        <w:t>, M.G.</w:t>
      </w:r>
      <w:r w:rsidR="00F7122E" w:rsidRPr="00771F08">
        <w:rPr>
          <w:rFonts w:ascii="Times New Roman" w:hAnsi="Times New Roman" w:cs="Times New Roman"/>
          <w:lang w:val="en-GB"/>
        </w:rPr>
        <w:t xml:space="preserve">, Sampaio, C.H., </w:t>
      </w:r>
      <w:proofErr w:type="spellStart"/>
      <w:r w:rsidR="00F7122E" w:rsidRPr="00771F08">
        <w:rPr>
          <w:rFonts w:ascii="Times New Roman" w:hAnsi="Times New Roman" w:cs="Times New Roman"/>
          <w:lang w:val="en-GB"/>
        </w:rPr>
        <w:t>Simões</w:t>
      </w:r>
      <w:proofErr w:type="spellEnd"/>
      <w:r w:rsidR="00F7122E" w:rsidRPr="00771F08">
        <w:rPr>
          <w:rFonts w:ascii="Times New Roman" w:hAnsi="Times New Roman" w:cs="Times New Roman"/>
          <w:lang w:val="en-GB"/>
        </w:rPr>
        <w:t>, C., &amp; D</w:t>
      </w:r>
      <w:r w:rsidRPr="00771F08">
        <w:rPr>
          <w:rFonts w:ascii="Times New Roman" w:hAnsi="Times New Roman" w:cs="Times New Roman"/>
          <w:lang w:val="en-GB"/>
        </w:rPr>
        <w:t xml:space="preserve">e </w:t>
      </w:r>
      <w:proofErr w:type="spellStart"/>
      <w:r w:rsidRPr="00771F08">
        <w:rPr>
          <w:rFonts w:ascii="Times New Roman" w:hAnsi="Times New Roman" w:cs="Times New Roman"/>
          <w:lang w:val="en-GB"/>
        </w:rPr>
        <w:t>Pólvora</w:t>
      </w:r>
      <w:proofErr w:type="spellEnd"/>
      <w:r w:rsidRPr="00771F08">
        <w:rPr>
          <w:rFonts w:ascii="Times New Roman" w:hAnsi="Times New Roman" w:cs="Times New Roman"/>
          <w:lang w:val="en-GB"/>
        </w:rPr>
        <w:t xml:space="preserve">, R.P. (2012). Modelling antecedents of student loyalty in higher education. </w:t>
      </w:r>
      <w:r w:rsidRPr="00771F08">
        <w:rPr>
          <w:rFonts w:ascii="Times New Roman" w:hAnsi="Times New Roman" w:cs="Times New Roman"/>
          <w:i/>
          <w:lang w:val="en-GB"/>
        </w:rPr>
        <w:t>Journal of Marketing for Higher Education</w:t>
      </w:r>
      <w:r w:rsidRPr="00771F08">
        <w:rPr>
          <w:rFonts w:ascii="Times New Roman" w:hAnsi="Times New Roman" w:cs="Times New Roman"/>
          <w:lang w:val="en-GB"/>
        </w:rPr>
        <w:t xml:space="preserve">, </w:t>
      </w:r>
      <w:r w:rsidRPr="00771F08">
        <w:rPr>
          <w:rFonts w:ascii="Times New Roman" w:hAnsi="Times New Roman" w:cs="Times New Roman"/>
          <w:i/>
          <w:lang w:val="en-GB"/>
        </w:rPr>
        <w:t>22</w:t>
      </w:r>
      <w:r w:rsidRPr="00771F08">
        <w:rPr>
          <w:rFonts w:ascii="Times New Roman" w:hAnsi="Times New Roman" w:cs="Times New Roman"/>
          <w:lang w:val="en-GB"/>
        </w:rPr>
        <w:t>(1), 101–116.</w:t>
      </w:r>
    </w:p>
    <w:p w14:paraId="5B7E1DA5" w14:textId="712D1134" w:rsidR="00C51509" w:rsidRPr="00C51509" w:rsidRDefault="00C51509" w:rsidP="00237956">
      <w:pPr>
        <w:spacing w:after="0" w:line="240" w:lineRule="auto"/>
        <w:ind w:left="851" w:right="1133" w:hanging="284"/>
        <w:jc w:val="both"/>
        <w:rPr>
          <w:rFonts w:ascii="Times New Roman" w:hAnsi="Times New Roman" w:cs="Times New Roman"/>
          <w:lang w:val="en-GB"/>
        </w:rPr>
      </w:pPr>
      <w:r w:rsidRPr="00237956">
        <w:rPr>
          <w:rFonts w:ascii="Times New Roman" w:hAnsi="Times New Roman" w:cs="Times New Roman"/>
          <w:lang w:val="en-GB"/>
        </w:rPr>
        <w:t xml:space="preserve">Pinar, M., Girard, T. and </w:t>
      </w:r>
      <w:proofErr w:type="spellStart"/>
      <w:r w:rsidRPr="00237956">
        <w:rPr>
          <w:rFonts w:ascii="Times New Roman" w:hAnsi="Times New Roman" w:cs="Times New Roman"/>
          <w:lang w:val="en-GB"/>
        </w:rPr>
        <w:t>Basfirinci</w:t>
      </w:r>
      <w:proofErr w:type="spellEnd"/>
      <w:r w:rsidRPr="00237956">
        <w:rPr>
          <w:rFonts w:ascii="Times New Roman" w:hAnsi="Times New Roman" w:cs="Times New Roman"/>
          <w:lang w:val="en-GB"/>
        </w:rPr>
        <w:t xml:space="preserve">, C. (2020). Examining the relationship between brand equity dimensions and university brand equity: An empirical study in Turkey. </w:t>
      </w:r>
      <w:r w:rsidRPr="00237956">
        <w:rPr>
          <w:rFonts w:ascii="Times New Roman" w:hAnsi="Times New Roman" w:cs="Times New Roman"/>
          <w:i/>
          <w:lang w:val="en-GB"/>
        </w:rPr>
        <w:t>International Journal of Educational Management, 34</w:t>
      </w:r>
      <w:r w:rsidRPr="00237956">
        <w:rPr>
          <w:rFonts w:ascii="Times New Roman" w:hAnsi="Times New Roman" w:cs="Times New Roman"/>
          <w:lang w:val="en-GB"/>
        </w:rPr>
        <w:t>(7), 1119-1141.</w:t>
      </w:r>
    </w:p>
    <w:p w14:paraId="48DC18D2" w14:textId="33662D92" w:rsidR="00DD000C" w:rsidRPr="00771F08" w:rsidRDefault="00DD000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Pinar, M., Trapp</w:t>
      </w:r>
      <w:r w:rsidR="00B171B9" w:rsidRPr="00771F08">
        <w:rPr>
          <w:rFonts w:ascii="Times New Roman" w:hAnsi="Times New Roman" w:cs="Times New Roman"/>
          <w:lang w:val="en-GB"/>
        </w:rPr>
        <w:t>, P., Girard, T. &amp;</w:t>
      </w:r>
      <w:r w:rsidRPr="00771F08">
        <w:rPr>
          <w:rFonts w:ascii="Times New Roman" w:hAnsi="Times New Roman" w:cs="Times New Roman"/>
          <w:lang w:val="en-GB"/>
        </w:rPr>
        <w:t xml:space="preserve"> </w:t>
      </w:r>
      <w:proofErr w:type="spellStart"/>
      <w:r w:rsidRPr="00771F08">
        <w:rPr>
          <w:rFonts w:ascii="Times New Roman" w:hAnsi="Times New Roman" w:cs="Times New Roman"/>
          <w:lang w:val="en-GB"/>
        </w:rPr>
        <w:t>Boyt</w:t>
      </w:r>
      <w:proofErr w:type="spellEnd"/>
      <w:r w:rsidRPr="00771F08">
        <w:rPr>
          <w:rFonts w:ascii="Times New Roman" w:hAnsi="Times New Roman" w:cs="Times New Roman"/>
          <w:lang w:val="en-GB"/>
        </w:rPr>
        <w:t xml:space="preserve">, T.E. (2011). Utilizing the brand ecosystem framework in designing branding strategies for higher education. </w:t>
      </w:r>
      <w:r w:rsidRPr="00771F08">
        <w:rPr>
          <w:rFonts w:ascii="Times New Roman" w:hAnsi="Times New Roman" w:cs="Times New Roman"/>
          <w:i/>
          <w:lang w:val="en-GB"/>
        </w:rPr>
        <w:t>International Journal of Educational Management</w:t>
      </w:r>
      <w:r w:rsidRPr="00771F08">
        <w:rPr>
          <w:rFonts w:ascii="Times New Roman" w:hAnsi="Times New Roman" w:cs="Times New Roman"/>
          <w:lang w:val="en-GB"/>
        </w:rPr>
        <w:t xml:space="preserve">, </w:t>
      </w:r>
      <w:r w:rsidRPr="00771F08">
        <w:rPr>
          <w:rFonts w:ascii="Times New Roman" w:hAnsi="Times New Roman" w:cs="Times New Roman"/>
          <w:i/>
          <w:lang w:val="en-GB"/>
        </w:rPr>
        <w:t>25</w:t>
      </w:r>
      <w:r w:rsidRPr="00771F08">
        <w:rPr>
          <w:rFonts w:ascii="Times New Roman" w:hAnsi="Times New Roman" w:cs="Times New Roman"/>
          <w:lang w:val="en-GB"/>
        </w:rPr>
        <w:t>(7), 724-739.</w:t>
      </w:r>
    </w:p>
    <w:p w14:paraId="38C1AA3E" w14:textId="283BF91A" w:rsidR="007A13D7" w:rsidRPr="00771F08" w:rsidRDefault="007A13D7"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Podsakoff, P. M., MacKenzie, S. B., Lee, J. Y., &amp; Podsakoff, N. P. (2003). Common method biases in </w:t>
      </w:r>
      <w:proofErr w:type="spellStart"/>
      <w:r w:rsidRPr="00771F08">
        <w:rPr>
          <w:rFonts w:ascii="Times New Roman" w:hAnsi="Times New Roman" w:cs="Times New Roman"/>
          <w:lang w:val="en-GB"/>
        </w:rPr>
        <w:t>behavioral</w:t>
      </w:r>
      <w:proofErr w:type="spellEnd"/>
      <w:r w:rsidRPr="00771F08">
        <w:rPr>
          <w:rFonts w:ascii="Times New Roman" w:hAnsi="Times New Roman" w:cs="Times New Roman"/>
          <w:lang w:val="en-GB"/>
        </w:rPr>
        <w:t xml:space="preserve"> research: A critical review of the literature and recommended remedies. </w:t>
      </w:r>
      <w:r w:rsidRPr="00771F08">
        <w:rPr>
          <w:rFonts w:ascii="Times New Roman" w:hAnsi="Times New Roman" w:cs="Times New Roman"/>
          <w:i/>
          <w:lang w:val="en-GB"/>
        </w:rPr>
        <w:t>Journal of applied psychology, 88</w:t>
      </w:r>
      <w:r w:rsidRPr="00771F08">
        <w:rPr>
          <w:rFonts w:ascii="Times New Roman" w:hAnsi="Times New Roman" w:cs="Times New Roman"/>
          <w:lang w:val="en-GB"/>
        </w:rPr>
        <w:t>(5), 879-903.</w:t>
      </w:r>
    </w:p>
    <w:p w14:paraId="78D87EED" w14:textId="77777777" w:rsidR="00F6528C" w:rsidRPr="00771F08" w:rsidRDefault="00F6528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Poole, S. M. (2017). Developing relationships with school customers: the role of market orientation. </w:t>
      </w:r>
      <w:r w:rsidRPr="00771F08">
        <w:rPr>
          <w:rFonts w:ascii="Times New Roman" w:hAnsi="Times New Roman" w:cs="Times New Roman"/>
          <w:i/>
          <w:lang w:val="en-GB"/>
        </w:rPr>
        <w:t>International Journal of Educational Management</w:t>
      </w:r>
      <w:r w:rsidRPr="00771F08">
        <w:rPr>
          <w:rFonts w:ascii="Times New Roman" w:hAnsi="Times New Roman" w:cs="Times New Roman"/>
          <w:lang w:val="en-GB"/>
        </w:rPr>
        <w:t xml:space="preserve">, </w:t>
      </w:r>
      <w:r w:rsidRPr="00771F08">
        <w:rPr>
          <w:rFonts w:ascii="Times New Roman" w:hAnsi="Times New Roman" w:cs="Times New Roman"/>
          <w:i/>
          <w:lang w:val="en-GB"/>
        </w:rPr>
        <w:t>31</w:t>
      </w:r>
      <w:r w:rsidRPr="00771F08">
        <w:rPr>
          <w:rFonts w:ascii="Times New Roman" w:hAnsi="Times New Roman" w:cs="Times New Roman"/>
          <w:lang w:val="en-GB"/>
        </w:rPr>
        <w:t>(7), 1054-1068.</w:t>
      </w:r>
    </w:p>
    <w:p w14:paraId="21B1813E" w14:textId="0FB8611D" w:rsidR="00C97D44" w:rsidRPr="00771F08" w:rsidRDefault="00C97D44"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Rojas-Méndez, J. I., Vasquez-</w:t>
      </w:r>
      <w:proofErr w:type="spellStart"/>
      <w:r w:rsidRPr="00771F08">
        <w:rPr>
          <w:rFonts w:ascii="Times New Roman" w:hAnsi="Times New Roman" w:cs="Times New Roman"/>
          <w:lang w:val="en-GB"/>
        </w:rPr>
        <w:t>Parraga</w:t>
      </w:r>
      <w:proofErr w:type="spellEnd"/>
      <w:r w:rsidRPr="00771F08">
        <w:rPr>
          <w:rFonts w:ascii="Times New Roman" w:hAnsi="Times New Roman" w:cs="Times New Roman"/>
          <w:lang w:val="en-GB"/>
        </w:rPr>
        <w:t xml:space="preserve">, A. Z., Kara, A. L. I., &amp; Cerda-Urrutia, A. (2009). Determinants of student loyalty in higher education: A tested relationship approach in Latin America. </w:t>
      </w:r>
      <w:r w:rsidRPr="00771F08">
        <w:rPr>
          <w:rFonts w:ascii="Times New Roman" w:hAnsi="Times New Roman" w:cs="Times New Roman"/>
          <w:i/>
          <w:lang w:val="en-GB"/>
        </w:rPr>
        <w:t>Latin American Business Review, 10</w:t>
      </w:r>
      <w:r w:rsidRPr="00771F08">
        <w:rPr>
          <w:rFonts w:ascii="Times New Roman" w:hAnsi="Times New Roman" w:cs="Times New Roman"/>
          <w:lang w:val="en-GB"/>
        </w:rPr>
        <w:t>(1), 21-39.</w:t>
      </w:r>
    </w:p>
    <w:p w14:paraId="28E7A00D" w14:textId="0F74B624" w:rsidR="00DD000C" w:rsidRPr="00771F08" w:rsidRDefault="00F7122E"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Sargeant</w:t>
      </w:r>
      <w:proofErr w:type="spellEnd"/>
      <w:r w:rsidRPr="00771F08">
        <w:rPr>
          <w:rFonts w:ascii="Times New Roman" w:hAnsi="Times New Roman" w:cs="Times New Roman"/>
          <w:lang w:val="en-GB"/>
        </w:rPr>
        <w:t>, A., &amp;</w:t>
      </w:r>
      <w:r w:rsidR="00DD000C" w:rsidRPr="00771F08">
        <w:rPr>
          <w:rFonts w:ascii="Times New Roman" w:hAnsi="Times New Roman" w:cs="Times New Roman"/>
          <w:lang w:val="en-GB"/>
        </w:rPr>
        <w:t xml:space="preserve"> Lee, S. (2004). Trust and relationship commitment in the United Kingdom voluntary sector: Determinants of donor </w:t>
      </w:r>
      <w:proofErr w:type="spellStart"/>
      <w:r w:rsidR="00DD000C" w:rsidRPr="00771F08">
        <w:rPr>
          <w:rFonts w:ascii="Times New Roman" w:hAnsi="Times New Roman" w:cs="Times New Roman"/>
          <w:lang w:val="en-GB"/>
        </w:rPr>
        <w:t>behavior</w:t>
      </w:r>
      <w:proofErr w:type="spellEnd"/>
      <w:r w:rsidR="00DD000C" w:rsidRPr="00771F08">
        <w:rPr>
          <w:rFonts w:ascii="Times New Roman" w:hAnsi="Times New Roman" w:cs="Times New Roman"/>
          <w:lang w:val="en-GB"/>
        </w:rPr>
        <w:t xml:space="preserve">. </w:t>
      </w:r>
      <w:r w:rsidR="00DD000C" w:rsidRPr="00771F08">
        <w:rPr>
          <w:rFonts w:ascii="Times New Roman" w:hAnsi="Times New Roman" w:cs="Times New Roman"/>
          <w:i/>
          <w:lang w:val="en-GB"/>
        </w:rPr>
        <w:t>Psychology &amp; Marketing</w:t>
      </w:r>
      <w:r w:rsidR="00DD000C" w:rsidRPr="00771F08">
        <w:rPr>
          <w:rFonts w:ascii="Times New Roman" w:hAnsi="Times New Roman" w:cs="Times New Roman"/>
          <w:lang w:val="en-GB"/>
        </w:rPr>
        <w:t xml:space="preserve">, </w:t>
      </w:r>
      <w:r w:rsidR="00DD000C" w:rsidRPr="00771F08">
        <w:rPr>
          <w:rFonts w:ascii="Times New Roman" w:hAnsi="Times New Roman" w:cs="Times New Roman"/>
          <w:i/>
          <w:lang w:val="en-GB"/>
        </w:rPr>
        <w:t>21</w:t>
      </w:r>
      <w:r w:rsidR="00DD000C" w:rsidRPr="00771F08">
        <w:rPr>
          <w:rFonts w:ascii="Times New Roman" w:hAnsi="Times New Roman" w:cs="Times New Roman"/>
          <w:lang w:val="en-GB"/>
        </w:rPr>
        <w:t>(8), 613–635.</w:t>
      </w:r>
    </w:p>
    <w:p w14:paraId="5A54AB76" w14:textId="6BBD826D" w:rsidR="00F6528C" w:rsidRPr="00771F08" w:rsidRDefault="00F6528C"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S</w:t>
      </w:r>
      <w:r w:rsidR="00F7122E" w:rsidRPr="00771F08">
        <w:rPr>
          <w:rFonts w:ascii="Times New Roman" w:hAnsi="Times New Roman" w:cs="Times New Roman"/>
          <w:lang w:val="en-GB"/>
        </w:rPr>
        <w:t xml:space="preserve">chlesinger, W., </w:t>
      </w:r>
      <w:proofErr w:type="spellStart"/>
      <w:r w:rsidR="00F7122E" w:rsidRPr="00771F08">
        <w:rPr>
          <w:rFonts w:ascii="Times New Roman" w:hAnsi="Times New Roman" w:cs="Times New Roman"/>
          <w:lang w:val="en-GB"/>
        </w:rPr>
        <w:t>Cervera</w:t>
      </w:r>
      <w:proofErr w:type="spellEnd"/>
      <w:r w:rsidR="00F7122E" w:rsidRPr="00771F08">
        <w:rPr>
          <w:rFonts w:ascii="Times New Roman" w:hAnsi="Times New Roman" w:cs="Times New Roman"/>
          <w:lang w:val="en-GB"/>
        </w:rPr>
        <w:t>, A., &amp;</w:t>
      </w:r>
      <w:r w:rsidRPr="00771F08">
        <w:rPr>
          <w:rFonts w:ascii="Times New Roman" w:hAnsi="Times New Roman" w:cs="Times New Roman"/>
          <w:lang w:val="en-GB"/>
        </w:rPr>
        <w:t xml:space="preserve"> Pérez-</w:t>
      </w:r>
      <w:proofErr w:type="spellStart"/>
      <w:r w:rsidRPr="00771F08">
        <w:rPr>
          <w:rFonts w:ascii="Times New Roman" w:hAnsi="Times New Roman" w:cs="Times New Roman"/>
          <w:lang w:val="en-GB"/>
        </w:rPr>
        <w:t>Cabañero</w:t>
      </w:r>
      <w:proofErr w:type="spellEnd"/>
      <w:r w:rsidRPr="00771F08">
        <w:rPr>
          <w:rFonts w:ascii="Times New Roman" w:hAnsi="Times New Roman" w:cs="Times New Roman"/>
          <w:lang w:val="en-GB"/>
        </w:rPr>
        <w:t xml:space="preserve">, C. (2017). Sticking with your university: the importance of satisfaction, trust, image, and shared values. </w:t>
      </w:r>
      <w:r w:rsidRPr="00771F08">
        <w:rPr>
          <w:rFonts w:ascii="Times New Roman" w:hAnsi="Times New Roman" w:cs="Times New Roman"/>
          <w:i/>
          <w:lang w:val="en-GB"/>
        </w:rPr>
        <w:t>Studies in Higher Education</w:t>
      </w:r>
      <w:r w:rsidRPr="00771F08">
        <w:rPr>
          <w:rFonts w:ascii="Times New Roman" w:hAnsi="Times New Roman" w:cs="Times New Roman"/>
          <w:lang w:val="en-GB"/>
        </w:rPr>
        <w:t xml:space="preserve">, </w:t>
      </w:r>
      <w:r w:rsidRPr="00771F08">
        <w:rPr>
          <w:rFonts w:ascii="Times New Roman" w:hAnsi="Times New Roman" w:cs="Times New Roman"/>
          <w:i/>
          <w:lang w:val="en-GB"/>
        </w:rPr>
        <w:t>42</w:t>
      </w:r>
      <w:r w:rsidRPr="00771F08">
        <w:rPr>
          <w:rFonts w:ascii="Times New Roman" w:hAnsi="Times New Roman" w:cs="Times New Roman"/>
          <w:lang w:val="en-GB"/>
        </w:rPr>
        <w:t>(12), 2178-2194.</w:t>
      </w:r>
    </w:p>
    <w:p w14:paraId="32CCDE76" w14:textId="56242A64" w:rsidR="004C0D36" w:rsidRPr="00771F08" w:rsidRDefault="004C0D36"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Schreiber, J. B. (2008). Core reporting practices in structural equation </w:t>
      </w:r>
      <w:proofErr w:type="spellStart"/>
      <w:r w:rsidRPr="00771F08">
        <w:rPr>
          <w:rFonts w:ascii="Times New Roman" w:hAnsi="Times New Roman" w:cs="Times New Roman"/>
          <w:lang w:val="en-GB"/>
        </w:rPr>
        <w:t>modeling</w:t>
      </w:r>
      <w:proofErr w:type="spellEnd"/>
      <w:r w:rsidRPr="00771F08">
        <w:rPr>
          <w:rFonts w:ascii="Times New Roman" w:hAnsi="Times New Roman" w:cs="Times New Roman"/>
          <w:i/>
          <w:lang w:val="en-GB"/>
        </w:rPr>
        <w:t>. Research in Social and Administrative Pharmacy,</w:t>
      </w:r>
      <w:r w:rsidRPr="00771F08">
        <w:rPr>
          <w:rFonts w:ascii="Times New Roman" w:hAnsi="Times New Roman" w:cs="Times New Roman"/>
          <w:lang w:val="en-GB"/>
        </w:rPr>
        <w:t xml:space="preserve"> </w:t>
      </w:r>
      <w:r w:rsidRPr="00771F08">
        <w:rPr>
          <w:rFonts w:ascii="Times New Roman" w:hAnsi="Times New Roman" w:cs="Times New Roman"/>
          <w:i/>
          <w:lang w:val="en-GB"/>
        </w:rPr>
        <w:t>4</w:t>
      </w:r>
      <w:r w:rsidRPr="00771F08">
        <w:rPr>
          <w:rFonts w:ascii="Times New Roman" w:hAnsi="Times New Roman" w:cs="Times New Roman"/>
          <w:lang w:val="en-GB"/>
        </w:rPr>
        <w:t>(2), 83-97.</w:t>
      </w:r>
    </w:p>
    <w:p w14:paraId="447B116C" w14:textId="51F35CE1" w:rsidR="002A7025" w:rsidRPr="00771F08" w:rsidRDefault="002A7025"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Shaari</w:t>
      </w:r>
      <w:proofErr w:type="spellEnd"/>
      <w:r w:rsidRPr="00771F08">
        <w:rPr>
          <w:rFonts w:ascii="Times New Roman" w:hAnsi="Times New Roman" w:cs="Times New Roman"/>
          <w:lang w:val="en-GB"/>
        </w:rPr>
        <w:t xml:space="preserve">, H., Salleh, S.M.; Yong, P.L., Perumal, S., </w:t>
      </w:r>
      <w:r w:rsidR="00D876C6" w:rsidRPr="00771F08">
        <w:rPr>
          <w:rFonts w:ascii="Times New Roman" w:hAnsi="Times New Roman" w:cs="Times New Roman"/>
          <w:lang w:val="en-GB"/>
        </w:rPr>
        <w:t xml:space="preserve">&amp; </w:t>
      </w:r>
      <w:proofErr w:type="spellStart"/>
      <w:r w:rsidRPr="00771F08">
        <w:rPr>
          <w:rFonts w:ascii="Times New Roman" w:hAnsi="Times New Roman" w:cs="Times New Roman"/>
          <w:lang w:val="en-GB"/>
        </w:rPr>
        <w:t>Zainol</w:t>
      </w:r>
      <w:proofErr w:type="spellEnd"/>
      <w:r w:rsidRPr="00771F08">
        <w:rPr>
          <w:rFonts w:ascii="Times New Roman" w:hAnsi="Times New Roman" w:cs="Times New Roman"/>
          <w:lang w:val="en-GB"/>
        </w:rPr>
        <w:t>, F.A. (2019)</w:t>
      </w:r>
      <w:r w:rsidR="00D876C6" w:rsidRPr="00771F08">
        <w:rPr>
          <w:rFonts w:ascii="Times New Roman" w:hAnsi="Times New Roman" w:cs="Times New Roman"/>
          <w:lang w:val="en-GB"/>
        </w:rPr>
        <w:t>.</w:t>
      </w:r>
      <w:r w:rsidRPr="00771F08">
        <w:rPr>
          <w:rFonts w:ascii="Times New Roman" w:hAnsi="Times New Roman" w:cs="Times New Roman"/>
          <w:lang w:val="en-GB"/>
        </w:rPr>
        <w:t xml:space="preserve"> </w:t>
      </w:r>
      <w:r w:rsidR="00D876C6" w:rsidRPr="00771F08">
        <w:rPr>
          <w:rFonts w:ascii="Times New Roman" w:hAnsi="Times New Roman" w:cs="Times New Roman"/>
          <w:lang w:val="en-GB"/>
        </w:rPr>
        <w:t xml:space="preserve">Assessing the effect of university brand personality and attitude towards donation on alumni donor behavioural intention: Malaysian perspective. </w:t>
      </w:r>
      <w:r w:rsidRPr="00771F08">
        <w:rPr>
          <w:rFonts w:ascii="Times New Roman" w:hAnsi="Times New Roman" w:cs="Times New Roman"/>
          <w:i/>
          <w:iCs/>
          <w:lang w:val="en-GB"/>
        </w:rPr>
        <w:t>International Journal of Management in Education, 13</w:t>
      </w:r>
      <w:r w:rsidRPr="00771F08">
        <w:rPr>
          <w:rFonts w:ascii="Times New Roman" w:hAnsi="Times New Roman" w:cs="Times New Roman"/>
          <w:lang w:val="en-GB"/>
        </w:rPr>
        <w:t>(4), 377-396.</w:t>
      </w:r>
    </w:p>
    <w:p w14:paraId="49BBB8FD" w14:textId="36B2CA4A" w:rsidR="008F5F17" w:rsidRPr="00771F08" w:rsidRDefault="008F5F17" w:rsidP="00237956">
      <w:pPr>
        <w:spacing w:after="0" w:line="240" w:lineRule="auto"/>
        <w:ind w:left="851" w:right="1133" w:hanging="284"/>
        <w:jc w:val="both"/>
        <w:rPr>
          <w:rFonts w:ascii="Times New Roman" w:hAnsi="Times New Roman" w:cs="Times New Roman"/>
          <w:lang w:val="en-GB"/>
        </w:rPr>
      </w:pPr>
      <w:bookmarkStart w:id="3" w:name="_Hlk38005306"/>
      <w:proofErr w:type="spellStart"/>
      <w:r w:rsidRPr="00771F08">
        <w:rPr>
          <w:rFonts w:ascii="Times New Roman" w:hAnsi="Times New Roman" w:cs="Times New Roman"/>
          <w:lang w:val="en-GB"/>
        </w:rPr>
        <w:t>Snijders</w:t>
      </w:r>
      <w:bookmarkEnd w:id="3"/>
      <w:proofErr w:type="spellEnd"/>
      <w:r w:rsidRPr="00771F08">
        <w:rPr>
          <w:rFonts w:ascii="Times New Roman" w:hAnsi="Times New Roman" w:cs="Times New Roman"/>
          <w:lang w:val="en-GB"/>
        </w:rPr>
        <w:t xml:space="preserve">, I., </w:t>
      </w:r>
      <w:proofErr w:type="spellStart"/>
      <w:r w:rsidRPr="00771F08">
        <w:rPr>
          <w:rFonts w:ascii="Times New Roman" w:hAnsi="Times New Roman" w:cs="Times New Roman"/>
          <w:lang w:val="en-GB"/>
        </w:rPr>
        <w:t>Wijnia</w:t>
      </w:r>
      <w:proofErr w:type="spellEnd"/>
      <w:r w:rsidRPr="00771F08">
        <w:rPr>
          <w:rFonts w:ascii="Times New Roman" w:hAnsi="Times New Roman" w:cs="Times New Roman"/>
          <w:lang w:val="en-GB"/>
        </w:rPr>
        <w:t xml:space="preserve">, L., Rikers, R. M., &amp; </w:t>
      </w:r>
      <w:proofErr w:type="spellStart"/>
      <w:r w:rsidRPr="00771F08">
        <w:rPr>
          <w:rFonts w:ascii="Times New Roman" w:hAnsi="Times New Roman" w:cs="Times New Roman"/>
          <w:lang w:val="en-GB"/>
        </w:rPr>
        <w:t>Loyens</w:t>
      </w:r>
      <w:proofErr w:type="spellEnd"/>
      <w:r w:rsidRPr="00771F08">
        <w:rPr>
          <w:rFonts w:ascii="Times New Roman" w:hAnsi="Times New Roman" w:cs="Times New Roman"/>
          <w:lang w:val="en-GB"/>
        </w:rPr>
        <w:t xml:space="preserve">, S. M. (2019). Alumni loyalty drivers in higher education. </w:t>
      </w:r>
      <w:r w:rsidRPr="00771F08">
        <w:rPr>
          <w:rFonts w:ascii="Times New Roman" w:hAnsi="Times New Roman" w:cs="Times New Roman"/>
          <w:i/>
          <w:iCs/>
          <w:lang w:val="en-GB"/>
        </w:rPr>
        <w:t>Social Psychology of Education</w:t>
      </w:r>
      <w:r w:rsidRPr="00771F08">
        <w:rPr>
          <w:rFonts w:ascii="Times New Roman" w:hAnsi="Times New Roman" w:cs="Times New Roman"/>
          <w:lang w:val="en-GB"/>
        </w:rPr>
        <w:t>, 22(3), 607-627.</w:t>
      </w:r>
    </w:p>
    <w:p w14:paraId="72AD4ED5" w14:textId="151AC11D" w:rsidR="00630B4D" w:rsidRPr="00771F08" w:rsidRDefault="00630B4D" w:rsidP="00237956">
      <w:pPr>
        <w:spacing w:after="0" w:line="240" w:lineRule="auto"/>
        <w:ind w:left="851" w:right="1133" w:hanging="284"/>
        <w:jc w:val="both"/>
        <w:rPr>
          <w:rFonts w:ascii="Times New Roman" w:hAnsi="Times New Roman" w:cs="Times New Roman"/>
          <w:lang w:val="en-GB"/>
        </w:rPr>
      </w:pPr>
      <w:r w:rsidRPr="0061725A">
        <w:rPr>
          <w:rFonts w:ascii="Times New Roman" w:hAnsi="Times New Roman" w:cs="Times New Roman"/>
          <w:lang w:val="nl-NL"/>
        </w:rPr>
        <w:t xml:space="preserve">Snijders, I., Wijnia, L., Rikers, R. M., &amp; Loyens, S. M. (2020). </w:t>
      </w:r>
      <w:r w:rsidRPr="00771F08">
        <w:rPr>
          <w:rFonts w:ascii="Times New Roman" w:hAnsi="Times New Roman" w:cs="Times New Roman"/>
          <w:lang w:val="en-GB"/>
        </w:rPr>
        <w:t xml:space="preserve">Building bridges in higher education: Student-faculty relationship quality, student engagement, and student loyalty. </w:t>
      </w:r>
      <w:r w:rsidRPr="00771F08">
        <w:rPr>
          <w:rFonts w:ascii="Times New Roman" w:hAnsi="Times New Roman" w:cs="Times New Roman"/>
          <w:i/>
          <w:iCs/>
          <w:lang w:val="en-GB"/>
        </w:rPr>
        <w:t>International Journal of Educational Research</w:t>
      </w:r>
      <w:r w:rsidRPr="00771F08">
        <w:rPr>
          <w:rFonts w:ascii="Times New Roman" w:hAnsi="Times New Roman" w:cs="Times New Roman"/>
          <w:lang w:val="en-GB"/>
        </w:rPr>
        <w:t>, 100, 101538.</w:t>
      </w:r>
    </w:p>
    <w:p w14:paraId="2601B563" w14:textId="6E3E8A2C" w:rsidR="005D45DA" w:rsidRPr="00771F08" w:rsidRDefault="005D45DA"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Steenkamp, J. B. E., &amp; Baumgartner, H. (1998). Assessing measurement invariance in cross-national consumer research. </w:t>
      </w:r>
      <w:r w:rsidRPr="00771F08">
        <w:rPr>
          <w:rFonts w:ascii="Times New Roman" w:hAnsi="Times New Roman" w:cs="Times New Roman"/>
          <w:i/>
          <w:lang w:val="en-GB"/>
        </w:rPr>
        <w:t>Journal of consumer research, 25</w:t>
      </w:r>
      <w:r w:rsidRPr="00771F08">
        <w:rPr>
          <w:rFonts w:ascii="Times New Roman" w:hAnsi="Times New Roman" w:cs="Times New Roman"/>
          <w:lang w:val="en-GB"/>
        </w:rPr>
        <w:t>(1), 78-90.</w:t>
      </w:r>
    </w:p>
    <w:p w14:paraId="0253BDFE" w14:textId="29A74164" w:rsidR="00184461" w:rsidRPr="00771F08" w:rsidRDefault="00184461"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lastRenderedPageBreak/>
        <w:t>Stephenson, A. L., &amp; Bell, N. (2014). Motivation for alumni donations: A social identity perspective on the role of branding in higher education. </w:t>
      </w:r>
      <w:r w:rsidRPr="00771F08">
        <w:rPr>
          <w:rFonts w:ascii="Times New Roman" w:hAnsi="Times New Roman" w:cs="Times New Roman"/>
          <w:i/>
          <w:lang w:val="en-GB"/>
        </w:rPr>
        <w:t xml:space="preserve">International Journal of </w:t>
      </w:r>
      <w:proofErr w:type="spellStart"/>
      <w:r w:rsidRPr="00771F08">
        <w:rPr>
          <w:rFonts w:ascii="Times New Roman" w:hAnsi="Times New Roman" w:cs="Times New Roman"/>
          <w:i/>
          <w:lang w:val="en-GB"/>
        </w:rPr>
        <w:t>Nonprofit</w:t>
      </w:r>
      <w:proofErr w:type="spellEnd"/>
      <w:r w:rsidRPr="00771F08">
        <w:rPr>
          <w:rFonts w:ascii="Times New Roman" w:hAnsi="Times New Roman" w:cs="Times New Roman"/>
          <w:i/>
          <w:lang w:val="en-GB"/>
        </w:rPr>
        <w:t xml:space="preserve"> and Voluntary Sector Marketing, 19</w:t>
      </w:r>
      <w:r w:rsidRPr="00771F08">
        <w:rPr>
          <w:rFonts w:ascii="Times New Roman" w:hAnsi="Times New Roman" w:cs="Times New Roman"/>
          <w:lang w:val="en-GB"/>
        </w:rPr>
        <w:t>(3), 176-186.</w:t>
      </w:r>
    </w:p>
    <w:p w14:paraId="7D42AD66" w14:textId="60D28B87" w:rsidR="00F6528C" w:rsidRPr="00771F08" w:rsidRDefault="00D60A65"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Stephenson, A., &amp;</w:t>
      </w:r>
      <w:r w:rsidR="00F6528C" w:rsidRPr="00771F08">
        <w:rPr>
          <w:rFonts w:ascii="Times New Roman" w:hAnsi="Times New Roman" w:cs="Times New Roman"/>
          <w:lang w:val="en-GB"/>
        </w:rPr>
        <w:t xml:space="preserve"> Yerger, D. (2014). Optimizing engagement: brand identification and alumni donation </w:t>
      </w:r>
      <w:proofErr w:type="spellStart"/>
      <w:r w:rsidR="00F6528C" w:rsidRPr="00771F08">
        <w:rPr>
          <w:rFonts w:ascii="Times New Roman" w:hAnsi="Times New Roman" w:cs="Times New Roman"/>
          <w:lang w:val="en-GB"/>
        </w:rPr>
        <w:t>behaviors</w:t>
      </w:r>
      <w:proofErr w:type="spellEnd"/>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International Journal of Educational Management</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28</w:t>
      </w:r>
      <w:r w:rsidR="00F6528C" w:rsidRPr="00771F08">
        <w:rPr>
          <w:rFonts w:ascii="Times New Roman" w:hAnsi="Times New Roman" w:cs="Times New Roman"/>
          <w:lang w:val="en-GB"/>
        </w:rPr>
        <w:t>(6), 765-778.</w:t>
      </w:r>
    </w:p>
    <w:p w14:paraId="083FB215" w14:textId="1A527D11" w:rsidR="0044526E" w:rsidRPr="00771F08" w:rsidRDefault="0044526E"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Stephenson, A., &amp; Yerger, D. (2015) The Role of Satisfaction in Alumni Perceptions and Supportive </w:t>
      </w:r>
      <w:proofErr w:type="spellStart"/>
      <w:r w:rsidRPr="00771F08">
        <w:rPr>
          <w:rFonts w:ascii="Times New Roman" w:hAnsi="Times New Roman" w:cs="Times New Roman"/>
          <w:lang w:val="en-GB"/>
        </w:rPr>
        <w:t>Behaviors</w:t>
      </w:r>
      <w:proofErr w:type="spellEnd"/>
      <w:r w:rsidRPr="00771F08">
        <w:rPr>
          <w:rFonts w:ascii="Times New Roman" w:hAnsi="Times New Roman" w:cs="Times New Roman"/>
          <w:lang w:val="en-GB"/>
        </w:rPr>
        <w:t xml:space="preserve">, </w:t>
      </w:r>
      <w:r w:rsidRPr="00771F08">
        <w:rPr>
          <w:rFonts w:ascii="Times New Roman" w:hAnsi="Times New Roman" w:cs="Times New Roman"/>
          <w:i/>
          <w:iCs/>
          <w:lang w:val="en-GB"/>
        </w:rPr>
        <w:t>Services Marketing Quarterly</w:t>
      </w:r>
      <w:r w:rsidRPr="00771F08">
        <w:rPr>
          <w:rFonts w:ascii="Times New Roman" w:hAnsi="Times New Roman" w:cs="Times New Roman"/>
          <w:lang w:val="en-GB"/>
        </w:rPr>
        <w:t>, 36 (4), 299-316.</w:t>
      </w:r>
    </w:p>
    <w:p w14:paraId="18A0AAFB" w14:textId="6298AE9E" w:rsidR="00822879" w:rsidRPr="00771F08" w:rsidRDefault="00822879"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Sultan, P., &amp; Yin Wong, H. (2012). Service quality in a higher education context: an integrated model. </w:t>
      </w:r>
      <w:r w:rsidRPr="00771F08">
        <w:rPr>
          <w:rFonts w:ascii="Times New Roman" w:hAnsi="Times New Roman" w:cs="Times New Roman"/>
          <w:i/>
          <w:lang w:val="en-GB"/>
        </w:rPr>
        <w:t>Asia Pacific Journal of Marketing and Logistics, 24</w:t>
      </w:r>
      <w:r w:rsidRPr="00771F08">
        <w:rPr>
          <w:rFonts w:ascii="Times New Roman" w:hAnsi="Times New Roman" w:cs="Times New Roman"/>
          <w:lang w:val="en-GB"/>
        </w:rPr>
        <w:t>(5), 755-784.</w:t>
      </w:r>
    </w:p>
    <w:p w14:paraId="0203129A" w14:textId="078B07CE" w:rsidR="00F6528C" w:rsidRPr="00771F08" w:rsidRDefault="00B171B9"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Sung, M., &amp;</w:t>
      </w:r>
      <w:r w:rsidR="00F6528C" w:rsidRPr="00771F08">
        <w:rPr>
          <w:rFonts w:ascii="Times New Roman" w:hAnsi="Times New Roman" w:cs="Times New Roman"/>
          <w:lang w:val="en-GB"/>
        </w:rPr>
        <w:t xml:space="preserve"> Yang, S. U. (2009). Student–university relationships and reputation: a study of the links between key factors fostering students’ supportive </w:t>
      </w:r>
      <w:proofErr w:type="spellStart"/>
      <w:r w:rsidR="00F6528C" w:rsidRPr="00771F08">
        <w:rPr>
          <w:rFonts w:ascii="Times New Roman" w:hAnsi="Times New Roman" w:cs="Times New Roman"/>
          <w:lang w:val="en-GB"/>
        </w:rPr>
        <w:t>behavioral</w:t>
      </w:r>
      <w:proofErr w:type="spellEnd"/>
      <w:r w:rsidR="00F6528C" w:rsidRPr="00771F08">
        <w:rPr>
          <w:rFonts w:ascii="Times New Roman" w:hAnsi="Times New Roman" w:cs="Times New Roman"/>
          <w:lang w:val="en-GB"/>
        </w:rPr>
        <w:t xml:space="preserve"> intentions towards their university. </w:t>
      </w:r>
      <w:r w:rsidR="00F6528C" w:rsidRPr="00771F08">
        <w:rPr>
          <w:rFonts w:ascii="Times New Roman" w:hAnsi="Times New Roman" w:cs="Times New Roman"/>
          <w:i/>
          <w:lang w:val="en-GB"/>
        </w:rPr>
        <w:t>Higher Education</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57</w:t>
      </w:r>
      <w:r w:rsidR="00F6528C" w:rsidRPr="00771F08">
        <w:rPr>
          <w:rFonts w:ascii="Times New Roman" w:hAnsi="Times New Roman" w:cs="Times New Roman"/>
          <w:lang w:val="en-GB"/>
        </w:rPr>
        <w:t>(6), 787-811.</w:t>
      </w:r>
    </w:p>
    <w:p w14:paraId="7BB71434" w14:textId="67C0757B" w:rsidR="00615915" w:rsidRPr="00771F08" w:rsidRDefault="00615915"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Taylor, A. L., &amp; Martin, J. C. (1995). Characteristics of alumni donors and non-donors at a research I, public university. </w:t>
      </w:r>
      <w:r w:rsidRPr="00771F08">
        <w:rPr>
          <w:rFonts w:ascii="Times New Roman" w:hAnsi="Times New Roman" w:cs="Times New Roman"/>
          <w:i/>
          <w:lang w:val="en-GB"/>
        </w:rPr>
        <w:t>Research in Higher Education, 36</w:t>
      </w:r>
      <w:r w:rsidRPr="00771F08">
        <w:rPr>
          <w:rFonts w:ascii="Times New Roman" w:hAnsi="Times New Roman" w:cs="Times New Roman"/>
          <w:lang w:val="en-GB"/>
        </w:rPr>
        <w:t>(3), 283-302.</w:t>
      </w:r>
    </w:p>
    <w:p w14:paraId="5D67D0DD" w14:textId="6DF466FB" w:rsidR="00FA5090" w:rsidRPr="00771F08" w:rsidRDefault="00FA5090"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Thøgersen</w:t>
      </w:r>
      <w:proofErr w:type="spellEnd"/>
      <w:r w:rsidRPr="00771F08">
        <w:rPr>
          <w:rFonts w:ascii="Times New Roman" w:hAnsi="Times New Roman" w:cs="Times New Roman"/>
          <w:lang w:val="en-GB"/>
        </w:rPr>
        <w:t xml:space="preserve">, J., de </w:t>
      </w:r>
      <w:proofErr w:type="spellStart"/>
      <w:r w:rsidRPr="00771F08">
        <w:rPr>
          <w:rFonts w:ascii="Times New Roman" w:hAnsi="Times New Roman" w:cs="Times New Roman"/>
          <w:lang w:val="en-GB"/>
        </w:rPr>
        <w:t>Barcellos</w:t>
      </w:r>
      <w:proofErr w:type="spellEnd"/>
      <w:r w:rsidRPr="00771F08">
        <w:rPr>
          <w:rFonts w:ascii="Times New Roman" w:hAnsi="Times New Roman" w:cs="Times New Roman"/>
          <w:lang w:val="en-GB"/>
        </w:rPr>
        <w:t xml:space="preserve">, M. D., </w:t>
      </w:r>
      <w:proofErr w:type="spellStart"/>
      <w:r w:rsidRPr="00771F08">
        <w:rPr>
          <w:rFonts w:ascii="Times New Roman" w:hAnsi="Times New Roman" w:cs="Times New Roman"/>
          <w:lang w:val="en-GB"/>
        </w:rPr>
        <w:t>Perin</w:t>
      </w:r>
      <w:proofErr w:type="spellEnd"/>
      <w:r w:rsidRPr="00771F08">
        <w:rPr>
          <w:rFonts w:ascii="Times New Roman" w:hAnsi="Times New Roman" w:cs="Times New Roman"/>
          <w:lang w:val="en-GB"/>
        </w:rPr>
        <w:t xml:space="preserve">, M. G., &amp; Zhou, Y. (2015). Consumer buying motives and attitudes towards organic food in two emerging markets: China and Brazil. </w:t>
      </w:r>
      <w:r w:rsidRPr="00771F08">
        <w:rPr>
          <w:rFonts w:ascii="Times New Roman" w:hAnsi="Times New Roman" w:cs="Times New Roman"/>
          <w:i/>
          <w:lang w:val="en-GB"/>
        </w:rPr>
        <w:t>International Marketing Review, 32</w:t>
      </w:r>
      <w:r w:rsidRPr="00771F08">
        <w:rPr>
          <w:rFonts w:ascii="Times New Roman" w:hAnsi="Times New Roman" w:cs="Times New Roman"/>
          <w:lang w:val="en-GB"/>
        </w:rPr>
        <w:t>(3/4), 389–413.</w:t>
      </w:r>
    </w:p>
    <w:p w14:paraId="41A7192A" w14:textId="511CBBE3" w:rsidR="00F6528C" w:rsidRPr="00771F08" w:rsidRDefault="00D60A65"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Tsao, J.C. &amp;</w:t>
      </w:r>
      <w:r w:rsidR="00F6528C" w:rsidRPr="00771F08">
        <w:rPr>
          <w:rFonts w:ascii="Times New Roman" w:hAnsi="Times New Roman" w:cs="Times New Roman"/>
          <w:lang w:val="en-GB"/>
        </w:rPr>
        <w:t xml:space="preserve"> Coll, G. (2005). To give or not to give: factors determining alumni intent to make donations as a PR outcome. </w:t>
      </w:r>
      <w:r w:rsidR="00F6528C" w:rsidRPr="00771F08">
        <w:rPr>
          <w:rFonts w:ascii="Times New Roman" w:hAnsi="Times New Roman" w:cs="Times New Roman"/>
          <w:i/>
          <w:lang w:val="en-GB"/>
        </w:rPr>
        <w:t>Journalism &amp; Mass Communication Educator</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59</w:t>
      </w:r>
      <w:r w:rsidR="00F6528C" w:rsidRPr="00771F08">
        <w:rPr>
          <w:rFonts w:ascii="Times New Roman" w:hAnsi="Times New Roman" w:cs="Times New Roman"/>
          <w:lang w:val="en-GB"/>
        </w:rPr>
        <w:t>(4), 381-392.</w:t>
      </w:r>
    </w:p>
    <w:p w14:paraId="5660D5B2" w14:textId="6D3FEF6B" w:rsidR="00901120" w:rsidRPr="00771F08" w:rsidRDefault="00901120"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Vandenberg, R. J., &amp; Lance, C. E. (2000). A review and synthesis of the measurement invariance literature: Suggestions, practices, and recommendations for organizational research. </w:t>
      </w:r>
      <w:r w:rsidRPr="00771F08">
        <w:rPr>
          <w:rFonts w:ascii="Times New Roman" w:hAnsi="Times New Roman" w:cs="Times New Roman"/>
          <w:i/>
          <w:lang w:val="en-GB"/>
        </w:rPr>
        <w:t>Organizational research methods, 3</w:t>
      </w:r>
      <w:r w:rsidRPr="00771F08">
        <w:rPr>
          <w:rFonts w:ascii="Times New Roman" w:hAnsi="Times New Roman" w:cs="Times New Roman"/>
          <w:lang w:val="en-GB"/>
        </w:rPr>
        <w:t>(1), 4-70.</w:t>
      </w:r>
    </w:p>
    <w:p w14:paraId="3BA4D871" w14:textId="1F3D54A9" w:rsidR="00DD000C" w:rsidRPr="00771F08" w:rsidRDefault="00D60A65"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Weerts</w:t>
      </w:r>
      <w:proofErr w:type="spellEnd"/>
      <w:r w:rsidRPr="00771F08">
        <w:rPr>
          <w:rFonts w:ascii="Times New Roman" w:hAnsi="Times New Roman" w:cs="Times New Roman"/>
          <w:lang w:val="en-GB"/>
        </w:rPr>
        <w:t>, D. J., &amp;</w:t>
      </w:r>
      <w:r w:rsidR="00DD000C" w:rsidRPr="00771F08">
        <w:rPr>
          <w:rFonts w:ascii="Times New Roman" w:hAnsi="Times New Roman" w:cs="Times New Roman"/>
          <w:lang w:val="en-GB"/>
        </w:rPr>
        <w:t xml:space="preserve"> </w:t>
      </w:r>
      <w:proofErr w:type="spellStart"/>
      <w:r w:rsidR="00DD000C" w:rsidRPr="00771F08">
        <w:rPr>
          <w:rFonts w:ascii="Times New Roman" w:hAnsi="Times New Roman" w:cs="Times New Roman"/>
          <w:lang w:val="en-GB"/>
        </w:rPr>
        <w:t>Ronca</w:t>
      </w:r>
      <w:proofErr w:type="spellEnd"/>
      <w:r w:rsidR="00DD000C" w:rsidRPr="00771F08">
        <w:rPr>
          <w:rFonts w:ascii="Times New Roman" w:hAnsi="Times New Roman" w:cs="Times New Roman"/>
          <w:lang w:val="en-GB"/>
        </w:rPr>
        <w:t xml:space="preserve">, J. M. (2008). Characteristics of alumni donors who volunteer at their alma mater. </w:t>
      </w:r>
      <w:r w:rsidR="00DD000C" w:rsidRPr="00771F08">
        <w:rPr>
          <w:rFonts w:ascii="Times New Roman" w:hAnsi="Times New Roman" w:cs="Times New Roman"/>
          <w:i/>
          <w:lang w:val="en-GB"/>
        </w:rPr>
        <w:t>Research in higher education</w:t>
      </w:r>
      <w:r w:rsidR="00DD000C" w:rsidRPr="00771F08">
        <w:rPr>
          <w:rFonts w:ascii="Times New Roman" w:hAnsi="Times New Roman" w:cs="Times New Roman"/>
          <w:lang w:val="en-GB"/>
        </w:rPr>
        <w:t xml:space="preserve">, </w:t>
      </w:r>
      <w:r w:rsidR="00DD000C" w:rsidRPr="00771F08">
        <w:rPr>
          <w:rFonts w:ascii="Times New Roman" w:hAnsi="Times New Roman" w:cs="Times New Roman"/>
          <w:i/>
          <w:lang w:val="en-GB"/>
        </w:rPr>
        <w:t>49</w:t>
      </w:r>
      <w:r w:rsidR="00DD000C" w:rsidRPr="00771F08">
        <w:rPr>
          <w:rFonts w:ascii="Times New Roman" w:hAnsi="Times New Roman" w:cs="Times New Roman"/>
          <w:lang w:val="en-GB"/>
        </w:rPr>
        <w:t>(3), 274-292.</w:t>
      </w:r>
    </w:p>
    <w:p w14:paraId="26242F87" w14:textId="20A40E5F" w:rsidR="00F6528C" w:rsidRPr="00771F08" w:rsidRDefault="00D60A65"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Weerts</w:t>
      </w:r>
      <w:proofErr w:type="spellEnd"/>
      <w:r w:rsidRPr="00771F08">
        <w:rPr>
          <w:rFonts w:ascii="Times New Roman" w:hAnsi="Times New Roman" w:cs="Times New Roman"/>
          <w:lang w:val="en-GB"/>
        </w:rPr>
        <w:t>, D.J. &amp;</w:t>
      </w:r>
      <w:r w:rsidR="00F6528C" w:rsidRPr="00771F08">
        <w:rPr>
          <w:rFonts w:ascii="Times New Roman" w:hAnsi="Times New Roman" w:cs="Times New Roman"/>
          <w:lang w:val="en-GB"/>
        </w:rPr>
        <w:t xml:space="preserve"> </w:t>
      </w:r>
      <w:proofErr w:type="spellStart"/>
      <w:r w:rsidR="00F6528C" w:rsidRPr="00771F08">
        <w:rPr>
          <w:rFonts w:ascii="Times New Roman" w:hAnsi="Times New Roman" w:cs="Times New Roman"/>
          <w:lang w:val="en-GB"/>
        </w:rPr>
        <w:t>Ronca</w:t>
      </w:r>
      <w:proofErr w:type="spellEnd"/>
      <w:r w:rsidR="00F6528C" w:rsidRPr="00771F08">
        <w:rPr>
          <w:rFonts w:ascii="Times New Roman" w:hAnsi="Times New Roman" w:cs="Times New Roman"/>
          <w:lang w:val="en-GB"/>
        </w:rPr>
        <w:t xml:space="preserve">, J.M. (2009). Using classification trees to predict alumni giving for higher education. </w:t>
      </w:r>
      <w:r w:rsidR="00F6528C" w:rsidRPr="00771F08">
        <w:rPr>
          <w:rFonts w:ascii="Times New Roman" w:hAnsi="Times New Roman" w:cs="Times New Roman"/>
          <w:i/>
          <w:lang w:val="en-GB"/>
        </w:rPr>
        <w:t>Education Economics</w:t>
      </w:r>
      <w:r w:rsidR="00F6528C" w:rsidRPr="00771F08">
        <w:rPr>
          <w:rFonts w:ascii="Times New Roman" w:hAnsi="Times New Roman" w:cs="Times New Roman"/>
          <w:lang w:val="en-GB"/>
        </w:rPr>
        <w:t xml:space="preserve">, </w:t>
      </w:r>
      <w:r w:rsidR="00F6528C" w:rsidRPr="00771F08">
        <w:rPr>
          <w:rFonts w:ascii="Times New Roman" w:hAnsi="Times New Roman" w:cs="Times New Roman"/>
          <w:i/>
          <w:lang w:val="en-GB"/>
        </w:rPr>
        <w:t>17</w:t>
      </w:r>
      <w:r w:rsidR="00F6528C" w:rsidRPr="00771F08">
        <w:rPr>
          <w:rFonts w:ascii="Times New Roman" w:hAnsi="Times New Roman" w:cs="Times New Roman"/>
          <w:lang w:val="en-GB"/>
        </w:rPr>
        <w:t>(1), 95-122.</w:t>
      </w:r>
    </w:p>
    <w:p w14:paraId="26A5B50C" w14:textId="40385154" w:rsidR="000E4D43" w:rsidRPr="00771F08" w:rsidRDefault="000E4D43" w:rsidP="00237956">
      <w:pPr>
        <w:spacing w:after="0" w:line="240" w:lineRule="auto"/>
        <w:ind w:left="851" w:right="1133" w:hanging="284"/>
        <w:jc w:val="both"/>
        <w:rPr>
          <w:rFonts w:ascii="Times New Roman" w:hAnsi="Times New Roman" w:cs="Times New Roman"/>
          <w:lang w:val="en-GB"/>
        </w:rPr>
      </w:pPr>
      <w:r w:rsidRPr="00771F08">
        <w:rPr>
          <w:rFonts w:ascii="Times New Roman" w:hAnsi="Times New Roman" w:cs="Times New Roman"/>
          <w:lang w:val="en-GB"/>
        </w:rPr>
        <w:t xml:space="preserve">Wong, S.M.H. &amp; Ho, W. (2011). Building relationship between education institutions and students: Student loyalty in self-financed tertiary education. </w:t>
      </w:r>
      <w:r w:rsidRPr="00771F08">
        <w:rPr>
          <w:rFonts w:ascii="Times New Roman" w:hAnsi="Times New Roman" w:cs="Times New Roman"/>
          <w:i/>
          <w:lang w:val="en-GB"/>
        </w:rPr>
        <w:t>IBIMA Business Review Journal</w:t>
      </w:r>
      <w:r w:rsidRPr="00771F08">
        <w:rPr>
          <w:rFonts w:ascii="Times New Roman" w:hAnsi="Times New Roman" w:cs="Times New Roman"/>
          <w:lang w:val="en-GB"/>
        </w:rPr>
        <w:t>, 2011, 1–22.</w:t>
      </w:r>
    </w:p>
    <w:p w14:paraId="3F70B448" w14:textId="53DA2D19" w:rsidR="00620C0F" w:rsidRDefault="00620C0F" w:rsidP="00237956">
      <w:pPr>
        <w:spacing w:after="0" w:line="240" w:lineRule="auto"/>
        <w:ind w:left="851" w:right="1133" w:hanging="284"/>
        <w:jc w:val="both"/>
        <w:rPr>
          <w:rFonts w:ascii="Times New Roman" w:hAnsi="Times New Roman" w:cs="Times New Roman"/>
          <w:lang w:val="en-GB"/>
        </w:rPr>
      </w:pPr>
      <w:proofErr w:type="spellStart"/>
      <w:r w:rsidRPr="00771F08">
        <w:rPr>
          <w:rFonts w:ascii="Times New Roman" w:hAnsi="Times New Roman" w:cs="Times New Roman"/>
          <w:lang w:val="en-GB"/>
        </w:rPr>
        <w:t>Wunnava</w:t>
      </w:r>
      <w:proofErr w:type="spellEnd"/>
      <w:r w:rsidRPr="00771F08">
        <w:rPr>
          <w:rFonts w:ascii="Times New Roman" w:hAnsi="Times New Roman" w:cs="Times New Roman"/>
          <w:lang w:val="en-GB"/>
        </w:rPr>
        <w:t xml:space="preserve">, P. V., &amp; </w:t>
      </w:r>
      <w:proofErr w:type="spellStart"/>
      <w:r w:rsidRPr="00771F08">
        <w:rPr>
          <w:rFonts w:ascii="Times New Roman" w:hAnsi="Times New Roman" w:cs="Times New Roman"/>
          <w:lang w:val="en-GB"/>
        </w:rPr>
        <w:t>Lauze</w:t>
      </w:r>
      <w:proofErr w:type="spellEnd"/>
      <w:r w:rsidRPr="00771F08">
        <w:rPr>
          <w:rFonts w:ascii="Times New Roman" w:hAnsi="Times New Roman" w:cs="Times New Roman"/>
          <w:lang w:val="en-GB"/>
        </w:rPr>
        <w:t xml:space="preserve">, M. A. (2001). Alumni giving at a small liberal arts college: Evidence from consistent and occasional donors. </w:t>
      </w:r>
      <w:r w:rsidRPr="00771F08">
        <w:rPr>
          <w:rFonts w:ascii="Times New Roman" w:hAnsi="Times New Roman" w:cs="Times New Roman"/>
          <w:i/>
          <w:lang w:val="en-GB"/>
        </w:rPr>
        <w:t>Economics of Education review, 20</w:t>
      </w:r>
      <w:r w:rsidRPr="00771F08">
        <w:rPr>
          <w:rFonts w:ascii="Times New Roman" w:hAnsi="Times New Roman" w:cs="Times New Roman"/>
          <w:lang w:val="en-GB"/>
        </w:rPr>
        <w:t>(6), 533-543.</w:t>
      </w:r>
    </w:p>
    <w:p w14:paraId="74010147" w14:textId="66176A18" w:rsidR="00AC28A5" w:rsidRPr="00771F08" w:rsidRDefault="00AC28A5" w:rsidP="00237956">
      <w:pPr>
        <w:spacing w:after="0" w:line="240" w:lineRule="auto"/>
        <w:ind w:left="851" w:right="1133" w:hanging="284"/>
        <w:jc w:val="both"/>
        <w:rPr>
          <w:rFonts w:ascii="Times New Roman" w:hAnsi="Times New Roman" w:cs="Times New Roman"/>
          <w:lang w:val="en-GB"/>
        </w:rPr>
      </w:pPr>
      <w:r w:rsidRPr="00237956">
        <w:rPr>
          <w:rFonts w:ascii="Times New Roman" w:hAnsi="Times New Roman" w:cs="Times New Roman"/>
          <w:lang w:val="en-GB"/>
        </w:rPr>
        <w:t xml:space="preserve">Yousaf, A., Mishra, A., &amp; Bashir, M. (2020). Brand trust, institutional commitment, and their impact on student loyalty: evidence for higher education in India. </w:t>
      </w:r>
      <w:r w:rsidRPr="00237956">
        <w:rPr>
          <w:rFonts w:ascii="Times New Roman" w:hAnsi="Times New Roman" w:cs="Times New Roman"/>
          <w:i/>
          <w:lang w:val="en-GB"/>
        </w:rPr>
        <w:t>Studies in Higher Education, 45</w:t>
      </w:r>
      <w:r w:rsidRPr="00237956">
        <w:rPr>
          <w:rFonts w:ascii="Times New Roman" w:hAnsi="Times New Roman" w:cs="Times New Roman"/>
          <w:lang w:val="en-GB"/>
        </w:rPr>
        <w:t>(4), 878-891</w:t>
      </w:r>
      <w:r w:rsidRPr="00AC28A5">
        <w:rPr>
          <w:rFonts w:ascii="Times New Roman" w:hAnsi="Times New Roman" w:cs="Times New Roman"/>
          <w:highlight w:val="yellow"/>
          <w:lang w:val="en-GB"/>
        </w:rPr>
        <w:t>.</w:t>
      </w:r>
    </w:p>
    <w:p w14:paraId="4EF9E7B2" w14:textId="2085EBBF" w:rsidR="00A004DA" w:rsidRPr="00771F08" w:rsidRDefault="00184461" w:rsidP="00237956">
      <w:pPr>
        <w:spacing w:after="0" w:line="240" w:lineRule="auto"/>
        <w:ind w:left="851" w:right="1133" w:hanging="284"/>
        <w:jc w:val="both"/>
        <w:rPr>
          <w:rFonts w:ascii="Times New Roman" w:hAnsi="Times New Roman" w:cs="Times New Roman"/>
          <w:b/>
          <w:sz w:val="24"/>
          <w:szCs w:val="24"/>
          <w:lang w:val="en-GB"/>
        </w:rPr>
      </w:pPr>
      <w:r w:rsidRPr="00771F08">
        <w:rPr>
          <w:rFonts w:ascii="Times New Roman" w:hAnsi="Times New Roman" w:cs="Times New Roman"/>
          <w:lang w:val="en-GB"/>
        </w:rPr>
        <w:t>Yousaf, A., Mishra, A., &amp; Bashir, M. (2018). Brand trust, institutional commitment, and their impact on student loyalty: evidence for higher education in India. </w:t>
      </w:r>
      <w:r w:rsidRPr="00771F08">
        <w:rPr>
          <w:rFonts w:ascii="Times New Roman" w:hAnsi="Times New Roman" w:cs="Times New Roman"/>
          <w:i/>
          <w:lang w:val="en-GB"/>
        </w:rPr>
        <w:t>Studies in Higher Education</w:t>
      </w:r>
      <w:r w:rsidRPr="00771F08">
        <w:rPr>
          <w:rFonts w:ascii="Times New Roman" w:hAnsi="Times New Roman" w:cs="Times New Roman"/>
          <w:lang w:val="en-GB"/>
        </w:rPr>
        <w:t>, 1-14</w:t>
      </w:r>
      <w:r w:rsidR="0012615B" w:rsidRPr="00771F08">
        <w:rPr>
          <w:rFonts w:ascii="Times New Roman" w:hAnsi="Times New Roman" w:cs="Times New Roman"/>
          <w:lang w:val="en-GB"/>
        </w:rPr>
        <w:t>.</w:t>
      </w:r>
    </w:p>
    <w:sectPr w:rsidR="00A004DA" w:rsidRPr="00771F08" w:rsidSect="00336DC5">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CEF3C" w14:textId="77777777" w:rsidR="00826FB1" w:rsidRDefault="00826FB1" w:rsidP="0021370E">
      <w:pPr>
        <w:spacing w:after="0" w:line="240" w:lineRule="auto"/>
      </w:pPr>
      <w:r>
        <w:separator/>
      </w:r>
    </w:p>
  </w:endnote>
  <w:endnote w:type="continuationSeparator" w:id="0">
    <w:p w14:paraId="733E33B1" w14:textId="77777777" w:rsidR="00826FB1" w:rsidRDefault="00826FB1" w:rsidP="0021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234425"/>
      <w:docPartObj>
        <w:docPartGallery w:val="Page Numbers (Bottom of Page)"/>
        <w:docPartUnique/>
      </w:docPartObj>
    </w:sdtPr>
    <w:sdtContent>
      <w:p w14:paraId="71E3C160" w14:textId="32BFC446" w:rsidR="00237956" w:rsidRDefault="00237956">
        <w:pPr>
          <w:pStyle w:val="Footer"/>
          <w:jc w:val="center"/>
        </w:pPr>
        <w:r>
          <w:fldChar w:fldCharType="begin"/>
        </w:r>
        <w:r>
          <w:instrText>PAGE   \* MERGEFORMAT</w:instrText>
        </w:r>
        <w:r>
          <w:fldChar w:fldCharType="separate"/>
        </w:r>
        <w:r>
          <w:rPr>
            <w:noProof/>
          </w:rPr>
          <w:t>33</w:t>
        </w:r>
        <w:r>
          <w:fldChar w:fldCharType="end"/>
        </w:r>
      </w:p>
    </w:sdtContent>
  </w:sdt>
  <w:p w14:paraId="0A82F787" w14:textId="77777777" w:rsidR="00237956" w:rsidRDefault="0023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75450" w14:textId="77777777" w:rsidR="00826FB1" w:rsidRDefault="00826FB1" w:rsidP="0021370E">
      <w:pPr>
        <w:spacing w:after="0" w:line="240" w:lineRule="auto"/>
      </w:pPr>
      <w:r>
        <w:separator/>
      </w:r>
    </w:p>
  </w:footnote>
  <w:footnote w:type="continuationSeparator" w:id="0">
    <w:p w14:paraId="3F1C512F" w14:textId="77777777" w:rsidR="00826FB1" w:rsidRDefault="00826FB1" w:rsidP="0021370E">
      <w:pPr>
        <w:spacing w:after="0" w:line="240" w:lineRule="auto"/>
      </w:pPr>
      <w:r>
        <w:continuationSeparator/>
      </w:r>
    </w:p>
  </w:footnote>
  <w:footnote w:id="1">
    <w:p w14:paraId="024C63A1" w14:textId="6E2CCB19" w:rsidR="00237956" w:rsidRPr="0008372C" w:rsidRDefault="00237956" w:rsidP="0008372C">
      <w:pPr>
        <w:pStyle w:val="FootnoteText"/>
        <w:ind w:left="426" w:right="1133"/>
        <w:rPr>
          <w:rFonts w:ascii="Times New Roman" w:hAnsi="Times New Roman" w:cs="Times New Roman"/>
          <w:sz w:val="18"/>
          <w:lang w:val="en-US"/>
        </w:rPr>
      </w:pPr>
      <w:r w:rsidRPr="0008372C">
        <w:rPr>
          <w:rStyle w:val="FootnoteReference"/>
          <w:rFonts w:ascii="Times New Roman" w:hAnsi="Times New Roman" w:cs="Times New Roman"/>
          <w:sz w:val="18"/>
        </w:rPr>
        <w:footnoteRef/>
      </w:r>
      <w:r w:rsidRPr="0008372C">
        <w:rPr>
          <w:rFonts w:ascii="Times New Roman" w:hAnsi="Times New Roman" w:cs="Times New Roman"/>
          <w:sz w:val="18"/>
          <w:lang w:val="en-US"/>
        </w:rPr>
        <w:t xml:space="preserve"> See for </w:t>
      </w:r>
      <w:r w:rsidRPr="0061725A">
        <w:rPr>
          <w:rFonts w:ascii="Times New Roman" w:hAnsi="Times New Roman" w:cs="Times New Roman"/>
          <w:sz w:val="18"/>
          <w:lang w:val="en-US"/>
        </w:rPr>
        <w:t>instance: https://www.umass.edu/giving/; https://dayofgiving.uni.edu/; https://louisianatechgivingday.org/giving-day/12228; https://givingday.uconn.edu.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EA21" w14:textId="1A36656E" w:rsidR="00237956" w:rsidRDefault="00237956" w:rsidP="00657FE5">
    <w:pPr>
      <w:pStyle w:val="Header"/>
    </w:pPr>
  </w:p>
  <w:p w14:paraId="6067AEFD" w14:textId="77777777" w:rsidR="00237956" w:rsidRDefault="00237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3FF8"/>
    <w:multiLevelType w:val="multilevel"/>
    <w:tmpl w:val="5C967E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 w15:restartNumberingAfterBreak="0">
    <w:nsid w:val="43387105"/>
    <w:multiLevelType w:val="multilevel"/>
    <w:tmpl w:val="7C96F3DA"/>
    <w:lvl w:ilvl="0">
      <w:start w:val="2"/>
      <w:numFmt w:val="decimal"/>
      <w:lvlText w:val="%1"/>
      <w:lvlJc w:val="left"/>
      <w:pPr>
        <w:ind w:left="450" w:hanging="450"/>
      </w:pPr>
      <w:rPr>
        <w:rFonts w:hint="default"/>
      </w:rPr>
    </w:lvl>
    <w:lvl w:ilvl="1">
      <w:start w:val="2"/>
      <w:numFmt w:val="decimal"/>
      <w:lvlText w:val="%1.%2"/>
      <w:lvlJc w:val="left"/>
      <w:pPr>
        <w:ind w:left="913" w:hanging="450"/>
      </w:pPr>
      <w:rPr>
        <w:rFonts w:hint="default"/>
      </w:rPr>
    </w:lvl>
    <w:lvl w:ilvl="2">
      <w:start w:val="4"/>
      <w:numFmt w:val="decimal"/>
      <w:lvlText w:val="%1.%2.%3"/>
      <w:lvlJc w:val="left"/>
      <w:pPr>
        <w:ind w:left="355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2" w15:restartNumberingAfterBreak="0">
    <w:nsid w:val="5B173F67"/>
    <w:multiLevelType w:val="hybridMultilevel"/>
    <w:tmpl w:val="C56EB7D4"/>
    <w:lvl w:ilvl="0" w:tplc="D794053A">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649D39E8"/>
    <w:multiLevelType w:val="multilevel"/>
    <w:tmpl w:val="053E8C84"/>
    <w:lvl w:ilvl="0">
      <w:start w:val="2"/>
      <w:numFmt w:val="decimal"/>
      <w:lvlText w:val="%1"/>
      <w:lvlJc w:val="left"/>
      <w:pPr>
        <w:ind w:left="360" w:hanging="360"/>
      </w:pPr>
      <w:rPr>
        <w:rFonts w:hint="default"/>
      </w:rPr>
    </w:lvl>
    <w:lvl w:ilvl="1">
      <w:start w:val="1"/>
      <w:numFmt w:val="decimal"/>
      <w:lvlText w:val="%1.%2"/>
      <w:lvlJc w:val="left"/>
      <w:pPr>
        <w:ind w:left="688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C43BC2"/>
    <w:multiLevelType w:val="multilevel"/>
    <w:tmpl w:val="227C6BBE"/>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58824E4"/>
    <w:multiLevelType w:val="hybridMultilevel"/>
    <w:tmpl w:val="4EE40AF6"/>
    <w:lvl w:ilvl="0" w:tplc="02CC889C">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B13BCC"/>
    <w:multiLevelType w:val="multilevel"/>
    <w:tmpl w:val="68061F0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val="bestFit" w:percent="161"/>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23"/>
    <w:rsid w:val="0000298B"/>
    <w:rsid w:val="000031C5"/>
    <w:rsid w:val="0000404A"/>
    <w:rsid w:val="00005FD3"/>
    <w:rsid w:val="00006116"/>
    <w:rsid w:val="00006B9E"/>
    <w:rsid w:val="0000781C"/>
    <w:rsid w:val="000101CE"/>
    <w:rsid w:val="0001073D"/>
    <w:rsid w:val="000115BD"/>
    <w:rsid w:val="0001210E"/>
    <w:rsid w:val="00012315"/>
    <w:rsid w:val="00013912"/>
    <w:rsid w:val="00014F2F"/>
    <w:rsid w:val="00014F7D"/>
    <w:rsid w:val="0001568E"/>
    <w:rsid w:val="00015B95"/>
    <w:rsid w:val="000160F6"/>
    <w:rsid w:val="0002100F"/>
    <w:rsid w:val="00021024"/>
    <w:rsid w:val="00021029"/>
    <w:rsid w:val="000226A5"/>
    <w:rsid w:val="00024605"/>
    <w:rsid w:val="00024A25"/>
    <w:rsid w:val="00025D17"/>
    <w:rsid w:val="00025E64"/>
    <w:rsid w:val="00027445"/>
    <w:rsid w:val="0002745F"/>
    <w:rsid w:val="00027850"/>
    <w:rsid w:val="00027C36"/>
    <w:rsid w:val="00027CB6"/>
    <w:rsid w:val="00030024"/>
    <w:rsid w:val="0003020F"/>
    <w:rsid w:val="000308A6"/>
    <w:rsid w:val="00030C7E"/>
    <w:rsid w:val="00032D15"/>
    <w:rsid w:val="000342B9"/>
    <w:rsid w:val="00034621"/>
    <w:rsid w:val="000357F6"/>
    <w:rsid w:val="00035FF3"/>
    <w:rsid w:val="00036764"/>
    <w:rsid w:val="00037CA8"/>
    <w:rsid w:val="00037DA6"/>
    <w:rsid w:val="00040257"/>
    <w:rsid w:val="00042E30"/>
    <w:rsid w:val="00044FF8"/>
    <w:rsid w:val="000464D4"/>
    <w:rsid w:val="00046C3D"/>
    <w:rsid w:val="0005017B"/>
    <w:rsid w:val="00051635"/>
    <w:rsid w:val="00053530"/>
    <w:rsid w:val="00054D11"/>
    <w:rsid w:val="00054FC5"/>
    <w:rsid w:val="00057D46"/>
    <w:rsid w:val="000600AC"/>
    <w:rsid w:val="00062759"/>
    <w:rsid w:val="00064298"/>
    <w:rsid w:val="00064F5E"/>
    <w:rsid w:val="000651DD"/>
    <w:rsid w:val="000656F6"/>
    <w:rsid w:val="000658D8"/>
    <w:rsid w:val="00070A04"/>
    <w:rsid w:val="00070AD5"/>
    <w:rsid w:val="00071525"/>
    <w:rsid w:val="00071AD4"/>
    <w:rsid w:val="00072047"/>
    <w:rsid w:val="00073015"/>
    <w:rsid w:val="000735BD"/>
    <w:rsid w:val="0007408F"/>
    <w:rsid w:val="00080286"/>
    <w:rsid w:val="0008076E"/>
    <w:rsid w:val="0008372C"/>
    <w:rsid w:val="00085EF6"/>
    <w:rsid w:val="000900C9"/>
    <w:rsid w:val="000912B7"/>
    <w:rsid w:val="00092363"/>
    <w:rsid w:val="00093166"/>
    <w:rsid w:val="0009391C"/>
    <w:rsid w:val="000A0B80"/>
    <w:rsid w:val="000A1858"/>
    <w:rsid w:val="000A19E0"/>
    <w:rsid w:val="000A1C05"/>
    <w:rsid w:val="000A2714"/>
    <w:rsid w:val="000A2BCE"/>
    <w:rsid w:val="000A3140"/>
    <w:rsid w:val="000A3387"/>
    <w:rsid w:val="000A35BA"/>
    <w:rsid w:val="000A3CD5"/>
    <w:rsid w:val="000A432C"/>
    <w:rsid w:val="000A4E5E"/>
    <w:rsid w:val="000A4EAE"/>
    <w:rsid w:val="000A614F"/>
    <w:rsid w:val="000A6D17"/>
    <w:rsid w:val="000A75DD"/>
    <w:rsid w:val="000B025B"/>
    <w:rsid w:val="000B1053"/>
    <w:rsid w:val="000B18CF"/>
    <w:rsid w:val="000B3296"/>
    <w:rsid w:val="000B366A"/>
    <w:rsid w:val="000B3CAD"/>
    <w:rsid w:val="000B404B"/>
    <w:rsid w:val="000B4D03"/>
    <w:rsid w:val="000B5A4F"/>
    <w:rsid w:val="000B5E29"/>
    <w:rsid w:val="000B643E"/>
    <w:rsid w:val="000B74FF"/>
    <w:rsid w:val="000C0E62"/>
    <w:rsid w:val="000C13FE"/>
    <w:rsid w:val="000C1872"/>
    <w:rsid w:val="000C21C0"/>
    <w:rsid w:val="000C31A2"/>
    <w:rsid w:val="000C487D"/>
    <w:rsid w:val="000C4FAA"/>
    <w:rsid w:val="000C5447"/>
    <w:rsid w:val="000C6891"/>
    <w:rsid w:val="000C6F6A"/>
    <w:rsid w:val="000C70E8"/>
    <w:rsid w:val="000D124B"/>
    <w:rsid w:val="000D220A"/>
    <w:rsid w:val="000D2A97"/>
    <w:rsid w:val="000D2E64"/>
    <w:rsid w:val="000D36AE"/>
    <w:rsid w:val="000D377B"/>
    <w:rsid w:val="000D3DB0"/>
    <w:rsid w:val="000D63A2"/>
    <w:rsid w:val="000D7388"/>
    <w:rsid w:val="000E0BA1"/>
    <w:rsid w:val="000E2337"/>
    <w:rsid w:val="000E3386"/>
    <w:rsid w:val="000E3664"/>
    <w:rsid w:val="000E4D43"/>
    <w:rsid w:val="000E59F9"/>
    <w:rsid w:val="000E7262"/>
    <w:rsid w:val="000F0025"/>
    <w:rsid w:val="000F2D9E"/>
    <w:rsid w:val="000F3410"/>
    <w:rsid w:val="000F38D4"/>
    <w:rsid w:val="000F39D4"/>
    <w:rsid w:val="000F4DE0"/>
    <w:rsid w:val="000F4F57"/>
    <w:rsid w:val="000F5291"/>
    <w:rsid w:val="000F5B72"/>
    <w:rsid w:val="000F66D5"/>
    <w:rsid w:val="000F6A59"/>
    <w:rsid w:val="000F7130"/>
    <w:rsid w:val="000F7DCC"/>
    <w:rsid w:val="00100F99"/>
    <w:rsid w:val="001017C1"/>
    <w:rsid w:val="00101844"/>
    <w:rsid w:val="0010253C"/>
    <w:rsid w:val="001026C4"/>
    <w:rsid w:val="0010331E"/>
    <w:rsid w:val="00104CC3"/>
    <w:rsid w:val="00104FFA"/>
    <w:rsid w:val="001079AF"/>
    <w:rsid w:val="001106F4"/>
    <w:rsid w:val="001111B5"/>
    <w:rsid w:val="001113C0"/>
    <w:rsid w:val="00114FD3"/>
    <w:rsid w:val="00115091"/>
    <w:rsid w:val="0011582A"/>
    <w:rsid w:val="001167FF"/>
    <w:rsid w:val="0011720F"/>
    <w:rsid w:val="00122163"/>
    <w:rsid w:val="00122546"/>
    <w:rsid w:val="00122B56"/>
    <w:rsid w:val="00124E00"/>
    <w:rsid w:val="0012615B"/>
    <w:rsid w:val="00127A65"/>
    <w:rsid w:val="00127CFC"/>
    <w:rsid w:val="00130200"/>
    <w:rsid w:val="001305ED"/>
    <w:rsid w:val="001312D6"/>
    <w:rsid w:val="00132D3E"/>
    <w:rsid w:val="001333E4"/>
    <w:rsid w:val="0013390A"/>
    <w:rsid w:val="00134A13"/>
    <w:rsid w:val="00135381"/>
    <w:rsid w:val="0013560E"/>
    <w:rsid w:val="00135BAE"/>
    <w:rsid w:val="00135C31"/>
    <w:rsid w:val="00135CB5"/>
    <w:rsid w:val="001409FF"/>
    <w:rsid w:val="00140C09"/>
    <w:rsid w:val="00141F47"/>
    <w:rsid w:val="00142DD5"/>
    <w:rsid w:val="00142F0A"/>
    <w:rsid w:val="00143025"/>
    <w:rsid w:val="0014460A"/>
    <w:rsid w:val="00144F26"/>
    <w:rsid w:val="0014653E"/>
    <w:rsid w:val="00147047"/>
    <w:rsid w:val="00147ABF"/>
    <w:rsid w:val="001502F9"/>
    <w:rsid w:val="0015212E"/>
    <w:rsid w:val="001525A1"/>
    <w:rsid w:val="0015271C"/>
    <w:rsid w:val="00152EF0"/>
    <w:rsid w:val="00153B1A"/>
    <w:rsid w:val="001540D6"/>
    <w:rsid w:val="00154C33"/>
    <w:rsid w:val="00155074"/>
    <w:rsid w:val="001578F6"/>
    <w:rsid w:val="00160126"/>
    <w:rsid w:val="00161EE0"/>
    <w:rsid w:val="00162170"/>
    <w:rsid w:val="001629E0"/>
    <w:rsid w:val="001644A2"/>
    <w:rsid w:val="0016591A"/>
    <w:rsid w:val="00167327"/>
    <w:rsid w:val="00167D94"/>
    <w:rsid w:val="001753F5"/>
    <w:rsid w:val="00175ACB"/>
    <w:rsid w:val="00175B4E"/>
    <w:rsid w:val="00175CDF"/>
    <w:rsid w:val="00175FB0"/>
    <w:rsid w:val="0018090D"/>
    <w:rsid w:val="00181F4E"/>
    <w:rsid w:val="0018225A"/>
    <w:rsid w:val="00183017"/>
    <w:rsid w:val="001832CF"/>
    <w:rsid w:val="0018378D"/>
    <w:rsid w:val="00183B72"/>
    <w:rsid w:val="00184461"/>
    <w:rsid w:val="0018503D"/>
    <w:rsid w:val="001851A4"/>
    <w:rsid w:val="001860B6"/>
    <w:rsid w:val="00192417"/>
    <w:rsid w:val="0019395B"/>
    <w:rsid w:val="001959E5"/>
    <w:rsid w:val="00195B7B"/>
    <w:rsid w:val="001961CE"/>
    <w:rsid w:val="001979A5"/>
    <w:rsid w:val="001A0E3C"/>
    <w:rsid w:val="001A14F8"/>
    <w:rsid w:val="001A25E3"/>
    <w:rsid w:val="001A332D"/>
    <w:rsid w:val="001A3DD7"/>
    <w:rsid w:val="001A4143"/>
    <w:rsid w:val="001A4541"/>
    <w:rsid w:val="001A6F19"/>
    <w:rsid w:val="001B1624"/>
    <w:rsid w:val="001B47B9"/>
    <w:rsid w:val="001B4EBD"/>
    <w:rsid w:val="001B5C0D"/>
    <w:rsid w:val="001B6466"/>
    <w:rsid w:val="001B686A"/>
    <w:rsid w:val="001B7259"/>
    <w:rsid w:val="001B743C"/>
    <w:rsid w:val="001C04D9"/>
    <w:rsid w:val="001C1B72"/>
    <w:rsid w:val="001C1C66"/>
    <w:rsid w:val="001C2683"/>
    <w:rsid w:val="001C563D"/>
    <w:rsid w:val="001C5C27"/>
    <w:rsid w:val="001C734D"/>
    <w:rsid w:val="001C75EF"/>
    <w:rsid w:val="001C79AC"/>
    <w:rsid w:val="001C79B6"/>
    <w:rsid w:val="001D0458"/>
    <w:rsid w:val="001D1168"/>
    <w:rsid w:val="001D14D4"/>
    <w:rsid w:val="001D2A98"/>
    <w:rsid w:val="001D2B99"/>
    <w:rsid w:val="001D2E3F"/>
    <w:rsid w:val="001D2F48"/>
    <w:rsid w:val="001D3622"/>
    <w:rsid w:val="001D3FF7"/>
    <w:rsid w:val="001D6248"/>
    <w:rsid w:val="001D792F"/>
    <w:rsid w:val="001D7D6C"/>
    <w:rsid w:val="001E0934"/>
    <w:rsid w:val="001E15EF"/>
    <w:rsid w:val="001E2086"/>
    <w:rsid w:val="001E4788"/>
    <w:rsid w:val="001E479E"/>
    <w:rsid w:val="001E4913"/>
    <w:rsid w:val="001E5020"/>
    <w:rsid w:val="001E5529"/>
    <w:rsid w:val="001E7079"/>
    <w:rsid w:val="001E77FB"/>
    <w:rsid w:val="001E7B74"/>
    <w:rsid w:val="001F4C1C"/>
    <w:rsid w:val="001F6037"/>
    <w:rsid w:val="001F64A4"/>
    <w:rsid w:val="001F7707"/>
    <w:rsid w:val="00201482"/>
    <w:rsid w:val="00202435"/>
    <w:rsid w:val="00202C8C"/>
    <w:rsid w:val="002037FD"/>
    <w:rsid w:val="00205F00"/>
    <w:rsid w:val="0020612B"/>
    <w:rsid w:val="00207A1D"/>
    <w:rsid w:val="00210E5E"/>
    <w:rsid w:val="002112FB"/>
    <w:rsid w:val="0021316E"/>
    <w:rsid w:val="0021370E"/>
    <w:rsid w:val="002137BE"/>
    <w:rsid w:val="00215A57"/>
    <w:rsid w:val="00217929"/>
    <w:rsid w:val="0021799F"/>
    <w:rsid w:val="00217C98"/>
    <w:rsid w:val="00217FA8"/>
    <w:rsid w:val="002203F7"/>
    <w:rsid w:val="0022083B"/>
    <w:rsid w:val="00222284"/>
    <w:rsid w:val="00222497"/>
    <w:rsid w:val="002226AE"/>
    <w:rsid w:val="00223023"/>
    <w:rsid w:val="00223A73"/>
    <w:rsid w:val="0022410F"/>
    <w:rsid w:val="002265DF"/>
    <w:rsid w:val="0023075C"/>
    <w:rsid w:val="00230D00"/>
    <w:rsid w:val="00231C69"/>
    <w:rsid w:val="00232AE6"/>
    <w:rsid w:val="002333A6"/>
    <w:rsid w:val="0023344B"/>
    <w:rsid w:val="00233A58"/>
    <w:rsid w:val="00235D02"/>
    <w:rsid w:val="00235E2D"/>
    <w:rsid w:val="002362EB"/>
    <w:rsid w:val="00237934"/>
    <w:rsid w:val="00237956"/>
    <w:rsid w:val="0024140B"/>
    <w:rsid w:val="002427BE"/>
    <w:rsid w:val="0024439D"/>
    <w:rsid w:val="0024447D"/>
    <w:rsid w:val="0024466A"/>
    <w:rsid w:val="00245D2F"/>
    <w:rsid w:val="002470A3"/>
    <w:rsid w:val="002517FB"/>
    <w:rsid w:val="00251E07"/>
    <w:rsid w:val="00252E4A"/>
    <w:rsid w:val="0025454A"/>
    <w:rsid w:val="00257311"/>
    <w:rsid w:val="00257BF2"/>
    <w:rsid w:val="00257EDE"/>
    <w:rsid w:val="00260BE3"/>
    <w:rsid w:val="002638ED"/>
    <w:rsid w:val="00264DFB"/>
    <w:rsid w:val="0026595B"/>
    <w:rsid w:val="00265E1C"/>
    <w:rsid w:val="002663D3"/>
    <w:rsid w:val="00267806"/>
    <w:rsid w:val="00267ACE"/>
    <w:rsid w:val="00270357"/>
    <w:rsid w:val="002708F9"/>
    <w:rsid w:val="00271016"/>
    <w:rsid w:val="0027143C"/>
    <w:rsid w:val="00276C1E"/>
    <w:rsid w:val="00277D9E"/>
    <w:rsid w:val="0028063D"/>
    <w:rsid w:val="0028169A"/>
    <w:rsid w:val="002826CE"/>
    <w:rsid w:val="00282B1A"/>
    <w:rsid w:val="002858ED"/>
    <w:rsid w:val="00286128"/>
    <w:rsid w:val="00286223"/>
    <w:rsid w:val="00286B1C"/>
    <w:rsid w:val="00287CC0"/>
    <w:rsid w:val="002900FB"/>
    <w:rsid w:val="0029135F"/>
    <w:rsid w:val="00291FCA"/>
    <w:rsid w:val="002936D6"/>
    <w:rsid w:val="00293B30"/>
    <w:rsid w:val="00294228"/>
    <w:rsid w:val="00294589"/>
    <w:rsid w:val="002946CB"/>
    <w:rsid w:val="00294E0E"/>
    <w:rsid w:val="00295ADD"/>
    <w:rsid w:val="002A0531"/>
    <w:rsid w:val="002A0F4B"/>
    <w:rsid w:val="002A45D5"/>
    <w:rsid w:val="002A4A24"/>
    <w:rsid w:val="002A4D44"/>
    <w:rsid w:val="002A506B"/>
    <w:rsid w:val="002A5D24"/>
    <w:rsid w:val="002A6AF9"/>
    <w:rsid w:val="002A7025"/>
    <w:rsid w:val="002B0C35"/>
    <w:rsid w:val="002B1687"/>
    <w:rsid w:val="002B239E"/>
    <w:rsid w:val="002B2A3B"/>
    <w:rsid w:val="002B3777"/>
    <w:rsid w:val="002B3D69"/>
    <w:rsid w:val="002B40E5"/>
    <w:rsid w:val="002B4FFA"/>
    <w:rsid w:val="002B5E38"/>
    <w:rsid w:val="002B6799"/>
    <w:rsid w:val="002B737D"/>
    <w:rsid w:val="002B77BD"/>
    <w:rsid w:val="002B7B61"/>
    <w:rsid w:val="002C2147"/>
    <w:rsid w:val="002C25F0"/>
    <w:rsid w:val="002C35A2"/>
    <w:rsid w:val="002C3D6A"/>
    <w:rsid w:val="002C3EC0"/>
    <w:rsid w:val="002C6400"/>
    <w:rsid w:val="002C6F42"/>
    <w:rsid w:val="002D1A9F"/>
    <w:rsid w:val="002D24E6"/>
    <w:rsid w:val="002D2F9B"/>
    <w:rsid w:val="002D32DE"/>
    <w:rsid w:val="002D3322"/>
    <w:rsid w:val="002D3949"/>
    <w:rsid w:val="002D3E1B"/>
    <w:rsid w:val="002D3E63"/>
    <w:rsid w:val="002D47C3"/>
    <w:rsid w:val="002D559C"/>
    <w:rsid w:val="002D5BCD"/>
    <w:rsid w:val="002D5FF6"/>
    <w:rsid w:val="002D785C"/>
    <w:rsid w:val="002E0E1E"/>
    <w:rsid w:val="002E4107"/>
    <w:rsid w:val="002E49F2"/>
    <w:rsid w:val="002E5AB6"/>
    <w:rsid w:val="002E5E35"/>
    <w:rsid w:val="002E6E31"/>
    <w:rsid w:val="002E732B"/>
    <w:rsid w:val="002E75CB"/>
    <w:rsid w:val="002F2728"/>
    <w:rsid w:val="002F45FB"/>
    <w:rsid w:val="002F5535"/>
    <w:rsid w:val="002F5FBD"/>
    <w:rsid w:val="002F5FF8"/>
    <w:rsid w:val="002F6DBC"/>
    <w:rsid w:val="00302661"/>
    <w:rsid w:val="0030284C"/>
    <w:rsid w:val="003031E8"/>
    <w:rsid w:val="00304FE0"/>
    <w:rsid w:val="00305F4C"/>
    <w:rsid w:val="003061D7"/>
    <w:rsid w:val="0030690D"/>
    <w:rsid w:val="00306E28"/>
    <w:rsid w:val="00310197"/>
    <w:rsid w:val="0031067C"/>
    <w:rsid w:val="003113E4"/>
    <w:rsid w:val="003114FC"/>
    <w:rsid w:val="00311C81"/>
    <w:rsid w:val="0031210C"/>
    <w:rsid w:val="00312505"/>
    <w:rsid w:val="003132C2"/>
    <w:rsid w:val="00313FCC"/>
    <w:rsid w:val="00314342"/>
    <w:rsid w:val="003143FB"/>
    <w:rsid w:val="00314635"/>
    <w:rsid w:val="003154B5"/>
    <w:rsid w:val="003161FA"/>
    <w:rsid w:val="003168A6"/>
    <w:rsid w:val="0032032F"/>
    <w:rsid w:val="0032149D"/>
    <w:rsid w:val="003217CE"/>
    <w:rsid w:val="003230EC"/>
    <w:rsid w:val="00325ED9"/>
    <w:rsid w:val="003269B9"/>
    <w:rsid w:val="00333DB1"/>
    <w:rsid w:val="00333EB6"/>
    <w:rsid w:val="003340C7"/>
    <w:rsid w:val="00334DBB"/>
    <w:rsid w:val="003351F0"/>
    <w:rsid w:val="00336189"/>
    <w:rsid w:val="003366A5"/>
    <w:rsid w:val="00336906"/>
    <w:rsid w:val="00336DC5"/>
    <w:rsid w:val="003401EF"/>
    <w:rsid w:val="00342195"/>
    <w:rsid w:val="0034487F"/>
    <w:rsid w:val="00346239"/>
    <w:rsid w:val="00346769"/>
    <w:rsid w:val="003468A3"/>
    <w:rsid w:val="00346A32"/>
    <w:rsid w:val="00352BA4"/>
    <w:rsid w:val="0035303B"/>
    <w:rsid w:val="00353696"/>
    <w:rsid w:val="00354401"/>
    <w:rsid w:val="00355833"/>
    <w:rsid w:val="00360FBB"/>
    <w:rsid w:val="0036143F"/>
    <w:rsid w:val="00361AE5"/>
    <w:rsid w:val="00363AB4"/>
    <w:rsid w:val="00363C47"/>
    <w:rsid w:val="00363C4F"/>
    <w:rsid w:val="00364C2C"/>
    <w:rsid w:val="00365112"/>
    <w:rsid w:val="00365937"/>
    <w:rsid w:val="00365EA3"/>
    <w:rsid w:val="0036673A"/>
    <w:rsid w:val="00366F2F"/>
    <w:rsid w:val="00367AD0"/>
    <w:rsid w:val="00367D11"/>
    <w:rsid w:val="00370ABF"/>
    <w:rsid w:val="0037339F"/>
    <w:rsid w:val="0037438B"/>
    <w:rsid w:val="00374FC9"/>
    <w:rsid w:val="003779AE"/>
    <w:rsid w:val="00377C3A"/>
    <w:rsid w:val="00377CC0"/>
    <w:rsid w:val="00377F40"/>
    <w:rsid w:val="003808A7"/>
    <w:rsid w:val="00380DE7"/>
    <w:rsid w:val="003818CF"/>
    <w:rsid w:val="00384225"/>
    <w:rsid w:val="00384427"/>
    <w:rsid w:val="00385D39"/>
    <w:rsid w:val="003902EF"/>
    <w:rsid w:val="003906CE"/>
    <w:rsid w:val="00390876"/>
    <w:rsid w:val="00390F2F"/>
    <w:rsid w:val="00390FE2"/>
    <w:rsid w:val="00391955"/>
    <w:rsid w:val="003927BA"/>
    <w:rsid w:val="0039359B"/>
    <w:rsid w:val="00394339"/>
    <w:rsid w:val="003955CF"/>
    <w:rsid w:val="00396E08"/>
    <w:rsid w:val="003A09A4"/>
    <w:rsid w:val="003A0D69"/>
    <w:rsid w:val="003A12D6"/>
    <w:rsid w:val="003A146E"/>
    <w:rsid w:val="003A1B23"/>
    <w:rsid w:val="003A1EFC"/>
    <w:rsid w:val="003A2CA1"/>
    <w:rsid w:val="003A3089"/>
    <w:rsid w:val="003A3610"/>
    <w:rsid w:val="003A5F67"/>
    <w:rsid w:val="003A6A8D"/>
    <w:rsid w:val="003A7049"/>
    <w:rsid w:val="003A721D"/>
    <w:rsid w:val="003B083E"/>
    <w:rsid w:val="003B0CD2"/>
    <w:rsid w:val="003B0D71"/>
    <w:rsid w:val="003B1A13"/>
    <w:rsid w:val="003B22EB"/>
    <w:rsid w:val="003B4085"/>
    <w:rsid w:val="003B557F"/>
    <w:rsid w:val="003B6010"/>
    <w:rsid w:val="003B7403"/>
    <w:rsid w:val="003C1053"/>
    <w:rsid w:val="003C3180"/>
    <w:rsid w:val="003C63A3"/>
    <w:rsid w:val="003C6838"/>
    <w:rsid w:val="003C69F9"/>
    <w:rsid w:val="003D1EC7"/>
    <w:rsid w:val="003D211B"/>
    <w:rsid w:val="003D5E6D"/>
    <w:rsid w:val="003D76E0"/>
    <w:rsid w:val="003D7DF9"/>
    <w:rsid w:val="003E0D8E"/>
    <w:rsid w:val="003E1BE0"/>
    <w:rsid w:val="003E2303"/>
    <w:rsid w:val="003E2559"/>
    <w:rsid w:val="003E4597"/>
    <w:rsid w:val="003E4BF2"/>
    <w:rsid w:val="003E4E92"/>
    <w:rsid w:val="003E5196"/>
    <w:rsid w:val="003E6FF7"/>
    <w:rsid w:val="003E7144"/>
    <w:rsid w:val="003E7D16"/>
    <w:rsid w:val="003F07E5"/>
    <w:rsid w:val="003F149F"/>
    <w:rsid w:val="003F2484"/>
    <w:rsid w:val="003F27F0"/>
    <w:rsid w:val="003F2948"/>
    <w:rsid w:val="003F2A6C"/>
    <w:rsid w:val="003F3F90"/>
    <w:rsid w:val="003F564D"/>
    <w:rsid w:val="003F60F8"/>
    <w:rsid w:val="003F67C9"/>
    <w:rsid w:val="003F6F42"/>
    <w:rsid w:val="003F7E25"/>
    <w:rsid w:val="0040069E"/>
    <w:rsid w:val="00401016"/>
    <w:rsid w:val="004018EF"/>
    <w:rsid w:val="00402317"/>
    <w:rsid w:val="004023F3"/>
    <w:rsid w:val="004025F3"/>
    <w:rsid w:val="00403195"/>
    <w:rsid w:val="004037A9"/>
    <w:rsid w:val="00404235"/>
    <w:rsid w:val="00405B3E"/>
    <w:rsid w:val="00405F3C"/>
    <w:rsid w:val="004071A8"/>
    <w:rsid w:val="004118E4"/>
    <w:rsid w:val="00411DC9"/>
    <w:rsid w:val="0041320F"/>
    <w:rsid w:val="00413805"/>
    <w:rsid w:val="00415252"/>
    <w:rsid w:val="0041747A"/>
    <w:rsid w:val="00420F73"/>
    <w:rsid w:val="00422C7F"/>
    <w:rsid w:val="0042498A"/>
    <w:rsid w:val="004249AD"/>
    <w:rsid w:val="00425DB3"/>
    <w:rsid w:val="00425EE4"/>
    <w:rsid w:val="00426084"/>
    <w:rsid w:val="004263AC"/>
    <w:rsid w:val="0042726B"/>
    <w:rsid w:val="004305D3"/>
    <w:rsid w:val="00430B21"/>
    <w:rsid w:val="00430F5C"/>
    <w:rsid w:val="00431264"/>
    <w:rsid w:val="00435A47"/>
    <w:rsid w:val="00435F18"/>
    <w:rsid w:val="00440A99"/>
    <w:rsid w:val="00440E67"/>
    <w:rsid w:val="00441989"/>
    <w:rsid w:val="004430B1"/>
    <w:rsid w:val="0044347D"/>
    <w:rsid w:val="00443F8E"/>
    <w:rsid w:val="0044423D"/>
    <w:rsid w:val="004451F3"/>
    <w:rsid w:val="0044526E"/>
    <w:rsid w:val="004452E3"/>
    <w:rsid w:val="004471FF"/>
    <w:rsid w:val="00450B2F"/>
    <w:rsid w:val="0045144A"/>
    <w:rsid w:val="004514B7"/>
    <w:rsid w:val="00452DDC"/>
    <w:rsid w:val="00454000"/>
    <w:rsid w:val="004540A0"/>
    <w:rsid w:val="00456C3A"/>
    <w:rsid w:val="00456FCC"/>
    <w:rsid w:val="0045781B"/>
    <w:rsid w:val="0045794D"/>
    <w:rsid w:val="004607D8"/>
    <w:rsid w:val="0046127E"/>
    <w:rsid w:val="004613A1"/>
    <w:rsid w:val="00462B44"/>
    <w:rsid w:val="0046347D"/>
    <w:rsid w:val="0046384F"/>
    <w:rsid w:val="0046455C"/>
    <w:rsid w:val="00465B00"/>
    <w:rsid w:val="004662F5"/>
    <w:rsid w:val="00467746"/>
    <w:rsid w:val="00473C80"/>
    <w:rsid w:val="00475BFC"/>
    <w:rsid w:val="00475C9C"/>
    <w:rsid w:val="0047657A"/>
    <w:rsid w:val="004819FD"/>
    <w:rsid w:val="00483D09"/>
    <w:rsid w:val="00483D93"/>
    <w:rsid w:val="00483DAD"/>
    <w:rsid w:val="0048705F"/>
    <w:rsid w:val="004874E4"/>
    <w:rsid w:val="004879B2"/>
    <w:rsid w:val="00490874"/>
    <w:rsid w:val="00491DA9"/>
    <w:rsid w:val="00491ED3"/>
    <w:rsid w:val="00492488"/>
    <w:rsid w:val="004928CF"/>
    <w:rsid w:val="0049475F"/>
    <w:rsid w:val="004947EE"/>
    <w:rsid w:val="004958FB"/>
    <w:rsid w:val="004963F6"/>
    <w:rsid w:val="00496688"/>
    <w:rsid w:val="0049737B"/>
    <w:rsid w:val="004A4114"/>
    <w:rsid w:val="004A4B6A"/>
    <w:rsid w:val="004A56B9"/>
    <w:rsid w:val="004A5C86"/>
    <w:rsid w:val="004A6166"/>
    <w:rsid w:val="004A68A0"/>
    <w:rsid w:val="004B0530"/>
    <w:rsid w:val="004B18BF"/>
    <w:rsid w:val="004B3F4D"/>
    <w:rsid w:val="004B5665"/>
    <w:rsid w:val="004B6D66"/>
    <w:rsid w:val="004B7CA8"/>
    <w:rsid w:val="004C0D36"/>
    <w:rsid w:val="004C1BB1"/>
    <w:rsid w:val="004C1C38"/>
    <w:rsid w:val="004C288E"/>
    <w:rsid w:val="004C5879"/>
    <w:rsid w:val="004C5C11"/>
    <w:rsid w:val="004C6BE3"/>
    <w:rsid w:val="004C78F6"/>
    <w:rsid w:val="004D19F3"/>
    <w:rsid w:val="004D21AB"/>
    <w:rsid w:val="004D274E"/>
    <w:rsid w:val="004D390E"/>
    <w:rsid w:val="004D480C"/>
    <w:rsid w:val="004D5FAC"/>
    <w:rsid w:val="004E02F8"/>
    <w:rsid w:val="004E03FA"/>
    <w:rsid w:val="004E0EE0"/>
    <w:rsid w:val="004E10D2"/>
    <w:rsid w:val="004E153E"/>
    <w:rsid w:val="004E3B2A"/>
    <w:rsid w:val="004E5F3C"/>
    <w:rsid w:val="004E60B4"/>
    <w:rsid w:val="004E650C"/>
    <w:rsid w:val="004F0BB7"/>
    <w:rsid w:val="004F0E9C"/>
    <w:rsid w:val="004F1223"/>
    <w:rsid w:val="004F4365"/>
    <w:rsid w:val="004F73BB"/>
    <w:rsid w:val="004F740F"/>
    <w:rsid w:val="0050097D"/>
    <w:rsid w:val="00501188"/>
    <w:rsid w:val="0050434F"/>
    <w:rsid w:val="005048A0"/>
    <w:rsid w:val="00505292"/>
    <w:rsid w:val="00505AFA"/>
    <w:rsid w:val="0051174C"/>
    <w:rsid w:val="0051352D"/>
    <w:rsid w:val="0051467D"/>
    <w:rsid w:val="00515439"/>
    <w:rsid w:val="0051687D"/>
    <w:rsid w:val="00516C96"/>
    <w:rsid w:val="0051775A"/>
    <w:rsid w:val="00517F5C"/>
    <w:rsid w:val="0052322B"/>
    <w:rsid w:val="0052368A"/>
    <w:rsid w:val="005236CE"/>
    <w:rsid w:val="00524468"/>
    <w:rsid w:val="00524839"/>
    <w:rsid w:val="005253A9"/>
    <w:rsid w:val="00527A86"/>
    <w:rsid w:val="0053073A"/>
    <w:rsid w:val="0053143D"/>
    <w:rsid w:val="00534BA9"/>
    <w:rsid w:val="00536040"/>
    <w:rsid w:val="00536F11"/>
    <w:rsid w:val="00537692"/>
    <w:rsid w:val="00537A66"/>
    <w:rsid w:val="00540876"/>
    <w:rsid w:val="00540E57"/>
    <w:rsid w:val="00542B8C"/>
    <w:rsid w:val="00547FD2"/>
    <w:rsid w:val="005500F0"/>
    <w:rsid w:val="00550A05"/>
    <w:rsid w:val="00551E0C"/>
    <w:rsid w:val="0055379A"/>
    <w:rsid w:val="00554DFA"/>
    <w:rsid w:val="0055573D"/>
    <w:rsid w:val="005569BC"/>
    <w:rsid w:val="005603C3"/>
    <w:rsid w:val="005612F4"/>
    <w:rsid w:val="005615BE"/>
    <w:rsid w:val="005632D9"/>
    <w:rsid w:val="0056471B"/>
    <w:rsid w:val="00564821"/>
    <w:rsid w:val="00565A38"/>
    <w:rsid w:val="00566387"/>
    <w:rsid w:val="00567512"/>
    <w:rsid w:val="0056799D"/>
    <w:rsid w:val="005700BC"/>
    <w:rsid w:val="005713EC"/>
    <w:rsid w:val="00573E9D"/>
    <w:rsid w:val="005749D8"/>
    <w:rsid w:val="00574B0E"/>
    <w:rsid w:val="005756DD"/>
    <w:rsid w:val="005773E9"/>
    <w:rsid w:val="00580D07"/>
    <w:rsid w:val="00580D29"/>
    <w:rsid w:val="00581432"/>
    <w:rsid w:val="00582317"/>
    <w:rsid w:val="00582E48"/>
    <w:rsid w:val="00584AA9"/>
    <w:rsid w:val="00586832"/>
    <w:rsid w:val="00587372"/>
    <w:rsid w:val="00587BDB"/>
    <w:rsid w:val="00587F7E"/>
    <w:rsid w:val="005903FA"/>
    <w:rsid w:val="0059073B"/>
    <w:rsid w:val="00590E15"/>
    <w:rsid w:val="0059143E"/>
    <w:rsid w:val="00591E1D"/>
    <w:rsid w:val="00593019"/>
    <w:rsid w:val="00593C32"/>
    <w:rsid w:val="00593CE0"/>
    <w:rsid w:val="00595084"/>
    <w:rsid w:val="0059558F"/>
    <w:rsid w:val="00597027"/>
    <w:rsid w:val="005A0BED"/>
    <w:rsid w:val="005A1148"/>
    <w:rsid w:val="005A18B4"/>
    <w:rsid w:val="005A1B62"/>
    <w:rsid w:val="005A229A"/>
    <w:rsid w:val="005A2E84"/>
    <w:rsid w:val="005A3062"/>
    <w:rsid w:val="005A397A"/>
    <w:rsid w:val="005A43C8"/>
    <w:rsid w:val="005A51E2"/>
    <w:rsid w:val="005A6A46"/>
    <w:rsid w:val="005A7323"/>
    <w:rsid w:val="005B4341"/>
    <w:rsid w:val="005B4C53"/>
    <w:rsid w:val="005B66E5"/>
    <w:rsid w:val="005B68BF"/>
    <w:rsid w:val="005B741C"/>
    <w:rsid w:val="005B7B74"/>
    <w:rsid w:val="005C0B35"/>
    <w:rsid w:val="005C11D6"/>
    <w:rsid w:val="005C2D32"/>
    <w:rsid w:val="005C3593"/>
    <w:rsid w:val="005C39F4"/>
    <w:rsid w:val="005C465A"/>
    <w:rsid w:val="005C485C"/>
    <w:rsid w:val="005C4C6C"/>
    <w:rsid w:val="005C611A"/>
    <w:rsid w:val="005C63F3"/>
    <w:rsid w:val="005C71EF"/>
    <w:rsid w:val="005C7714"/>
    <w:rsid w:val="005D2642"/>
    <w:rsid w:val="005D3B2F"/>
    <w:rsid w:val="005D400D"/>
    <w:rsid w:val="005D45DA"/>
    <w:rsid w:val="005D5F72"/>
    <w:rsid w:val="005D72C2"/>
    <w:rsid w:val="005D7CB5"/>
    <w:rsid w:val="005D7DF3"/>
    <w:rsid w:val="005E1B4D"/>
    <w:rsid w:val="005E2999"/>
    <w:rsid w:val="005E38D8"/>
    <w:rsid w:val="005E426A"/>
    <w:rsid w:val="005E590D"/>
    <w:rsid w:val="005E73B7"/>
    <w:rsid w:val="005E7749"/>
    <w:rsid w:val="005E78F3"/>
    <w:rsid w:val="005F0305"/>
    <w:rsid w:val="005F07B9"/>
    <w:rsid w:val="005F0AAA"/>
    <w:rsid w:val="005F0DBF"/>
    <w:rsid w:val="005F269D"/>
    <w:rsid w:val="005F33DE"/>
    <w:rsid w:val="005F3DAA"/>
    <w:rsid w:val="005F54B7"/>
    <w:rsid w:val="005F652C"/>
    <w:rsid w:val="005F720E"/>
    <w:rsid w:val="005F7AC7"/>
    <w:rsid w:val="005F7D3C"/>
    <w:rsid w:val="005F7DFB"/>
    <w:rsid w:val="00600094"/>
    <w:rsid w:val="0060025A"/>
    <w:rsid w:val="00602502"/>
    <w:rsid w:val="00603A96"/>
    <w:rsid w:val="0060438E"/>
    <w:rsid w:val="00605AF6"/>
    <w:rsid w:val="00606074"/>
    <w:rsid w:val="0060623E"/>
    <w:rsid w:val="006111E3"/>
    <w:rsid w:val="00614BA5"/>
    <w:rsid w:val="00615387"/>
    <w:rsid w:val="00615915"/>
    <w:rsid w:val="006159A3"/>
    <w:rsid w:val="00615A54"/>
    <w:rsid w:val="00615AF3"/>
    <w:rsid w:val="0061725A"/>
    <w:rsid w:val="006209A3"/>
    <w:rsid w:val="00620C0F"/>
    <w:rsid w:val="00622CFB"/>
    <w:rsid w:val="006236F8"/>
    <w:rsid w:val="00623C3C"/>
    <w:rsid w:val="00623DF9"/>
    <w:rsid w:val="00624BF1"/>
    <w:rsid w:val="006272D2"/>
    <w:rsid w:val="00627683"/>
    <w:rsid w:val="00630127"/>
    <w:rsid w:val="006303C7"/>
    <w:rsid w:val="00630B4D"/>
    <w:rsid w:val="006310B9"/>
    <w:rsid w:val="00632481"/>
    <w:rsid w:val="00632D81"/>
    <w:rsid w:val="00632F8E"/>
    <w:rsid w:val="0063415D"/>
    <w:rsid w:val="006341F0"/>
    <w:rsid w:val="006345E0"/>
    <w:rsid w:val="00634AFA"/>
    <w:rsid w:val="00634F98"/>
    <w:rsid w:val="00635654"/>
    <w:rsid w:val="00640B90"/>
    <w:rsid w:val="00640EF8"/>
    <w:rsid w:val="00642002"/>
    <w:rsid w:val="0064283C"/>
    <w:rsid w:val="00642941"/>
    <w:rsid w:val="0064320F"/>
    <w:rsid w:val="00644366"/>
    <w:rsid w:val="00645AF7"/>
    <w:rsid w:val="006469EF"/>
    <w:rsid w:val="006471F9"/>
    <w:rsid w:val="00647427"/>
    <w:rsid w:val="006507AF"/>
    <w:rsid w:val="0065230D"/>
    <w:rsid w:val="00653148"/>
    <w:rsid w:val="00653EC7"/>
    <w:rsid w:val="00656141"/>
    <w:rsid w:val="006563E4"/>
    <w:rsid w:val="00657FE5"/>
    <w:rsid w:val="00660A5C"/>
    <w:rsid w:val="0066173F"/>
    <w:rsid w:val="00662156"/>
    <w:rsid w:val="0066266C"/>
    <w:rsid w:val="00662FBA"/>
    <w:rsid w:val="00664A35"/>
    <w:rsid w:val="0066564C"/>
    <w:rsid w:val="00666AD2"/>
    <w:rsid w:val="0066734B"/>
    <w:rsid w:val="00667AB3"/>
    <w:rsid w:val="0067068F"/>
    <w:rsid w:val="00671413"/>
    <w:rsid w:val="00671EDE"/>
    <w:rsid w:val="0067239F"/>
    <w:rsid w:val="00673854"/>
    <w:rsid w:val="00673C36"/>
    <w:rsid w:val="00675726"/>
    <w:rsid w:val="00675D71"/>
    <w:rsid w:val="00677175"/>
    <w:rsid w:val="0067766A"/>
    <w:rsid w:val="006810DC"/>
    <w:rsid w:val="00681F1D"/>
    <w:rsid w:val="006830CF"/>
    <w:rsid w:val="006848C0"/>
    <w:rsid w:val="00684C52"/>
    <w:rsid w:val="006852EB"/>
    <w:rsid w:val="00685BFD"/>
    <w:rsid w:val="00685C08"/>
    <w:rsid w:val="00686420"/>
    <w:rsid w:val="0068642F"/>
    <w:rsid w:val="00690746"/>
    <w:rsid w:val="00691D0B"/>
    <w:rsid w:val="006923F8"/>
    <w:rsid w:val="0069480D"/>
    <w:rsid w:val="0069633D"/>
    <w:rsid w:val="00697311"/>
    <w:rsid w:val="006A17C1"/>
    <w:rsid w:val="006A4D41"/>
    <w:rsid w:val="006A5447"/>
    <w:rsid w:val="006A5AE3"/>
    <w:rsid w:val="006A5DCD"/>
    <w:rsid w:val="006A5E0C"/>
    <w:rsid w:val="006A7264"/>
    <w:rsid w:val="006B00B5"/>
    <w:rsid w:val="006B1D96"/>
    <w:rsid w:val="006B43E3"/>
    <w:rsid w:val="006B49A5"/>
    <w:rsid w:val="006B7684"/>
    <w:rsid w:val="006C05DF"/>
    <w:rsid w:val="006C0604"/>
    <w:rsid w:val="006C0A15"/>
    <w:rsid w:val="006C110C"/>
    <w:rsid w:val="006C381D"/>
    <w:rsid w:val="006C598B"/>
    <w:rsid w:val="006C613A"/>
    <w:rsid w:val="006C655D"/>
    <w:rsid w:val="006C6B9A"/>
    <w:rsid w:val="006C7624"/>
    <w:rsid w:val="006D19D1"/>
    <w:rsid w:val="006D1C24"/>
    <w:rsid w:val="006D4114"/>
    <w:rsid w:val="006D482C"/>
    <w:rsid w:val="006D4F4F"/>
    <w:rsid w:val="006D535C"/>
    <w:rsid w:val="006D5AFA"/>
    <w:rsid w:val="006D7E42"/>
    <w:rsid w:val="006E0FB7"/>
    <w:rsid w:val="006E10D4"/>
    <w:rsid w:val="006E2319"/>
    <w:rsid w:val="006E2A73"/>
    <w:rsid w:val="006E445A"/>
    <w:rsid w:val="006E44A5"/>
    <w:rsid w:val="006E721E"/>
    <w:rsid w:val="006E7A64"/>
    <w:rsid w:val="006F0266"/>
    <w:rsid w:val="006F0382"/>
    <w:rsid w:val="006F07A6"/>
    <w:rsid w:val="006F12BE"/>
    <w:rsid w:val="006F15E4"/>
    <w:rsid w:val="006F55B7"/>
    <w:rsid w:val="006F5A9F"/>
    <w:rsid w:val="006F6F88"/>
    <w:rsid w:val="006F778B"/>
    <w:rsid w:val="00700228"/>
    <w:rsid w:val="0070023E"/>
    <w:rsid w:val="00702C17"/>
    <w:rsid w:val="00703ABB"/>
    <w:rsid w:val="007040CC"/>
    <w:rsid w:val="00704380"/>
    <w:rsid w:val="007043B4"/>
    <w:rsid w:val="00704C72"/>
    <w:rsid w:val="0070709B"/>
    <w:rsid w:val="00707D0E"/>
    <w:rsid w:val="00707FA6"/>
    <w:rsid w:val="0071068D"/>
    <w:rsid w:val="00711A74"/>
    <w:rsid w:val="00712EEC"/>
    <w:rsid w:val="0071319A"/>
    <w:rsid w:val="007156EB"/>
    <w:rsid w:val="0072059B"/>
    <w:rsid w:val="007211FD"/>
    <w:rsid w:val="00721381"/>
    <w:rsid w:val="0072146D"/>
    <w:rsid w:val="00721842"/>
    <w:rsid w:val="00721E33"/>
    <w:rsid w:val="007237FD"/>
    <w:rsid w:val="00725135"/>
    <w:rsid w:val="0072633C"/>
    <w:rsid w:val="0072635F"/>
    <w:rsid w:val="00726C8F"/>
    <w:rsid w:val="00727061"/>
    <w:rsid w:val="00727F74"/>
    <w:rsid w:val="00730EBC"/>
    <w:rsid w:val="00731F88"/>
    <w:rsid w:val="00733217"/>
    <w:rsid w:val="0073524A"/>
    <w:rsid w:val="00735D30"/>
    <w:rsid w:val="007368C7"/>
    <w:rsid w:val="007408FF"/>
    <w:rsid w:val="0074112F"/>
    <w:rsid w:val="00741452"/>
    <w:rsid w:val="00742CF9"/>
    <w:rsid w:val="0074351F"/>
    <w:rsid w:val="00743C5B"/>
    <w:rsid w:val="0074449F"/>
    <w:rsid w:val="007444AD"/>
    <w:rsid w:val="0074467B"/>
    <w:rsid w:val="007462CF"/>
    <w:rsid w:val="00746601"/>
    <w:rsid w:val="007503F3"/>
    <w:rsid w:val="00753377"/>
    <w:rsid w:val="007550DC"/>
    <w:rsid w:val="0075535F"/>
    <w:rsid w:val="007555DE"/>
    <w:rsid w:val="00755841"/>
    <w:rsid w:val="007568E4"/>
    <w:rsid w:val="0075767F"/>
    <w:rsid w:val="0075768C"/>
    <w:rsid w:val="007577BB"/>
    <w:rsid w:val="00760CD4"/>
    <w:rsid w:val="00760F33"/>
    <w:rsid w:val="007623FF"/>
    <w:rsid w:val="007644E7"/>
    <w:rsid w:val="0076487A"/>
    <w:rsid w:val="0076545C"/>
    <w:rsid w:val="00770464"/>
    <w:rsid w:val="00771F08"/>
    <w:rsid w:val="007732BC"/>
    <w:rsid w:val="00773C3A"/>
    <w:rsid w:val="007758B7"/>
    <w:rsid w:val="00777869"/>
    <w:rsid w:val="0078172D"/>
    <w:rsid w:val="00782E87"/>
    <w:rsid w:val="00783D67"/>
    <w:rsid w:val="0078420B"/>
    <w:rsid w:val="00784501"/>
    <w:rsid w:val="00784E5B"/>
    <w:rsid w:val="00785194"/>
    <w:rsid w:val="00786EBA"/>
    <w:rsid w:val="00790177"/>
    <w:rsid w:val="007906B7"/>
    <w:rsid w:val="007914CD"/>
    <w:rsid w:val="00791A17"/>
    <w:rsid w:val="00791A48"/>
    <w:rsid w:val="00792E08"/>
    <w:rsid w:val="00795EB2"/>
    <w:rsid w:val="007967D1"/>
    <w:rsid w:val="00796E8C"/>
    <w:rsid w:val="007972D4"/>
    <w:rsid w:val="0079744F"/>
    <w:rsid w:val="007A0B43"/>
    <w:rsid w:val="007A0BA6"/>
    <w:rsid w:val="007A13D7"/>
    <w:rsid w:val="007A1EFC"/>
    <w:rsid w:val="007A4B64"/>
    <w:rsid w:val="007A4E35"/>
    <w:rsid w:val="007A5D45"/>
    <w:rsid w:val="007A5DE5"/>
    <w:rsid w:val="007A65A8"/>
    <w:rsid w:val="007B0391"/>
    <w:rsid w:val="007B0C5B"/>
    <w:rsid w:val="007B15F4"/>
    <w:rsid w:val="007B210B"/>
    <w:rsid w:val="007B3BA1"/>
    <w:rsid w:val="007B41DA"/>
    <w:rsid w:val="007B46C1"/>
    <w:rsid w:val="007B4E2D"/>
    <w:rsid w:val="007B7261"/>
    <w:rsid w:val="007B7EC4"/>
    <w:rsid w:val="007C068C"/>
    <w:rsid w:val="007C119A"/>
    <w:rsid w:val="007C3048"/>
    <w:rsid w:val="007C4D92"/>
    <w:rsid w:val="007C54A5"/>
    <w:rsid w:val="007C61A8"/>
    <w:rsid w:val="007C75DD"/>
    <w:rsid w:val="007D0911"/>
    <w:rsid w:val="007D09C7"/>
    <w:rsid w:val="007D0F20"/>
    <w:rsid w:val="007D1A76"/>
    <w:rsid w:val="007D1D3D"/>
    <w:rsid w:val="007D26D7"/>
    <w:rsid w:val="007D3E23"/>
    <w:rsid w:val="007D54EB"/>
    <w:rsid w:val="007D5886"/>
    <w:rsid w:val="007D5935"/>
    <w:rsid w:val="007D5D76"/>
    <w:rsid w:val="007D6863"/>
    <w:rsid w:val="007D71B9"/>
    <w:rsid w:val="007D72E1"/>
    <w:rsid w:val="007D7C52"/>
    <w:rsid w:val="007D7F23"/>
    <w:rsid w:val="007E02CE"/>
    <w:rsid w:val="007E3719"/>
    <w:rsid w:val="007E37A7"/>
    <w:rsid w:val="007E3A87"/>
    <w:rsid w:val="007E46C4"/>
    <w:rsid w:val="007E56B1"/>
    <w:rsid w:val="007E608A"/>
    <w:rsid w:val="007E6884"/>
    <w:rsid w:val="007E7561"/>
    <w:rsid w:val="007F0F4F"/>
    <w:rsid w:val="007F1340"/>
    <w:rsid w:val="007F160A"/>
    <w:rsid w:val="007F2855"/>
    <w:rsid w:val="007F3FC2"/>
    <w:rsid w:val="007F4274"/>
    <w:rsid w:val="007F4FE4"/>
    <w:rsid w:val="007F7D7E"/>
    <w:rsid w:val="008009BF"/>
    <w:rsid w:val="00800DE5"/>
    <w:rsid w:val="008011E0"/>
    <w:rsid w:val="00801B4E"/>
    <w:rsid w:val="00802E87"/>
    <w:rsid w:val="008040ED"/>
    <w:rsid w:val="0080499A"/>
    <w:rsid w:val="0080792F"/>
    <w:rsid w:val="00813E58"/>
    <w:rsid w:val="00816294"/>
    <w:rsid w:val="00816986"/>
    <w:rsid w:val="00817E4F"/>
    <w:rsid w:val="00817F09"/>
    <w:rsid w:val="008205E2"/>
    <w:rsid w:val="00820DE8"/>
    <w:rsid w:val="00822879"/>
    <w:rsid w:val="0082615E"/>
    <w:rsid w:val="00826495"/>
    <w:rsid w:val="00826DD9"/>
    <w:rsid w:val="00826FB1"/>
    <w:rsid w:val="008277D9"/>
    <w:rsid w:val="00827924"/>
    <w:rsid w:val="00827C2E"/>
    <w:rsid w:val="00827DA8"/>
    <w:rsid w:val="00830F31"/>
    <w:rsid w:val="00831793"/>
    <w:rsid w:val="008320F0"/>
    <w:rsid w:val="00832FF9"/>
    <w:rsid w:val="00833108"/>
    <w:rsid w:val="00833CAC"/>
    <w:rsid w:val="00837CD9"/>
    <w:rsid w:val="00841B5F"/>
    <w:rsid w:val="00841C01"/>
    <w:rsid w:val="00841F2B"/>
    <w:rsid w:val="00842392"/>
    <w:rsid w:val="00844646"/>
    <w:rsid w:val="0084626C"/>
    <w:rsid w:val="00846B43"/>
    <w:rsid w:val="008473FF"/>
    <w:rsid w:val="0084788C"/>
    <w:rsid w:val="00850712"/>
    <w:rsid w:val="00853FAC"/>
    <w:rsid w:val="00854106"/>
    <w:rsid w:val="008546B1"/>
    <w:rsid w:val="00855D56"/>
    <w:rsid w:val="008566C7"/>
    <w:rsid w:val="008571E4"/>
    <w:rsid w:val="00857DDE"/>
    <w:rsid w:val="00860FEB"/>
    <w:rsid w:val="008647C3"/>
    <w:rsid w:val="008651B6"/>
    <w:rsid w:val="0086633B"/>
    <w:rsid w:val="0087005A"/>
    <w:rsid w:val="0087086E"/>
    <w:rsid w:val="00872002"/>
    <w:rsid w:val="00872487"/>
    <w:rsid w:val="008725E0"/>
    <w:rsid w:val="00873197"/>
    <w:rsid w:val="008735DE"/>
    <w:rsid w:val="008737F9"/>
    <w:rsid w:val="00874197"/>
    <w:rsid w:val="008751D2"/>
    <w:rsid w:val="00882BFE"/>
    <w:rsid w:val="00883E57"/>
    <w:rsid w:val="0088420F"/>
    <w:rsid w:val="00885648"/>
    <w:rsid w:val="00885C65"/>
    <w:rsid w:val="0088615A"/>
    <w:rsid w:val="0088674F"/>
    <w:rsid w:val="008905F7"/>
    <w:rsid w:val="00890B9E"/>
    <w:rsid w:val="00890EB8"/>
    <w:rsid w:val="00891728"/>
    <w:rsid w:val="0089271A"/>
    <w:rsid w:val="00892BC4"/>
    <w:rsid w:val="00895147"/>
    <w:rsid w:val="0089581B"/>
    <w:rsid w:val="00896142"/>
    <w:rsid w:val="00896505"/>
    <w:rsid w:val="00897142"/>
    <w:rsid w:val="008A0A9C"/>
    <w:rsid w:val="008A1181"/>
    <w:rsid w:val="008A178B"/>
    <w:rsid w:val="008A2411"/>
    <w:rsid w:val="008A3600"/>
    <w:rsid w:val="008A38A4"/>
    <w:rsid w:val="008A61CC"/>
    <w:rsid w:val="008A62E7"/>
    <w:rsid w:val="008A6931"/>
    <w:rsid w:val="008A7D41"/>
    <w:rsid w:val="008B0777"/>
    <w:rsid w:val="008B1015"/>
    <w:rsid w:val="008B269F"/>
    <w:rsid w:val="008B37C2"/>
    <w:rsid w:val="008B3C19"/>
    <w:rsid w:val="008B404D"/>
    <w:rsid w:val="008B539E"/>
    <w:rsid w:val="008C030D"/>
    <w:rsid w:val="008C085F"/>
    <w:rsid w:val="008C2E95"/>
    <w:rsid w:val="008C36C2"/>
    <w:rsid w:val="008C3904"/>
    <w:rsid w:val="008C4240"/>
    <w:rsid w:val="008C5A7E"/>
    <w:rsid w:val="008C5F20"/>
    <w:rsid w:val="008C61C6"/>
    <w:rsid w:val="008D02D0"/>
    <w:rsid w:val="008D1DB5"/>
    <w:rsid w:val="008D315A"/>
    <w:rsid w:val="008D58BC"/>
    <w:rsid w:val="008D6EBF"/>
    <w:rsid w:val="008D7C86"/>
    <w:rsid w:val="008E1D88"/>
    <w:rsid w:val="008E292F"/>
    <w:rsid w:val="008E3081"/>
    <w:rsid w:val="008E345E"/>
    <w:rsid w:val="008E3772"/>
    <w:rsid w:val="008E3820"/>
    <w:rsid w:val="008E3B9F"/>
    <w:rsid w:val="008E40D8"/>
    <w:rsid w:val="008E543C"/>
    <w:rsid w:val="008E5637"/>
    <w:rsid w:val="008E6D0D"/>
    <w:rsid w:val="008E7B0E"/>
    <w:rsid w:val="008F0086"/>
    <w:rsid w:val="008F06DE"/>
    <w:rsid w:val="008F1596"/>
    <w:rsid w:val="008F31F3"/>
    <w:rsid w:val="008F3B3C"/>
    <w:rsid w:val="008F43A9"/>
    <w:rsid w:val="008F59AF"/>
    <w:rsid w:val="008F5F17"/>
    <w:rsid w:val="008F6969"/>
    <w:rsid w:val="008F7428"/>
    <w:rsid w:val="00900A2E"/>
    <w:rsid w:val="00901120"/>
    <w:rsid w:val="00901F3B"/>
    <w:rsid w:val="00902CD3"/>
    <w:rsid w:val="0090336B"/>
    <w:rsid w:val="00904385"/>
    <w:rsid w:val="0090465A"/>
    <w:rsid w:val="00910BB5"/>
    <w:rsid w:val="00910D4D"/>
    <w:rsid w:val="00911B55"/>
    <w:rsid w:val="009158F9"/>
    <w:rsid w:val="009164C8"/>
    <w:rsid w:val="009170ED"/>
    <w:rsid w:val="00917304"/>
    <w:rsid w:val="0091791A"/>
    <w:rsid w:val="00917A0F"/>
    <w:rsid w:val="0092128F"/>
    <w:rsid w:val="00921857"/>
    <w:rsid w:val="00921965"/>
    <w:rsid w:val="00923221"/>
    <w:rsid w:val="009238A8"/>
    <w:rsid w:val="00923C48"/>
    <w:rsid w:val="00923DC9"/>
    <w:rsid w:val="0092443E"/>
    <w:rsid w:val="00927092"/>
    <w:rsid w:val="0093160A"/>
    <w:rsid w:val="00933ED7"/>
    <w:rsid w:val="009345A1"/>
    <w:rsid w:val="00934CA5"/>
    <w:rsid w:val="00934DD2"/>
    <w:rsid w:val="00934FE2"/>
    <w:rsid w:val="0093568E"/>
    <w:rsid w:val="00935B0E"/>
    <w:rsid w:val="009363FE"/>
    <w:rsid w:val="00940D35"/>
    <w:rsid w:val="0094107E"/>
    <w:rsid w:val="00941AAD"/>
    <w:rsid w:val="00941D8E"/>
    <w:rsid w:val="00941F0B"/>
    <w:rsid w:val="00942BEF"/>
    <w:rsid w:val="00943757"/>
    <w:rsid w:val="00943ABA"/>
    <w:rsid w:val="00944754"/>
    <w:rsid w:val="00944781"/>
    <w:rsid w:val="00944D35"/>
    <w:rsid w:val="00945CAB"/>
    <w:rsid w:val="00946F9B"/>
    <w:rsid w:val="00950D7E"/>
    <w:rsid w:val="0095161A"/>
    <w:rsid w:val="009517BB"/>
    <w:rsid w:val="00951A7B"/>
    <w:rsid w:val="00953408"/>
    <w:rsid w:val="00953E60"/>
    <w:rsid w:val="009609DF"/>
    <w:rsid w:val="00960FD6"/>
    <w:rsid w:val="00961E98"/>
    <w:rsid w:val="00964366"/>
    <w:rsid w:val="00965AD5"/>
    <w:rsid w:val="009715F9"/>
    <w:rsid w:val="00971C7A"/>
    <w:rsid w:val="00971C9B"/>
    <w:rsid w:val="009722E1"/>
    <w:rsid w:val="00972AC4"/>
    <w:rsid w:val="00972EA7"/>
    <w:rsid w:val="00976662"/>
    <w:rsid w:val="00977303"/>
    <w:rsid w:val="0097794C"/>
    <w:rsid w:val="00977D0F"/>
    <w:rsid w:val="00980700"/>
    <w:rsid w:val="009807E3"/>
    <w:rsid w:val="00980D86"/>
    <w:rsid w:val="00981A19"/>
    <w:rsid w:val="0098223D"/>
    <w:rsid w:val="00982367"/>
    <w:rsid w:val="00982D72"/>
    <w:rsid w:val="00982DB6"/>
    <w:rsid w:val="0098400F"/>
    <w:rsid w:val="00984347"/>
    <w:rsid w:val="0098440D"/>
    <w:rsid w:val="00984954"/>
    <w:rsid w:val="00984E01"/>
    <w:rsid w:val="00985019"/>
    <w:rsid w:val="00987C04"/>
    <w:rsid w:val="0099012D"/>
    <w:rsid w:val="0099097C"/>
    <w:rsid w:val="009913D3"/>
    <w:rsid w:val="00992AF0"/>
    <w:rsid w:val="009937B8"/>
    <w:rsid w:val="00994C5C"/>
    <w:rsid w:val="00995D1E"/>
    <w:rsid w:val="00997ED8"/>
    <w:rsid w:val="009A00CE"/>
    <w:rsid w:val="009A268A"/>
    <w:rsid w:val="009A2B9B"/>
    <w:rsid w:val="009A3327"/>
    <w:rsid w:val="009A4B6F"/>
    <w:rsid w:val="009B1CC2"/>
    <w:rsid w:val="009B247F"/>
    <w:rsid w:val="009B36B4"/>
    <w:rsid w:val="009B5C29"/>
    <w:rsid w:val="009B6A63"/>
    <w:rsid w:val="009B6ED5"/>
    <w:rsid w:val="009C1D8A"/>
    <w:rsid w:val="009C1E79"/>
    <w:rsid w:val="009C1EC4"/>
    <w:rsid w:val="009C27EF"/>
    <w:rsid w:val="009C2ABB"/>
    <w:rsid w:val="009C2EE8"/>
    <w:rsid w:val="009C556F"/>
    <w:rsid w:val="009C599F"/>
    <w:rsid w:val="009C5B1E"/>
    <w:rsid w:val="009C6236"/>
    <w:rsid w:val="009C6F6B"/>
    <w:rsid w:val="009D025B"/>
    <w:rsid w:val="009D0E3A"/>
    <w:rsid w:val="009D2267"/>
    <w:rsid w:val="009D3056"/>
    <w:rsid w:val="009D3616"/>
    <w:rsid w:val="009D3BF6"/>
    <w:rsid w:val="009D52E0"/>
    <w:rsid w:val="009D71F6"/>
    <w:rsid w:val="009E12F7"/>
    <w:rsid w:val="009E4063"/>
    <w:rsid w:val="009E4950"/>
    <w:rsid w:val="009E5520"/>
    <w:rsid w:val="009E57E8"/>
    <w:rsid w:val="009E600C"/>
    <w:rsid w:val="009E63DC"/>
    <w:rsid w:val="009F0FCC"/>
    <w:rsid w:val="009F1C8F"/>
    <w:rsid w:val="009F4F27"/>
    <w:rsid w:val="009F65FF"/>
    <w:rsid w:val="009F6863"/>
    <w:rsid w:val="009F70FA"/>
    <w:rsid w:val="009F77F7"/>
    <w:rsid w:val="009F7968"/>
    <w:rsid w:val="00A00015"/>
    <w:rsid w:val="00A0043D"/>
    <w:rsid w:val="00A004DA"/>
    <w:rsid w:val="00A027E1"/>
    <w:rsid w:val="00A02A1F"/>
    <w:rsid w:val="00A033ED"/>
    <w:rsid w:val="00A03C79"/>
    <w:rsid w:val="00A0669E"/>
    <w:rsid w:val="00A1023A"/>
    <w:rsid w:val="00A11FA0"/>
    <w:rsid w:val="00A1300D"/>
    <w:rsid w:val="00A1342F"/>
    <w:rsid w:val="00A13E8C"/>
    <w:rsid w:val="00A163D8"/>
    <w:rsid w:val="00A2042D"/>
    <w:rsid w:val="00A20D4C"/>
    <w:rsid w:val="00A21983"/>
    <w:rsid w:val="00A21B84"/>
    <w:rsid w:val="00A25711"/>
    <w:rsid w:val="00A268A5"/>
    <w:rsid w:val="00A27000"/>
    <w:rsid w:val="00A27187"/>
    <w:rsid w:val="00A315B0"/>
    <w:rsid w:val="00A31A7C"/>
    <w:rsid w:val="00A321B4"/>
    <w:rsid w:val="00A33A44"/>
    <w:rsid w:val="00A357A1"/>
    <w:rsid w:val="00A3608D"/>
    <w:rsid w:val="00A37751"/>
    <w:rsid w:val="00A40AFC"/>
    <w:rsid w:val="00A40C58"/>
    <w:rsid w:val="00A40DDD"/>
    <w:rsid w:val="00A416AC"/>
    <w:rsid w:val="00A435A6"/>
    <w:rsid w:val="00A45A7B"/>
    <w:rsid w:val="00A45E93"/>
    <w:rsid w:val="00A47937"/>
    <w:rsid w:val="00A53D42"/>
    <w:rsid w:val="00A545CF"/>
    <w:rsid w:val="00A55496"/>
    <w:rsid w:val="00A55A08"/>
    <w:rsid w:val="00A55D63"/>
    <w:rsid w:val="00A55EFC"/>
    <w:rsid w:val="00A56A69"/>
    <w:rsid w:val="00A60526"/>
    <w:rsid w:val="00A61107"/>
    <w:rsid w:val="00A617E8"/>
    <w:rsid w:val="00A6277D"/>
    <w:rsid w:val="00A62BC1"/>
    <w:rsid w:val="00A66F47"/>
    <w:rsid w:val="00A676B2"/>
    <w:rsid w:val="00A702C8"/>
    <w:rsid w:val="00A70577"/>
    <w:rsid w:val="00A746F0"/>
    <w:rsid w:val="00A74A25"/>
    <w:rsid w:val="00A7503E"/>
    <w:rsid w:val="00A7693E"/>
    <w:rsid w:val="00A76EAF"/>
    <w:rsid w:val="00A803E4"/>
    <w:rsid w:val="00A823E9"/>
    <w:rsid w:val="00A8304D"/>
    <w:rsid w:val="00A837DE"/>
    <w:rsid w:val="00A8436C"/>
    <w:rsid w:val="00A8561D"/>
    <w:rsid w:val="00A85927"/>
    <w:rsid w:val="00A87784"/>
    <w:rsid w:val="00A87E57"/>
    <w:rsid w:val="00A9056C"/>
    <w:rsid w:val="00A90BD5"/>
    <w:rsid w:val="00A90F51"/>
    <w:rsid w:val="00A91C23"/>
    <w:rsid w:val="00A94036"/>
    <w:rsid w:val="00A944C5"/>
    <w:rsid w:val="00A9474C"/>
    <w:rsid w:val="00A950C8"/>
    <w:rsid w:val="00A956D5"/>
    <w:rsid w:val="00A9697B"/>
    <w:rsid w:val="00A96EB1"/>
    <w:rsid w:val="00A97031"/>
    <w:rsid w:val="00AA0BDA"/>
    <w:rsid w:val="00AA0CAD"/>
    <w:rsid w:val="00AA1528"/>
    <w:rsid w:val="00AA1CA0"/>
    <w:rsid w:val="00AA244C"/>
    <w:rsid w:val="00AA4428"/>
    <w:rsid w:val="00AA59F8"/>
    <w:rsid w:val="00AA6924"/>
    <w:rsid w:val="00AA6F47"/>
    <w:rsid w:val="00AA6FCF"/>
    <w:rsid w:val="00AA7066"/>
    <w:rsid w:val="00AB0271"/>
    <w:rsid w:val="00AB0D47"/>
    <w:rsid w:val="00AB22AD"/>
    <w:rsid w:val="00AB2372"/>
    <w:rsid w:val="00AB3996"/>
    <w:rsid w:val="00AB40EB"/>
    <w:rsid w:val="00AB42F7"/>
    <w:rsid w:val="00AB6465"/>
    <w:rsid w:val="00AB7680"/>
    <w:rsid w:val="00AB7DD1"/>
    <w:rsid w:val="00AC2272"/>
    <w:rsid w:val="00AC28A5"/>
    <w:rsid w:val="00AC4907"/>
    <w:rsid w:val="00AC5BE3"/>
    <w:rsid w:val="00AC6481"/>
    <w:rsid w:val="00AC6C39"/>
    <w:rsid w:val="00AC766C"/>
    <w:rsid w:val="00AD028E"/>
    <w:rsid w:val="00AD0E73"/>
    <w:rsid w:val="00AD167E"/>
    <w:rsid w:val="00AD1871"/>
    <w:rsid w:val="00AD1C2F"/>
    <w:rsid w:val="00AD1C45"/>
    <w:rsid w:val="00AD3C7C"/>
    <w:rsid w:val="00AD62AF"/>
    <w:rsid w:val="00AD62C3"/>
    <w:rsid w:val="00AD6312"/>
    <w:rsid w:val="00AD6CAF"/>
    <w:rsid w:val="00AD72E1"/>
    <w:rsid w:val="00AE0488"/>
    <w:rsid w:val="00AE0EB0"/>
    <w:rsid w:val="00AE2943"/>
    <w:rsid w:val="00AE3577"/>
    <w:rsid w:val="00AE366C"/>
    <w:rsid w:val="00AE514D"/>
    <w:rsid w:val="00AE7326"/>
    <w:rsid w:val="00AE732B"/>
    <w:rsid w:val="00AE7FA9"/>
    <w:rsid w:val="00AF03B9"/>
    <w:rsid w:val="00AF22B6"/>
    <w:rsid w:val="00AF2A44"/>
    <w:rsid w:val="00AF4084"/>
    <w:rsid w:val="00AF4395"/>
    <w:rsid w:val="00AF46E6"/>
    <w:rsid w:val="00AF4C12"/>
    <w:rsid w:val="00AF5F9B"/>
    <w:rsid w:val="00AF7371"/>
    <w:rsid w:val="00AF7892"/>
    <w:rsid w:val="00B00407"/>
    <w:rsid w:val="00B014D7"/>
    <w:rsid w:val="00B01CA7"/>
    <w:rsid w:val="00B02129"/>
    <w:rsid w:val="00B03096"/>
    <w:rsid w:val="00B033C0"/>
    <w:rsid w:val="00B03A6E"/>
    <w:rsid w:val="00B04100"/>
    <w:rsid w:val="00B0554A"/>
    <w:rsid w:val="00B06BE2"/>
    <w:rsid w:val="00B07B2D"/>
    <w:rsid w:val="00B11D88"/>
    <w:rsid w:val="00B1266E"/>
    <w:rsid w:val="00B13567"/>
    <w:rsid w:val="00B1389E"/>
    <w:rsid w:val="00B1644B"/>
    <w:rsid w:val="00B171B9"/>
    <w:rsid w:val="00B21668"/>
    <w:rsid w:val="00B22046"/>
    <w:rsid w:val="00B220BA"/>
    <w:rsid w:val="00B241D9"/>
    <w:rsid w:val="00B274F1"/>
    <w:rsid w:val="00B309A6"/>
    <w:rsid w:val="00B31423"/>
    <w:rsid w:val="00B31698"/>
    <w:rsid w:val="00B33CD8"/>
    <w:rsid w:val="00B34A9A"/>
    <w:rsid w:val="00B363F6"/>
    <w:rsid w:val="00B36496"/>
    <w:rsid w:val="00B36B7E"/>
    <w:rsid w:val="00B37A45"/>
    <w:rsid w:val="00B40955"/>
    <w:rsid w:val="00B40A4F"/>
    <w:rsid w:val="00B40F32"/>
    <w:rsid w:val="00B4128D"/>
    <w:rsid w:val="00B416D2"/>
    <w:rsid w:val="00B42422"/>
    <w:rsid w:val="00B42595"/>
    <w:rsid w:val="00B426E1"/>
    <w:rsid w:val="00B431F3"/>
    <w:rsid w:val="00B50C90"/>
    <w:rsid w:val="00B51350"/>
    <w:rsid w:val="00B55D61"/>
    <w:rsid w:val="00B571E5"/>
    <w:rsid w:val="00B57976"/>
    <w:rsid w:val="00B60F61"/>
    <w:rsid w:val="00B61D14"/>
    <w:rsid w:val="00B62239"/>
    <w:rsid w:val="00B62546"/>
    <w:rsid w:val="00B629B9"/>
    <w:rsid w:val="00B633E2"/>
    <w:rsid w:val="00B63661"/>
    <w:rsid w:val="00B63EE1"/>
    <w:rsid w:val="00B64613"/>
    <w:rsid w:val="00B64906"/>
    <w:rsid w:val="00B64E03"/>
    <w:rsid w:val="00B652D0"/>
    <w:rsid w:val="00B66BBA"/>
    <w:rsid w:val="00B66C21"/>
    <w:rsid w:val="00B67163"/>
    <w:rsid w:val="00B7344B"/>
    <w:rsid w:val="00B736D3"/>
    <w:rsid w:val="00B74076"/>
    <w:rsid w:val="00B7448A"/>
    <w:rsid w:val="00B75256"/>
    <w:rsid w:val="00B75755"/>
    <w:rsid w:val="00B75CC5"/>
    <w:rsid w:val="00B76DC7"/>
    <w:rsid w:val="00B81AAC"/>
    <w:rsid w:val="00B82286"/>
    <w:rsid w:val="00B825C9"/>
    <w:rsid w:val="00B82A93"/>
    <w:rsid w:val="00B834F8"/>
    <w:rsid w:val="00B842EA"/>
    <w:rsid w:val="00B84CD4"/>
    <w:rsid w:val="00B90F55"/>
    <w:rsid w:val="00B91039"/>
    <w:rsid w:val="00B91505"/>
    <w:rsid w:val="00B92017"/>
    <w:rsid w:val="00B9251B"/>
    <w:rsid w:val="00B92EF4"/>
    <w:rsid w:val="00B93574"/>
    <w:rsid w:val="00B93B30"/>
    <w:rsid w:val="00B943C8"/>
    <w:rsid w:val="00B9697D"/>
    <w:rsid w:val="00BA0C55"/>
    <w:rsid w:val="00BA1181"/>
    <w:rsid w:val="00BA13B9"/>
    <w:rsid w:val="00BA24A3"/>
    <w:rsid w:val="00BA39D7"/>
    <w:rsid w:val="00BA48A5"/>
    <w:rsid w:val="00BA4D75"/>
    <w:rsid w:val="00BA5304"/>
    <w:rsid w:val="00BA6219"/>
    <w:rsid w:val="00BA73F0"/>
    <w:rsid w:val="00BB07BE"/>
    <w:rsid w:val="00BB46D4"/>
    <w:rsid w:val="00BB73B7"/>
    <w:rsid w:val="00BB79F1"/>
    <w:rsid w:val="00BC0431"/>
    <w:rsid w:val="00BC08E1"/>
    <w:rsid w:val="00BC2079"/>
    <w:rsid w:val="00BC28D2"/>
    <w:rsid w:val="00BC54B4"/>
    <w:rsid w:val="00BD02E0"/>
    <w:rsid w:val="00BD190F"/>
    <w:rsid w:val="00BD2C7C"/>
    <w:rsid w:val="00BD4D02"/>
    <w:rsid w:val="00BD6E3E"/>
    <w:rsid w:val="00BD727A"/>
    <w:rsid w:val="00BD72C0"/>
    <w:rsid w:val="00BD76A7"/>
    <w:rsid w:val="00BD78E8"/>
    <w:rsid w:val="00BE07F1"/>
    <w:rsid w:val="00BE1125"/>
    <w:rsid w:val="00BE3AC0"/>
    <w:rsid w:val="00BE44AB"/>
    <w:rsid w:val="00BE54C2"/>
    <w:rsid w:val="00BE5B80"/>
    <w:rsid w:val="00BE63A6"/>
    <w:rsid w:val="00BF104A"/>
    <w:rsid w:val="00BF3080"/>
    <w:rsid w:val="00BF36D2"/>
    <w:rsid w:val="00BF3726"/>
    <w:rsid w:val="00BF6D13"/>
    <w:rsid w:val="00BF79DC"/>
    <w:rsid w:val="00C00B0B"/>
    <w:rsid w:val="00C039B1"/>
    <w:rsid w:val="00C04980"/>
    <w:rsid w:val="00C06D2C"/>
    <w:rsid w:val="00C06EF1"/>
    <w:rsid w:val="00C071F5"/>
    <w:rsid w:val="00C07AB5"/>
    <w:rsid w:val="00C105AC"/>
    <w:rsid w:val="00C10C31"/>
    <w:rsid w:val="00C11542"/>
    <w:rsid w:val="00C1179C"/>
    <w:rsid w:val="00C120E5"/>
    <w:rsid w:val="00C12BEB"/>
    <w:rsid w:val="00C131A9"/>
    <w:rsid w:val="00C14694"/>
    <w:rsid w:val="00C147E1"/>
    <w:rsid w:val="00C14F41"/>
    <w:rsid w:val="00C14F54"/>
    <w:rsid w:val="00C15E93"/>
    <w:rsid w:val="00C17124"/>
    <w:rsid w:val="00C20194"/>
    <w:rsid w:val="00C20D7B"/>
    <w:rsid w:val="00C21D71"/>
    <w:rsid w:val="00C21DA9"/>
    <w:rsid w:val="00C23DBC"/>
    <w:rsid w:val="00C244F9"/>
    <w:rsid w:val="00C25FF1"/>
    <w:rsid w:val="00C26003"/>
    <w:rsid w:val="00C2618C"/>
    <w:rsid w:val="00C26BE2"/>
    <w:rsid w:val="00C30E08"/>
    <w:rsid w:val="00C32C9F"/>
    <w:rsid w:val="00C3402A"/>
    <w:rsid w:val="00C348B4"/>
    <w:rsid w:val="00C348F4"/>
    <w:rsid w:val="00C35BEF"/>
    <w:rsid w:val="00C40306"/>
    <w:rsid w:val="00C409CA"/>
    <w:rsid w:val="00C41067"/>
    <w:rsid w:val="00C42374"/>
    <w:rsid w:val="00C424BA"/>
    <w:rsid w:val="00C43799"/>
    <w:rsid w:val="00C44C2D"/>
    <w:rsid w:val="00C45107"/>
    <w:rsid w:val="00C452C9"/>
    <w:rsid w:val="00C458F4"/>
    <w:rsid w:val="00C46588"/>
    <w:rsid w:val="00C46C7F"/>
    <w:rsid w:val="00C510DA"/>
    <w:rsid w:val="00C51509"/>
    <w:rsid w:val="00C51B0D"/>
    <w:rsid w:val="00C5343B"/>
    <w:rsid w:val="00C53561"/>
    <w:rsid w:val="00C53980"/>
    <w:rsid w:val="00C5564D"/>
    <w:rsid w:val="00C56B08"/>
    <w:rsid w:val="00C605AB"/>
    <w:rsid w:val="00C60F54"/>
    <w:rsid w:val="00C6108C"/>
    <w:rsid w:val="00C615F5"/>
    <w:rsid w:val="00C625A8"/>
    <w:rsid w:val="00C62675"/>
    <w:rsid w:val="00C6379F"/>
    <w:rsid w:val="00C644F4"/>
    <w:rsid w:val="00C65F16"/>
    <w:rsid w:val="00C661F3"/>
    <w:rsid w:val="00C664D9"/>
    <w:rsid w:val="00C66F2E"/>
    <w:rsid w:val="00C67C00"/>
    <w:rsid w:val="00C725BE"/>
    <w:rsid w:val="00C75B83"/>
    <w:rsid w:val="00C76C6E"/>
    <w:rsid w:val="00C77247"/>
    <w:rsid w:val="00C7750F"/>
    <w:rsid w:val="00C77FA8"/>
    <w:rsid w:val="00C803E7"/>
    <w:rsid w:val="00C81EE9"/>
    <w:rsid w:val="00C85840"/>
    <w:rsid w:val="00C85879"/>
    <w:rsid w:val="00C86068"/>
    <w:rsid w:val="00C865BA"/>
    <w:rsid w:val="00C86B89"/>
    <w:rsid w:val="00C8775E"/>
    <w:rsid w:val="00C87E6E"/>
    <w:rsid w:val="00C95E80"/>
    <w:rsid w:val="00C96364"/>
    <w:rsid w:val="00C96483"/>
    <w:rsid w:val="00C97937"/>
    <w:rsid w:val="00C97D44"/>
    <w:rsid w:val="00C97D5B"/>
    <w:rsid w:val="00CA0E27"/>
    <w:rsid w:val="00CA192A"/>
    <w:rsid w:val="00CA4753"/>
    <w:rsid w:val="00CA5AFD"/>
    <w:rsid w:val="00CA68EA"/>
    <w:rsid w:val="00CA73AC"/>
    <w:rsid w:val="00CA7C08"/>
    <w:rsid w:val="00CA7D26"/>
    <w:rsid w:val="00CA7DA3"/>
    <w:rsid w:val="00CB175A"/>
    <w:rsid w:val="00CB1F09"/>
    <w:rsid w:val="00CB36E2"/>
    <w:rsid w:val="00CB377A"/>
    <w:rsid w:val="00CB3D49"/>
    <w:rsid w:val="00CB427D"/>
    <w:rsid w:val="00CB54A2"/>
    <w:rsid w:val="00CB5AA8"/>
    <w:rsid w:val="00CB5B99"/>
    <w:rsid w:val="00CB5DFF"/>
    <w:rsid w:val="00CB6A08"/>
    <w:rsid w:val="00CC1367"/>
    <w:rsid w:val="00CC203A"/>
    <w:rsid w:val="00CC38F9"/>
    <w:rsid w:val="00CC5560"/>
    <w:rsid w:val="00CC5BF0"/>
    <w:rsid w:val="00CC66D8"/>
    <w:rsid w:val="00CC7A7B"/>
    <w:rsid w:val="00CD05D4"/>
    <w:rsid w:val="00CD0ABB"/>
    <w:rsid w:val="00CD2484"/>
    <w:rsid w:val="00CD3E78"/>
    <w:rsid w:val="00CD44AF"/>
    <w:rsid w:val="00CD46DB"/>
    <w:rsid w:val="00CD4A3D"/>
    <w:rsid w:val="00CD4A9D"/>
    <w:rsid w:val="00CD6743"/>
    <w:rsid w:val="00CD688B"/>
    <w:rsid w:val="00CE11A2"/>
    <w:rsid w:val="00CE24A7"/>
    <w:rsid w:val="00CE4FE6"/>
    <w:rsid w:val="00CE5DB7"/>
    <w:rsid w:val="00CE65A2"/>
    <w:rsid w:val="00CE6BD6"/>
    <w:rsid w:val="00CE719A"/>
    <w:rsid w:val="00CF055E"/>
    <w:rsid w:val="00CF4673"/>
    <w:rsid w:val="00CF616E"/>
    <w:rsid w:val="00CF6B0E"/>
    <w:rsid w:val="00CF7424"/>
    <w:rsid w:val="00D00477"/>
    <w:rsid w:val="00D041F3"/>
    <w:rsid w:val="00D04E03"/>
    <w:rsid w:val="00D0672D"/>
    <w:rsid w:val="00D067B1"/>
    <w:rsid w:val="00D1044E"/>
    <w:rsid w:val="00D10952"/>
    <w:rsid w:val="00D115BA"/>
    <w:rsid w:val="00D12F25"/>
    <w:rsid w:val="00D13715"/>
    <w:rsid w:val="00D13E80"/>
    <w:rsid w:val="00D153A0"/>
    <w:rsid w:val="00D1554B"/>
    <w:rsid w:val="00D15678"/>
    <w:rsid w:val="00D159C6"/>
    <w:rsid w:val="00D15DCC"/>
    <w:rsid w:val="00D1646D"/>
    <w:rsid w:val="00D1709D"/>
    <w:rsid w:val="00D20372"/>
    <w:rsid w:val="00D20677"/>
    <w:rsid w:val="00D23120"/>
    <w:rsid w:val="00D234A6"/>
    <w:rsid w:val="00D24B05"/>
    <w:rsid w:val="00D24B19"/>
    <w:rsid w:val="00D256D1"/>
    <w:rsid w:val="00D25D08"/>
    <w:rsid w:val="00D26804"/>
    <w:rsid w:val="00D3128F"/>
    <w:rsid w:val="00D329D4"/>
    <w:rsid w:val="00D33F49"/>
    <w:rsid w:val="00D33FEF"/>
    <w:rsid w:val="00D34FF6"/>
    <w:rsid w:val="00D35900"/>
    <w:rsid w:val="00D3609A"/>
    <w:rsid w:val="00D36296"/>
    <w:rsid w:val="00D36417"/>
    <w:rsid w:val="00D413F7"/>
    <w:rsid w:val="00D418B6"/>
    <w:rsid w:val="00D425BC"/>
    <w:rsid w:val="00D43655"/>
    <w:rsid w:val="00D45A75"/>
    <w:rsid w:val="00D46032"/>
    <w:rsid w:val="00D46F24"/>
    <w:rsid w:val="00D472F0"/>
    <w:rsid w:val="00D47963"/>
    <w:rsid w:val="00D5026C"/>
    <w:rsid w:val="00D50807"/>
    <w:rsid w:val="00D510DE"/>
    <w:rsid w:val="00D5260A"/>
    <w:rsid w:val="00D56089"/>
    <w:rsid w:val="00D570FB"/>
    <w:rsid w:val="00D6004D"/>
    <w:rsid w:val="00D60A65"/>
    <w:rsid w:val="00D60B7B"/>
    <w:rsid w:val="00D60E2E"/>
    <w:rsid w:val="00D6200C"/>
    <w:rsid w:val="00D6267C"/>
    <w:rsid w:val="00D62D8D"/>
    <w:rsid w:val="00D63687"/>
    <w:rsid w:val="00D664C7"/>
    <w:rsid w:val="00D677AE"/>
    <w:rsid w:val="00D717FE"/>
    <w:rsid w:val="00D7455F"/>
    <w:rsid w:val="00D761F2"/>
    <w:rsid w:val="00D76E90"/>
    <w:rsid w:val="00D771BF"/>
    <w:rsid w:val="00D7728D"/>
    <w:rsid w:val="00D77575"/>
    <w:rsid w:val="00D77854"/>
    <w:rsid w:val="00D77A7C"/>
    <w:rsid w:val="00D802ED"/>
    <w:rsid w:val="00D80A45"/>
    <w:rsid w:val="00D80CD5"/>
    <w:rsid w:val="00D8315F"/>
    <w:rsid w:val="00D84071"/>
    <w:rsid w:val="00D84914"/>
    <w:rsid w:val="00D84964"/>
    <w:rsid w:val="00D858DC"/>
    <w:rsid w:val="00D86197"/>
    <w:rsid w:val="00D876C6"/>
    <w:rsid w:val="00D9196F"/>
    <w:rsid w:val="00D91BFB"/>
    <w:rsid w:val="00D92E1A"/>
    <w:rsid w:val="00D92EF6"/>
    <w:rsid w:val="00D93CB5"/>
    <w:rsid w:val="00D94A7F"/>
    <w:rsid w:val="00D9590A"/>
    <w:rsid w:val="00D95D38"/>
    <w:rsid w:val="00D9616A"/>
    <w:rsid w:val="00D96770"/>
    <w:rsid w:val="00DA0942"/>
    <w:rsid w:val="00DA0D14"/>
    <w:rsid w:val="00DA1BA6"/>
    <w:rsid w:val="00DA353C"/>
    <w:rsid w:val="00DA362B"/>
    <w:rsid w:val="00DA3DAC"/>
    <w:rsid w:val="00DA43BE"/>
    <w:rsid w:val="00DA7297"/>
    <w:rsid w:val="00DA7909"/>
    <w:rsid w:val="00DB054F"/>
    <w:rsid w:val="00DB0AB0"/>
    <w:rsid w:val="00DB20DA"/>
    <w:rsid w:val="00DB2BB6"/>
    <w:rsid w:val="00DB3359"/>
    <w:rsid w:val="00DB3419"/>
    <w:rsid w:val="00DB479E"/>
    <w:rsid w:val="00DB64FF"/>
    <w:rsid w:val="00DC041F"/>
    <w:rsid w:val="00DC104D"/>
    <w:rsid w:val="00DC1427"/>
    <w:rsid w:val="00DC257D"/>
    <w:rsid w:val="00DC54C6"/>
    <w:rsid w:val="00DC6A70"/>
    <w:rsid w:val="00DD000C"/>
    <w:rsid w:val="00DD079A"/>
    <w:rsid w:val="00DD2039"/>
    <w:rsid w:val="00DD2B62"/>
    <w:rsid w:val="00DD516D"/>
    <w:rsid w:val="00DD5DB5"/>
    <w:rsid w:val="00DD6256"/>
    <w:rsid w:val="00DD6961"/>
    <w:rsid w:val="00DD73B4"/>
    <w:rsid w:val="00DD7FAC"/>
    <w:rsid w:val="00DE3442"/>
    <w:rsid w:val="00DE37F1"/>
    <w:rsid w:val="00DE5B5A"/>
    <w:rsid w:val="00DE5EB5"/>
    <w:rsid w:val="00DE69FD"/>
    <w:rsid w:val="00DE6A80"/>
    <w:rsid w:val="00DE6B0D"/>
    <w:rsid w:val="00DE6D22"/>
    <w:rsid w:val="00DE7861"/>
    <w:rsid w:val="00DF0ABB"/>
    <w:rsid w:val="00DF11EC"/>
    <w:rsid w:val="00DF36B4"/>
    <w:rsid w:val="00DF50B3"/>
    <w:rsid w:val="00DF5252"/>
    <w:rsid w:val="00DF5A7F"/>
    <w:rsid w:val="00DF72F0"/>
    <w:rsid w:val="00E00096"/>
    <w:rsid w:val="00E0030C"/>
    <w:rsid w:val="00E0068B"/>
    <w:rsid w:val="00E007FF"/>
    <w:rsid w:val="00E00F5C"/>
    <w:rsid w:val="00E00FD5"/>
    <w:rsid w:val="00E0156A"/>
    <w:rsid w:val="00E01C2B"/>
    <w:rsid w:val="00E01ED9"/>
    <w:rsid w:val="00E04386"/>
    <w:rsid w:val="00E0451A"/>
    <w:rsid w:val="00E05CB6"/>
    <w:rsid w:val="00E07239"/>
    <w:rsid w:val="00E0759F"/>
    <w:rsid w:val="00E10457"/>
    <w:rsid w:val="00E11E94"/>
    <w:rsid w:val="00E122F4"/>
    <w:rsid w:val="00E12677"/>
    <w:rsid w:val="00E1383A"/>
    <w:rsid w:val="00E16A51"/>
    <w:rsid w:val="00E16B3B"/>
    <w:rsid w:val="00E16EC0"/>
    <w:rsid w:val="00E16EE4"/>
    <w:rsid w:val="00E16F29"/>
    <w:rsid w:val="00E1722D"/>
    <w:rsid w:val="00E2030C"/>
    <w:rsid w:val="00E20C99"/>
    <w:rsid w:val="00E2182D"/>
    <w:rsid w:val="00E21C8A"/>
    <w:rsid w:val="00E22600"/>
    <w:rsid w:val="00E2414C"/>
    <w:rsid w:val="00E247EB"/>
    <w:rsid w:val="00E25523"/>
    <w:rsid w:val="00E25BDF"/>
    <w:rsid w:val="00E25C4A"/>
    <w:rsid w:val="00E2614C"/>
    <w:rsid w:val="00E27DF9"/>
    <w:rsid w:val="00E3052F"/>
    <w:rsid w:val="00E30E9E"/>
    <w:rsid w:val="00E31763"/>
    <w:rsid w:val="00E35684"/>
    <w:rsid w:val="00E40283"/>
    <w:rsid w:val="00E42D53"/>
    <w:rsid w:val="00E43EDB"/>
    <w:rsid w:val="00E43F66"/>
    <w:rsid w:val="00E449DD"/>
    <w:rsid w:val="00E5003E"/>
    <w:rsid w:val="00E50632"/>
    <w:rsid w:val="00E5173C"/>
    <w:rsid w:val="00E51E20"/>
    <w:rsid w:val="00E51E45"/>
    <w:rsid w:val="00E524AA"/>
    <w:rsid w:val="00E5289F"/>
    <w:rsid w:val="00E52A5F"/>
    <w:rsid w:val="00E53C77"/>
    <w:rsid w:val="00E54505"/>
    <w:rsid w:val="00E54BBC"/>
    <w:rsid w:val="00E55245"/>
    <w:rsid w:val="00E55EB4"/>
    <w:rsid w:val="00E55EEC"/>
    <w:rsid w:val="00E562C4"/>
    <w:rsid w:val="00E57340"/>
    <w:rsid w:val="00E576D8"/>
    <w:rsid w:val="00E60C31"/>
    <w:rsid w:val="00E60FE9"/>
    <w:rsid w:val="00E61211"/>
    <w:rsid w:val="00E61831"/>
    <w:rsid w:val="00E63719"/>
    <w:rsid w:val="00E648F0"/>
    <w:rsid w:val="00E6490B"/>
    <w:rsid w:val="00E64B17"/>
    <w:rsid w:val="00E66933"/>
    <w:rsid w:val="00E66EFF"/>
    <w:rsid w:val="00E673BF"/>
    <w:rsid w:val="00E675E1"/>
    <w:rsid w:val="00E7121A"/>
    <w:rsid w:val="00E72E33"/>
    <w:rsid w:val="00E7378C"/>
    <w:rsid w:val="00E76826"/>
    <w:rsid w:val="00E769E5"/>
    <w:rsid w:val="00E76C55"/>
    <w:rsid w:val="00E76F01"/>
    <w:rsid w:val="00E77AD7"/>
    <w:rsid w:val="00E80360"/>
    <w:rsid w:val="00E80924"/>
    <w:rsid w:val="00E80DD9"/>
    <w:rsid w:val="00E815EC"/>
    <w:rsid w:val="00E81C73"/>
    <w:rsid w:val="00E82224"/>
    <w:rsid w:val="00E83415"/>
    <w:rsid w:val="00E83431"/>
    <w:rsid w:val="00E83A8B"/>
    <w:rsid w:val="00E83FB0"/>
    <w:rsid w:val="00E83FB4"/>
    <w:rsid w:val="00E84A2A"/>
    <w:rsid w:val="00E8513F"/>
    <w:rsid w:val="00E851E5"/>
    <w:rsid w:val="00E85CC9"/>
    <w:rsid w:val="00E86CB4"/>
    <w:rsid w:val="00E876B3"/>
    <w:rsid w:val="00E90A87"/>
    <w:rsid w:val="00E91055"/>
    <w:rsid w:val="00E92586"/>
    <w:rsid w:val="00E960E5"/>
    <w:rsid w:val="00E979A0"/>
    <w:rsid w:val="00E97D00"/>
    <w:rsid w:val="00EA1219"/>
    <w:rsid w:val="00EA26DE"/>
    <w:rsid w:val="00EA292E"/>
    <w:rsid w:val="00EA433A"/>
    <w:rsid w:val="00EA4961"/>
    <w:rsid w:val="00EA527E"/>
    <w:rsid w:val="00EA5D02"/>
    <w:rsid w:val="00EA7353"/>
    <w:rsid w:val="00EA7638"/>
    <w:rsid w:val="00EB0523"/>
    <w:rsid w:val="00EB081C"/>
    <w:rsid w:val="00EB0C98"/>
    <w:rsid w:val="00EB4084"/>
    <w:rsid w:val="00EB4143"/>
    <w:rsid w:val="00EB4BAC"/>
    <w:rsid w:val="00EB54EE"/>
    <w:rsid w:val="00EB6FDC"/>
    <w:rsid w:val="00EB71AB"/>
    <w:rsid w:val="00EC0622"/>
    <w:rsid w:val="00EC1E8B"/>
    <w:rsid w:val="00EC2384"/>
    <w:rsid w:val="00EC3951"/>
    <w:rsid w:val="00EC3D4C"/>
    <w:rsid w:val="00EC3FED"/>
    <w:rsid w:val="00EC4F53"/>
    <w:rsid w:val="00EC64F4"/>
    <w:rsid w:val="00EC78B6"/>
    <w:rsid w:val="00ED0524"/>
    <w:rsid w:val="00ED1BFB"/>
    <w:rsid w:val="00ED1FD9"/>
    <w:rsid w:val="00ED25DD"/>
    <w:rsid w:val="00ED285D"/>
    <w:rsid w:val="00ED2BE5"/>
    <w:rsid w:val="00ED2BF7"/>
    <w:rsid w:val="00ED47A2"/>
    <w:rsid w:val="00ED4A4F"/>
    <w:rsid w:val="00ED5747"/>
    <w:rsid w:val="00ED5764"/>
    <w:rsid w:val="00ED65F7"/>
    <w:rsid w:val="00ED6C67"/>
    <w:rsid w:val="00ED7077"/>
    <w:rsid w:val="00EE1067"/>
    <w:rsid w:val="00EE1441"/>
    <w:rsid w:val="00EE1C83"/>
    <w:rsid w:val="00EE2059"/>
    <w:rsid w:val="00EE2D9D"/>
    <w:rsid w:val="00EE3708"/>
    <w:rsid w:val="00EE41BB"/>
    <w:rsid w:val="00EE458F"/>
    <w:rsid w:val="00EE7545"/>
    <w:rsid w:val="00EE7880"/>
    <w:rsid w:val="00EE7D20"/>
    <w:rsid w:val="00EE7E0D"/>
    <w:rsid w:val="00EE7F0E"/>
    <w:rsid w:val="00EF119C"/>
    <w:rsid w:val="00EF2D5E"/>
    <w:rsid w:val="00EF2FC5"/>
    <w:rsid w:val="00EF3036"/>
    <w:rsid w:val="00EF46FF"/>
    <w:rsid w:val="00EF486B"/>
    <w:rsid w:val="00EF6027"/>
    <w:rsid w:val="00EF6729"/>
    <w:rsid w:val="00EF6771"/>
    <w:rsid w:val="00EF678A"/>
    <w:rsid w:val="00EF6D68"/>
    <w:rsid w:val="00EF7C0C"/>
    <w:rsid w:val="00F006D6"/>
    <w:rsid w:val="00F01A89"/>
    <w:rsid w:val="00F01B50"/>
    <w:rsid w:val="00F0244A"/>
    <w:rsid w:val="00F02A14"/>
    <w:rsid w:val="00F04A7E"/>
    <w:rsid w:val="00F050D8"/>
    <w:rsid w:val="00F05E66"/>
    <w:rsid w:val="00F07584"/>
    <w:rsid w:val="00F07F02"/>
    <w:rsid w:val="00F10C7F"/>
    <w:rsid w:val="00F1169A"/>
    <w:rsid w:val="00F1264A"/>
    <w:rsid w:val="00F1332A"/>
    <w:rsid w:val="00F147EE"/>
    <w:rsid w:val="00F1678C"/>
    <w:rsid w:val="00F17637"/>
    <w:rsid w:val="00F210F7"/>
    <w:rsid w:val="00F21ACC"/>
    <w:rsid w:val="00F225FF"/>
    <w:rsid w:val="00F22B93"/>
    <w:rsid w:val="00F23A62"/>
    <w:rsid w:val="00F23DA7"/>
    <w:rsid w:val="00F25319"/>
    <w:rsid w:val="00F25740"/>
    <w:rsid w:val="00F25C47"/>
    <w:rsid w:val="00F26604"/>
    <w:rsid w:val="00F26C6C"/>
    <w:rsid w:val="00F26E88"/>
    <w:rsid w:val="00F31CD4"/>
    <w:rsid w:val="00F32B31"/>
    <w:rsid w:val="00F34635"/>
    <w:rsid w:val="00F35678"/>
    <w:rsid w:val="00F40642"/>
    <w:rsid w:val="00F40845"/>
    <w:rsid w:val="00F41C9D"/>
    <w:rsid w:val="00F423F7"/>
    <w:rsid w:val="00F42D7E"/>
    <w:rsid w:val="00F4312C"/>
    <w:rsid w:val="00F43CE6"/>
    <w:rsid w:val="00F43E04"/>
    <w:rsid w:val="00F46A5A"/>
    <w:rsid w:val="00F475A2"/>
    <w:rsid w:val="00F47D7F"/>
    <w:rsid w:val="00F47F0B"/>
    <w:rsid w:val="00F51EA7"/>
    <w:rsid w:val="00F51FF3"/>
    <w:rsid w:val="00F53733"/>
    <w:rsid w:val="00F54119"/>
    <w:rsid w:val="00F55366"/>
    <w:rsid w:val="00F55902"/>
    <w:rsid w:val="00F565F2"/>
    <w:rsid w:val="00F56D72"/>
    <w:rsid w:val="00F57F83"/>
    <w:rsid w:val="00F60289"/>
    <w:rsid w:val="00F6040C"/>
    <w:rsid w:val="00F60722"/>
    <w:rsid w:val="00F6210C"/>
    <w:rsid w:val="00F63238"/>
    <w:rsid w:val="00F63989"/>
    <w:rsid w:val="00F63AC7"/>
    <w:rsid w:val="00F63B85"/>
    <w:rsid w:val="00F63DCD"/>
    <w:rsid w:val="00F6528C"/>
    <w:rsid w:val="00F668B9"/>
    <w:rsid w:val="00F7122E"/>
    <w:rsid w:val="00F716CE"/>
    <w:rsid w:val="00F72ACC"/>
    <w:rsid w:val="00F72FB1"/>
    <w:rsid w:val="00F7323B"/>
    <w:rsid w:val="00F732C8"/>
    <w:rsid w:val="00F73C03"/>
    <w:rsid w:val="00F73DB3"/>
    <w:rsid w:val="00F74DDA"/>
    <w:rsid w:val="00F7552D"/>
    <w:rsid w:val="00F75FEE"/>
    <w:rsid w:val="00F76147"/>
    <w:rsid w:val="00F77545"/>
    <w:rsid w:val="00F845A1"/>
    <w:rsid w:val="00F84753"/>
    <w:rsid w:val="00F84FEE"/>
    <w:rsid w:val="00F87636"/>
    <w:rsid w:val="00F902F3"/>
    <w:rsid w:val="00F905FA"/>
    <w:rsid w:val="00F90960"/>
    <w:rsid w:val="00F90D22"/>
    <w:rsid w:val="00F91857"/>
    <w:rsid w:val="00F91F98"/>
    <w:rsid w:val="00F91FFC"/>
    <w:rsid w:val="00F923E8"/>
    <w:rsid w:val="00F94712"/>
    <w:rsid w:val="00F95645"/>
    <w:rsid w:val="00F97C9D"/>
    <w:rsid w:val="00FA07D6"/>
    <w:rsid w:val="00FA3882"/>
    <w:rsid w:val="00FA47A7"/>
    <w:rsid w:val="00FA5090"/>
    <w:rsid w:val="00FA576E"/>
    <w:rsid w:val="00FA66DC"/>
    <w:rsid w:val="00FA78F9"/>
    <w:rsid w:val="00FB0BA3"/>
    <w:rsid w:val="00FB1034"/>
    <w:rsid w:val="00FB172B"/>
    <w:rsid w:val="00FB190E"/>
    <w:rsid w:val="00FB2E62"/>
    <w:rsid w:val="00FB3398"/>
    <w:rsid w:val="00FB37A6"/>
    <w:rsid w:val="00FB559A"/>
    <w:rsid w:val="00FB5763"/>
    <w:rsid w:val="00FB59A9"/>
    <w:rsid w:val="00FB5B62"/>
    <w:rsid w:val="00FB6251"/>
    <w:rsid w:val="00FB671C"/>
    <w:rsid w:val="00FC126A"/>
    <w:rsid w:val="00FC1A7B"/>
    <w:rsid w:val="00FC34BE"/>
    <w:rsid w:val="00FC5EA8"/>
    <w:rsid w:val="00FC6B2D"/>
    <w:rsid w:val="00FC75C1"/>
    <w:rsid w:val="00FC7693"/>
    <w:rsid w:val="00FD0C7F"/>
    <w:rsid w:val="00FD10B5"/>
    <w:rsid w:val="00FD2674"/>
    <w:rsid w:val="00FD313C"/>
    <w:rsid w:val="00FD31F0"/>
    <w:rsid w:val="00FD32CC"/>
    <w:rsid w:val="00FD4150"/>
    <w:rsid w:val="00FD5605"/>
    <w:rsid w:val="00FD602B"/>
    <w:rsid w:val="00FD76A8"/>
    <w:rsid w:val="00FD76C2"/>
    <w:rsid w:val="00FD78B3"/>
    <w:rsid w:val="00FE195D"/>
    <w:rsid w:val="00FE3DA4"/>
    <w:rsid w:val="00FE4466"/>
    <w:rsid w:val="00FE4714"/>
    <w:rsid w:val="00FE4B99"/>
    <w:rsid w:val="00FE6744"/>
    <w:rsid w:val="00FE69E6"/>
    <w:rsid w:val="00FE6E3A"/>
    <w:rsid w:val="00FE7736"/>
    <w:rsid w:val="00FF10BA"/>
    <w:rsid w:val="00FF169B"/>
    <w:rsid w:val="00FF1C01"/>
    <w:rsid w:val="00FF20D6"/>
    <w:rsid w:val="00FF38DE"/>
    <w:rsid w:val="00FF635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78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763"/>
    <w:pPr>
      <w:ind w:left="720"/>
      <w:contextualSpacing/>
    </w:pPr>
  </w:style>
  <w:style w:type="paragraph" w:styleId="Header">
    <w:name w:val="header"/>
    <w:basedOn w:val="Normal"/>
    <w:link w:val="HeaderChar"/>
    <w:uiPriority w:val="99"/>
    <w:unhideWhenUsed/>
    <w:rsid w:val="002137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370E"/>
  </w:style>
  <w:style w:type="paragraph" w:styleId="Footer">
    <w:name w:val="footer"/>
    <w:basedOn w:val="Normal"/>
    <w:link w:val="FooterChar"/>
    <w:uiPriority w:val="99"/>
    <w:unhideWhenUsed/>
    <w:rsid w:val="002137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370E"/>
  </w:style>
  <w:style w:type="paragraph" w:styleId="NormalWeb">
    <w:name w:val="Normal (Web)"/>
    <w:basedOn w:val="Normal"/>
    <w:uiPriority w:val="99"/>
    <w:unhideWhenUsed/>
    <w:rsid w:val="00642941"/>
    <w:pPr>
      <w:spacing w:before="100" w:beforeAutospacing="1" w:after="100" w:afterAutospacing="1" w:line="240" w:lineRule="auto"/>
    </w:pPr>
    <w:rPr>
      <w:rFonts w:ascii="Times New Roman" w:eastAsiaTheme="minorEastAsia" w:hAnsi="Times New Roman" w:cs="Times New Roman"/>
      <w:sz w:val="24"/>
      <w:szCs w:val="24"/>
      <w:lang w:eastAsia="it-IT"/>
    </w:rPr>
  </w:style>
  <w:style w:type="table" w:styleId="TableGrid">
    <w:name w:val="Table Grid"/>
    <w:basedOn w:val="TableNormal"/>
    <w:uiPriority w:val="39"/>
    <w:rsid w:val="00291F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629E0"/>
  </w:style>
  <w:style w:type="paragraph" w:styleId="BalloonText">
    <w:name w:val="Balloon Text"/>
    <w:basedOn w:val="Normal"/>
    <w:link w:val="BalloonTextChar"/>
    <w:uiPriority w:val="99"/>
    <w:semiHidden/>
    <w:unhideWhenUsed/>
    <w:rsid w:val="00E649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6490B"/>
    <w:rPr>
      <w:rFonts w:ascii="Lucida Grande" w:hAnsi="Lucida Grande"/>
      <w:sz w:val="18"/>
      <w:szCs w:val="18"/>
    </w:rPr>
  </w:style>
  <w:style w:type="character" w:styleId="CommentReference">
    <w:name w:val="annotation reference"/>
    <w:basedOn w:val="DefaultParagraphFont"/>
    <w:uiPriority w:val="99"/>
    <w:semiHidden/>
    <w:unhideWhenUsed/>
    <w:rsid w:val="00E6490B"/>
    <w:rPr>
      <w:sz w:val="18"/>
      <w:szCs w:val="18"/>
    </w:rPr>
  </w:style>
  <w:style w:type="paragraph" w:styleId="CommentText">
    <w:name w:val="annotation text"/>
    <w:basedOn w:val="Normal"/>
    <w:link w:val="CommentTextChar"/>
    <w:uiPriority w:val="99"/>
    <w:unhideWhenUsed/>
    <w:rsid w:val="00E6490B"/>
    <w:pPr>
      <w:spacing w:line="240" w:lineRule="auto"/>
    </w:pPr>
    <w:rPr>
      <w:sz w:val="24"/>
      <w:szCs w:val="24"/>
    </w:rPr>
  </w:style>
  <w:style w:type="character" w:customStyle="1" w:styleId="CommentTextChar">
    <w:name w:val="Comment Text Char"/>
    <w:basedOn w:val="DefaultParagraphFont"/>
    <w:link w:val="CommentText"/>
    <w:uiPriority w:val="99"/>
    <w:rsid w:val="00E6490B"/>
    <w:rPr>
      <w:sz w:val="24"/>
      <w:szCs w:val="24"/>
    </w:rPr>
  </w:style>
  <w:style w:type="paragraph" w:styleId="CommentSubject">
    <w:name w:val="annotation subject"/>
    <w:basedOn w:val="CommentText"/>
    <w:next w:val="CommentText"/>
    <w:link w:val="CommentSubjectChar"/>
    <w:uiPriority w:val="99"/>
    <w:semiHidden/>
    <w:unhideWhenUsed/>
    <w:rsid w:val="00E6490B"/>
    <w:rPr>
      <w:b/>
      <w:bCs/>
      <w:sz w:val="20"/>
      <w:szCs w:val="20"/>
    </w:rPr>
  </w:style>
  <w:style w:type="character" w:customStyle="1" w:styleId="CommentSubjectChar">
    <w:name w:val="Comment Subject Char"/>
    <w:basedOn w:val="CommentTextChar"/>
    <w:link w:val="CommentSubject"/>
    <w:uiPriority w:val="99"/>
    <w:semiHidden/>
    <w:rsid w:val="00E6490B"/>
    <w:rPr>
      <w:b/>
      <w:bCs/>
      <w:sz w:val="20"/>
      <w:szCs w:val="20"/>
    </w:rPr>
  </w:style>
  <w:style w:type="paragraph" w:customStyle="1" w:styleId="Articletitle">
    <w:name w:val="Article title"/>
    <w:basedOn w:val="Normal"/>
    <w:next w:val="Normal"/>
    <w:qFormat/>
    <w:rsid w:val="00E11E94"/>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E11E94"/>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E11E94"/>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E11E94"/>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E11E94"/>
    <w:pPr>
      <w:spacing w:before="240" w:after="0" w:line="360" w:lineRule="auto"/>
    </w:pPr>
    <w:rPr>
      <w:rFonts w:ascii="Times New Roman" w:eastAsia="Times New Roman" w:hAnsi="Times New Roman" w:cs="Times New Roman"/>
      <w:szCs w:val="24"/>
      <w:lang w:val="en-GB" w:eastAsia="en-GB"/>
    </w:rPr>
  </w:style>
  <w:style w:type="paragraph" w:styleId="FootnoteText">
    <w:name w:val="footnote text"/>
    <w:basedOn w:val="Normal"/>
    <w:link w:val="FootnoteTextChar"/>
    <w:uiPriority w:val="99"/>
    <w:semiHidden/>
    <w:unhideWhenUsed/>
    <w:rsid w:val="00D51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0DE"/>
    <w:rPr>
      <w:sz w:val="20"/>
      <w:szCs w:val="20"/>
    </w:rPr>
  </w:style>
  <w:style w:type="character" w:styleId="FootnoteReference">
    <w:name w:val="footnote reference"/>
    <w:basedOn w:val="DefaultParagraphFont"/>
    <w:uiPriority w:val="99"/>
    <w:semiHidden/>
    <w:unhideWhenUsed/>
    <w:rsid w:val="00D510DE"/>
    <w:rPr>
      <w:vertAlign w:val="superscript"/>
    </w:rPr>
  </w:style>
  <w:style w:type="character" w:styleId="Hyperlink">
    <w:name w:val="Hyperlink"/>
    <w:basedOn w:val="DefaultParagraphFont"/>
    <w:uiPriority w:val="99"/>
    <w:unhideWhenUsed/>
    <w:rsid w:val="00D510DE"/>
    <w:rPr>
      <w:color w:val="0563C1" w:themeColor="hyperlink"/>
      <w:u w:val="single"/>
    </w:rPr>
  </w:style>
  <w:style w:type="table" w:customStyle="1" w:styleId="Grigliatabella1">
    <w:name w:val="Griglia tabella1"/>
    <w:basedOn w:val="TableNormal"/>
    <w:next w:val="TableGrid"/>
    <w:uiPriority w:val="39"/>
    <w:rsid w:val="005E73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uiPriority w:val="39"/>
    <w:rsid w:val="000C48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graph">
    <w:name w:val="New paragraph"/>
    <w:basedOn w:val="Normal"/>
    <w:qFormat/>
    <w:rsid w:val="0075535F"/>
    <w:pPr>
      <w:spacing w:after="0" w:line="480" w:lineRule="auto"/>
      <w:ind w:firstLine="720"/>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44347D"/>
    <w:pPr>
      <w:spacing w:after="0" w:line="240" w:lineRule="auto"/>
    </w:pPr>
  </w:style>
  <w:style w:type="character" w:styleId="UnresolvedMention">
    <w:name w:val="Unresolved Mention"/>
    <w:basedOn w:val="DefaultParagraphFont"/>
    <w:uiPriority w:val="99"/>
    <w:semiHidden/>
    <w:unhideWhenUsed/>
    <w:rsid w:val="00237956"/>
    <w:rPr>
      <w:color w:val="605E5C"/>
      <w:shd w:val="clear" w:color="auto" w:fill="E1DFDD"/>
    </w:rPr>
  </w:style>
  <w:style w:type="character" w:styleId="FollowedHyperlink">
    <w:name w:val="FollowedHyperlink"/>
    <w:basedOn w:val="DefaultParagraphFont"/>
    <w:uiPriority w:val="99"/>
    <w:semiHidden/>
    <w:unhideWhenUsed/>
    <w:rsid w:val="00B73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7205">
      <w:bodyDiv w:val="1"/>
      <w:marLeft w:val="0"/>
      <w:marRight w:val="0"/>
      <w:marTop w:val="0"/>
      <w:marBottom w:val="0"/>
      <w:divBdr>
        <w:top w:val="none" w:sz="0" w:space="0" w:color="auto"/>
        <w:left w:val="none" w:sz="0" w:space="0" w:color="auto"/>
        <w:bottom w:val="none" w:sz="0" w:space="0" w:color="auto"/>
        <w:right w:val="none" w:sz="0" w:space="0" w:color="auto"/>
      </w:divBdr>
    </w:div>
    <w:div w:id="383139579">
      <w:bodyDiv w:val="1"/>
      <w:marLeft w:val="0"/>
      <w:marRight w:val="0"/>
      <w:marTop w:val="0"/>
      <w:marBottom w:val="0"/>
      <w:divBdr>
        <w:top w:val="none" w:sz="0" w:space="0" w:color="auto"/>
        <w:left w:val="none" w:sz="0" w:space="0" w:color="auto"/>
        <w:bottom w:val="none" w:sz="0" w:space="0" w:color="auto"/>
        <w:right w:val="none" w:sz="0" w:space="0" w:color="auto"/>
      </w:divBdr>
      <w:divsChild>
        <w:div w:id="14698268">
          <w:marLeft w:val="0"/>
          <w:marRight w:val="0"/>
          <w:marTop w:val="30"/>
          <w:marBottom w:val="0"/>
          <w:divBdr>
            <w:top w:val="none" w:sz="0" w:space="0" w:color="auto"/>
            <w:left w:val="none" w:sz="0" w:space="0" w:color="auto"/>
            <w:bottom w:val="none" w:sz="0" w:space="0" w:color="auto"/>
            <w:right w:val="none" w:sz="0" w:space="0" w:color="auto"/>
          </w:divBdr>
          <w:divsChild>
            <w:div w:id="1863277831">
              <w:marLeft w:val="0"/>
              <w:marRight w:val="0"/>
              <w:marTop w:val="0"/>
              <w:marBottom w:val="0"/>
              <w:divBdr>
                <w:top w:val="none" w:sz="0" w:space="0" w:color="auto"/>
                <w:left w:val="none" w:sz="0" w:space="0" w:color="auto"/>
                <w:bottom w:val="none" w:sz="0" w:space="0" w:color="auto"/>
                <w:right w:val="none" w:sz="0" w:space="0" w:color="auto"/>
              </w:divBdr>
            </w:div>
          </w:divsChild>
        </w:div>
        <w:div w:id="70126756">
          <w:marLeft w:val="0"/>
          <w:marRight w:val="0"/>
          <w:marTop w:val="0"/>
          <w:marBottom w:val="0"/>
          <w:divBdr>
            <w:top w:val="none" w:sz="0" w:space="0" w:color="auto"/>
            <w:left w:val="none" w:sz="0" w:space="0" w:color="auto"/>
            <w:bottom w:val="none" w:sz="0" w:space="0" w:color="auto"/>
            <w:right w:val="none" w:sz="0" w:space="0" w:color="auto"/>
          </w:divBdr>
        </w:div>
      </w:divsChild>
    </w:div>
    <w:div w:id="495996397">
      <w:bodyDiv w:val="1"/>
      <w:marLeft w:val="0"/>
      <w:marRight w:val="0"/>
      <w:marTop w:val="0"/>
      <w:marBottom w:val="0"/>
      <w:divBdr>
        <w:top w:val="none" w:sz="0" w:space="0" w:color="auto"/>
        <w:left w:val="none" w:sz="0" w:space="0" w:color="auto"/>
        <w:bottom w:val="none" w:sz="0" w:space="0" w:color="auto"/>
        <w:right w:val="none" w:sz="0" w:space="0" w:color="auto"/>
      </w:divBdr>
    </w:div>
    <w:div w:id="552348209">
      <w:bodyDiv w:val="1"/>
      <w:marLeft w:val="0"/>
      <w:marRight w:val="0"/>
      <w:marTop w:val="0"/>
      <w:marBottom w:val="0"/>
      <w:divBdr>
        <w:top w:val="none" w:sz="0" w:space="0" w:color="auto"/>
        <w:left w:val="none" w:sz="0" w:space="0" w:color="auto"/>
        <w:bottom w:val="none" w:sz="0" w:space="0" w:color="auto"/>
        <w:right w:val="none" w:sz="0" w:space="0" w:color="auto"/>
      </w:divBdr>
    </w:div>
    <w:div w:id="59100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734-020-00623-1" TargetMode="External"/><Relationship Id="rId13" Type="http://schemas.openxmlformats.org/officeDocument/2006/relationships/hyperlink" Target="http://www.bloomberg.com/news/articles/2014-02-12/college-donations-rise-to-record-as-stocks-gain-fueled-giv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brina.hegner@fh-bielefeld.de"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B784-DE8F-4E19-802E-0ABA6279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11302</Words>
  <Characters>64424</Characters>
  <Application>Microsoft Office Word</Application>
  <DocSecurity>0</DocSecurity>
  <Lines>536</Lines>
  <Paragraphs>151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2020-12-05T09:28:00Z</dcterms:created>
  <dcterms:modified xsi:type="dcterms:W3CDTF">2020-12-05T09:47:00Z</dcterms:modified>
</cp:coreProperties>
</file>