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28F65" w14:textId="1C2C6B0C" w:rsidR="003F6B6F" w:rsidRPr="00F71C89" w:rsidRDefault="003F6B6F" w:rsidP="00F2706A">
      <w:pPr>
        <w:jc w:val="center"/>
        <w:rPr>
          <w:rFonts w:ascii="Times New Roman" w:hAnsi="Times New Roman" w:cs="Times New Roman"/>
          <w:b/>
          <w:smallCaps/>
        </w:rPr>
      </w:pPr>
      <w:r w:rsidRPr="00F71C89">
        <w:rPr>
          <w:rFonts w:ascii="Times New Roman" w:hAnsi="Times New Roman" w:cs="Times New Roman"/>
          <w:b/>
          <w:smallCaps/>
        </w:rPr>
        <w:t>Upholding the Rule of Law in the EU</w:t>
      </w:r>
      <w:r w:rsidR="00B845DA" w:rsidRPr="00F71C89">
        <w:rPr>
          <w:rFonts w:ascii="Times New Roman" w:hAnsi="Times New Roman" w:cs="Times New Roman"/>
          <w:b/>
          <w:smallCaps/>
        </w:rPr>
        <w:t xml:space="preserve">: </w:t>
      </w:r>
      <w:r w:rsidRPr="00F71C89">
        <w:rPr>
          <w:rFonts w:ascii="Times New Roman" w:hAnsi="Times New Roman" w:cs="Times New Roman"/>
          <w:b/>
          <w:smallCaps/>
        </w:rPr>
        <w:t>What role for the EUFRA</w:t>
      </w:r>
    </w:p>
    <w:p w14:paraId="0643D5E9" w14:textId="77777777" w:rsidR="003F6B6F" w:rsidRPr="00F71C89" w:rsidRDefault="003F6B6F" w:rsidP="00F2706A">
      <w:pPr>
        <w:jc w:val="both"/>
        <w:rPr>
          <w:rFonts w:ascii="Times New Roman" w:hAnsi="Times New Roman" w:cs="Times New Roman"/>
          <w:b/>
        </w:rPr>
      </w:pPr>
    </w:p>
    <w:p w14:paraId="7371F24E" w14:textId="2157EF85" w:rsidR="003F6B6F" w:rsidRPr="00F71C89" w:rsidRDefault="003F6B6F" w:rsidP="00F2706A">
      <w:pPr>
        <w:jc w:val="center"/>
        <w:rPr>
          <w:rFonts w:ascii="Times New Roman" w:hAnsi="Times New Roman" w:cs="Times New Roman"/>
        </w:rPr>
      </w:pPr>
      <w:r w:rsidRPr="00F71C89">
        <w:rPr>
          <w:rFonts w:ascii="Times New Roman" w:hAnsi="Times New Roman" w:cs="Times New Roman"/>
        </w:rPr>
        <w:t>Laurent Pech</w:t>
      </w:r>
    </w:p>
    <w:p w14:paraId="7569900C" w14:textId="458C94A3" w:rsidR="003F6B6F" w:rsidRPr="00F71C89" w:rsidRDefault="003F6B6F" w:rsidP="00F2706A">
      <w:pPr>
        <w:jc w:val="center"/>
        <w:rPr>
          <w:rFonts w:ascii="Times New Roman" w:hAnsi="Times New Roman" w:cs="Times New Roman"/>
          <w:lang w:val="fr-FR"/>
        </w:rPr>
      </w:pPr>
      <w:r w:rsidRPr="00F71C89">
        <w:rPr>
          <w:rFonts w:ascii="Times New Roman" w:hAnsi="Times New Roman" w:cs="Times New Roman"/>
          <w:lang w:val="fr-FR"/>
        </w:rPr>
        <w:t>Joelle Grogan</w:t>
      </w:r>
    </w:p>
    <w:p w14:paraId="6DC803FC" w14:textId="77777777" w:rsidR="003F6B6F" w:rsidRPr="00F71C89" w:rsidRDefault="003F6B6F" w:rsidP="00F2706A">
      <w:pPr>
        <w:jc w:val="both"/>
        <w:rPr>
          <w:rFonts w:ascii="Times New Roman" w:hAnsi="Times New Roman" w:cs="Times New Roman"/>
          <w:lang w:val="fr-FR"/>
        </w:rPr>
      </w:pPr>
    </w:p>
    <w:p w14:paraId="2D4DBC7B" w14:textId="77777777" w:rsidR="003F6B6F" w:rsidRPr="00F71C89" w:rsidRDefault="003F6B6F" w:rsidP="00F2706A">
      <w:pPr>
        <w:jc w:val="both"/>
        <w:rPr>
          <w:rFonts w:ascii="Times New Roman" w:hAnsi="Times New Roman" w:cs="Times New Roman"/>
          <w:lang w:val="fr-FR"/>
        </w:rPr>
      </w:pPr>
    </w:p>
    <w:p w14:paraId="569C7B1B" w14:textId="77777777" w:rsidR="0015662E" w:rsidRPr="00F71C89" w:rsidRDefault="0015662E" w:rsidP="0015662E">
      <w:pPr>
        <w:pStyle w:val="xmsonormal"/>
        <w:spacing w:before="0" w:beforeAutospacing="0" w:after="0" w:afterAutospacing="0"/>
        <w:rPr>
          <w:color w:val="000000"/>
        </w:rPr>
      </w:pPr>
      <w:r w:rsidRPr="00F71C89">
        <w:rPr>
          <w:color w:val="000000"/>
        </w:rPr>
        <w:t>This chapter considers the extent to which the EU Fundamental Rights Agency is involved in the task of guaranteeing respect for the rule of law within the EU. Article 2 of the Treaty on European Union presents the rule of law both as a foundational value of the EU and one which is common to the EU and its Member States. However, a new and growing challenge is faced by the EU in this area in the form of systemic breakdown in the rule of law in some Member States. The FRA’s mandate should be revised in order to enable it to play a more meaningful role in addressing so-called ‘rule of law backsliding’. In addition, a systematic involvement of the FRA in the Commission’s Rule of Law Framework and a formal role in the context of the Council’s Annual Rule of Law Dialogue must be organised. It is to be hoped that the forthcoming review in 2019 of these two rule of law instruments, which were both adopted in 2014 and have seen shown their many shortcomings, will result in these changes regarding the FRA being considered and agreed.</w:t>
      </w:r>
    </w:p>
    <w:p w14:paraId="514AC0ED" w14:textId="175BE0D2" w:rsidR="0015662E" w:rsidRPr="00F71C89" w:rsidRDefault="0015662E" w:rsidP="0015662E">
      <w:pPr>
        <w:pStyle w:val="xmsonormal"/>
        <w:spacing w:before="0" w:beforeAutospacing="0" w:after="0" w:afterAutospacing="0"/>
        <w:rPr>
          <w:color w:val="000000"/>
        </w:rPr>
      </w:pPr>
      <w:r w:rsidRPr="00F71C89">
        <w:rPr>
          <w:color w:val="000000"/>
        </w:rPr>
        <w:t> </w:t>
      </w:r>
    </w:p>
    <w:p w14:paraId="3BD82BF3" w14:textId="6A3F2B5F" w:rsidR="0015662E" w:rsidRPr="00F71C89" w:rsidRDefault="0015662E" w:rsidP="0015662E">
      <w:pPr>
        <w:pStyle w:val="xmsonormal"/>
        <w:spacing w:before="0" w:beforeAutospacing="0" w:after="0" w:afterAutospacing="0"/>
        <w:rPr>
          <w:color w:val="000000"/>
        </w:rPr>
      </w:pPr>
      <w:r w:rsidRPr="00F71C89">
        <w:rPr>
          <w:color w:val="000000"/>
        </w:rPr>
        <w:t>Laurent Pech is Professor of European Law and Head of the Law and Politics Department at Middlesex University London. Professor Pech is currently a member of the editorial board of the</w:t>
      </w:r>
      <w:r w:rsidRPr="00F71C89">
        <w:rPr>
          <w:rStyle w:val="apple-converted-space"/>
          <w:color w:val="000000"/>
        </w:rPr>
        <w:t> </w:t>
      </w:r>
      <w:r w:rsidRPr="00F71C89">
        <w:rPr>
          <w:i/>
          <w:iCs/>
          <w:color w:val="000000"/>
        </w:rPr>
        <w:t>Hague Journal on the Rule of Law</w:t>
      </w:r>
      <w:r w:rsidRPr="00F71C89">
        <w:rPr>
          <w:rStyle w:val="apple-converted-space"/>
          <w:color w:val="000000"/>
        </w:rPr>
        <w:t> </w:t>
      </w:r>
      <w:r w:rsidRPr="00F71C89">
        <w:rPr>
          <w:color w:val="000000"/>
        </w:rPr>
        <w:t>and a member of the EU H2020-funded RECONNECT project:</w:t>
      </w:r>
      <w:r w:rsidRPr="00F71C89">
        <w:rPr>
          <w:rStyle w:val="apple-converted-space"/>
          <w:color w:val="000000"/>
        </w:rPr>
        <w:t> </w:t>
      </w:r>
      <w:hyperlink r:id="rId7" w:history="1">
        <w:r w:rsidRPr="00F71C89">
          <w:rPr>
            <w:rStyle w:val="Hyperlink"/>
          </w:rPr>
          <w:t>www.reconnect-europe.eu</w:t>
        </w:r>
      </w:hyperlink>
      <w:r w:rsidRPr="00F71C89">
        <w:rPr>
          <w:color w:val="000000"/>
        </w:rPr>
        <w:t>. His most recent academic publications focusing on the rule of law include: ‘Why autocrats love constitutional identity and constitutional pluralism – Lessons from Hungary and Poland’, RECONNECT Working Paper No. 2. September 2018 (co-authored with Professor Kelemen); “Illiberalism Within: Rule of Law Backsliding in the EU” (2017) 19</w:t>
      </w:r>
      <w:r w:rsidRPr="00F71C89">
        <w:rPr>
          <w:rStyle w:val="apple-converted-space"/>
          <w:color w:val="000000"/>
        </w:rPr>
        <w:t> </w:t>
      </w:r>
      <w:r w:rsidRPr="00F71C89">
        <w:rPr>
          <w:i/>
          <w:iCs/>
          <w:color w:val="000000"/>
        </w:rPr>
        <w:t>Cambridge Yearbook of European Legal Studies</w:t>
      </w:r>
      <w:r w:rsidRPr="00F71C89">
        <w:rPr>
          <w:rStyle w:val="apple-converted-space"/>
          <w:color w:val="000000"/>
        </w:rPr>
        <w:t> </w:t>
      </w:r>
      <w:r w:rsidRPr="00F71C89">
        <w:rPr>
          <w:color w:val="000000"/>
        </w:rPr>
        <w:t xml:space="preserve">3 (co-authored with Professor Scheppele). </w:t>
      </w:r>
      <w:bookmarkStart w:id="0" w:name="_GoBack"/>
      <w:bookmarkEnd w:id="0"/>
      <w:r w:rsidRPr="00F71C89">
        <w:rPr>
          <w:color w:val="000000"/>
        </w:rPr>
        <w:t>Professor Pech was also the lead author of a research report commissioned by the European Parliament on the establishment of an EU mechanism on Democracy, the Rule of Law and Fundamental Rights (PE 579.328, April 2016). He also regularly publishes on legal blogs such as the Verfassung</w:t>
      </w:r>
      <w:r w:rsidR="006E7BEA">
        <w:rPr>
          <w:color w:val="000000"/>
        </w:rPr>
        <w:t>s</w:t>
      </w:r>
      <w:r w:rsidRPr="00F71C89">
        <w:rPr>
          <w:color w:val="000000"/>
        </w:rPr>
        <w:t>blog:</w:t>
      </w:r>
      <w:r w:rsidRPr="00F71C89">
        <w:rPr>
          <w:rStyle w:val="apple-converted-space"/>
          <w:color w:val="000000"/>
        </w:rPr>
        <w:t> </w:t>
      </w:r>
      <w:hyperlink r:id="rId8" w:history="1">
        <w:r w:rsidRPr="00F71C89">
          <w:rPr>
            <w:rStyle w:val="Hyperlink"/>
          </w:rPr>
          <w:t>https://verfassungsblog.de/author/laurent-pech/</w:t>
        </w:r>
      </w:hyperlink>
      <w:r w:rsidRPr="00F71C89">
        <w:rPr>
          <w:color w:val="000000"/>
        </w:rPr>
        <w:t>.   </w:t>
      </w:r>
    </w:p>
    <w:p w14:paraId="7860D20E" w14:textId="77777777" w:rsidR="0015662E" w:rsidRPr="00F71C89" w:rsidRDefault="0015662E" w:rsidP="00F2706A">
      <w:pPr>
        <w:jc w:val="both"/>
        <w:rPr>
          <w:rFonts w:ascii="Times New Roman" w:hAnsi="Times New Roman" w:cs="Times New Roman"/>
          <w:lang w:val="fr-FR"/>
        </w:rPr>
      </w:pPr>
    </w:p>
    <w:p w14:paraId="6A1A3A84" w14:textId="77777777" w:rsidR="0015662E" w:rsidRPr="00F71C89" w:rsidRDefault="0015662E" w:rsidP="0015662E">
      <w:pPr>
        <w:rPr>
          <w:rFonts w:ascii="Times New Roman" w:eastAsia="Times New Roman" w:hAnsi="Times New Roman" w:cs="Times New Roman"/>
          <w:lang w:eastAsia="en-GB"/>
        </w:rPr>
      </w:pPr>
      <w:r w:rsidRPr="00F71C89">
        <w:rPr>
          <w:rFonts w:ascii="Times New Roman" w:eastAsia="Times New Roman" w:hAnsi="Times New Roman" w:cs="Times New Roman"/>
          <w:color w:val="000000"/>
          <w:shd w:val="clear" w:color="auto" w:fill="FFFFFF"/>
          <w:lang w:eastAsia="en-GB"/>
        </w:rPr>
        <w:t>Joelle Grogan is a Senior Lecturer in Law at Middlesex University London. She was elected as a scholar of Trinity College Dublin, and graduated with distinction from Oxford University where she pursued research on the rule of law in the European Union. Her main areas of research include the intersection between EU and UK public law, legal uncertainty and the realisation of the rule of law. She has been involved in large scale and international research projects at Oxford University and Middlesex University. She is a member of RECONNECT, an EU-funded H2020 project, and focuses on the significance of and challenges to the rule of law in the EU. She has served as advisor to citizens’ rights advocacy groups, and is also the creator of Sticky Tricky Law, an online legal education project which makes complex legal concepts accessible to the wider public.</w:t>
      </w:r>
    </w:p>
    <w:p w14:paraId="741D97DD" w14:textId="77777777" w:rsidR="0015662E" w:rsidRPr="00F71C89" w:rsidRDefault="0015662E">
      <w:pPr>
        <w:rPr>
          <w:rFonts w:ascii="Times New Roman" w:hAnsi="Times New Roman" w:cs="Times New Roman"/>
          <w:b/>
        </w:rPr>
      </w:pPr>
      <w:r w:rsidRPr="00F71C89">
        <w:rPr>
          <w:rFonts w:ascii="Times New Roman" w:hAnsi="Times New Roman" w:cs="Times New Roman"/>
          <w:b/>
        </w:rPr>
        <w:br w:type="page"/>
      </w:r>
    </w:p>
    <w:p w14:paraId="1A447DBF" w14:textId="6F1AD9AC" w:rsidR="003F6B6F" w:rsidRPr="00F71C89" w:rsidRDefault="00526ECE" w:rsidP="00F2706A">
      <w:pPr>
        <w:jc w:val="both"/>
        <w:rPr>
          <w:rFonts w:ascii="Times New Roman" w:hAnsi="Times New Roman" w:cs="Times New Roman"/>
          <w:b/>
        </w:rPr>
      </w:pPr>
      <w:r w:rsidRPr="00F71C89">
        <w:rPr>
          <w:rFonts w:ascii="Times New Roman" w:hAnsi="Times New Roman" w:cs="Times New Roman"/>
          <w:b/>
        </w:rPr>
        <w:lastRenderedPageBreak/>
        <w:t xml:space="preserve">1. </w:t>
      </w:r>
      <w:r w:rsidR="003F6B6F" w:rsidRPr="00F71C89">
        <w:rPr>
          <w:rFonts w:ascii="Times New Roman" w:hAnsi="Times New Roman" w:cs="Times New Roman"/>
          <w:b/>
        </w:rPr>
        <w:t xml:space="preserve">The Rule of Law as a Foundational and Common Value </w:t>
      </w:r>
    </w:p>
    <w:p w14:paraId="355F9494" w14:textId="77777777" w:rsidR="00095958" w:rsidRPr="00F71C89" w:rsidRDefault="00095958" w:rsidP="00F2706A">
      <w:pPr>
        <w:jc w:val="both"/>
        <w:rPr>
          <w:rFonts w:ascii="Times New Roman" w:hAnsi="Times New Roman" w:cs="Times New Roman"/>
        </w:rPr>
      </w:pPr>
    </w:p>
    <w:p w14:paraId="2ED3B9EC" w14:textId="4FBB4DE1" w:rsidR="00095958" w:rsidRPr="00F71C89" w:rsidRDefault="00095958" w:rsidP="00F27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F71C89">
        <w:rPr>
          <w:rFonts w:ascii="Times New Roman" w:hAnsi="Times New Roman" w:cs="Times New Roman"/>
        </w:rPr>
        <w:t xml:space="preserve">In a celebrated judgment known as </w:t>
      </w:r>
      <w:r w:rsidRPr="00F71C89">
        <w:rPr>
          <w:rFonts w:ascii="Times New Roman" w:hAnsi="Times New Roman" w:cs="Times New Roman"/>
          <w:i/>
        </w:rPr>
        <w:t>Les Verts</w:t>
      </w:r>
      <w:r w:rsidRPr="00F71C89">
        <w:rPr>
          <w:rFonts w:ascii="Times New Roman" w:hAnsi="Times New Roman" w:cs="Times New Roman"/>
        </w:rPr>
        <w:t>, the European Court of Justice referred to what was then known as the European Community as a ‘Community based on the rule of law.’</w:t>
      </w:r>
      <w:r w:rsidRPr="00F71C89">
        <w:rPr>
          <w:rStyle w:val="FootnoteReference"/>
          <w:rFonts w:ascii="Times New Roman" w:hAnsi="Times New Roman" w:cs="Times New Roman"/>
        </w:rPr>
        <w:footnoteReference w:id="1"/>
      </w:r>
      <w:r w:rsidRPr="00F71C89">
        <w:rPr>
          <w:rFonts w:ascii="Times New Roman" w:hAnsi="Times New Roman" w:cs="Times New Roman"/>
        </w:rPr>
        <w:t xml:space="preserve"> This first judicial reference was followed by multiple references made to the rule of law in the EU’s founding treaties.</w:t>
      </w:r>
      <w:r w:rsidRPr="00F71C89">
        <w:rPr>
          <w:rStyle w:val="FootnoteReference"/>
          <w:rFonts w:ascii="Times New Roman" w:hAnsi="Times New Roman" w:cs="Times New Roman"/>
        </w:rPr>
        <w:footnoteReference w:id="2"/>
      </w:r>
      <w:r w:rsidRPr="00F71C89">
        <w:rPr>
          <w:rFonts w:ascii="Times New Roman" w:hAnsi="Times New Roman" w:cs="Times New Roman"/>
        </w:rPr>
        <w:t xml:space="preserve"> These references, largely symbolic at first, became more meaningful following a series of successive treaty amendments that made clear that the rule of law, as a constitutional principle of EU law, has both an internal and external dimension. In its internal dimension, Article 2 of the Treaty on European Union (TEU) presents the rule of law both as a foundational </w:t>
      </w:r>
      <w:r w:rsidR="00526ECE" w:rsidRPr="00F71C89">
        <w:rPr>
          <w:rFonts w:ascii="Times New Roman" w:hAnsi="Times New Roman" w:cs="Times New Roman"/>
        </w:rPr>
        <w:t xml:space="preserve">value of the EU </w:t>
      </w:r>
      <w:r w:rsidRPr="00F71C89">
        <w:rPr>
          <w:rFonts w:ascii="Times New Roman" w:hAnsi="Times New Roman" w:cs="Times New Roman"/>
        </w:rPr>
        <w:t>and</w:t>
      </w:r>
      <w:r w:rsidR="00526ECE" w:rsidRPr="00F71C89">
        <w:rPr>
          <w:rFonts w:ascii="Times New Roman" w:hAnsi="Times New Roman" w:cs="Times New Roman"/>
        </w:rPr>
        <w:t xml:space="preserve"> one which is common to the EU and its Member States</w:t>
      </w:r>
      <w:r w:rsidRPr="00F71C89">
        <w:rPr>
          <w:rFonts w:ascii="Times New Roman" w:hAnsi="Times New Roman" w:cs="Times New Roman"/>
        </w:rPr>
        <w:t>.</w:t>
      </w:r>
      <w:r w:rsidR="0042769B" w:rsidRPr="00F71C89">
        <w:rPr>
          <w:rFonts w:ascii="Times New Roman" w:hAnsi="Times New Roman" w:cs="Times New Roman"/>
        </w:rPr>
        <w:t xml:space="preserve"> In another</w:t>
      </w:r>
      <w:r w:rsidRPr="00F71C89">
        <w:rPr>
          <w:rFonts w:ascii="Times New Roman" w:hAnsi="Times New Roman" w:cs="Times New Roman"/>
        </w:rPr>
        <w:t xml:space="preserve"> noteworthy change</w:t>
      </w:r>
      <w:r w:rsidR="00526ECE" w:rsidRPr="00F71C89">
        <w:rPr>
          <w:rFonts w:ascii="Times New Roman" w:hAnsi="Times New Roman" w:cs="Times New Roman"/>
        </w:rPr>
        <w:t xml:space="preserve"> </w:t>
      </w:r>
      <w:r w:rsidR="0042769B" w:rsidRPr="00F71C89">
        <w:rPr>
          <w:rFonts w:ascii="Times New Roman" w:hAnsi="Times New Roman" w:cs="Times New Roman"/>
        </w:rPr>
        <w:t>made in</w:t>
      </w:r>
      <w:r w:rsidR="00526ECE" w:rsidRPr="00F71C89">
        <w:rPr>
          <w:rFonts w:ascii="Times New Roman" w:hAnsi="Times New Roman" w:cs="Times New Roman"/>
        </w:rPr>
        <w:t xml:space="preserve"> the 1990s</w:t>
      </w:r>
      <w:r w:rsidRPr="00F71C89">
        <w:rPr>
          <w:rFonts w:ascii="Times New Roman" w:hAnsi="Times New Roman" w:cs="Times New Roman"/>
        </w:rPr>
        <w:t>, the TEU was amended to include a new provision</w:t>
      </w:r>
      <w:r w:rsidR="00A43377" w:rsidRPr="00F71C89">
        <w:rPr>
          <w:rFonts w:ascii="Times New Roman" w:hAnsi="Times New Roman" w:cs="Times New Roman"/>
        </w:rPr>
        <w:t xml:space="preserve"> whose aim </w:t>
      </w:r>
      <w:r w:rsidR="00526ECE" w:rsidRPr="00F71C89">
        <w:rPr>
          <w:rFonts w:ascii="Times New Roman" w:hAnsi="Times New Roman" w:cs="Times New Roman"/>
        </w:rPr>
        <w:t>was to empower</w:t>
      </w:r>
      <w:r w:rsidRPr="00F71C89">
        <w:rPr>
          <w:rFonts w:ascii="Times New Roman" w:hAnsi="Times New Roman" w:cs="Times New Roman"/>
        </w:rPr>
        <w:t xml:space="preserve"> the EU to </w:t>
      </w:r>
      <w:r w:rsidR="0042769B" w:rsidRPr="00F71C89">
        <w:rPr>
          <w:rFonts w:ascii="Times New Roman" w:hAnsi="Times New Roman" w:cs="Times New Roman"/>
        </w:rPr>
        <w:t>adopt sanctions in a situation of a serious and persistent breach of the same values laid down in Article 2 TEU. This provision was subsequently amended to also provide for the additional option of preventively censuring a Member States</w:t>
      </w:r>
      <w:r w:rsidR="00526ECE" w:rsidRPr="00F71C89">
        <w:rPr>
          <w:rFonts w:ascii="Times New Roman" w:hAnsi="Times New Roman" w:cs="Times New Roman"/>
        </w:rPr>
        <w:t xml:space="preserve"> in a situation </w:t>
      </w:r>
      <w:r w:rsidR="005F6538" w:rsidRPr="00F71C89">
        <w:rPr>
          <w:rFonts w:ascii="Times New Roman" w:hAnsi="Times New Roman" w:cs="Times New Roman"/>
        </w:rPr>
        <w:t xml:space="preserve">where </w:t>
      </w:r>
      <w:r w:rsidR="00526ECE" w:rsidRPr="00F71C89">
        <w:rPr>
          <w:rFonts w:ascii="Times New Roman" w:hAnsi="Times New Roman" w:cs="Times New Roman"/>
        </w:rPr>
        <w:t>the</w:t>
      </w:r>
      <w:r w:rsidR="0042769B" w:rsidRPr="00F71C89">
        <w:rPr>
          <w:rFonts w:ascii="Times New Roman" w:hAnsi="Times New Roman" w:cs="Times New Roman"/>
        </w:rPr>
        <w:t>se</w:t>
      </w:r>
      <w:r w:rsidR="00526ECE" w:rsidRPr="00F71C89">
        <w:rPr>
          <w:rFonts w:ascii="Times New Roman" w:hAnsi="Times New Roman" w:cs="Times New Roman"/>
        </w:rPr>
        <w:t xml:space="preserve"> </w:t>
      </w:r>
      <w:r w:rsidR="0042769B" w:rsidRPr="00F71C89">
        <w:rPr>
          <w:rFonts w:ascii="Times New Roman" w:hAnsi="Times New Roman" w:cs="Times New Roman"/>
        </w:rPr>
        <w:t>values</w:t>
      </w:r>
      <w:r w:rsidR="005F6538" w:rsidRPr="00F71C89">
        <w:rPr>
          <w:rFonts w:ascii="Times New Roman" w:hAnsi="Times New Roman" w:cs="Times New Roman"/>
        </w:rPr>
        <w:t xml:space="preserve"> are </w:t>
      </w:r>
      <w:r w:rsidR="0072276E" w:rsidRPr="00F71C89">
        <w:rPr>
          <w:rFonts w:ascii="Times New Roman" w:hAnsi="Times New Roman" w:cs="Times New Roman"/>
        </w:rPr>
        <w:t>under a serious threat of being breached</w:t>
      </w:r>
      <w:r w:rsidR="0042769B" w:rsidRPr="00F71C89">
        <w:rPr>
          <w:rFonts w:ascii="Times New Roman" w:hAnsi="Times New Roman" w:cs="Times New Roman"/>
        </w:rPr>
        <w:t>.</w:t>
      </w:r>
      <w:r w:rsidR="0042769B" w:rsidRPr="00F71C89">
        <w:rPr>
          <w:rStyle w:val="FootnoteReference"/>
          <w:rFonts w:ascii="Times New Roman" w:hAnsi="Times New Roman" w:cs="Times New Roman"/>
        </w:rPr>
        <w:footnoteReference w:id="3"/>
      </w:r>
      <w:r w:rsidR="0042769B" w:rsidRPr="00F71C89">
        <w:rPr>
          <w:rFonts w:ascii="Times New Roman" w:hAnsi="Times New Roman" w:cs="Times New Roman"/>
        </w:rPr>
        <w:t xml:space="preserve"> </w:t>
      </w:r>
      <w:r w:rsidRPr="00F71C89">
        <w:rPr>
          <w:rFonts w:ascii="Times New Roman" w:hAnsi="Times New Roman" w:cs="Times New Roman"/>
        </w:rPr>
        <w:t>Finally, in its external dimension,</w:t>
      </w:r>
      <w:r w:rsidR="00526ECE" w:rsidRPr="00F71C89">
        <w:rPr>
          <w:rFonts w:ascii="Times New Roman" w:hAnsi="Times New Roman" w:cs="Times New Roman"/>
        </w:rPr>
        <w:t xml:space="preserve"> the rule of law is presented </w:t>
      </w:r>
      <w:r w:rsidRPr="00F71C89">
        <w:rPr>
          <w:rFonts w:ascii="Times New Roman" w:hAnsi="Times New Roman" w:cs="Times New Roman"/>
        </w:rPr>
        <w:t>both as a transversal foreign policy objective and an eligibility condition for any country wishing to join the EU.</w:t>
      </w:r>
      <w:r w:rsidRPr="00F71C89">
        <w:rPr>
          <w:rStyle w:val="FootnoteReference"/>
          <w:rFonts w:ascii="Times New Roman" w:hAnsi="Times New Roman" w:cs="Times New Roman"/>
        </w:rPr>
        <w:footnoteReference w:id="4"/>
      </w:r>
      <w:r w:rsidRPr="00F71C89">
        <w:rPr>
          <w:rFonts w:ascii="Times New Roman" w:hAnsi="Times New Roman" w:cs="Times New Roman"/>
        </w:rPr>
        <w:t xml:space="preserve"> </w:t>
      </w:r>
    </w:p>
    <w:p w14:paraId="21548EA7" w14:textId="77777777" w:rsidR="00552FF8" w:rsidRPr="00F71C89" w:rsidRDefault="00552FF8" w:rsidP="00F27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2CDF1D06" w14:textId="3FDE324A" w:rsidR="00552FF8" w:rsidRPr="00F71C89" w:rsidRDefault="00552FF8" w:rsidP="00F27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F71C89">
        <w:rPr>
          <w:rFonts w:ascii="Times New Roman" w:hAnsi="Times New Roman" w:cs="Times New Roman"/>
        </w:rPr>
        <w:t xml:space="preserve">While the </w:t>
      </w:r>
      <w:r w:rsidR="003F28BC" w:rsidRPr="00F71C89">
        <w:rPr>
          <w:rFonts w:ascii="Times New Roman" w:hAnsi="Times New Roman" w:cs="Times New Roman"/>
        </w:rPr>
        <w:t xml:space="preserve">European </w:t>
      </w:r>
      <w:r w:rsidR="00526ECE" w:rsidRPr="00F71C89">
        <w:rPr>
          <w:rFonts w:ascii="Times New Roman" w:hAnsi="Times New Roman" w:cs="Times New Roman"/>
        </w:rPr>
        <w:t>Treaties do not offer a</w:t>
      </w:r>
      <w:r w:rsidRPr="00F71C89">
        <w:rPr>
          <w:rFonts w:ascii="Times New Roman" w:hAnsi="Times New Roman" w:cs="Times New Roman"/>
        </w:rPr>
        <w:t xml:space="preserve"> definiti</w:t>
      </w:r>
      <w:r w:rsidR="00526ECE" w:rsidRPr="00F71C89">
        <w:rPr>
          <w:rFonts w:ascii="Times New Roman" w:hAnsi="Times New Roman" w:cs="Times New Roman"/>
        </w:rPr>
        <w:t>on</w:t>
      </w:r>
      <w:r w:rsidRPr="00F71C89">
        <w:rPr>
          <w:rFonts w:ascii="Times New Roman" w:hAnsi="Times New Roman" w:cs="Times New Roman"/>
        </w:rPr>
        <w:t>, not an unusual</w:t>
      </w:r>
      <w:r w:rsidR="0042769B" w:rsidRPr="00F71C89">
        <w:rPr>
          <w:rFonts w:ascii="Times New Roman" w:hAnsi="Times New Roman" w:cs="Times New Roman"/>
        </w:rPr>
        <w:t xml:space="preserve"> trait when compared to </w:t>
      </w:r>
      <w:r w:rsidRPr="00F71C89">
        <w:rPr>
          <w:rFonts w:ascii="Times New Roman" w:hAnsi="Times New Roman" w:cs="Times New Roman"/>
        </w:rPr>
        <w:t>national constitutions that explicitly refer to the rule of law,</w:t>
      </w:r>
      <w:r w:rsidR="003F28BC" w:rsidRPr="00F71C89">
        <w:rPr>
          <w:rStyle w:val="FootnoteReference"/>
          <w:rFonts w:ascii="Times New Roman" w:hAnsi="Times New Roman" w:cs="Times New Roman"/>
        </w:rPr>
        <w:footnoteReference w:id="5"/>
      </w:r>
      <w:r w:rsidRPr="00F71C89">
        <w:rPr>
          <w:rFonts w:ascii="Times New Roman" w:hAnsi="Times New Roman" w:cs="Times New Roman"/>
        </w:rPr>
        <w:t xml:space="preserve"> the European Commission </w:t>
      </w:r>
      <w:r w:rsidR="00526ECE" w:rsidRPr="00F71C89">
        <w:rPr>
          <w:rFonts w:ascii="Times New Roman" w:hAnsi="Times New Roman" w:cs="Times New Roman"/>
        </w:rPr>
        <w:t xml:space="preserve">offered the view </w:t>
      </w:r>
      <w:r w:rsidRPr="00F71C89">
        <w:rPr>
          <w:rFonts w:ascii="Times New Roman" w:hAnsi="Times New Roman" w:cs="Times New Roman"/>
        </w:rPr>
        <w:t>in 2014</w:t>
      </w:r>
      <w:r w:rsidR="00B7168F" w:rsidRPr="00F71C89">
        <w:rPr>
          <w:rFonts w:ascii="Times New Roman" w:hAnsi="Times New Roman" w:cs="Times New Roman"/>
        </w:rPr>
        <w:t xml:space="preserve"> </w:t>
      </w:r>
      <w:r w:rsidR="00B7168F" w:rsidRPr="00F71C89">
        <w:rPr>
          <w:rFonts w:ascii="Times New Roman" w:hAnsi="Times New Roman" w:cs="Times New Roman"/>
          <w:color w:val="000000"/>
        </w:rPr>
        <w:t>that this principle</w:t>
      </w:r>
      <w:r w:rsidR="00526ECE" w:rsidRPr="00F71C89">
        <w:rPr>
          <w:rFonts w:ascii="Times New Roman" w:hAnsi="Times New Roman" w:cs="Times New Roman"/>
          <w:color w:val="000000"/>
        </w:rPr>
        <w:t xml:space="preserve"> </w:t>
      </w:r>
      <w:r w:rsidRPr="00F71C89">
        <w:rPr>
          <w:rFonts w:ascii="Times New Roman" w:hAnsi="Times New Roman" w:cs="Times New Roman"/>
          <w:color w:val="000000"/>
        </w:rPr>
        <w:t>entails</w:t>
      </w:r>
      <w:r w:rsidR="00B45173" w:rsidRPr="00F71C89">
        <w:rPr>
          <w:rFonts w:ascii="Times New Roman" w:hAnsi="Times New Roman" w:cs="Times New Roman"/>
          <w:color w:val="000000"/>
        </w:rPr>
        <w:t xml:space="preserve"> </w:t>
      </w:r>
      <w:r w:rsidRPr="00F71C89">
        <w:rPr>
          <w:rFonts w:ascii="Times New Roman" w:hAnsi="Times New Roman" w:cs="Times New Roman"/>
          <w:color w:val="000000"/>
        </w:rPr>
        <w:t>complia</w:t>
      </w:r>
      <w:r w:rsidR="00526ECE" w:rsidRPr="00F71C89">
        <w:rPr>
          <w:rFonts w:ascii="Times New Roman" w:hAnsi="Times New Roman" w:cs="Times New Roman"/>
          <w:color w:val="000000"/>
        </w:rPr>
        <w:t xml:space="preserve">nce </w:t>
      </w:r>
      <w:r w:rsidR="00B45173" w:rsidRPr="00F71C89">
        <w:rPr>
          <w:rFonts w:ascii="Times New Roman" w:hAnsi="Times New Roman" w:cs="Times New Roman"/>
          <w:color w:val="000000"/>
        </w:rPr>
        <w:t xml:space="preserve">at the very least </w:t>
      </w:r>
      <w:r w:rsidR="00526ECE" w:rsidRPr="00F71C89">
        <w:rPr>
          <w:rFonts w:ascii="Times New Roman" w:hAnsi="Times New Roman" w:cs="Times New Roman"/>
          <w:color w:val="000000"/>
        </w:rPr>
        <w:t xml:space="preserve">with the following six core </w:t>
      </w:r>
      <w:r w:rsidRPr="00F71C89">
        <w:rPr>
          <w:rFonts w:ascii="Times New Roman" w:hAnsi="Times New Roman" w:cs="Times New Roman"/>
          <w:color w:val="000000"/>
        </w:rPr>
        <w:t>principles</w:t>
      </w:r>
      <w:r w:rsidRPr="00F71C89">
        <w:rPr>
          <w:rFonts w:ascii="Times New Roman" w:hAnsi="Times New Roman" w:cs="Times New Roman"/>
        </w:rPr>
        <w:t>:</w:t>
      </w:r>
      <w:r w:rsidR="00191A47" w:rsidRPr="00F71C89">
        <w:rPr>
          <w:rStyle w:val="FootnoteReference"/>
          <w:rFonts w:ascii="Times New Roman" w:hAnsi="Times New Roman" w:cs="Times New Roman"/>
        </w:rPr>
        <w:footnoteReference w:id="6"/>
      </w:r>
      <w:r w:rsidRPr="00F71C89">
        <w:rPr>
          <w:rFonts w:ascii="Times New Roman" w:hAnsi="Times New Roman" w:cs="Times New Roman"/>
        </w:rPr>
        <w:t xml:space="preserve"> </w:t>
      </w:r>
    </w:p>
    <w:p w14:paraId="066929C7" w14:textId="77777777" w:rsidR="00552FF8" w:rsidRPr="00F71C89" w:rsidRDefault="00552FF8" w:rsidP="00F2706A">
      <w:pPr>
        <w:jc w:val="both"/>
        <w:rPr>
          <w:rFonts w:ascii="Times New Roman" w:hAnsi="Times New Roman" w:cs="Times New Roman"/>
        </w:rPr>
      </w:pPr>
    </w:p>
    <w:tbl>
      <w:tblPr>
        <w:tblW w:w="3505" w:type="pct"/>
        <w:jc w:val="center"/>
        <w:tblCellSpacing w:w="15" w:type="dxa"/>
        <w:tblCellMar>
          <w:top w:w="60" w:type="dxa"/>
          <w:left w:w="60" w:type="dxa"/>
          <w:bottom w:w="60" w:type="dxa"/>
          <w:right w:w="60" w:type="dxa"/>
        </w:tblCellMar>
        <w:tblLook w:val="0000" w:firstRow="0" w:lastRow="0" w:firstColumn="0" w:lastColumn="0" w:noHBand="0" w:noVBand="0"/>
      </w:tblPr>
      <w:tblGrid>
        <w:gridCol w:w="380"/>
        <w:gridCol w:w="5438"/>
      </w:tblGrid>
      <w:tr w:rsidR="00552FF8" w:rsidRPr="00F71C89" w14:paraId="4317EC25" w14:textId="77777777" w:rsidTr="00B7168F">
        <w:trPr>
          <w:tblCellSpacing w:w="15" w:type="dxa"/>
          <w:jc w:val="center"/>
        </w:trPr>
        <w:tc>
          <w:tcPr>
            <w:tcW w:w="288" w:type="pct"/>
            <w:shd w:val="clear" w:color="auto" w:fill="auto"/>
            <w:vAlign w:val="center"/>
          </w:tcPr>
          <w:p w14:paraId="0B746C6C" w14:textId="77777777" w:rsidR="00552FF8" w:rsidRPr="00F71C89" w:rsidRDefault="00552FF8" w:rsidP="00F2706A">
            <w:pPr>
              <w:contextualSpacing/>
              <w:jc w:val="both"/>
              <w:rPr>
                <w:rFonts w:ascii="Times New Roman" w:hAnsi="Times New Roman" w:cs="Times New Roman"/>
              </w:rPr>
            </w:pPr>
            <w:r w:rsidRPr="00F71C89">
              <w:rPr>
                <w:rFonts w:ascii="Times New Roman" w:hAnsi="Times New Roman" w:cs="Times New Roman"/>
              </w:rPr>
              <w:t>1)</w:t>
            </w:r>
          </w:p>
        </w:tc>
        <w:tc>
          <w:tcPr>
            <w:tcW w:w="4636" w:type="pct"/>
            <w:shd w:val="clear" w:color="auto" w:fill="auto"/>
            <w:vAlign w:val="center"/>
          </w:tcPr>
          <w:p w14:paraId="0C701666" w14:textId="77777777" w:rsidR="00552FF8" w:rsidRPr="00F71C89" w:rsidRDefault="00552FF8" w:rsidP="00F2706A">
            <w:pPr>
              <w:jc w:val="both"/>
              <w:rPr>
                <w:rFonts w:ascii="Times New Roman" w:hAnsi="Times New Roman" w:cs="Times New Roman"/>
              </w:rPr>
            </w:pPr>
            <w:r w:rsidRPr="00F71C89">
              <w:rPr>
                <w:rFonts w:ascii="Times New Roman" w:hAnsi="Times New Roman" w:cs="Times New Roman"/>
              </w:rPr>
              <w:t>Legality, which implies a transparent, accountable, democratic and pluralistic process for enacting laws;</w:t>
            </w:r>
          </w:p>
        </w:tc>
      </w:tr>
      <w:tr w:rsidR="00552FF8" w:rsidRPr="00F71C89" w14:paraId="463B3953" w14:textId="77777777" w:rsidTr="00B7168F">
        <w:trPr>
          <w:tblCellSpacing w:w="15" w:type="dxa"/>
          <w:jc w:val="center"/>
        </w:trPr>
        <w:tc>
          <w:tcPr>
            <w:tcW w:w="288" w:type="pct"/>
            <w:shd w:val="clear" w:color="auto" w:fill="auto"/>
            <w:vAlign w:val="center"/>
          </w:tcPr>
          <w:p w14:paraId="07CB1DEA" w14:textId="77777777" w:rsidR="00552FF8" w:rsidRPr="00F71C89" w:rsidRDefault="00552FF8" w:rsidP="00F2706A">
            <w:pPr>
              <w:contextualSpacing/>
              <w:jc w:val="both"/>
              <w:rPr>
                <w:rFonts w:ascii="Times New Roman" w:hAnsi="Times New Roman" w:cs="Times New Roman"/>
              </w:rPr>
            </w:pPr>
            <w:r w:rsidRPr="00F71C89">
              <w:rPr>
                <w:rFonts w:ascii="Times New Roman" w:hAnsi="Times New Roman" w:cs="Times New Roman"/>
              </w:rPr>
              <w:t>2)</w:t>
            </w:r>
          </w:p>
        </w:tc>
        <w:tc>
          <w:tcPr>
            <w:tcW w:w="4636" w:type="pct"/>
            <w:shd w:val="clear" w:color="auto" w:fill="auto"/>
            <w:vAlign w:val="center"/>
          </w:tcPr>
          <w:p w14:paraId="16473EA7" w14:textId="77777777" w:rsidR="00552FF8" w:rsidRPr="00F71C89" w:rsidRDefault="00552FF8" w:rsidP="00F2706A">
            <w:pPr>
              <w:jc w:val="both"/>
              <w:rPr>
                <w:rFonts w:ascii="Times New Roman" w:hAnsi="Times New Roman" w:cs="Times New Roman"/>
              </w:rPr>
            </w:pPr>
            <w:r w:rsidRPr="00F71C89">
              <w:rPr>
                <w:rFonts w:ascii="Times New Roman" w:hAnsi="Times New Roman" w:cs="Times New Roman"/>
                <w:color w:val="090A0A"/>
              </w:rPr>
              <w:t>Legal certainty;</w:t>
            </w:r>
          </w:p>
        </w:tc>
      </w:tr>
      <w:tr w:rsidR="00552FF8" w:rsidRPr="00F71C89" w14:paraId="6DD0E1DE" w14:textId="77777777" w:rsidTr="00B7168F">
        <w:trPr>
          <w:tblCellSpacing w:w="15" w:type="dxa"/>
          <w:jc w:val="center"/>
        </w:trPr>
        <w:tc>
          <w:tcPr>
            <w:tcW w:w="288" w:type="pct"/>
            <w:shd w:val="clear" w:color="auto" w:fill="auto"/>
            <w:vAlign w:val="center"/>
          </w:tcPr>
          <w:p w14:paraId="691308E1" w14:textId="77777777" w:rsidR="00552FF8" w:rsidRPr="00F71C89" w:rsidRDefault="00552FF8" w:rsidP="00F2706A">
            <w:pPr>
              <w:contextualSpacing/>
              <w:jc w:val="both"/>
              <w:rPr>
                <w:rFonts w:ascii="Times New Roman" w:hAnsi="Times New Roman" w:cs="Times New Roman"/>
              </w:rPr>
            </w:pPr>
            <w:r w:rsidRPr="00F71C89">
              <w:rPr>
                <w:rFonts w:ascii="Times New Roman" w:hAnsi="Times New Roman" w:cs="Times New Roman"/>
              </w:rPr>
              <w:t>3)</w:t>
            </w:r>
          </w:p>
        </w:tc>
        <w:tc>
          <w:tcPr>
            <w:tcW w:w="4636" w:type="pct"/>
            <w:shd w:val="clear" w:color="auto" w:fill="auto"/>
            <w:vAlign w:val="center"/>
          </w:tcPr>
          <w:p w14:paraId="1A4896E0" w14:textId="77777777" w:rsidR="00552FF8" w:rsidRPr="00F71C89" w:rsidRDefault="00552FF8" w:rsidP="00F2706A">
            <w:pPr>
              <w:jc w:val="both"/>
              <w:rPr>
                <w:rFonts w:ascii="Times New Roman" w:hAnsi="Times New Roman" w:cs="Times New Roman"/>
              </w:rPr>
            </w:pPr>
            <w:r w:rsidRPr="00F71C89">
              <w:rPr>
                <w:rFonts w:ascii="Times New Roman" w:hAnsi="Times New Roman" w:cs="Times New Roman"/>
              </w:rPr>
              <w:t>Prohibition of arbitrariness of the executive powers;</w:t>
            </w:r>
          </w:p>
        </w:tc>
      </w:tr>
      <w:tr w:rsidR="00552FF8" w:rsidRPr="00F71C89" w14:paraId="3A930DCE" w14:textId="77777777" w:rsidTr="00B7168F">
        <w:trPr>
          <w:tblCellSpacing w:w="15" w:type="dxa"/>
          <w:jc w:val="center"/>
        </w:trPr>
        <w:tc>
          <w:tcPr>
            <w:tcW w:w="288" w:type="pct"/>
            <w:shd w:val="clear" w:color="auto" w:fill="auto"/>
            <w:vAlign w:val="center"/>
          </w:tcPr>
          <w:p w14:paraId="01760155" w14:textId="77777777" w:rsidR="00552FF8" w:rsidRPr="00F71C89" w:rsidRDefault="00552FF8" w:rsidP="00F2706A">
            <w:pPr>
              <w:contextualSpacing/>
              <w:jc w:val="both"/>
              <w:rPr>
                <w:rFonts w:ascii="Times New Roman" w:hAnsi="Times New Roman" w:cs="Times New Roman"/>
              </w:rPr>
            </w:pPr>
            <w:r w:rsidRPr="00F71C89">
              <w:rPr>
                <w:rFonts w:ascii="Times New Roman" w:hAnsi="Times New Roman" w:cs="Times New Roman"/>
              </w:rPr>
              <w:t>4)</w:t>
            </w:r>
          </w:p>
        </w:tc>
        <w:tc>
          <w:tcPr>
            <w:tcW w:w="4636" w:type="pct"/>
            <w:shd w:val="clear" w:color="auto" w:fill="auto"/>
            <w:vAlign w:val="center"/>
          </w:tcPr>
          <w:p w14:paraId="271DBAC6" w14:textId="77777777" w:rsidR="00552FF8" w:rsidRPr="00F71C89" w:rsidRDefault="00552FF8" w:rsidP="00F2706A">
            <w:pPr>
              <w:jc w:val="both"/>
              <w:rPr>
                <w:rFonts w:ascii="Times New Roman" w:hAnsi="Times New Roman" w:cs="Times New Roman"/>
              </w:rPr>
            </w:pPr>
            <w:r w:rsidRPr="00F71C89">
              <w:rPr>
                <w:rFonts w:ascii="Times New Roman" w:hAnsi="Times New Roman" w:cs="Times New Roman"/>
              </w:rPr>
              <w:t>Independent and impartial courts;</w:t>
            </w:r>
          </w:p>
        </w:tc>
      </w:tr>
      <w:tr w:rsidR="00552FF8" w:rsidRPr="00F71C89" w14:paraId="2191DDA2" w14:textId="77777777" w:rsidTr="00B7168F">
        <w:trPr>
          <w:tblCellSpacing w:w="15" w:type="dxa"/>
          <w:jc w:val="center"/>
        </w:trPr>
        <w:tc>
          <w:tcPr>
            <w:tcW w:w="288" w:type="pct"/>
            <w:shd w:val="clear" w:color="auto" w:fill="auto"/>
            <w:vAlign w:val="center"/>
          </w:tcPr>
          <w:p w14:paraId="36856EF1" w14:textId="77777777" w:rsidR="00552FF8" w:rsidRPr="00F71C89" w:rsidRDefault="00552FF8" w:rsidP="00F2706A">
            <w:pPr>
              <w:contextualSpacing/>
              <w:jc w:val="both"/>
              <w:rPr>
                <w:rFonts w:ascii="Times New Roman" w:hAnsi="Times New Roman" w:cs="Times New Roman"/>
              </w:rPr>
            </w:pPr>
            <w:r w:rsidRPr="00F71C89">
              <w:rPr>
                <w:rFonts w:ascii="Times New Roman" w:hAnsi="Times New Roman" w:cs="Times New Roman"/>
              </w:rPr>
              <w:t>5)</w:t>
            </w:r>
          </w:p>
        </w:tc>
        <w:tc>
          <w:tcPr>
            <w:tcW w:w="4636" w:type="pct"/>
            <w:shd w:val="clear" w:color="auto" w:fill="auto"/>
            <w:vAlign w:val="center"/>
          </w:tcPr>
          <w:p w14:paraId="37FDE047" w14:textId="77777777" w:rsidR="00552FF8" w:rsidRPr="00F71C89" w:rsidRDefault="00552FF8" w:rsidP="00F2706A">
            <w:pPr>
              <w:jc w:val="both"/>
              <w:rPr>
                <w:rFonts w:ascii="Times New Roman" w:hAnsi="Times New Roman" w:cs="Times New Roman"/>
              </w:rPr>
            </w:pPr>
            <w:r w:rsidRPr="00F71C89">
              <w:rPr>
                <w:rFonts w:ascii="Times New Roman" w:hAnsi="Times New Roman" w:cs="Times New Roman"/>
              </w:rPr>
              <w:t>Effective judicial review including respect for fundamental rights;</w:t>
            </w:r>
          </w:p>
        </w:tc>
      </w:tr>
      <w:tr w:rsidR="00552FF8" w:rsidRPr="00F71C89" w14:paraId="37B31FD7" w14:textId="77777777" w:rsidTr="00B7168F">
        <w:trPr>
          <w:tblCellSpacing w:w="15" w:type="dxa"/>
          <w:jc w:val="center"/>
        </w:trPr>
        <w:tc>
          <w:tcPr>
            <w:tcW w:w="288" w:type="pct"/>
            <w:shd w:val="clear" w:color="auto" w:fill="auto"/>
            <w:vAlign w:val="center"/>
          </w:tcPr>
          <w:p w14:paraId="73F06185" w14:textId="77777777" w:rsidR="00552FF8" w:rsidRPr="00F71C89" w:rsidRDefault="00552FF8" w:rsidP="00F2706A">
            <w:pPr>
              <w:contextualSpacing/>
              <w:jc w:val="both"/>
              <w:rPr>
                <w:rFonts w:ascii="Times New Roman" w:hAnsi="Times New Roman" w:cs="Times New Roman"/>
              </w:rPr>
            </w:pPr>
            <w:r w:rsidRPr="00F71C89">
              <w:rPr>
                <w:rFonts w:ascii="Times New Roman" w:hAnsi="Times New Roman" w:cs="Times New Roman"/>
              </w:rPr>
              <w:t>6)</w:t>
            </w:r>
          </w:p>
        </w:tc>
        <w:tc>
          <w:tcPr>
            <w:tcW w:w="4636" w:type="pct"/>
            <w:shd w:val="clear" w:color="auto" w:fill="auto"/>
            <w:vAlign w:val="center"/>
          </w:tcPr>
          <w:p w14:paraId="67DA2B11" w14:textId="77777777" w:rsidR="00552FF8" w:rsidRPr="00F71C89" w:rsidRDefault="00552FF8" w:rsidP="00F2706A">
            <w:pPr>
              <w:jc w:val="both"/>
              <w:rPr>
                <w:rFonts w:ascii="Times New Roman" w:hAnsi="Times New Roman" w:cs="Times New Roman"/>
                <w:color w:val="000000"/>
              </w:rPr>
            </w:pPr>
            <w:r w:rsidRPr="00F71C89">
              <w:rPr>
                <w:rFonts w:ascii="Times New Roman" w:hAnsi="Times New Roman" w:cs="Times New Roman"/>
              </w:rPr>
              <w:t>Equality before the law.</w:t>
            </w:r>
          </w:p>
        </w:tc>
      </w:tr>
    </w:tbl>
    <w:p w14:paraId="6DD94DD3" w14:textId="77777777" w:rsidR="00552FF8" w:rsidRPr="00F71C89" w:rsidRDefault="00552FF8" w:rsidP="00F2706A">
      <w:pPr>
        <w:jc w:val="both"/>
        <w:rPr>
          <w:rFonts w:ascii="Times New Roman" w:hAnsi="Times New Roman" w:cs="Times New Roman"/>
        </w:rPr>
      </w:pPr>
    </w:p>
    <w:p w14:paraId="75B07204" w14:textId="55DF935E" w:rsidR="00552FF8" w:rsidRPr="00F71C89" w:rsidRDefault="00526ECE" w:rsidP="00F2706A">
      <w:pPr>
        <w:jc w:val="both"/>
        <w:rPr>
          <w:rFonts w:ascii="Times New Roman" w:hAnsi="Times New Roman" w:cs="Times New Roman"/>
        </w:rPr>
      </w:pPr>
      <w:r w:rsidRPr="00F71C89">
        <w:rPr>
          <w:rFonts w:ascii="Times New Roman" w:hAnsi="Times New Roman" w:cs="Times New Roman"/>
        </w:rPr>
        <w:t xml:space="preserve">This list </w:t>
      </w:r>
      <w:r w:rsidR="00B7168F" w:rsidRPr="00F71C89">
        <w:rPr>
          <w:rFonts w:ascii="Times New Roman" w:hAnsi="Times New Roman" w:cs="Times New Roman"/>
        </w:rPr>
        <w:t xml:space="preserve">closely reflects the six </w:t>
      </w:r>
      <w:r w:rsidR="00191A47" w:rsidRPr="00F71C89">
        <w:rPr>
          <w:rFonts w:ascii="Times New Roman" w:hAnsi="Times New Roman" w:cs="Times New Roman"/>
        </w:rPr>
        <w:t xml:space="preserve">elements </w:t>
      </w:r>
      <w:r w:rsidRPr="00F71C89">
        <w:rPr>
          <w:rFonts w:ascii="Times New Roman" w:hAnsi="Times New Roman" w:cs="Times New Roman"/>
        </w:rPr>
        <w:t xml:space="preserve">previously </w:t>
      </w:r>
      <w:r w:rsidR="00191A47" w:rsidRPr="00F71C89">
        <w:rPr>
          <w:rFonts w:ascii="Times New Roman" w:hAnsi="Times New Roman" w:cs="Times New Roman"/>
        </w:rPr>
        <w:t xml:space="preserve">identified by </w:t>
      </w:r>
      <w:r w:rsidR="00B7168F" w:rsidRPr="00F71C89">
        <w:rPr>
          <w:rFonts w:ascii="Times New Roman" w:hAnsi="Times New Roman" w:cs="Times New Roman"/>
        </w:rPr>
        <w:t xml:space="preserve">the </w:t>
      </w:r>
      <w:r w:rsidR="00191A47" w:rsidRPr="00F71C89">
        <w:rPr>
          <w:rFonts w:ascii="Times New Roman" w:hAnsi="Times New Roman" w:cs="Times New Roman"/>
        </w:rPr>
        <w:t xml:space="preserve">Council of Europe’s </w:t>
      </w:r>
      <w:r w:rsidR="00B7168F" w:rsidRPr="00F71C89">
        <w:rPr>
          <w:rFonts w:ascii="Times New Roman" w:hAnsi="Times New Roman" w:cs="Times New Roman"/>
        </w:rPr>
        <w:t>Venice Commission</w:t>
      </w:r>
      <w:r w:rsidR="00191A47" w:rsidRPr="00F71C89">
        <w:rPr>
          <w:rFonts w:ascii="Times New Roman" w:hAnsi="Times New Roman" w:cs="Times New Roman"/>
        </w:rPr>
        <w:t>.</w:t>
      </w:r>
      <w:r w:rsidR="00B7168F" w:rsidRPr="00F71C89">
        <w:rPr>
          <w:rStyle w:val="FootnoteReference"/>
          <w:rFonts w:ascii="Times New Roman" w:hAnsi="Times New Roman" w:cs="Times New Roman"/>
        </w:rPr>
        <w:footnoteReference w:id="7"/>
      </w:r>
      <w:r w:rsidR="00B7168F" w:rsidRPr="00F71C89">
        <w:rPr>
          <w:rFonts w:ascii="Times New Roman" w:hAnsi="Times New Roman" w:cs="Times New Roman"/>
        </w:rPr>
        <w:t xml:space="preserve"> </w:t>
      </w:r>
      <w:r w:rsidR="00191A47" w:rsidRPr="00F71C89">
        <w:rPr>
          <w:rFonts w:ascii="Times New Roman" w:hAnsi="Times New Roman" w:cs="Times New Roman"/>
        </w:rPr>
        <w:t>And w</w:t>
      </w:r>
      <w:r w:rsidR="00552FF8" w:rsidRPr="00F71C89">
        <w:rPr>
          <w:rFonts w:ascii="Times New Roman" w:hAnsi="Times New Roman" w:cs="Times New Roman"/>
        </w:rPr>
        <w:t>hile the European Commission did accept that ‘the precise content of the principles and standards stemming from the rule of law may vary at nation</w:t>
      </w:r>
      <w:r w:rsidR="00153989" w:rsidRPr="00F71C89">
        <w:rPr>
          <w:rFonts w:ascii="Times New Roman" w:hAnsi="Times New Roman" w:cs="Times New Roman"/>
        </w:rPr>
        <w:t>al level</w:t>
      </w:r>
      <w:r w:rsidR="00552FF8" w:rsidRPr="00F71C89">
        <w:rPr>
          <w:rFonts w:ascii="Times New Roman" w:hAnsi="Times New Roman" w:cs="Times New Roman"/>
        </w:rPr>
        <w:t>’,</w:t>
      </w:r>
      <w:r w:rsidR="00191A47" w:rsidRPr="00F71C89">
        <w:rPr>
          <w:rStyle w:val="FootnoteReference"/>
          <w:rFonts w:ascii="Times New Roman" w:hAnsi="Times New Roman" w:cs="Times New Roman"/>
        </w:rPr>
        <w:footnoteReference w:id="8"/>
      </w:r>
      <w:r w:rsidR="00552FF8" w:rsidRPr="00F71C89">
        <w:rPr>
          <w:rFonts w:ascii="Times New Roman" w:hAnsi="Times New Roman" w:cs="Times New Roman"/>
        </w:rPr>
        <w:t xml:space="preserve"> it also </w:t>
      </w:r>
      <w:r w:rsidR="00205C7D" w:rsidRPr="00F71C89">
        <w:rPr>
          <w:rFonts w:ascii="Times New Roman" w:hAnsi="Times New Roman" w:cs="Times New Roman"/>
        </w:rPr>
        <w:t>emphasised</w:t>
      </w:r>
      <w:r w:rsidR="00552FF8" w:rsidRPr="00F71C89">
        <w:rPr>
          <w:rFonts w:ascii="Times New Roman" w:hAnsi="Times New Roman" w:cs="Times New Roman"/>
        </w:rPr>
        <w:t xml:space="preserve">, rightly in our view, that the six elements previously listed stem from the constitutional traditions common to most European legal systems and </w:t>
      </w:r>
      <w:r w:rsidR="00205C7D" w:rsidRPr="00F71C89">
        <w:rPr>
          <w:rFonts w:ascii="Times New Roman" w:hAnsi="Times New Roman" w:cs="Times New Roman"/>
        </w:rPr>
        <w:t>can</w:t>
      </w:r>
      <w:r w:rsidR="00552FF8" w:rsidRPr="00F71C89">
        <w:rPr>
          <w:rFonts w:ascii="Times New Roman" w:hAnsi="Times New Roman" w:cs="Times New Roman"/>
        </w:rPr>
        <w:t xml:space="preserve"> be said to define the core meaning of the rule o</w:t>
      </w:r>
      <w:r w:rsidR="00153989" w:rsidRPr="00F71C89">
        <w:rPr>
          <w:rFonts w:ascii="Times New Roman" w:hAnsi="Times New Roman" w:cs="Times New Roman"/>
        </w:rPr>
        <w:t xml:space="preserve">f law within the </w:t>
      </w:r>
      <w:r w:rsidR="00552FF8" w:rsidRPr="00F71C89">
        <w:rPr>
          <w:rFonts w:ascii="Times New Roman" w:hAnsi="Times New Roman" w:cs="Times New Roman"/>
        </w:rPr>
        <w:t>EU legal order.</w:t>
      </w:r>
      <w:r w:rsidR="00191A47" w:rsidRPr="00F71C89">
        <w:rPr>
          <w:rFonts w:ascii="Times New Roman" w:hAnsi="Times New Roman" w:cs="Times New Roman"/>
        </w:rPr>
        <w:t xml:space="preserve"> We would also agree with the Commission</w:t>
      </w:r>
      <w:r w:rsidR="00153989" w:rsidRPr="00F71C89">
        <w:rPr>
          <w:rFonts w:ascii="Times New Roman" w:hAnsi="Times New Roman" w:cs="Times New Roman"/>
        </w:rPr>
        <w:t xml:space="preserve">’s view </w:t>
      </w:r>
      <w:r w:rsidR="00191A47" w:rsidRPr="00F71C89">
        <w:rPr>
          <w:rFonts w:ascii="Times New Roman" w:hAnsi="Times New Roman" w:cs="Times New Roman"/>
        </w:rPr>
        <w:t>that the rule of law must be understood as a ‘constitutional principle with both formal and substantive components’ and one which is also ‘intrinsically linked to respect for democracy and for fundamental rights.’</w:t>
      </w:r>
      <w:r w:rsidR="00191A47" w:rsidRPr="00F71C89">
        <w:rPr>
          <w:rStyle w:val="FootnoteReference"/>
          <w:rFonts w:ascii="Times New Roman" w:hAnsi="Times New Roman" w:cs="Times New Roman"/>
        </w:rPr>
        <w:footnoteReference w:id="9"/>
      </w:r>
      <w:r w:rsidR="00191A47" w:rsidRPr="00F71C89">
        <w:rPr>
          <w:rFonts w:ascii="Times New Roman" w:hAnsi="Times New Roman" w:cs="Times New Roman"/>
        </w:rPr>
        <w:t xml:space="preserve"> </w:t>
      </w:r>
      <w:r w:rsidR="00205C7D" w:rsidRPr="00F71C89">
        <w:rPr>
          <w:rFonts w:ascii="Times New Roman" w:hAnsi="Times New Roman" w:cs="Times New Roman"/>
        </w:rPr>
        <w:t xml:space="preserve">Similarly, the Commission was correct to stress that one should </w:t>
      </w:r>
      <w:r w:rsidR="00191A47" w:rsidRPr="00F71C89">
        <w:rPr>
          <w:rFonts w:ascii="Times New Roman" w:hAnsi="Times New Roman" w:cs="Times New Roman"/>
        </w:rPr>
        <w:t xml:space="preserve">not doubt ‘the usefulness of addressing the rule of law as a practical legal concept’ </w:t>
      </w:r>
      <w:r w:rsidR="00205C7D" w:rsidRPr="00F71C89">
        <w:rPr>
          <w:rFonts w:ascii="Times New Roman" w:hAnsi="Times New Roman" w:cs="Times New Roman"/>
        </w:rPr>
        <w:t xml:space="preserve">which must be considered </w:t>
      </w:r>
      <w:r w:rsidR="005F6538" w:rsidRPr="00F71C89">
        <w:rPr>
          <w:rFonts w:ascii="Times New Roman" w:hAnsi="Times New Roman" w:cs="Times New Roman"/>
        </w:rPr>
        <w:t>‘</w:t>
      </w:r>
      <w:r w:rsidR="00191A47" w:rsidRPr="00F71C89">
        <w:rPr>
          <w:rFonts w:ascii="Times New Roman" w:hAnsi="Times New Roman" w:cs="Times New Roman"/>
        </w:rPr>
        <w:t>a fundamental and common European standard to guide and constrain the exercise of democratic power’.</w:t>
      </w:r>
      <w:r w:rsidR="00191A47" w:rsidRPr="00F71C89">
        <w:rPr>
          <w:rStyle w:val="FootnoteReference"/>
          <w:rFonts w:ascii="Times New Roman" w:hAnsi="Times New Roman" w:cs="Times New Roman"/>
        </w:rPr>
        <w:footnoteReference w:id="10"/>
      </w:r>
      <w:r w:rsidR="00191A47" w:rsidRPr="00F71C89">
        <w:rPr>
          <w:rFonts w:ascii="Times New Roman" w:hAnsi="Times New Roman" w:cs="Times New Roman"/>
        </w:rPr>
        <w:t xml:space="preserve"> </w:t>
      </w:r>
    </w:p>
    <w:p w14:paraId="0D12FF76" w14:textId="77777777" w:rsidR="00552FF8" w:rsidRPr="00F71C89" w:rsidRDefault="00552FF8" w:rsidP="00F2706A">
      <w:pPr>
        <w:jc w:val="both"/>
        <w:rPr>
          <w:rFonts w:ascii="Times New Roman" w:hAnsi="Times New Roman" w:cs="Times New Roman"/>
        </w:rPr>
      </w:pPr>
    </w:p>
    <w:p w14:paraId="6D40BACD" w14:textId="30F32A4E" w:rsidR="00191A47" w:rsidRPr="00F71C89" w:rsidRDefault="00191A47" w:rsidP="00F2706A">
      <w:pPr>
        <w:jc w:val="both"/>
        <w:rPr>
          <w:rFonts w:ascii="Times New Roman" w:hAnsi="Times New Roman" w:cs="Times New Roman"/>
        </w:rPr>
      </w:pPr>
      <w:r w:rsidRPr="00F71C89">
        <w:rPr>
          <w:rFonts w:ascii="Times New Roman" w:hAnsi="Times New Roman" w:cs="Times New Roman"/>
        </w:rPr>
        <w:t>This</w:t>
      </w:r>
      <w:r w:rsidR="00153989" w:rsidRPr="00F71C89">
        <w:rPr>
          <w:rFonts w:ascii="Times New Roman" w:hAnsi="Times New Roman" w:cs="Times New Roman"/>
        </w:rPr>
        <w:t xml:space="preserve"> contribution will not</w:t>
      </w:r>
      <w:r w:rsidRPr="00F71C89">
        <w:rPr>
          <w:rFonts w:ascii="Times New Roman" w:hAnsi="Times New Roman" w:cs="Times New Roman"/>
        </w:rPr>
        <w:t xml:space="preserve"> furth</w:t>
      </w:r>
      <w:r w:rsidR="00153989" w:rsidRPr="00F71C89">
        <w:rPr>
          <w:rFonts w:ascii="Times New Roman" w:hAnsi="Times New Roman" w:cs="Times New Roman"/>
        </w:rPr>
        <w:t xml:space="preserve">er </w:t>
      </w:r>
      <w:r w:rsidR="00205C7D" w:rsidRPr="00F71C89">
        <w:rPr>
          <w:rFonts w:ascii="Times New Roman" w:hAnsi="Times New Roman" w:cs="Times New Roman"/>
        </w:rPr>
        <w:t>engage in</w:t>
      </w:r>
      <w:r w:rsidR="00153989" w:rsidRPr="00F71C89">
        <w:rPr>
          <w:rFonts w:ascii="Times New Roman" w:hAnsi="Times New Roman" w:cs="Times New Roman"/>
        </w:rPr>
        <w:t xml:space="preserve"> definitional issues </w:t>
      </w:r>
      <w:r w:rsidR="003F28BC" w:rsidRPr="00F71C89">
        <w:rPr>
          <w:rFonts w:ascii="Times New Roman" w:hAnsi="Times New Roman" w:cs="Times New Roman"/>
        </w:rPr>
        <w:t xml:space="preserve">to focus instead on </w:t>
      </w:r>
      <w:r w:rsidRPr="00F71C89">
        <w:rPr>
          <w:rFonts w:ascii="Times New Roman" w:hAnsi="Times New Roman" w:cs="Times New Roman"/>
        </w:rPr>
        <w:t>the extent to which</w:t>
      </w:r>
      <w:r w:rsidR="00C85444" w:rsidRPr="00F71C89">
        <w:rPr>
          <w:rFonts w:ascii="Times New Roman" w:hAnsi="Times New Roman" w:cs="Times New Roman"/>
        </w:rPr>
        <w:t xml:space="preserve"> the</w:t>
      </w:r>
      <w:r w:rsidRPr="00F71C89">
        <w:rPr>
          <w:rFonts w:ascii="Times New Roman" w:hAnsi="Times New Roman" w:cs="Times New Roman"/>
        </w:rPr>
        <w:t xml:space="preserve"> </w:t>
      </w:r>
      <w:r w:rsidR="00153989" w:rsidRPr="00F71C89">
        <w:rPr>
          <w:rFonts w:ascii="Times New Roman" w:hAnsi="Times New Roman" w:cs="Times New Roman"/>
        </w:rPr>
        <w:t xml:space="preserve">EU </w:t>
      </w:r>
      <w:r w:rsidRPr="00F71C89">
        <w:rPr>
          <w:rFonts w:ascii="Times New Roman" w:hAnsi="Times New Roman" w:cs="Times New Roman"/>
        </w:rPr>
        <w:t>Fundamental Rights</w:t>
      </w:r>
      <w:r w:rsidR="004B3AB3" w:rsidRPr="00F71C89">
        <w:rPr>
          <w:rFonts w:ascii="Times New Roman" w:hAnsi="Times New Roman" w:cs="Times New Roman"/>
        </w:rPr>
        <w:t xml:space="preserve"> Agency (hereinafter: FRA)</w:t>
      </w:r>
      <w:r w:rsidRPr="00F71C89">
        <w:rPr>
          <w:rFonts w:ascii="Times New Roman" w:hAnsi="Times New Roman" w:cs="Times New Roman"/>
        </w:rPr>
        <w:t xml:space="preserve"> is involved in the task of </w:t>
      </w:r>
      <w:r w:rsidR="004B3AB3" w:rsidRPr="00F71C89">
        <w:rPr>
          <w:rFonts w:ascii="Times New Roman" w:hAnsi="Times New Roman" w:cs="Times New Roman"/>
        </w:rPr>
        <w:t>guaranteeing respect</w:t>
      </w:r>
      <w:r w:rsidR="003F28BC" w:rsidRPr="00F71C89">
        <w:rPr>
          <w:rFonts w:ascii="Times New Roman" w:hAnsi="Times New Roman" w:cs="Times New Roman"/>
        </w:rPr>
        <w:t xml:space="preserve"> for the rule of law</w:t>
      </w:r>
      <w:r w:rsidR="00205C7D" w:rsidRPr="00F71C89">
        <w:rPr>
          <w:rFonts w:ascii="Times New Roman" w:hAnsi="Times New Roman" w:cs="Times New Roman"/>
        </w:rPr>
        <w:t xml:space="preserve"> within the EU. In light of the new</w:t>
      </w:r>
      <w:r w:rsidR="004B3AB3" w:rsidRPr="00F71C89">
        <w:rPr>
          <w:rFonts w:ascii="Times New Roman" w:hAnsi="Times New Roman" w:cs="Times New Roman"/>
        </w:rPr>
        <w:t xml:space="preserve"> and growing challenge faced by the EU</w:t>
      </w:r>
      <w:r w:rsidR="00153989" w:rsidRPr="00F71C89">
        <w:rPr>
          <w:rFonts w:ascii="Times New Roman" w:hAnsi="Times New Roman" w:cs="Times New Roman"/>
        </w:rPr>
        <w:t xml:space="preserve"> in this area, </w:t>
      </w:r>
      <w:r w:rsidR="00802FE3" w:rsidRPr="00F71C89">
        <w:rPr>
          <w:rFonts w:ascii="Times New Roman" w:hAnsi="Times New Roman" w:cs="Times New Roman"/>
        </w:rPr>
        <w:t xml:space="preserve">which one may call </w:t>
      </w:r>
      <w:r w:rsidR="004B3AB3" w:rsidRPr="00F71C89">
        <w:rPr>
          <w:rFonts w:ascii="Times New Roman" w:hAnsi="Times New Roman" w:cs="Times New Roman"/>
        </w:rPr>
        <w:t>‘rule of law backsliding’,</w:t>
      </w:r>
      <w:r w:rsidR="00153989" w:rsidRPr="00F71C89">
        <w:rPr>
          <w:rStyle w:val="FootnoteReference"/>
          <w:rFonts w:ascii="Times New Roman" w:hAnsi="Times New Roman" w:cs="Times New Roman"/>
        </w:rPr>
        <w:footnoteReference w:id="11"/>
      </w:r>
      <w:r w:rsidR="004B3AB3" w:rsidRPr="00F71C89">
        <w:rPr>
          <w:rFonts w:ascii="Times New Roman" w:hAnsi="Times New Roman" w:cs="Times New Roman"/>
        </w:rPr>
        <w:t xml:space="preserve"> our main submission is the FRA’s mandate should be revised in order to enable it to pla</w:t>
      </w:r>
      <w:r w:rsidR="007379EB" w:rsidRPr="00F71C89">
        <w:rPr>
          <w:rFonts w:ascii="Times New Roman" w:hAnsi="Times New Roman" w:cs="Times New Roman"/>
        </w:rPr>
        <w:t xml:space="preserve">y a more meaningful role on this </w:t>
      </w:r>
      <w:r w:rsidR="004B3AB3" w:rsidRPr="00F71C89">
        <w:rPr>
          <w:rFonts w:ascii="Times New Roman" w:hAnsi="Times New Roman" w:cs="Times New Roman"/>
        </w:rPr>
        <w:t>front. In addition</w:t>
      </w:r>
      <w:r w:rsidR="00802FE3" w:rsidRPr="00F71C89">
        <w:rPr>
          <w:rFonts w:ascii="Times New Roman" w:hAnsi="Times New Roman" w:cs="Times New Roman"/>
        </w:rPr>
        <w:t>,</w:t>
      </w:r>
      <w:r w:rsidR="004B3AB3" w:rsidRPr="00F71C89">
        <w:rPr>
          <w:rFonts w:ascii="Times New Roman" w:hAnsi="Times New Roman" w:cs="Times New Roman"/>
        </w:rPr>
        <w:t xml:space="preserve"> a larger involvement of the FRA in the Commission’s Rule of Law Framework and a formal role in the context of the Council’s Annual Rule of Law Dialogue</w:t>
      </w:r>
      <w:r w:rsidR="00802FE3" w:rsidRPr="00F71C89">
        <w:rPr>
          <w:rFonts w:ascii="Times New Roman" w:hAnsi="Times New Roman" w:cs="Times New Roman"/>
        </w:rPr>
        <w:t xml:space="preserve"> must be organised</w:t>
      </w:r>
      <w:r w:rsidR="004B3AB3" w:rsidRPr="00F71C89">
        <w:rPr>
          <w:rFonts w:ascii="Times New Roman" w:hAnsi="Times New Roman" w:cs="Times New Roman"/>
        </w:rPr>
        <w:t>. This con</w:t>
      </w:r>
      <w:r w:rsidR="00C85444" w:rsidRPr="00F71C89">
        <w:rPr>
          <w:rFonts w:ascii="Times New Roman" w:hAnsi="Times New Roman" w:cs="Times New Roman"/>
        </w:rPr>
        <w:t xml:space="preserve">tribution will also </w:t>
      </w:r>
      <w:r w:rsidR="00802FE3" w:rsidRPr="00F71C89">
        <w:rPr>
          <w:rFonts w:ascii="Times New Roman" w:hAnsi="Times New Roman" w:cs="Times New Roman"/>
        </w:rPr>
        <w:t xml:space="preserve">briefly </w:t>
      </w:r>
      <w:r w:rsidR="007379EB" w:rsidRPr="00F71C89">
        <w:rPr>
          <w:rFonts w:ascii="Times New Roman" w:hAnsi="Times New Roman" w:cs="Times New Roman"/>
        </w:rPr>
        <w:t>address the</w:t>
      </w:r>
      <w:r w:rsidR="00C85444" w:rsidRPr="00F71C89">
        <w:rPr>
          <w:rFonts w:ascii="Times New Roman" w:hAnsi="Times New Roman" w:cs="Times New Roman"/>
        </w:rPr>
        <w:t xml:space="preserve"> mechanism proposed by the European Parliament on 25 October 2016 </w:t>
      </w:r>
      <w:r w:rsidR="004B3AB3" w:rsidRPr="00F71C89">
        <w:rPr>
          <w:rFonts w:ascii="Times New Roman" w:hAnsi="Times New Roman" w:cs="Times New Roman"/>
        </w:rPr>
        <w:t>and discuss possible additional changes</w:t>
      </w:r>
      <w:r w:rsidR="007379EB" w:rsidRPr="00F71C89">
        <w:rPr>
          <w:rFonts w:ascii="Times New Roman" w:hAnsi="Times New Roman" w:cs="Times New Roman"/>
        </w:rPr>
        <w:t>, not requiring Treaty change,</w:t>
      </w:r>
      <w:r w:rsidR="004B3AB3" w:rsidRPr="00F71C89">
        <w:rPr>
          <w:rFonts w:ascii="Times New Roman" w:hAnsi="Times New Roman" w:cs="Times New Roman"/>
        </w:rPr>
        <w:t xml:space="preserve"> as far as the FRA is concerned. </w:t>
      </w:r>
    </w:p>
    <w:p w14:paraId="34B5473D" w14:textId="77777777" w:rsidR="003F6B6F" w:rsidRPr="00F71C89" w:rsidRDefault="003F6B6F" w:rsidP="00F2706A">
      <w:pPr>
        <w:jc w:val="both"/>
        <w:rPr>
          <w:rFonts w:ascii="Times New Roman" w:hAnsi="Times New Roman" w:cs="Times New Roman"/>
        </w:rPr>
      </w:pPr>
    </w:p>
    <w:p w14:paraId="297AC0D5" w14:textId="5934917B" w:rsidR="003F6B6F" w:rsidRPr="00F71C89" w:rsidRDefault="00540C98" w:rsidP="00F2706A">
      <w:pPr>
        <w:jc w:val="both"/>
        <w:rPr>
          <w:rFonts w:ascii="Times New Roman" w:hAnsi="Times New Roman" w:cs="Times New Roman"/>
          <w:b/>
        </w:rPr>
      </w:pPr>
      <w:r w:rsidRPr="00F71C89">
        <w:rPr>
          <w:rFonts w:ascii="Times New Roman" w:hAnsi="Times New Roman" w:cs="Times New Roman"/>
          <w:b/>
        </w:rPr>
        <w:t>2. The Rule of Law in the</w:t>
      </w:r>
      <w:r w:rsidR="003F6B6F" w:rsidRPr="00F71C89">
        <w:rPr>
          <w:rFonts w:ascii="Times New Roman" w:hAnsi="Times New Roman" w:cs="Times New Roman"/>
          <w:b/>
        </w:rPr>
        <w:t xml:space="preserve"> FRA’s Mandate</w:t>
      </w:r>
      <w:r w:rsidRPr="00F71C89">
        <w:rPr>
          <w:rFonts w:ascii="Times New Roman" w:hAnsi="Times New Roman" w:cs="Times New Roman"/>
          <w:b/>
        </w:rPr>
        <w:t xml:space="preserve"> </w:t>
      </w:r>
    </w:p>
    <w:p w14:paraId="654484C4" w14:textId="77777777" w:rsidR="003F6B6F" w:rsidRPr="00F71C89" w:rsidRDefault="003F6B6F" w:rsidP="00F2706A">
      <w:pPr>
        <w:jc w:val="both"/>
        <w:rPr>
          <w:rFonts w:ascii="Times New Roman" w:hAnsi="Times New Roman" w:cs="Times New Roman"/>
          <w:b/>
        </w:rPr>
      </w:pPr>
    </w:p>
    <w:p w14:paraId="6AD71796" w14:textId="1648BA1A" w:rsidR="00A0776D" w:rsidRPr="00F71C89" w:rsidRDefault="00540C98" w:rsidP="00F2706A">
      <w:pPr>
        <w:jc w:val="both"/>
        <w:rPr>
          <w:rFonts w:ascii="Times New Roman" w:hAnsi="Times New Roman" w:cs="Times New Roman"/>
        </w:rPr>
      </w:pPr>
      <w:r w:rsidRPr="00F71C89">
        <w:rPr>
          <w:rFonts w:ascii="Times New Roman" w:eastAsia="Calibri" w:hAnsi="Times New Roman" w:cs="Times New Roman"/>
        </w:rPr>
        <w:t>According to the Regulation having established the FRA,</w:t>
      </w:r>
      <w:r w:rsidRPr="00F71C89">
        <w:rPr>
          <w:rStyle w:val="FootnoteReference"/>
          <w:rFonts w:ascii="Times New Roman" w:eastAsia="Calibri" w:hAnsi="Times New Roman" w:cs="Times New Roman"/>
        </w:rPr>
        <w:footnoteReference w:id="12"/>
      </w:r>
      <w:r w:rsidRPr="00F71C89">
        <w:rPr>
          <w:rFonts w:ascii="Times New Roman" w:eastAsia="Calibri" w:hAnsi="Times New Roman" w:cs="Times New Roman"/>
        </w:rPr>
        <w:t xml:space="preserve"> its primary objective is to provide the EU institutions, bodies, offices and agencies and its Member States, when implementing EU law, with assistance and expertise relating to fundamental rights</w:t>
      </w:r>
      <w:r w:rsidR="00A0776D" w:rsidRPr="00F71C89">
        <w:rPr>
          <w:rFonts w:ascii="Times New Roman" w:eastAsia="Calibri" w:hAnsi="Times New Roman" w:cs="Times New Roman"/>
        </w:rPr>
        <w:t>.</w:t>
      </w:r>
      <w:r w:rsidRPr="00F71C89">
        <w:rPr>
          <w:rFonts w:ascii="Times New Roman" w:eastAsia="Calibri" w:hAnsi="Times New Roman" w:cs="Times New Roman"/>
          <w:vertAlign w:val="superscript"/>
        </w:rPr>
        <w:footnoteReference w:id="13"/>
      </w:r>
      <w:r w:rsidRPr="00F71C89">
        <w:rPr>
          <w:rFonts w:ascii="Times New Roman" w:eastAsia="Calibri" w:hAnsi="Times New Roman" w:cs="Times New Roman"/>
        </w:rPr>
        <w:t xml:space="preserve"> </w:t>
      </w:r>
      <w:r w:rsidR="006518C8" w:rsidRPr="00F71C89">
        <w:rPr>
          <w:rFonts w:ascii="Times New Roman" w:eastAsia="Calibri" w:hAnsi="Times New Roman" w:cs="Times New Roman"/>
        </w:rPr>
        <w:t>To do this, the</w:t>
      </w:r>
      <w:r w:rsidRPr="00F71C89">
        <w:rPr>
          <w:rFonts w:ascii="Times New Roman" w:eastAsia="Calibri" w:hAnsi="Times New Roman" w:cs="Times New Roman"/>
        </w:rPr>
        <w:t xml:space="preserve"> FRA </w:t>
      </w:r>
      <w:r w:rsidR="007379EB" w:rsidRPr="00F71C89">
        <w:rPr>
          <w:rFonts w:ascii="Times New Roman" w:eastAsia="Calibri" w:hAnsi="Times New Roman" w:cs="Times New Roman"/>
        </w:rPr>
        <w:t>has been empowered to perform</w:t>
      </w:r>
      <w:r w:rsidRPr="00F71C89">
        <w:rPr>
          <w:rFonts w:ascii="Times New Roman" w:eastAsia="Calibri" w:hAnsi="Times New Roman" w:cs="Times New Roman"/>
        </w:rPr>
        <w:t xml:space="preserve"> the following main tasks: collecting and analysing information and data; providing assistance and expertise; communicating and raising rights awareness</w:t>
      </w:r>
      <w:r w:rsidR="00A0776D" w:rsidRPr="00F71C89">
        <w:rPr>
          <w:rFonts w:ascii="Times New Roman" w:eastAsia="Calibri" w:hAnsi="Times New Roman" w:cs="Times New Roman"/>
        </w:rPr>
        <w:t xml:space="preserve">. This led </w:t>
      </w:r>
      <w:r w:rsidR="00A0776D" w:rsidRPr="00F71C89">
        <w:rPr>
          <w:rFonts w:ascii="Times New Roman" w:hAnsi="Times New Roman" w:cs="Times New Roman"/>
        </w:rPr>
        <w:t xml:space="preserve">the FRA </w:t>
      </w:r>
      <w:r w:rsidR="006518C8" w:rsidRPr="00F71C89">
        <w:rPr>
          <w:rFonts w:ascii="Times New Roman" w:hAnsi="Times New Roman" w:cs="Times New Roman"/>
        </w:rPr>
        <w:t xml:space="preserve">being described </w:t>
      </w:r>
      <w:r w:rsidR="00A0776D" w:rsidRPr="00F71C89">
        <w:rPr>
          <w:rFonts w:ascii="Times New Roman" w:hAnsi="Times New Roman" w:cs="Times New Roman"/>
        </w:rPr>
        <w:t>as an ‘information agency’ whose primary tasks lie therefore in the provision of information and communication as well as network management all in respect of fundamental rights matters.</w:t>
      </w:r>
      <w:r w:rsidR="00A0776D" w:rsidRPr="00F71C89">
        <w:rPr>
          <w:rStyle w:val="FootnoteReference"/>
          <w:rFonts w:ascii="Times New Roman" w:hAnsi="Times New Roman" w:cs="Times New Roman"/>
        </w:rPr>
        <w:footnoteReference w:id="14"/>
      </w:r>
      <w:r w:rsidR="005B3690" w:rsidRPr="00F71C89">
        <w:rPr>
          <w:rFonts w:ascii="Times New Roman" w:hAnsi="Times New Roman" w:cs="Times New Roman"/>
        </w:rPr>
        <w:t xml:space="preserve"> </w:t>
      </w:r>
    </w:p>
    <w:p w14:paraId="0EF80DF9" w14:textId="77777777" w:rsidR="00A0776D" w:rsidRPr="00F71C89" w:rsidRDefault="00A0776D" w:rsidP="00F2706A">
      <w:pPr>
        <w:jc w:val="both"/>
        <w:rPr>
          <w:rFonts w:ascii="Times New Roman" w:hAnsi="Times New Roman" w:cs="Times New Roman"/>
        </w:rPr>
      </w:pPr>
    </w:p>
    <w:p w14:paraId="371F1D62" w14:textId="04C4110D" w:rsidR="005B3690" w:rsidRPr="00F71C89" w:rsidRDefault="00A0776D" w:rsidP="00F2706A">
      <w:pPr>
        <w:jc w:val="both"/>
        <w:rPr>
          <w:rFonts w:ascii="Times New Roman" w:hAnsi="Times New Roman" w:cs="Times New Roman"/>
        </w:rPr>
      </w:pPr>
      <w:r w:rsidRPr="00F71C89">
        <w:rPr>
          <w:rFonts w:ascii="Times New Roman" w:hAnsi="Times New Roman" w:cs="Times New Roman"/>
        </w:rPr>
        <w:t xml:space="preserve">It follows that the </w:t>
      </w:r>
      <w:r w:rsidR="00F2706A" w:rsidRPr="00F71C89">
        <w:rPr>
          <w:rFonts w:ascii="Times New Roman" w:hAnsi="Times New Roman" w:cs="Times New Roman"/>
        </w:rPr>
        <w:t xml:space="preserve">competences of the FRA are </w:t>
      </w:r>
      <w:r w:rsidRPr="00F71C89">
        <w:rPr>
          <w:rFonts w:ascii="Times New Roman" w:hAnsi="Times New Roman" w:cs="Times New Roman"/>
        </w:rPr>
        <w:t>limited. It has no legislative or regulatory powers or quasi-judicial powers meaning, for instance, that it cannot examine individual complaints</w:t>
      </w:r>
      <w:r w:rsidR="00BB306F" w:rsidRPr="00F71C89">
        <w:rPr>
          <w:rFonts w:ascii="Times New Roman" w:hAnsi="Times New Roman" w:cs="Times New Roman"/>
        </w:rPr>
        <w:t xml:space="preserve"> and </w:t>
      </w:r>
      <w:r w:rsidR="00F2706A" w:rsidRPr="00F71C89">
        <w:rPr>
          <w:rFonts w:ascii="Times New Roman" w:hAnsi="Times New Roman" w:cs="Times New Roman"/>
        </w:rPr>
        <w:t xml:space="preserve">impose </w:t>
      </w:r>
      <w:r w:rsidR="00BB306F" w:rsidRPr="00F71C89">
        <w:rPr>
          <w:rFonts w:ascii="Times New Roman" w:eastAsia="Calibri" w:hAnsi="Times New Roman" w:cs="Times New Roman"/>
        </w:rPr>
        <w:t xml:space="preserve">sanctions as a follow-up to the findings </w:t>
      </w:r>
      <w:r w:rsidR="00F2706A" w:rsidRPr="00F71C89">
        <w:rPr>
          <w:rFonts w:ascii="Times New Roman" w:eastAsia="Calibri" w:hAnsi="Times New Roman" w:cs="Times New Roman"/>
        </w:rPr>
        <w:t>the FRA may make</w:t>
      </w:r>
      <w:r w:rsidR="00BB306F" w:rsidRPr="00F71C89">
        <w:rPr>
          <w:rFonts w:ascii="Times New Roman" w:hAnsi="Times New Roman" w:cs="Times New Roman"/>
        </w:rPr>
        <w:t>. And while t</w:t>
      </w:r>
      <w:r w:rsidR="00772436" w:rsidRPr="00F71C89">
        <w:rPr>
          <w:rFonts w:ascii="Times New Roman" w:hAnsi="Times New Roman" w:cs="Times New Roman"/>
        </w:rPr>
        <w:t>he FRA may carry out its tasks at the request of EU instituti</w:t>
      </w:r>
      <w:r w:rsidR="00BB306F" w:rsidRPr="00F71C89">
        <w:rPr>
          <w:rFonts w:ascii="Times New Roman" w:hAnsi="Times New Roman" w:cs="Times New Roman"/>
        </w:rPr>
        <w:t>ons or on its own initiative,</w:t>
      </w:r>
      <w:r w:rsidR="00772436" w:rsidRPr="00F71C89">
        <w:rPr>
          <w:rFonts w:ascii="Times New Roman" w:hAnsi="Times New Roman" w:cs="Times New Roman"/>
        </w:rPr>
        <w:t xml:space="preserve"> in the latter case, its ability to act on its own initiative is furthermore limited as it can only do so in accordance with the five-year Multiannual Framework. </w:t>
      </w:r>
      <w:r w:rsidR="005B3690" w:rsidRPr="00F71C89">
        <w:rPr>
          <w:rFonts w:ascii="Times New Roman" w:hAnsi="Times New Roman" w:cs="Times New Roman"/>
        </w:rPr>
        <w:t>These Frameworks</w:t>
      </w:r>
      <w:r w:rsidR="001859CE" w:rsidRPr="00F71C89">
        <w:rPr>
          <w:rFonts w:ascii="Times New Roman" w:hAnsi="Times New Roman" w:cs="Times New Roman"/>
        </w:rPr>
        <w:t xml:space="preserve"> set</w:t>
      </w:r>
      <w:r w:rsidR="005B3690" w:rsidRPr="00F71C89">
        <w:rPr>
          <w:rFonts w:ascii="Times New Roman" w:hAnsi="Times New Roman" w:cs="Times New Roman"/>
        </w:rPr>
        <w:t xml:space="preserve"> out </w:t>
      </w:r>
      <w:r w:rsidR="001859CE" w:rsidRPr="00F71C89">
        <w:rPr>
          <w:rFonts w:ascii="Times New Roman" w:hAnsi="Times New Roman" w:cs="Times New Roman"/>
        </w:rPr>
        <w:t xml:space="preserve">the </w:t>
      </w:r>
      <w:r w:rsidR="005B3690" w:rsidRPr="00F71C89">
        <w:rPr>
          <w:rFonts w:ascii="Times New Roman" w:hAnsi="Times New Roman" w:cs="Times New Roman"/>
        </w:rPr>
        <w:t>thematic areas</w:t>
      </w:r>
      <w:r w:rsidR="001859CE" w:rsidRPr="00F71C89">
        <w:rPr>
          <w:rFonts w:ascii="Times New Roman" w:hAnsi="Times New Roman" w:cs="Times New Roman"/>
        </w:rPr>
        <w:t xml:space="preserve"> in which the FRA operates, which are based on institutional expertise, stakeholder requests, and impacts achieved. </w:t>
      </w:r>
      <w:r w:rsidR="00FD62AC" w:rsidRPr="00F71C89">
        <w:rPr>
          <w:rFonts w:ascii="Times New Roman" w:hAnsi="Times New Roman" w:cs="Times New Roman"/>
        </w:rPr>
        <w:t>The</w:t>
      </w:r>
      <w:r w:rsidR="001859CE" w:rsidRPr="00F71C89">
        <w:rPr>
          <w:rFonts w:ascii="Times New Roman" w:hAnsi="Times New Roman" w:cs="Times New Roman"/>
        </w:rPr>
        <w:t xml:space="preserve"> thematic areas reflect core </w:t>
      </w:r>
      <w:r w:rsidR="00FD62AC" w:rsidRPr="00F71C89">
        <w:rPr>
          <w:rFonts w:ascii="Times New Roman" w:hAnsi="Times New Roman" w:cs="Times New Roman"/>
        </w:rPr>
        <w:t xml:space="preserve">challenges for </w:t>
      </w:r>
      <w:r w:rsidR="001859CE" w:rsidRPr="00F71C89">
        <w:rPr>
          <w:rFonts w:ascii="Times New Roman" w:hAnsi="Times New Roman" w:cs="Times New Roman"/>
        </w:rPr>
        <w:t xml:space="preserve">fundamental rights protection in the EU, </w:t>
      </w:r>
      <w:r w:rsidR="00FD62AC" w:rsidRPr="00F71C89">
        <w:rPr>
          <w:rFonts w:ascii="Times New Roman" w:hAnsi="Times New Roman" w:cs="Times New Roman"/>
        </w:rPr>
        <w:t>including</w:t>
      </w:r>
      <w:r w:rsidR="001859CE" w:rsidRPr="00F71C89">
        <w:rPr>
          <w:rFonts w:ascii="Times New Roman" w:hAnsi="Times New Roman" w:cs="Times New Roman"/>
        </w:rPr>
        <w:t xml:space="preserve"> </w:t>
      </w:r>
      <w:r w:rsidR="00FD62AC" w:rsidRPr="00F71C89">
        <w:rPr>
          <w:rFonts w:ascii="Times New Roman" w:hAnsi="Times New Roman" w:cs="Times New Roman"/>
        </w:rPr>
        <w:t>racism and xenophobia, integration and social inclusion of Roma,</w:t>
      </w:r>
      <w:r w:rsidR="001859CE" w:rsidRPr="00F71C89">
        <w:rPr>
          <w:rFonts w:ascii="Times New Roman" w:hAnsi="Times New Roman" w:cs="Times New Roman"/>
        </w:rPr>
        <w:t xml:space="preserve"> and </w:t>
      </w:r>
      <w:r w:rsidR="00FD62AC" w:rsidRPr="00F71C89">
        <w:rPr>
          <w:rFonts w:ascii="Times New Roman" w:hAnsi="Times New Roman" w:cs="Times New Roman"/>
        </w:rPr>
        <w:t>access to efficient and independent justice. While this latter area is a principle generally recognised as a core element of the rule of law, and i</w:t>
      </w:r>
      <w:r w:rsidR="00BB306F" w:rsidRPr="00F71C89">
        <w:rPr>
          <w:rFonts w:ascii="Times New Roman" w:hAnsi="Times New Roman" w:cs="Times New Roman"/>
        </w:rPr>
        <w:t xml:space="preserve">mportantly in light of this contribution’s focus, </w:t>
      </w:r>
      <w:r w:rsidR="00B7558F" w:rsidRPr="00F71C89">
        <w:rPr>
          <w:rFonts w:ascii="Times New Roman" w:hAnsi="Times New Roman" w:cs="Times New Roman"/>
        </w:rPr>
        <w:t>there has been no explicit mention of the ‘rule of law’</w:t>
      </w:r>
      <w:r w:rsidR="005B3690" w:rsidRPr="00F71C89">
        <w:rPr>
          <w:rFonts w:ascii="Times New Roman" w:hAnsi="Times New Roman" w:cs="Times New Roman"/>
        </w:rPr>
        <w:t xml:space="preserve"> in any </w:t>
      </w:r>
      <w:r w:rsidR="00E5040F" w:rsidRPr="00F71C89">
        <w:rPr>
          <w:rFonts w:ascii="Times New Roman" w:hAnsi="Times New Roman" w:cs="Times New Roman"/>
        </w:rPr>
        <w:t>Multiannual Framework</w:t>
      </w:r>
      <w:r w:rsidR="005B3690" w:rsidRPr="00F71C89">
        <w:rPr>
          <w:rFonts w:ascii="Times New Roman" w:hAnsi="Times New Roman" w:cs="Times New Roman"/>
        </w:rPr>
        <w:t xml:space="preserve"> since 2007</w:t>
      </w:r>
      <w:r w:rsidR="00FD62AC" w:rsidRPr="00F71C89">
        <w:rPr>
          <w:rFonts w:ascii="Times New Roman" w:hAnsi="Times New Roman" w:cs="Times New Roman"/>
        </w:rPr>
        <w:t xml:space="preserve">. </w:t>
      </w:r>
      <w:r w:rsidR="007379EB" w:rsidRPr="00F71C89">
        <w:rPr>
          <w:rFonts w:ascii="Times New Roman" w:hAnsi="Times New Roman" w:cs="Times New Roman"/>
        </w:rPr>
        <w:t>This is perhaps unsurprising considering that Regulation 168/2007 only refers once to the principle of the rule of law and only in recital 1 which merely however refers to what is now Article 2 TEU. More surprisingly, d</w:t>
      </w:r>
      <w:r w:rsidR="00FD62AC" w:rsidRPr="00F71C89">
        <w:rPr>
          <w:rFonts w:ascii="Times New Roman" w:hAnsi="Times New Roman" w:cs="Times New Roman"/>
        </w:rPr>
        <w:t xml:space="preserve">espite growing </w:t>
      </w:r>
      <w:r w:rsidR="007379EB" w:rsidRPr="00F71C89">
        <w:rPr>
          <w:rFonts w:ascii="Times New Roman" w:hAnsi="Times New Roman" w:cs="Times New Roman"/>
        </w:rPr>
        <w:t xml:space="preserve">and serious </w:t>
      </w:r>
      <w:r w:rsidR="00FD62AC" w:rsidRPr="00F71C89">
        <w:rPr>
          <w:rFonts w:ascii="Times New Roman" w:hAnsi="Times New Roman" w:cs="Times New Roman"/>
        </w:rPr>
        <w:t>concerns for rule of law compliance</w:t>
      </w:r>
      <w:r w:rsidR="007379EB" w:rsidRPr="00F71C89">
        <w:rPr>
          <w:rFonts w:ascii="Times New Roman" w:hAnsi="Times New Roman" w:cs="Times New Roman"/>
        </w:rPr>
        <w:t xml:space="preserve"> at Member State level</w:t>
      </w:r>
      <w:r w:rsidR="00FD62AC" w:rsidRPr="00F71C89">
        <w:rPr>
          <w:rFonts w:ascii="Times New Roman" w:hAnsi="Times New Roman" w:cs="Times New Roman"/>
        </w:rPr>
        <w:t>, and the potential significance of FRA contributions to addressing these concerns herein argued,</w:t>
      </w:r>
      <w:r w:rsidR="00FD62AC" w:rsidRPr="00F71C89">
        <w:rPr>
          <w:rStyle w:val="FootnoteReference"/>
          <w:rFonts w:ascii="Times New Roman" w:hAnsi="Times New Roman" w:cs="Times New Roman"/>
        </w:rPr>
        <w:footnoteReference w:id="15"/>
      </w:r>
      <w:r w:rsidR="00FD62AC" w:rsidRPr="00F71C89">
        <w:rPr>
          <w:rFonts w:ascii="Times New Roman" w:hAnsi="Times New Roman" w:cs="Times New Roman"/>
        </w:rPr>
        <w:t xml:space="preserve"> t</w:t>
      </w:r>
      <w:r w:rsidR="001859CE" w:rsidRPr="00F71C89">
        <w:rPr>
          <w:rFonts w:ascii="Times New Roman" w:hAnsi="Times New Roman" w:cs="Times New Roman"/>
        </w:rPr>
        <w:t xml:space="preserve">he proposed 2018-2022 Multiannual Framework </w:t>
      </w:r>
      <w:r w:rsidR="007379EB" w:rsidRPr="00F71C89">
        <w:rPr>
          <w:rFonts w:ascii="Times New Roman" w:hAnsi="Times New Roman" w:cs="Times New Roman"/>
        </w:rPr>
        <w:t xml:space="preserve">does </w:t>
      </w:r>
      <w:r w:rsidR="00FD62AC" w:rsidRPr="00F71C89">
        <w:rPr>
          <w:rFonts w:ascii="Times New Roman" w:hAnsi="Times New Roman" w:cs="Times New Roman"/>
        </w:rPr>
        <w:t>not contain</w:t>
      </w:r>
      <w:r w:rsidR="001859CE" w:rsidRPr="00F71C89">
        <w:rPr>
          <w:rFonts w:ascii="Times New Roman" w:hAnsi="Times New Roman" w:cs="Times New Roman"/>
        </w:rPr>
        <w:t xml:space="preserve"> any explicit reference to the rule of law. </w:t>
      </w:r>
    </w:p>
    <w:p w14:paraId="42291A86" w14:textId="77777777" w:rsidR="00F2706A" w:rsidRPr="00F71C89" w:rsidRDefault="00F2706A" w:rsidP="00F2706A">
      <w:pPr>
        <w:jc w:val="both"/>
        <w:rPr>
          <w:rFonts w:ascii="Times New Roman" w:hAnsi="Times New Roman" w:cs="Times New Roman"/>
        </w:rPr>
      </w:pPr>
    </w:p>
    <w:p w14:paraId="7BF65ED5" w14:textId="3417C511" w:rsidR="00431F31" w:rsidRPr="00F71C89" w:rsidRDefault="00BB306F" w:rsidP="00F2706A">
      <w:pPr>
        <w:pStyle w:val="Heading1"/>
        <w:spacing w:before="0" w:beforeAutospacing="0" w:after="0" w:afterAutospacing="0"/>
        <w:jc w:val="both"/>
        <w:rPr>
          <w:b w:val="0"/>
          <w:sz w:val="24"/>
          <w:szCs w:val="24"/>
        </w:rPr>
      </w:pPr>
      <w:r w:rsidRPr="00F71C89">
        <w:rPr>
          <w:b w:val="0"/>
          <w:sz w:val="24"/>
          <w:szCs w:val="24"/>
        </w:rPr>
        <w:t>Th</w:t>
      </w:r>
      <w:r w:rsidR="00F2706A" w:rsidRPr="00F71C89">
        <w:rPr>
          <w:b w:val="0"/>
          <w:sz w:val="24"/>
          <w:szCs w:val="24"/>
        </w:rPr>
        <w:t xml:space="preserve">is has not however </w:t>
      </w:r>
      <w:r w:rsidRPr="00F71C89">
        <w:rPr>
          <w:b w:val="0"/>
          <w:sz w:val="24"/>
          <w:szCs w:val="24"/>
        </w:rPr>
        <w:t>prevented the FRA from producing reports on issues which constitute core elements of the rule of law as previously defined.</w:t>
      </w:r>
      <w:r w:rsidR="00B80BEE" w:rsidRPr="00F71C89">
        <w:rPr>
          <w:rStyle w:val="FootnoteReference"/>
          <w:b w:val="0"/>
          <w:sz w:val="24"/>
          <w:szCs w:val="24"/>
        </w:rPr>
        <w:footnoteReference w:id="16"/>
      </w:r>
      <w:r w:rsidRPr="00F71C89">
        <w:rPr>
          <w:b w:val="0"/>
          <w:sz w:val="24"/>
          <w:szCs w:val="24"/>
        </w:rPr>
        <w:t xml:space="preserve"> The </w:t>
      </w:r>
      <w:r w:rsidR="00F638FC" w:rsidRPr="00F71C89">
        <w:rPr>
          <w:b w:val="0"/>
          <w:sz w:val="24"/>
          <w:szCs w:val="24"/>
        </w:rPr>
        <w:t>FRA must</w:t>
      </w:r>
      <w:r w:rsidR="000A652F" w:rsidRPr="00F71C89">
        <w:rPr>
          <w:b w:val="0"/>
          <w:sz w:val="24"/>
          <w:szCs w:val="24"/>
        </w:rPr>
        <w:t>,</w:t>
      </w:r>
      <w:r w:rsidR="00F638FC" w:rsidRPr="00F71C89">
        <w:rPr>
          <w:b w:val="0"/>
          <w:sz w:val="24"/>
          <w:szCs w:val="24"/>
        </w:rPr>
        <w:t xml:space="preserve"> after all</w:t>
      </w:r>
      <w:r w:rsidR="000A652F" w:rsidRPr="00F71C89">
        <w:rPr>
          <w:b w:val="0"/>
          <w:sz w:val="24"/>
          <w:szCs w:val="24"/>
        </w:rPr>
        <w:t>,</w:t>
      </w:r>
      <w:r w:rsidR="00F638FC" w:rsidRPr="00F71C89">
        <w:rPr>
          <w:b w:val="0"/>
          <w:sz w:val="24"/>
          <w:szCs w:val="24"/>
        </w:rPr>
        <w:t xml:space="preserve"> take into account the </w:t>
      </w:r>
      <w:r w:rsidRPr="00F71C89">
        <w:rPr>
          <w:b w:val="0"/>
          <w:sz w:val="24"/>
          <w:szCs w:val="24"/>
        </w:rPr>
        <w:t>EU Charter</w:t>
      </w:r>
      <w:r w:rsidR="00456A99" w:rsidRPr="00F71C89">
        <w:rPr>
          <w:b w:val="0"/>
          <w:sz w:val="24"/>
          <w:szCs w:val="24"/>
        </w:rPr>
        <w:t>,</w:t>
      </w:r>
      <w:r w:rsidR="00F638FC" w:rsidRPr="00F71C89">
        <w:rPr>
          <w:rStyle w:val="FootnoteReference"/>
          <w:b w:val="0"/>
          <w:sz w:val="24"/>
          <w:szCs w:val="24"/>
        </w:rPr>
        <w:footnoteReference w:id="17"/>
      </w:r>
      <w:r w:rsidRPr="00F71C89">
        <w:rPr>
          <w:b w:val="0"/>
          <w:sz w:val="24"/>
          <w:szCs w:val="24"/>
        </w:rPr>
        <w:t xml:space="preserve"> </w:t>
      </w:r>
      <w:r w:rsidR="00F638FC" w:rsidRPr="00F71C89">
        <w:rPr>
          <w:b w:val="0"/>
          <w:sz w:val="24"/>
          <w:szCs w:val="24"/>
        </w:rPr>
        <w:t xml:space="preserve">which </w:t>
      </w:r>
      <w:r w:rsidRPr="00F71C89">
        <w:rPr>
          <w:b w:val="0"/>
          <w:sz w:val="24"/>
          <w:szCs w:val="24"/>
        </w:rPr>
        <w:t>provide</w:t>
      </w:r>
      <w:r w:rsidR="00F638FC" w:rsidRPr="00F71C89">
        <w:rPr>
          <w:b w:val="0"/>
          <w:sz w:val="24"/>
          <w:szCs w:val="24"/>
        </w:rPr>
        <w:t>s</w:t>
      </w:r>
      <w:r w:rsidRPr="00F71C89">
        <w:rPr>
          <w:b w:val="0"/>
          <w:sz w:val="24"/>
          <w:szCs w:val="24"/>
        </w:rPr>
        <w:t xml:space="preserve"> for a number of fundamental rights under the heading ‘Justice’.</w:t>
      </w:r>
      <w:r w:rsidR="0009476D" w:rsidRPr="00F71C89">
        <w:rPr>
          <w:b w:val="0"/>
          <w:sz w:val="24"/>
          <w:szCs w:val="24"/>
        </w:rPr>
        <w:t xml:space="preserve"> </w:t>
      </w:r>
      <w:r w:rsidR="00D31BDC" w:rsidRPr="00F71C89">
        <w:rPr>
          <w:b w:val="0"/>
          <w:sz w:val="24"/>
          <w:szCs w:val="24"/>
        </w:rPr>
        <w:t>More pertinently to this contribution, the FRA has consistently signalled a willingness to provide assistance to EU institutions in the context of rule of law challenges, and to engage with debates concerning the means by which rule of law issues must be addressed. For example</w:t>
      </w:r>
      <w:r w:rsidR="0009476D" w:rsidRPr="00F71C89">
        <w:rPr>
          <w:b w:val="0"/>
          <w:sz w:val="24"/>
          <w:szCs w:val="24"/>
        </w:rPr>
        <w:t>, t</w:t>
      </w:r>
      <w:r w:rsidR="001C6987" w:rsidRPr="00F71C89">
        <w:rPr>
          <w:b w:val="0"/>
          <w:sz w:val="24"/>
          <w:szCs w:val="24"/>
        </w:rPr>
        <w:t xml:space="preserve">he Fourth Annual FRA Symposium, </w:t>
      </w:r>
      <w:r w:rsidR="000A652F" w:rsidRPr="00F71C89">
        <w:rPr>
          <w:b w:val="0"/>
          <w:sz w:val="24"/>
          <w:szCs w:val="24"/>
        </w:rPr>
        <w:t xml:space="preserve">which took </w:t>
      </w:r>
      <w:r w:rsidR="001C6987" w:rsidRPr="00F71C89">
        <w:rPr>
          <w:b w:val="0"/>
          <w:sz w:val="24"/>
          <w:szCs w:val="24"/>
        </w:rPr>
        <w:t>place in Vienna 2013, focused on the promotion of the rule of law in the EU.</w:t>
      </w:r>
      <w:r w:rsidR="000B5D3D" w:rsidRPr="00F71C89">
        <w:rPr>
          <w:rStyle w:val="FootnoteReference"/>
          <w:b w:val="0"/>
          <w:sz w:val="24"/>
          <w:szCs w:val="24"/>
        </w:rPr>
        <w:footnoteReference w:id="18"/>
      </w:r>
      <w:r w:rsidR="001C6987" w:rsidRPr="00F71C89">
        <w:rPr>
          <w:b w:val="0"/>
          <w:sz w:val="24"/>
          <w:szCs w:val="24"/>
        </w:rPr>
        <w:t xml:space="preserve"> While highlighting the connection between the rule of law and </w:t>
      </w:r>
      <w:r w:rsidR="004B0E9F" w:rsidRPr="00F71C89">
        <w:rPr>
          <w:b w:val="0"/>
          <w:sz w:val="24"/>
          <w:szCs w:val="24"/>
        </w:rPr>
        <w:t>protectio</w:t>
      </w:r>
      <w:r w:rsidR="00456A99" w:rsidRPr="00F71C89">
        <w:rPr>
          <w:b w:val="0"/>
          <w:sz w:val="24"/>
          <w:szCs w:val="24"/>
        </w:rPr>
        <w:t>n of individual rights</w:t>
      </w:r>
      <w:r w:rsidR="004B0E9F" w:rsidRPr="00F71C89">
        <w:rPr>
          <w:b w:val="0"/>
          <w:sz w:val="24"/>
          <w:szCs w:val="24"/>
        </w:rPr>
        <w:t xml:space="preserve">, the symposium report underlined its aim at contributing to the then ongoing discussions relating to the Copenhagen criteria. Morten Kjaerum, then FRA director, signalled the FRA’s availability and institutional expertise which could be utilised in the process of consolidation </w:t>
      </w:r>
      <w:r w:rsidR="00431F31" w:rsidRPr="00F71C89">
        <w:rPr>
          <w:b w:val="0"/>
          <w:sz w:val="24"/>
          <w:szCs w:val="24"/>
        </w:rPr>
        <w:t xml:space="preserve">of available data and analysis ‘to create a sort of </w:t>
      </w:r>
      <w:r w:rsidR="000A652F" w:rsidRPr="00F71C89">
        <w:rPr>
          <w:b w:val="0"/>
          <w:sz w:val="24"/>
          <w:szCs w:val="24"/>
        </w:rPr>
        <w:t>“</w:t>
      </w:r>
      <w:r w:rsidR="00431F31" w:rsidRPr="00F71C89">
        <w:rPr>
          <w:b w:val="0"/>
          <w:sz w:val="24"/>
          <w:szCs w:val="24"/>
        </w:rPr>
        <w:t>one-stop-shop</w:t>
      </w:r>
      <w:r w:rsidR="000A652F" w:rsidRPr="00F71C89">
        <w:rPr>
          <w:b w:val="0"/>
          <w:sz w:val="24"/>
          <w:szCs w:val="24"/>
        </w:rPr>
        <w:t>”</w:t>
      </w:r>
      <w:r w:rsidR="00431F31" w:rsidRPr="00F71C89">
        <w:rPr>
          <w:b w:val="0"/>
          <w:sz w:val="24"/>
          <w:szCs w:val="24"/>
        </w:rPr>
        <w:t xml:space="preserve"> for measuring the rule of law</w:t>
      </w:r>
      <w:r w:rsidR="000A652F" w:rsidRPr="00F71C89">
        <w:rPr>
          <w:b w:val="0"/>
          <w:sz w:val="24"/>
          <w:szCs w:val="24"/>
        </w:rPr>
        <w:t>’</w:t>
      </w:r>
      <w:r w:rsidR="00431F31" w:rsidRPr="00F71C89">
        <w:rPr>
          <w:b w:val="0"/>
          <w:sz w:val="24"/>
          <w:szCs w:val="24"/>
        </w:rPr>
        <w:t xml:space="preserve"> as well as the possible </w:t>
      </w:r>
      <w:r w:rsidR="004B0E9F" w:rsidRPr="00F71C89">
        <w:rPr>
          <w:b w:val="0"/>
          <w:sz w:val="24"/>
          <w:szCs w:val="24"/>
        </w:rPr>
        <w:t>assessment of rule of law indicators</w:t>
      </w:r>
      <w:r w:rsidR="00431F31" w:rsidRPr="00F71C89">
        <w:rPr>
          <w:b w:val="0"/>
          <w:sz w:val="24"/>
          <w:szCs w:val="24"/>
        </w:rPr>
        <w:t>.</w:t>
      </w:r>
      <w:r w:rsidR="001C693A" w:rsidRPr="00F71C89">
        <w:rPr>
          <w:rStyle w:val="FootnoteReference"/>
          <w:b w:val="0"/>
          <w:sz w:val="24"/>
          <w:szCs w:val="24"/>
        </w:rPr>
        <w:footnoteReference w:id="19"/>
      </w:r>
      <w:r w:rsidR="004B0E9F" w:rsidRPr="00F71C89">
        <w:rPr>
          <w:b w:val="0"/>
          <w:sz w:val="24"/>
          <w:szCs w:val="24"/>
        </w:rPr>
        <w:t xml:space="preserve"> </w:t>
      </w:r>
    </w:p>
    <w:p w14:paraId="7C2435CA" w14:textId="77777777" w:rsidR="00431F31" w:rsidRPr="00F71C89" w:rsidRDefault="00431F31" w:rsidP="00F2706A">
      <w:pPr>
        <w:pStyle w:val="Heading1"/>
        <w:spacing w:before="0" w:beforeAutospacing="0" w:after="0" w:afterAutospacing="0"/>
        <w:jc w:val="both"/>
        <w:rPr>
          <w:b w:val="0"/>
          <w:sz w:val="24"/>
          <w:szCs w:val="24"/>
        </w:rPr>
      </w:pPr>
    </w:p>
    <w:p w14:paraId="5786B6CD" w14:textId="7F673D8F" w:rsidR="001859CE" w:rsidRPr="00F71C89" w:rsidRDefault="00D82D65" w:rsidP="00F2706A">
      <w:pPr>
        <w:pStyle w:val="Heading1"/>
        <w:spacing w:before="0" w:beforeAutospacing="0" w:after="0" w:afterAutospacing="0"/>
        <w:jc w:val="both"/>
        <w:rPr>
          <w:sz w:val="24"/>
          <w:szCs w:val="24"/>
          <w:lang w:eastAsia="en-GB"/>
        </w:rPr>
      </w:pPr>
      <w:r w:rsidRPr="00F71C89">
        <w:rPr>
          <w:b w:val="0"/>
          <w:sz w:val="24"/>
          <w:szCs w:val="24"/>
        </w:rPr>
        <w:t xml:space="preserve">Linked to this, the FRA 2013 Annual Report </w:t>
      </w:r>
      <w:r w:rsidR="0009476D" w:rsidRPr="00F71C89">
        <w:rPr>
          <w:b w:val="0"/>
          <w:sz w:val="24"/>
          <w:szCs w:val="24"/>
        </w:rPr>
        <w:t xml:space="preserve">directly commented upon the Commission’s Rule of Law Framework (then just adopted), suggesting the broadening of the scope of the Framework to other Article 2 TEU values (including fundamental rights), </w:t>
      </w:r>
      <w:r w:rsidR="00D31BDC" w:rsidRPr="00F71C89">
        <w:rPr>
          <w:b w:val="0"/>
          <w:sz w:val="24"/>
          <w:szCs w:val="24"/>
        </w:rPr>
        <w:t xml:space="preserve">the subjection of the EU to monitoring for rule of law compliance, and </w:t>
      </w:r>
      <w:r w:rsidR="0009476D" w:rsidRPr="00F71C89">
        <w:rPr>
          <w:b w:val="0"/>
          <w:sz w:val="24"/>
          <w:szCs w:val="24"/>
        </w:rPr>
        <w:t>the involvement of other EU institutions</w:t>
      </w:r>
      <w:r w:rsidR="00D31BDC" w:rsidRPr="00F71C89">
        <w:rPr>
          <w:b w:val="0"/>
          <w:sz w:val="24"/>
          <w:szCs w:val="24"/>
        </w:rPr>
        <w:t>.</w:t>
      </w:r>
      <w:r w:rsidR="001C693A" w:rsidRPr="00F71C89">
        <w:rPr>
          <w:rStyle w:val="FootnoteReference"/>
          <w:b w:val="0"/>
          <w:sz w:val="24"/>
          <w:szCs w:val="24"/>
        </w:rPr>
        <w:footnoteReference w:id="20"/>
      </w:r>
      <w:r w:rsidR="00D31BDC" w:rsidRPr="00F71C89">
        <w:rPr>
          <w:b w:val="0"/>
          <w:sz w:val="24"/>
          <w:szCs w:val="24"/>
        </w:rPr>
        <w:t xml:space="preserve"> Underlying these suggestions is the </w:t>
      </w:r>
      <w:r w:rsidR="0049150C" w:rsidRPr="00F71C89">
        <w:rPr>
          <w:b w:val="0"/>
          <w:sz w:val="24"/>
          <w:szCs w:val="24"/>
        </w:rPr>
        <w:t xml:space="preserve">correct assumption </w:t>
      </w:r>
      <w:r w:rsidR="00D31BDC" w:rsidRPr="00F71C89">
        <w:rPr>
          <w:b w:val="0"/>
          <w:sz w:val="24"/>
          <w:szCs w:val="24"/>
        </w:rPr>
        <w:t>that proactive protection of fundamental rights is a means to prevent rule of law crises.</w:t>
      </w:r>
      <w:r w:rsidR="00D31BDC" w:rsidRPr="00F71C89">
        <w:rPr>
          <w:rStyle w:val="FootnoteReference"/>
          <w:b w:val="0"/>
          <w:sz w:val="24"/>
          <w:szCs w:val="24"/>
        </w:rPr>
        <w:footnoteReference w:id="21"/>
      </w:r>
      <w:r w:rsidR="00D31BDC" w:rsidRPr="00F71C89">
        <w:rPr>
          <w:b w:val="0"/>
          <w:sz w:val="24"/>
          <w:szCs w:val="24"/>
        </w:rPr>
        <w:t xml:space="preserve"> </w:t>
      </w:r>
      <w:r w:rsidR="00AF324E" w:rsidRPr="00F71C89">
        <w:rPr>
          <w:b w:val="0"/>
          <w:sz w:val="24"/>
          <w:szCs w:val="24"/>
        </w:rPr>
        <w:t>This conclusion is echoed in the 2016 FRA Opinion on the development of an integrated tool of objective fundamental rights indicators, wherein the FRA argued for the overarching nature of human rights for Article 2 TEU values.</w:t>
      </w:r>
      <w:r w:rsidR="00456A99" w:rsidRPr="00F71C89">
        <w:rPr>
          <w:rStyle w:val="FootnoteReference"/>
          <w:b w:val="0"/>
          <w:sz w:val="24"/>
          <w:szCs w:val="24"/>
        </w:rPr>
        <w:footnoteReference w:id="22"/>
      </w:r>
      <w:r w:rsidR="00AF324E" w:rsidRPr="00F71C89">
        <w:rPr>
          <w:b w:val="0"/>
          <w:sz w:val="24"/>
          <w:szCs w:val="24"/>
        </w:rPr>
        <w:t xml:space="preserve"> The Opinion then </w:t>
      </w:r>
      <w:r w:rsidR="0049150C" w:rsidRPr="00F71C89">
        <w:rPr>
          <w:b w:val="0"/>
          <w:sz w:val="24"/>
          <w:szCs w:val="24"/>
        </w:rPr>
        <w:t xml:space="preserve">compellingly </w:t>
      </w:r>
      <w:r w:rsidR="00AF324E" w:rsidRPr="00F71C89">
        <w:rPr>
          <w:b w:val="0"/>
          <w:sz w:val="24"/>
          <w:szCs w:val="24"/>
        </w:rPr>
        <w:t xml:space="preserve">outlined the possibility of utilising existing information and data for the population of indicators to measure compliance with shared EU values. Underlining the </w:t>
      </w:r>
      <w:r w:rsidR="006D2F11" w:rsidRPr="00F71C89">
        <w:rPr>
          <w:b w:val="0"/>
          <w:sz w:val="24"/>
          <w:szCs w:val="24"/>
        </w:rPr>
        <w:t>synergies</w:t>
      </w:r>
      <w:r w:rsidR="00AF324E" w:rsidRPr="00F71C89">
        <w:rPr>
          <w:b w:val="0"/>
          <w:sz w:val="24"/>
          <w:szCs w:val="24"/>
        </w:rPr>
        <w:t xml:space="preserve"> between </w:t>
      </w:r>
      <w:r w:rsidR="006D2F11" w:rsidRPr="00F71C89">
        <w:rPr>
          <w:b w:val="0"/>
          <w:sz w:val="24"/>
          <w:szCs w:val="24"/>
        </w:rPr>
        <w:t>Article 2 TEU values</w:t>
      </w:r>
      <w:r w:rsidR="00AF324E" w:rsidRPr="00F71C89">
        <w:rPr>
          <w:b w:val="0"/>
          <w:sz w:val="24"/>
          <w:szCs w:val="24"/>
        </w:rPr>
        <w:t xml:space="preserve">, </w:t>
      </w:r>
      <w:r w:rsidR="006D2F11" w:rsidRPr="00F71C89">
        <w:rPr>
          <w:b w:val="0"/>
          <w:sz w:val="24"/>
          <w:szCs w:val="24"/>
        </w:rPr>
        <w:t xml:space="preserve">and the scope of the FRA institutional expertise in data collection and analysis, </w:t>
      </w:r>
      <w:r w:rsidR="0016006D" w:rsidRPr="00F71C89">
        <w:rPr>
          <w:b w:val="0"/>
          <w:sz w:val="24"/>
          <w:szCs w:val="24"/>
        </w:rPr>
        <w:t xml:space="preserve">the </w:t>
      </w:r>
      <w:r w:rsidR="006D2F11" w:rsidRPr="00F71C89">
        <w:rPr>
          <w:b w:val="0"/>
          <w:sz w:val="24"/>
          <w:szCs w:val="24"/>
        </w:rPr>
        <w:t>FRA has consistently signalled willingness to assist EU institutions in monitoring compliance with these values.</w:t>
      </w:r>
    </w:p>
    <w:p w14:paraId="357DF979" w14:textId="77777777" w:rsidR="00456A99" w:rsidRPr="00F71C89" w:rsidRDefault="00456A99" w:rsidP="00F2706A">
      <w:pPr>
        <w:pStyle w:val="Heading1"/>
        <w:spacing w:before="0" w:beforeAutospacing="0" w:after="0" w:afterAutospacing="0"/>
        <w:jc w:val="both"/>
        <w:rPr>
          <w:sz w:val="24"/>
          <w:szCs w:val="24"/>
        </w:rPr>
      </w:pPr>
    </w:p>
    <w:p w14:paraId="7CF49678" w14:textId="4BCF1B4B" w:rsidR="00214A35" w:rsidRPr="00F71C89" w:rsidRDefault="00D31BDC" w:rsidP="00214A35">
      <w:pPr>
        <w:jc w:val="both"/>
        <w:rPr>
          <w:rFonts w:ascii="Times New Roman" w:hAnsi="Times New Roman" w:cs="Times New Roman"/>
        </w:rPr>
      </w:pPr>
      <w:r w:rsidRPr="00F71C89">
        <w:rPr>
          <w:rFonts w:ascii="Times New Roman" w:hAnsi="Times New Roman" w:cs="Times New Roman"/>
        </w:rPr>
        <w:t xml:space="preserve">Despite </w:t>
      </w:r>
      <w:r w:rsidR="006D2F11" w:rsidRPr="00F71C89">
        <w:rPr>
          <w:rFonts w:ascii="Times New Roman" w:hAnsi="Times New Roman" w:cs="Times New Roman"/>
        </w:rPr>
        <w:t xml:space="preserve">such </w:t>
      </w:r>
      <w:r w:rsidR="0049150C" w:rsidRPr="00F71C89">
        <w:rPr>
          <w:rFonts w:ascii="Times New Roman" w:hAnsi="Times New Roman" w:cs="Times New Roman"/>
        </w:rPr>
        <w:t xml:space="preserve">clear and positive signals, </w:t>
      </w:r>
      <w:r w:rsidR="00BB306F" w:rsidRPr="00F71C89">
        <w:rPr>
          <w:rFonts w:ascii="Times New Roman" w:hAnsi="Times New Roman" w:cs="Times New Roman"/>
        </w:rPr>
        <w:t>the FRA’s mandate ha</w:t>
      </w:r>
      <w:r w:rsidR="0049150C" w:rsidRPr="00F71C89">
        <w:rPr>
          <w:rFonts w:ascii="Times New Roman" w:hAnsi="Times New Roman" w:cs="Times New Roman"/>
        </w:rPr>
        <w:t>s not been expanded</w:t>
      </w:r>
      <w:r w:rsidR="00926837" w:rsidRPr="00F71C89">
        <w:rPr>
          <w:rFonts w:ascii="Times New Roman" w:hAnsi="Times New Roman" w:cs="Times New Roman"/>
        </w:rPr>
        <w:t>. The severe limits on the FRA’s mandate by Regulation 168/2007 can and have been criticised</w:t>
      </w:r>
      <w:r w:rsidR="00BB306F" w:rsidRPr="00F71C89">
        <w:rPr>
          <w:rFonts w:ascii="Times New Roman" w:hAnsi="Times New Roman" w:cs="Times New Roman"/>
        </w:rPr>
        <w:t xml:space="preserve">. </w:t>
      </w:r>
      <w:r w:rsidR="00455E02" w:rsidRPr="00F71C89">
        <w:rPr>
          <w:rFonts w:ascii="Times New Roman" w:hAnsi="Times New Roman" w:cs="Times New Roman"/>
        </w:rPr>
        <w:t>T</w:t>
      </w:r>
      <w:r w:rsidR="00E9629D" w:rsidRPr="00F71C89">
        <w:rPr>
          <w:rFonts w:ascii="Times New Roman" w:hAnsi="Times New Roman" w:cs="Times New Roman"/>
        </w:rPr>
        <w:t xml:space="preserve">he absence of a strong investigatory </w:t>
      </w:r>
      <w:r w:rsidR="0016006D" w:rsidRPr="00F71C89">
        <w:rPr>
          <w:rFonts w:ascii="Times New Roman" w:hAnsi="Times New Roman" w:cs="Times New Roman"/>
        </w:rPr>
        <w:t>or legislative scrutiny role has been</w:t>
      </w:r>
      <w:r w:rsidR="00455E02" w:rsidRPr="00F71C89">
        <w:rPr>
          <w:rFonts w:ascii="Times New Roman" w:hAnsi="Times New Roman" w:cs="Times New Roman"/>
        </w:rPr>
        <w:t xml:space="preserve"> for instance</w:t>
      </w:r>
      <w:r w:rsidR="00A31270" w:rsidRPr="00F71C89">
        <w:rPr>
          <w:rFonts w:ascii="Times New Roman" w:hAnsi="Times New Roman" w:cs="Times New Roman"/>
        </w:rPr>
        <w:t xml:space="preserve"> a </w:t>
      </w:r>
      <w:r w:rsidR="00926837" w:rsidRPr="00F71C89">
        <w:rPr>
          <w:rFonts w:ascii="Times New Roman" w:hAnsi="Times New Roman" w:cs="Times New Roman"/>
        </w:rPr>
        <w:t xml:space="preserve">long-time </w:t>
      </w:r>
      <w:r w:rsidR="00A31270" w:rsidRPr="00F71C89">
        <w:rPr>
          <w:rFonts w:ascii="Times New Roman" w:hAnsi="Times New Roman" w:cs="Times New Roman"/>
        </w:rPr>
        <w:t xml:space="preserve">concern </w:t>
      </w:r>
      <w:r w:rsidR="00926837" w:rsidRPr="00F71C89">
        <w:rPr>
          <w:rFonts w:ascii="Times New Roman" w:hAnsi="Times New Roman" w:cs="Times New Roman"/>
        </w:rPr>
        <w:t xml:space="preserve">with </w:t>
      </w:r>
      <w:r w:rsidR="00A31270" w:rsidRPr="00F71C89">
        <w:rPr>
          <w:rFonts w:ascii="Times New Roman" w:hAnsi="Times New Roman" w:cs="Times New Roman"/>
        </w:rPr>
        <w:t>the</w:t>
      </w:r>
      <w:r w:rsidR="00AE2E95" w:rsidRPr="00F71C89">
        <w:rPr>
          <w:rFonts w:ascii="Times New Roman" w:hAnsi="Times New Roman" w:cs="Times New Roman"/>
        </w:rPr>
        <w:t xml:space="preserve"> UK</w:t>
      </w:r>
      <w:r w:rsidR="00A31270" w:rsidRPr="00F71C89">
        <w:rPr>
          <w:rFonts w:ascii="Times New Roman" w:hAnsi="Times New Roman" w:cs="Times New Roman"/>
        </w:rPr>
        <w:t xml:space="preserve"> House of Lords, in 2006, arguing that the FRA should be ‘</w:t>
      </w:r>
      <w:r w:rsidR="00E9629D" w:rsidRPr="00F71C89">
        <w:rPr>
          <w:rFonts w:ascii="Times New Roman" w:hAnsi="Times New Roman" w:cs="Times New Roman"/>
        </w:rPr>
        <w:t>more than just a “postbox” for collecting and sorting data.</w:t>
      </w:r>
      <w:r w:rsidR="00455E02" w:rsidRPr="00F71C89">
        <w:rPr>
          <w:rFonts w:ascii="Times New Roman" w:hAnsi="Times New Roman" w:cs="Times New Roman"/>
        </w:rPr>
        <w:t>’</w:t>
      </w:r>
      <w:r w:rsidR="00DF2B49" w:rsidRPr="00F71C89">
        <w:rPr>
          <w:rStyle w:val="FootnoteReference"/>
          <w:rFonts w:ascii="Times New Roman" w:hAnsi="Times New Roman" w:cs="Times New Roman"/>
        </w:rPr>
        <w:footnoteReference w:id="23"/>
      </w:r>
      <w:r w:rsidR="00FD62AC" w:rsidRPr="00F71C89">
        <w:rPr>
          <w:rFonts w:ascii="Times New Roman" w:hAnsi="Times New Roman" w:cs="Times New Roman"/>
        </w:rPr>
        <w:t xml:space="preserve"> </w:t>
      </w:r>
      <w:r w:rsidR="00DF2B49" w:rsidRPr="00F71C89">
        <w:rPr>
          <w:rFonts w:ascii="Times New Roman" w:hAnsi="Times New Roman" w:cs="Times New Roman"/>
        </w:rPr>
        <w:t>The</w:t>
      </w:r>
      <w:r w:rsidR="000E0469" w:rsidRPr="00F71C89">
        <w:rPr>
          <w:rFonts w:ascii="Times New Roman" w:hAnsi="Times New Roman" w:cs="Times New Roman"/>
        </w:rPr>
        <w:t xml:space="preserve"> Lords</w:t>
      </w:r>
      <w:r w:rsidR="00DF2B49" w:rsidRPr="00F71C89">
        <w:rPr>
          <w:rFonts w:ascii="Times New Roman" w:hAnsi="Times New Roman" w:cs="Times New Roman"/>
        </w:rPr>
        <w:t xml:space="preserve"> further recommended the extension of both the geographical scope of the FRA’s investigatory powers, and the provision of powers to actively seek information from EU Institutions and Member States necessary to achieve the tasks it has been set.</w:t>
      </w:r>
      <w:r w:rsidR="00DF2B49" w:rsidRPr="00F71C89">
        <w:rPr>
          <w:rStyle w:val="FootnoteReference"/>
          <w:rFonts w:ascii="Times New Roman" w:hAnsi="Times New Roman" w:cs="Times New Roman"/>
        </w:rPr>
        <w:footnoteReference w:id="24"/>
      </w:r>
      <w:r w:rsidR="00DF2B49" w:rsidRPr="00F71C89">
        <w:rPr>
          <w:rFonts w:ascii="Times New Roman" w:hAnsi="Times New Roman" w:cs="Times New Roman"/>
        </w:rPr>
        <w:t xml:space="preserve"> While the Lords recognised that systemic assessment of EU legislative proposals would be too onerous for the limited size and resources of the FRA, it nevertheless recommended a mechanism for referral to the FRA of any draft proposals which raise human rights concerns.</w:t>
      </w:r>
      <w:r w:rsidR="00DF2B49" w:rsidRPr="00F71C89">
        <w:rPr>
          <w:rStyle w:val="FootnoteReference"/>
          <w:rFonts w:ascii="Times New Roman" w:hAnsi="Times New Roman" w:cs="Times New Roman"/>
        </w:rPr>
        <w:footnoteReference w:id="25"/>
      </w:r>
      <w:r w:rsidR="00004ED4" w:rsidRPr="00F71C89">
        <w:rPr>
          <w:rFonts w:ascii="Times New Roman" w:hAnsi="Times New Roman" w:cs="Times New Roman"/>
        </w:rPr>
        <w:t xml:space="preserve"> Pertinently, the House of Lords supported an Article 7 TEU remit for the FRA, though accepted Member State opposition to any expansion of powers for the FRA in this area. </w:t>
      </w:r>
      <w:r w:rsidR="000E0469" w:rsidRPr="00F71C89">
        <w:rPr>
          <w:rFonts w:ascii="Times New Roman" w:hAnsi="Times New Roman" w:cs="Times New Roman"/>
        </w:rPr>
        <w:t>This opposition from a number of countries, not least the UK, having been for a long time strongl</w:t>
      </w:r>
      <w:r w:rsidR="00AB2569" w:rsidRPr="00F71C89">
        <w:rPr>
          <w:rFonts w:ascii="Times New Roman" w:hAnsi="Times New Roman" w:cs="Times New Roman"/>
        </w:rPr>
        <w:t xml:space="preserve">y opposed the creation of a specialised EU agency </w:t>
      </w:r>
      <w:r w:rsidR="000E0469" w:rsidRPr="00F71C89">
        <w:rPr>
          <w:rFonts w:ascii="Times New Roman" w:hAnsi="Times New Roman" w:cs="Times New Roman"/>
        </w:rPr>
        <w:t xml:space="preserve">for fear that it may overlap with, and possible undermine, the activities of the Council of Europe, explains why none of the recommendations made by the House of Lords never materialised. The European Commission’s support for a bigger role for the FRA has been similarly lukewarm. This </w:t>
      </w:r>
      <w:r w:rsidR="00214A35" w:rsidRPr="00F71C89">
        <w:rPr>
          <w:rFonts w:ascii="Times New Roman" w:hAnsi="Times New Roman" w:cs="Times New Roman"/>
        </w:rPr>
        <w:t>appears to explain why, d</w:t>
      </w:r>
      <w:r w:rsidR="000E0469" w:rsidRPr="00F71C89">
        <w:rPr>
          <w:rFonts w:ascii="Times New Roman" w:hAnsi="Times New Roman" w:cs="Times New Roman"/>
        </w:rPr>
        <w:t>espite a flurry of new</w:t>
      </w:r>
      <w:r w:rsidR="00214A35" w:rsidRPr="00F71C89">
        <w:rPr>
          <w:rFonts w:ascii="Times New Roman" w:hAnsi="Times New Roman" w:cs="Times New Roman"/>
        </w:rPr>
        <w:t xml:space="preserve"> rule of law initiatives, neither the Commission nor the Member States have sought to give any</w:t>
      </w:r>
      <w:r w:rsidR="001A00B7" w:rsidRPr="00F71C89">
        <w:rPr>
          <w:rFonts w:ascii="Times New Roman" w:hAnsi="Times New Roman" w:cs="Times New Roman"/>
        </w:rPr>
        <w:t xml:space="preserve"> formal</w:t>
      </w:r>
      <w:r w:rsidR="000122BB" w:rsidRPr="00F71C89">
        <w:rPr>
          <w:rFonts w:ascii="Times New Roman" w:hAnsi="Times New Roman" w:cs="Times New Roman"/>
        </w:rPr>
        <w:t xml:space="preserve"> and</w:t>
      </w:r>
      <w:r w:rsidR="00214A35" w:rsidRPr="00F71C89">
        <w:rPr>
          <w:rFonts w:ascii="Times New Roman" w:hAnsi="Times New Roman" w:cs="Times New Roman"/>
        </w:rPr>
        <w:t xml:space="preserve"> significant role to the FRA on the rule of law front</w:t>
      </w:r>
      <w:r w:rsidR="00AB2569" w:rsidRPr="00F71C89">
        <w:rPr>
          <w:rFonts w:ascii="Times New Roman" w:hAnsi="Times New Roman" w:cs="Times New Roman"/>
        </w:rPr>
        <w:t xml:space="preserve"> or to significantly involve it </w:t>
      </w:r>
      <w:r w:rsidR="000122BB" w:rsidRPr="00F71C89">
        <w:rPr>
          <w:rFonts w:ascii="Times New Roman" w:hAnsi="Times New Roman" w:cs="Times New Roman"/>
        </w:rPr>
        <w:t>in practice when the new rule of law mechanisms adopted in 2014 were implemented</w:t>
      </w:r>
      <w:r w:rsidR="00214A35" w:rsidRPr="00F71C89">
        <w:rPr>
          <w:rFonts w:ascii="Times New Roman" w:hAnsi="Times New Roman" w:cs="Times New Roman"/>
        </w:rPr>
        <w:t xml:space="preserve">. </w:t>
      </w:r>
    </w:p>
    <w:p w14:paraId="6F4119BB" w14:textId="77777777" w:rsidR="00F638FC" w:rsidRPr="00F71C89" w:rsidRDefault="00F638FC" w:rsidP="00F27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735AACC4" w14:textId="33DCB6A4" w:rsidR="000D2CAC" w:rsidRPr="00F71C89" w:rsidRDefault="003F6B6F" w:rsidP="00F2706A">
      <w:pPr>
        <w:jc w:val="both"/>
        <w:rPr>
          <w:rFonts w:ascii="Times New Roman" w:hAnsi="Times New Roman" w:cs="Times New Roman"/>
          <w:b/>
        </w:rPr>
      </w:pPr>
      <w:r w:rsidRPr="00F71C89">
        <w:rPr>
          <w:rFonts w:ascii="Times New Roman" w:hAnsi="Times New Roman" w:cs="Times New Roman"/>
          <w:b/>
        </w:rPr>
        <w:t xml:space="preserve">3. </w:t>
      </w:r>
      <w:r w:rsidR="000D2CAC" w:rsidRPr="00F71C89">
        <w:rPr>
          <w:rFonts w:ascii="Times New Roman" w:hAnsi="Times New Roman" w:cs="Times New Roman"/>
          <w:b/>
        </w:rPr>
        <w:t>Th</w:t>
      </w:r>
      <w:r w:rsidR="00F638FC" w:rsidRPr="00F71C89">
        <w:rPr>
          <w:rFonts w:ascii="Times New Roman" w:hAnsi="Times New Roman" w:cs="Times New Roman"/>
          <w:b/>
        </w:rPr>
        <w:t>e Marginal I</w:t>
      </w:r>
      <w:r w:rsidR="00AB7029" w:rsidRPr="00F71C89">
        <w:rPr>
          <w:rFonts w:ascii="Times New Roman" w:hAnsi="Times New Roman" w:cs="Times New Roman"/>
          <w:b/>
        </w:rPr>
        <w:t>nvolvement of the FRA in the</w:t>
      </w:r>
      <w:r w:rsidR="000D2CAC" w:rsidRPr="00F71C89">
        <w:rPr>
          <w:rFonts w:ascii="Times New Roman" w:hAnsi="Times New Roman" w:cs="Times New Roman"/>
          <w:b/>
        </w:rPr>
        <w:t xml:space="preserve"> </w:t>
      </w:r>
      <w:r w:rsidR="00A31270" w:rsidRPr="00F71C89">
        <w:rPr>
          <w:rFonts w:ascii="Times New Roman" w:hAnsi="Times New Roman" w:cs="Times New Roman"/>
          <w:b/>
        </w:rPr>
        <w:t xml:space="preserve">EU’s </w:t>
      </w:r>
      <w:r w:rsidR="000D2CAC" w:rsidRPr="00F71C89">
        <w:rPr>
          <w:rFonts w:ascii="Times New Roman" w:hAnsi="Times New Roman" w:cs="Times New Roman"/>
          <w:b/>
        </w:rPr>
        <w:t>Rule of Law Mechanisms</w:t>
      </w:r>
      <w:r w:rsidR="00A31270" w:rsidRPr="00F71C89">
        <w:rPr>
          <w:rFonts w:ascii="Times New Roman" w:hAnsi="Times New Roman" w:cs="Times New Roman"/>
          <w:b/>
        </w:rPr>
        <w:t xml:space="preserve"> </w:t>
      </w:r>
    </w:p>
    <w:p w14:paraId="0FFAB897" w14:textId="77777777" w:rsidR="00455E02" w:rsidRPr="00F71C89" w:rsidRDefault="00455E02" w:rsidP="00F27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4A9E3544" w14:textId="5776BEB5" w:rsidR="00066599" w:rsidRPr="00F71C89" w:rsidRDefault="001D3017" w:rsidP="00DB73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F71C89">
        <w:rPr>
          <w:rFonts w:ascii="Times New Roman" w:hAnsi="Times New Roman" w:cs="Times New Roman"/>
        </w:rPr>
        <w:t xml:space="preserve">Considering the limits imposed on the FRA by Regulation </w:t>
      </w:r>
      <w:r w:rsidRPr="00F71C89">
        <w:rPr>
          <w:rFonts w:ascii="Times New Roman" w:hAnsi="Times New Roman" w:cs="Times New Roman"/>
          <w:lang w:val="en-US"/>
        </w:rPr>
        <w:t xml:space="preserve">168/2007, it is perhaps unsurprising that the FRA has only been marginally </w:t>
      </w:r>
      <w:r w:rsidR="000122BB" w:rsidRPr="00F71C89">
        <w:rPr>
          <w:rFonts w:ascii="Times New Roman" w:hAnsi="Times New Roman" w:cs="Times New Roman"/>
          <w:lang w:val="en-US"/>
        </w:rPr>
        <w:t xml:space="preserve">referred to and </w:t>
      </w:r>
      <w:r w:rsidRPr="00F71C89">
        <w:rPr>
          <w:rFonts w:ascii="Times New Roman" w:hAnsi="Times New Roman" w:cs="Times New Roman"/>
          <w:lang w:val="en-US"/>
        </w:rPr>
        <w:t>involved</w:t>
      </w:r>
      <w:r w:rsidR="001A00B7" w:rsidRPr="00F71C89">
        <w:rPr>
          <w:rFonts w:ascii="Times New Roman" w:hAnsi="Times New Roman" w:cs="Times New Roman"/>
          <w:lang w:val="en-US"/>
        </w:rPr>
        <w:t xml:space="preserve"> in the new </w:t>
      </w:r>
      <w:r w:rsidRPr="00F71C89">
        <w:rPr>
          <w:rFonts w:ascii="Times New Roman" w:hAnsi="Times New Roman" w:cs="Times New Roman"/>
          <w:lang w:val="en-US"/>
        </w:rPr>
        <w:t xml:space="preserve">mechanisms adopted in 2014 </w:t>
      </w:r>
      <w:r w:rsidR="001A00B7" w:rsidRPr="00F71C89">
        <w:rPr>
          <w:rFonts w:ascii="Times New Roman" w:hAnsi="Times New Roman" w:cs="Times New Roman"/>
          <w:lang w:val="en-US"/>
        </w:rPr>
        <w:t>by both the Commission</w:t>
      </w:r>
      <w:r w:rsidR="00DB73EF" w:rsidRPr="00F71C89">
        <w:rPr>
          <w:rFonts w:ascii="Times New Roman" w:hAnsi="Times New Roman" w:cs="Times New Roman"/>
          <w:lang w:val="en-US"/>
        </w:rPr>
        <w:t xml:space="preserve"> and</w:t>
      </w:r>
      <w:r w:rsidR="00DB73EF" w:rsidRPr="00F71C89">
        <w:rPr>
          <w:rFonts w:ascii="Times New Roman" w:eastAsia="Times New Roman" w:hAnsi="Times New Roman" w:cs="Times New Roman"/>
        </w:rPr>
        <w:t xml:space="preserve"> the Council.</w:t>
      </w:r>
      <w:r w:rsidR="00DB73EF" w:rsidRPr="00F71C89">
        <w:rPr>
          <w:rFonts w:ascii="Times New Roman" w:hAnsi="Times New Roman" w:cs="Times New Roman"/>
        </w:rPr>
        <w:t xml:space="preserve"> </w:t>
      </w:r>
      <w:r w:rsidR="001A00B7" w:rsidRPr="00F71C89">
        <w:rPr>
          <w:rFonts w:ascii="Times New Roman" w:hAnsi="Times New Roman" w:cs="Times New Roman"/>
        </w:rPr>
        <w:t>Known as the Rule of Law Framework, the Commission’s mechanism aims to ‘address and resolve a situation where there is a systemic threat to the rule of law’ in a Member State ‘before the conditions for activating the mechanisms foreseen in Article 7 TEU would be met’.</w:t>
      </w:r>
      <w:r w:rsidR="001A00B7" w:rsidRPr="00F71C89">
        <w:rPr>
          <w:rStyle w:val="FootnoteReference"/>
          <w:rFonts w:ascii="Times New Roman" w:hAnsi="Times New Roman" w:cs="Times New Roman"/>
        </w:rPr>
        <w:footnoteReference w:id="26"/>
      </w:r>
      <w:r w:rsidR="001A00B7" w:rsidRPr="00F71C89">
        <w:rPr>
          <w:rFonts w:ascii="Times New Roman" w:hAnsi="Times New Roman" w:cs="Times New Roman"/>
        </w:rPr>
        <w:t xml:space="preserve"> As will be </w:t>
      </w:r>
      <w:r w:rsidR="00B315CB" w:rsidRPr="00F71C89">
        <w:rPr>
          <w:rFonts w:ascii="Times New Roman" w:hAnsi="Times New Roman" w:cs="Times New Roman"/>
        </w:rPr>
        <w:t>explained</w:t>
      </w:r>
      <w:r w:rsidR="001A00B7" w:rsidRPr="00F71C89">
        <w:rPr>
          <w:rFonts w:ascii="Times New Roman" w:hAnsi="Times New Roman" w:cs="Times New Roman"/>
        </w:rPr>
        <w:t xml:space="preserve"> below, this instrument only provides for a </w:t>
      </w:r>
      <w:r w:rsidR="00DB73EF" w:rsidRPr="00F71C89">
        <w:rPr>
          <w:rFonts w:ascii="Times New Roman" w:hAnsi="Times New Roman" w:cs="Times New Roman"/>
        </w:rPr>
        <w:t>potential and marginal</w:t>
      </w:r>
      <w:r w:rsidR="001A00B7" w:rsidRPr="00F71C89">
        <w:rPr>
          <w:rFonts w:ascii="Times New Roman" w:hAnsi="Times New Roman" w:cs="Times New Roman"/>
        </w:rPr>
        <w:t xml:space="preserve"> involvement of the FRA if and when activated.</w:t>
      </w:r>
      <w:r w:rsidR="001A00B7" w:rsidRPr="00F71C89">
        <w:rPr>
          <w:rFonts w:ascii="Times New Roman" w:hAnsi="Times New Roman" w:cs="Times New Roman"/>
          <w:b/>
        </w:rPr>
        <w:t xml:space="preserve"> </w:t>
      </w:r>
      <w:r w:rsidR="001A00B7" w:rsidRPr="00F71C89">
        <w:rPr>
          <w:rFonts w:ascii="Times New Roman" w:hAnsi="Times New Roman" w:cs="Times New Roman"/>
        </w:rPr>
        <w:t>Regrettably, t</w:t>
      </w:r>
      <w:r w:rsidR="008469D6" w:rsidRPr="00F71C89">
        <w:rPr>
          <w:rFonts w:ascii="Times New Roman" w:hAnsi="Times New Roman" w:cs="Times New Roman"/>
        </w:rPr>
        <w:t xml:space="preserve">he </w:t>
      </w:r>
      <w:r w:rsidR="001A00B7" w:rsidRPr="00F71C89">
        <w:rPr>
          <w:rFonts w:ascii="Times New Roman" w:hAnsi="Times New Roman" w:cs="Times New Roman"/>
        </w:rPr>
        <w:t>national governments of the EU Member States</w:t>
      </w:r>
      <w:r w:rsidR="008469D6" w:rsidRPr="00F71C89">
        <w:rPr>
          <w:rFonts w:ascii="Times New Roman" w:hAnsi="Times New Roman" w:cs="Times New Roman"/>
        </w:rPr>
        <w:t>, rather tha</w:t>
      </w:r>
      <w:r w:rsidR="00596FED" w:rsidRPr="00F71C89">
        <w:rPr>
          <w:rFonts w:ascii="Times New Roman" w:hAnsi="Times New Roman" w:cs="Times New Roman"/>
        </w:rPr>
        <w:t xml:space="preserve">n </w:t>
      </w:r>
      <w:r w:rsidR="00976912" w:rsidRPr="00F71C89">
        <w:rPr>
          <w:rFonts w:ascii="Times New Roman" w:hAnsi="Times New Roman" w:cs="Times New Roman"/>
        </w:rPr>
        <w:t xml:space="preserve">fully </w:t>
      </w:r>
      <w:r w:rsidR="00596FED" w:rsidRPr="00F71C89">
        <w:rPr>
          <w:rFonts w:ascii="Times New Roman" w:hAnsi="Times New Roman" w:cs="Times New Roman"/>
        </w:rPr>
        <w:t>supporting the Commission’s Rule of Law Framework,</w:t>
      </w:r>
      <w:r w:rsidR="00976912" w:rsidRPr="00F71C89">
        <w:rPr>
          <w:rFonts w:ascii="Times New Roman" w:hAnsi="Times New Roman" w:cs="Times New Roman"/>
        </w:rPr>
        <w:t xml:space="preserve"> decided instead to establish a new</w:t>
      </w:r>
      <w:r w:rsidR="00596FED" w:rsidRPr="00F71C89">
        <w:rPr>
          <w:rFonts w:ascii="Times New Roman" w:hAnsi="Times New Roman" w:cs="Times New Roman"/>
        </w:rPr>
        <w:t xml:space="preserve"> annual rule of law ‘dialogue among all Me</w:t>
      </w:r>
      <w:r w:rsidR="003F28BC" w:rsidRPr="00F71C89">
        <w:rPr>
          <w:rFonts w:ascii="Times New Roman" w:hAnsi="Times New Roman" w:cs="Times New Roman"/>
        </w:rPr>
        <w:t>mber States within the Council’</w:t>
      </w:r>
      <w:r w:rsidR="00596FED" w:rsidRPr="00F71C89">
        <w:rPr>
          <w:rFonts w:ascii="Times New Roman" w:hAnsi="Times New Roman" w:cs="Times New Roman"/>
        </w:rPr>
        <w:t>.</w:t>
      </w:r>
      <w:r w:rsidR="00596FED" w:rsidRPr="00F71C89">
        <w:rPr>
          <w:rStyle w:val="FootnoteReference"/>
          <w:rFonts w:ascii="Times New Roman" w:hAnsi="Times New Roman" w:cs="Times New Roman"/>
        </w:rPr>
        <w:footnoteReference w:id="27"/>
      </w:r>
      <w:r w:rsidR="00596FED" w:rsidRPr="00F71C89">
        <w:rPr>
          <w:rFonts w:ascii="Times New Roman" w:hAnsi="Times New Roman" w:cs="Times New Roman"/>
        </w:rPr>
        <w:t xml:space="preserve"> </w:t>
      </w:r>
      <w:r w:rsidR="001A00B7" w:rsidRPr="00F71C89">
        <w:rPr>
          <w:rFonts w:ascii="Times New Roman" w:hAnsi="Times New Roman" w:cs="Times New Roman"/>
        </w:rPr>
        <w:t>W</w:t>
      </w:r>
      <w:r w:rsidR="00596FED" w:rsidRPr="00F71C89">
        <w:rPr>
          <w:rFonts w:ascii="Times New Roman" w:hAnsi="Times New Roman" w:cs="Times New Roman"/>
        </w:rPr>
        <w:t xml:space="preserve">hile the involvement of FRA </w:t>
      </w:r>
      <w:r w:rsidR="00B315CB" w:rsidRPr="00F71C89">
        <w:rPr>
          <w:rFonts w:ascii="Times New Roman" w:hAnsi="Times New Roman" w:cs="Times New Roman"/>
        </w:rPr>
        <w:t>was not explicitly foreseen, a</w:t>
      </w:r>
      <w:r w:rsidR="00066599" w:rsidRPr="00F71C89">
        <w:rPr>
          <w:rFonts w:ascii="Times New Roman" w:hAnsi="Times New Roman" w:cs="Times New Roman"/>
        </w:rPr>
        <w:t xml:space="preserve"> consensus </w:t>
      </w:r>
      <w:r w:rsidR="00B315CB" w:rsidRPr="00F71C89">
        <w:rPr>
          <w:rFonts w:ascii="Times New Roman" w:hAnsi="Times New Roman" w:cs="Times New Roman"/>
        </w:rPr>
        <w:t>appears to have</w:t>
      </w:r>
      <w:r w:rsidR="00596FED" w:rsidRPr="00F71C89">
        <w:rPr>
          <w:rFonts w:ascii="Times New Roman" w:hAnsi="Times New Roman" w:cs="Times New Roman"/>
        </w:rPr>
        <w:t xml:space="preserve"> since emerged </w:t>
      </w:r>
      <w:r w:rsidR="00066599" w:rsidRPr="00F71C89">
        <w:rPr>
          <w:rFonts w:ascii="Times New Roman" w:hAnsi="Times New Roman" w:cs="Times New Roman"/>
        </w:rPr>
        <w:t xml:space="preserve">amongst national governments </w:t>
      </w:r>
      <w:r w:rsidR="00596FED" w:rsidRPr="00F71C89">
        <w:rPr>
          <w:rFonts w:ascii="Times New Roman" w:hAnsi="Times New Roman" w:cs="Times New Roman"/>
        </w:rPr>
        <w:t xml:space="preserve">for an increased role for the </w:t>
      </w:r>
      <w:r w:rsidR="00066599" w:rsidRPr="00F71C89">
        <w:rPr>
          <w:rFonts w:ascii="Times New Roman" w:hAnsi="Times New Roman" w:cs="Times New Roman"/>
        </w:rPr>
        <w:t>FRA</w:t>
      </w:r>
      <w:r w:rsidR="00596FED" w:rsidRPr="00F71C89">
        <w:rPr>
          <w:rFonts w:ascii="Times New Roman" w:hAnsi="Times New Roman" w:cs="Times New Roman"/>
        </w:rPr>
        <w:t xml:space="preserve">. The </w:t>
      </w:r>
      <w:r w:rsidR="001A00B7" w:rsidRPr="00F71C89">
        <w:rPr>
          <w:rFonts w:ascii="Times New Roman" w:hAnsi="Times New Roman" w:cs="Times New Roman"/>
        </w:rPr>
        <w:t xml:space="preserve">continuing deterioration of the rule of law situation in both </w:t>
      </w:r>
      <w:r w:rsidR="00CB6596" w:rsidRPr="00F71C89">
        <w:rPr>
          <w:rFonts w:ascii="Times New Roman" w:hAnsi="Times New Roman" w:cs="Times New Roman"/>
        </w:rPr>
        <w:t xml:space="preserve">Hungary and Poland </w:t>
      </w:r>
      <w:r w:rsidR="00B315CB" w:rsidRPr="00F71C89">
        <w:rPr>
          <w:rFonts w:ascii="Times New Roman" w:hAnsi="Times New Roman" w:cs="Times New Roman"/>
        </w:rPr>
        <w:t xml:space="preserve">is however yet to lead to </w:t>
      </w:r>
      <w:r w:rsidR="00976912" w:rsidRPr="00F71C89">
        <w:rPr>
          <w:rFonts w:ascii="Times New Roman" w:hAnsi="Times New Roman" w:cs="Times New Roman"/>
        </w:rPr>
        <w:t>concrete changes</w:t>
      </w:r>
      <w:r w:rsidR="00B315CB" w:rsidRPr="00F71C89">
        <w:rPr>
          <w:rFonts w:ascii="Times New Roman" w:hAnsi="Times New Roman" w:cs="Times New Roman"/>
        </w:rPr>
        <w:t>,</w:t>
      </w:r>
      <w:r w:rsidR="00CB6596" w:rsidRPr="00F71C89">
        <w:rPr>
          <w:rFonts w:ascii="Times New Roman" w:hAnsi="Times New Roman" w:cs="Times New Roman"/>
        </w:rPr>
        <w:t xml:space="preserve"> with the European Commission seemingly more inclined to rely on the Council of Europe’s Venice Commission for assessment purposes and the Council seemingly unable to move beyond </w:t>
      </w:r>
      <w:r w:rsidR="00B315CB" w:rsidRPr="00F71C89">
        <w:rPr>
          <w:rFonts w:ascii="Times New Roman" w:hAnsi="Times New Roman" w:cs="Times New Roman"/>
        </w:rPr>
        <w:t xml:space="preserve">nice words. </w:t>
      </w:r>
    </w:p>
    <w:p w14:paraId="3A89DA73" w14:textId="77777777" w:rsidR="00066599" w:rsidRPr="00F71C89" w:rsidRDefault="00066599" w:rsidP="00F2706A">
      <w:pPr>
        <w:jc w:val="both"/>
        <w:rPr>
          <w:rFonts w:ascii="Times New Roman" w:hAnsi="Times New Roman" w:cs="Times New Roman"/>
          <w:b/>
        </w:rPr>
      </w:pPr>
    </w:p>
    <w:p w14:paraId="57BC0C7A" w14:textId="721D49EE" w:rsidR="00BE1D21" w:rsidRPr="00F71C89" w:rsidRDefault="00BE1D21" w:rsidP="00F2706A">
      <w:pPr>
        <w:jc w:val="both"/>
        <w:rPr>
          <w:rFonts w:ascii="Times New Roman" w:hAnsi="Times New Roman" w:cs="Times New Roman"/>
        </w:rPr>
      </w:pPr>
      <w:r w:rsidRPr="00F71C89">
        <w:rPr>
          <w:rFonts w:ascii="Times New Roman" w:hAnsi="Times New Roman" w:cs="Times New Roman"/>
        </w:rPr>
        <w:t xml:space="preserve">3.1 </w:t>
      </w:r>
      <w:r w:rsidRPr="00F71C89">
        <w:rPr>
          <w:rFonts w:ascii="Times New Roman" w:hAnsi="Times New Roman" w:cs="Times New Roman"/>
          <w:i/>
        </w:rPr>
        <w:t xml:space="preserve">The Commission’s Rule of Law Framework </w:t>
      </w:r>
    </w:p>
    <w:p w14:paraId="230114B7" w14:textId="77777777" w:rsidR="001A00B7" w:rsidRPr="00F71C89" w:rsidRDefault="001A00B7" w:rsidP="00F2706A">
      <w:pPr>
        <w:jc w:val="both"/>
        <w:rPr>
          <w:rFonts w:ascii="Times New Roman" w:hAnsi="Times New Roman" w:cs="Times New Roman"/>
          <w:b/>
        </w:rPr>
      </w:pPr>
    </w:p>
    <w:p w14:paraId="5C601405" w14:textId="1A1CF12F" w:rsidR="00DB73EF" w:rsidRPr="00F71C89" w:rsidRDefault="000679A3" w:rsidP="00856D92">
      <w:pPr>
        <w:jc w:val="both"/>
        <w:rPr>
          <w:rFonts w:ascii="Times New Roman" w:hAnsi="Times New Roman" w:cs="Times New Roman"/>
        </w:rPr>
      </w:pPr>
      <w:r w:rsidRPr="00F71C89">
        <w:rPr>
          <w:rFonts w:ascii="Times New Roman" w:hAnsi="Times New Roman" w:cs="Times New Roman"/>
        </w:rPr>
        <w:t xml:space="preserve">The adoption of the Rule of Law Framework in March 2014 reflects the Commission’s diagnosis that the instruments available to it such as Article 7 TEU and the enforcement procedure laid down in Articles 258-260 TFEU were not adequate to deal with </w:t>
      </w:r>
      <w:r w:rsidR="0009120F" w:rsidRPr="00F71C89">
        <w:rPr>
          <w:rFonts w:ascii="Times New Roman" w:hAnsi="Times New Roman" w:cs="Times New Roman"/>
        </w:rPr>
        <w:t>the increasing number of rule of law crises of a systemic nature identified by the former President and Vice President of the European Commission.</w:t>
      </w:r>
      <w:r w:rsidR="0009120F" w:rsidRPr="00F71C89">
        <w:rPr>
          <w:rStyle w:val="FootnoteReference"/>
          <w:rFonts w:ascii="Times New Roman" w:hAnsi="Times New Roman" w:cs="Times New Roman"/>
        </w:rPr>
        <w:footnoteReference w:id="28"/>
      </w:r>
      <w:r w:rsidR="0009120F" w:rsidRPr="00F71C89">
        <w:rPr>
          <w:rFonts w:ascii="Times New Roman" w:hAnsi="Times New Roman" w:cs="Times New Roman"/>
        </w:rPr>
        <w:t xml:space="preserve"> </w:t>
      </w:r>
      <w:r w:rsidR="00DB73EF" w:rsidRPr="00F71C89">
        <w:rPr>
          <w:rFonts w:ascii="Times New Roman" w:hAnsi="Times New Roman" w:cs="Times New Roman"/>
        </w:rPr>
        <w:t xml:space="preserve">While we do not </w:t>
      </w:r>
      <w:r w:rsidR="00856D92" w:rsidRPr="00F71C89">
        <w:rPr>
          <w:rFonts w:ascii="Times New Roman" w:hAnsi="Times New Roman" w:cs="Times New Roman"/>
        </w:rPr>
        <w:t xml:space="preserve">entirely </w:t>
      </w:r>
      <w:r w:rsidR="00DB73EF" w:rsidRPr="00F71C89">
        <w:rPr>
          <w:rFonts w:ascii="Times New Roman" w:hAnsi="Times New Roman" w:cs="Times New Roman"/>
        </w:rPr>
        <w:t>share the Commission’s conservative diagnosis when it comes to the limits of the instruments</w:t>
      </w:r>
      <w:r w:rsidR="003B6AB0" w:rsidRPr="00F71C89">
        <w:rPr>
          <w:rFonts w:ascii="Times New Roman" w:hAnsi="Times New Roman" w:cs="Times New Roman"/>
        </w:rPr>
        <w:t xml:space="preserve"> available to it</w:t>
      </w:r>
      <w:r w:rsidR="00DB73EF" w:rsidRPr="00F71C89">
        <w:rPr>
          <w:rFonts w:ascii="Times New Roman" w:hAnsi="Times New Roman" w:cs="Times New Roman"/>
        </w:rPr>
        <w:t xml:space="preserve">, the Commission was right to </w:t>
      </w:r>
      <w:r w:rsidR="003B6AB0" w:rsidRPr="00F71C89">
        <w:rPr>
          <w:rFonts w:ascii="Times New Roman" w:hAnsi="Times New Roman" w:cs="Times New Roman"/>
        </w:rPr>
        <w:t xml:space="preserve">consider the </w:t>
      </w:r>
      <w:r w:rsidR="00DB73EF" w:rsidRPr="00F71C89">
        <w:rPr>
          <w:rFonts w:ascii="Times New Roman" w:hAnsi="Times New Roman" w:cs="Times New Roman"/>
        </w:rPr>
        <w:t xml:space="preserve">nature of the </w:t>
      </w:r>
      <w:r w:rsidR="00976912" w:rsidRPr="00F71C89">
        <w:rPr>
          <w:rFonts w:ascii="Times New Roman" w:hAnsi="Times New Roman" w:cs="Times New Roman"/>
        </w:rPr>
        <w:t xml:space="preserve">rule of law </w:t>
      </w:r>
      <w:r w:rsidR="00DB73EF" w:rsidRPr="00F71C89">
        <w:rPr>
          <w:rFonts w:ascii="Times New Roman" w:hAnsi="Times New Roman" w:cs="Times New Roman"/>
        </w:rPr>
        <w:t>threat which began materialising in the early 2010s</w:t>
      </w:r>
      <w:r w:rsidR="003B6AB0" w:rsidRPr="00F71C89">
        <w:rPr>
          <w:rFonts w:ascii="Times New Roman" w:hAnsi="Times New Roman" w:cs="Times New Roman"/>
        </w:rPr>
        <w:t xml:space="preserve"> as unprecedented</w:t>
      </w:r>
      <w:r w:rsidR="00856D92" w:rsidRPr="00F71C89">
        <w:rPr>
          <w:rFonts w:ascii="Times New Roman" w:hAnsi="Times New Roman" w:cs="Times New Roman"/>
        </w:rPr>
        <w:t xml:space="preserve">. In a nutshell, starting in Hungary following the victory of Viktor Orban’s party in the parliamentary elections of April 2010, the EU has seen the development and spreading of </w:t>
      </w:r>
      <w:r w:rsidR="00DB73EF" w:rsidRPr="00F71C89">
        <w:rPr>
          <w:rFonts w:ascii="Times New Roman" w:hAnsi="Times New Roman" w:cs="Times New Roman"/>
          <w:lang w:val="en-US"/>
        </w:rPr>
        <w:t xml:space="preserve">rule of law backsliding, that is, </w:t>
      </w:r>
      <w:r w:rsidR="00856D92" w:rsidRPr="00F71C89">
        <w:rPr>
          <w:rFonts w:ascii="Times New Roman" w:hAnsi="Times New Roman" w:cs="Times New Roman"/>
          <w:lang w:val="en-US"/>
        </w:rPr>
        <w:t>a</w:t>
      </w:r>
      <w:r w:rsidR="00DB73EF" w:rsidRPr="00F71C89">
        <w:rPr>
          <w:rFonts w:ascii="Times New Roman" w:hAnsi="Times New Roman" w:cs="Times New Roman"/>
        </w:rPr>
        <w:t xml:space="preserve"> </w:t>
      </w:r>
      <w:r w:rsidR="00856D92" w:rsidRPr="00F71C89">
        <w:rPr>
          <w:rFonts w:ascii="Times New Roman" w:hAnsi="Times New Roman" w:cs="Times New Roman"/>
        </w:rPr>
        <w:t>‘</w:t>
      </w:r>
      <w:r w:rsidR="00DB73EF" w:rsidRPr="00F71C89">
        <w:rPr>
          <w:rFonts w:ascii="Times New Roman" w:hAnsi="Times New Roman" w:cs="Times New Roman"/>
        </w:rPr>
        <w:t xml:space="preserve">process through which elected public authorities deliberately implement </w:t>
      </w:r>
      <w:r w:rsidR="00DB73EF" w:rsidRPr="00F71C89">
        <w:rPr>
          <w:rFonts w:ascii="Times New Roman" w:eastAsia="Times New Roman" w:hAnsi="Times New Roman" w:cs="Times New Roman"/>
        </w:rPr>
        <w:t>governmental blueprints</w:t>
      </w:r>
      <w:r w:rsidR="00DB73EF" w:rsidRPr="00F71C89">
        <w:rPr>
          <w:rFonts w:ascii="Times New Roman" w:hAnsi="Times New Roman" w:cs="Times New Roman"/>
        </w:rPr>
        <w:t xml:space="preserve"> which aim </w:t>
      </w:r>
      <w:r w:rsidR="00DB73EF" w:rsidRPr="00F71C89">
        <w:rPr>
          <w:rFonts w:ascii="Times New Roman" w:eastAsia="Times New Roman" w:hAnsi="Times New Roman" w:cs="Times New Roman"/>
        </w:rPr>
        <w:t>to systematically weaken, annihilate or capture internal checks on power with the view of dismantling the liberal democratic state and entrenching the long-term rule of the dominant party’</w:t>
      </w:r>
      <w:r w:rsidR="00DB73EF" w:rsidRPr="00F71C89">
        <w:rPr>
          <w:rFonts w:ascii="Times New Roman" w:eastAsia="Times New Roman" w:hAnsi="Times New Roman" w:cs="Times New Roman"/>
          <w:i/>
        </w:rPr>
        <w:t>.</w:t>
      </w:r>
      <w:r w:rsidR="00DB73EF" w:rsidRPr="00F71C89">
        <w:rPr>
          <w:rStyle w:val="FootnoteReference"/>
          <w:rFonts w:ascii="Times New Roman" w:eastAsia="Times New Roman" w:hAnsi="Times New Roman" w:cs="Times New Roman"/>
        </w:rPr>
        <w:footnoteReference w:id="29"/>
      </w:r>
      <w:r w:rsidR="00DB73EF" w:rsidRPr="00F71C89">
        <w:rPr>
          <w:rFonts w:ascii="Times New Roman" w:eastAsia="Times New Roman" w:hAnsi="Times New Roman" w:cs="Times New Roman"/>
        </w:rPr>
        <w:t xml:space="preserve"> </w:t>
      </w:r>
    </w:p>
    <w:p w14:paraId="1B024DD0" w14:textId="77777777" w:rsidR="00DB73EF" w:rsidRPr="00F71C89" w:rsidRDefault="00DB73EF" w:rsidP="00F2706A">
      <w:pPr>
        <w:jc w:val="both"/>
        <w:rPr>
          <w:rFonts w:ascii="Times New Roman" w:hAnsi="Times New Roman" w:cs="Times New Roman"/>
        </w:rPr>
      </w:pPr>
    </w:p>
    <w:p w14:paraId="3A5D41A7" w14:textId="0AF5339D" w:rsidR="00C3105E" w:rsidRPr="00F71C89" w:rsidRDefault="0079653B" w:rsidP="00F2706A">
      <w:pPr>
        <w:jc w:val="both"/>
        <w:rPr>
          <w:rFonts w:ascii="Times New Roman" w:hAnsi="Times New Roman" w:cs="Times New Roman"/>
        </w:rPr>
      </w:pPr>
      <w:r w:rsidRPr="00F71C89">
        <w:rPr>
          <w:rFonts w:ascii="Times New Roman" w:hAnsi="Times New Roman" w:cs="Times New Roman"/>
        </w:rPr>
        <w:t>To address this</w:t>
      </w:r>
      <w:r w:rsidR="00856D92" w:rsidRPr="00F71C89">
        <w:rPr>
          <w:rFonts w:ascii="Times New Roman" w:hAnsi="Times New Roman" w:cs="Times New Roman"/>
        </w:rPr>
        <w:t xml:space="preserve"> challenge, </w:t>
      </w:r>
      <w:r w:rsidR="0009120F" w:rsidRPr="00F71C89">
        <w:rPr>
          <w:rFonts w:ascii="Times New Roman" w:hAnsi="Times New Roman" w:cs="Times New Roman"/>
        </w:rPr>
        <w:t xml:space="preserve">the Commission </w:t>
      </w:r>
      <w:r w:rsidR="00C3105E" w:rsidRPr="00F71C89">
        <w:rPr>
          <w:rFonts w:ascii="Times New Roman" w:hAnsi="Times New Roman" w:cs="Times New Roman"/>
        </w:rPr>
        <w:t xml:space="preserve">adopted </w:t>
      </w:r>
      <w:r w:rsidR="0009120F" w:rsidRPr="00F71C89">
        <w:rPr>
          <w:rFonts w:ascii="Times New Roman" w:hAnsi="Times New Roman" w:cs="Times New Roman"/>
        </w:rPr>
        <w:t xml:space="preserve">a new instrument taking </w:t>
      </w:r>
      <w:r w:rsidR="00C52D6C" w:rsidRPr="00F71C89">
        <w:rPr>
          <w:rFonts w:ascii="Times New Roman" w:hAnsi="Times New Roman" w:cs="Times New Roman"/>
        </w:rPr>
        <w:t>the form of an early warning tool whose primary purpose is to enable the Commission to enter into a structured dialogue with the Member State concerned to prevent the escalation of systemic threats to the rule of law.</w:t>
      </w:r>
      <w:r w:rsidR="00C3105E" w:rsidRPr="00F71C89">
        <w:rPr>
          <w:rFonts w:ascii="Times New Roman" w:hAnsi="Times New Roman" w:cs="Times New Roman"/>
        </w:rPr>
        <w:t xml:space="preserve"> </w:t>
      </w:r>
      <w:r w:rsidR="00A65E38" w:rsidRPr="00F71C89">
        <w:rPr>
          <w:rFonts w:ascii="Times New Roman" w:hAnsi="Times New Roman" w:cs="Times New Roman"/>
        </w:rPr>
        <w:t>As predicted at the time of the Framework’s adoption</w:t>
      </w:r>
      <w:r w:rsidR="00A65E38" w:rsidRPr="00F71C89">
        <w:rPr>
          <w:rStyle w:val="FootnoteReference"/>
          <w:rFonts w:ascii="Times New Roman" w:hAnsi="Times New Roman" w:cs="Times New Roman"/>
        </w:rPr>
        <w:footnoteReference w:id="30"/>
      </w:r>
      <w:r w:rsidR="00A65E38" w:rsidRPr="00F71C89">
        <w:rPr>
          <w:rFonts w:ascii="Times New Roman" w:hAnsi="Times New Roman" w:cs="Times New Roman"/>
        </w:rPr>
        <w:t xml:space="preserve"> and as demonstrated by the </w:t>
      </w:r>
      <w:r w:rsidRPr="00F71C89">
        <w:rPr>
          <w:rFonts w:ascii="Times New Roman" w:hAnsi="Times New Roman" w:cs="Times New Roman"/>
        </w:rPr>
        <w:t xml:space="preserve">failed attempt to prevent a deterioration of the </w:t>
      </w:r>
      <w:r w:rsidR="00A65E38" w:rsidRPr="00F71C89">
        <w:rPr>
          <w:rFonts w:ascii="Times New Roman" w:hAnsi="Times New Roman" w:cs="Times New Roman"/>
        </w:rPr>
        <w:t xml:space="preserve">rule of law </w:t>
      </w:r>
      <w:r w:rsidRPr="00F71C89">
        <w:rPr>
          <w:rFonts w:ascii="Times New Roman" w:hAnsi="Times New Roman" w:cs="Times New Roman"/>
        </w:rPr>
        <w:t xml:space="preserve">situation in </w:t>
      </w:r>
      <w:r w:rsidR="00A65E38" w:rsidRPr="00F71C89">
        <w:rPr>
          <w:rFonts w:ascii="Times New Roman" w:hAnsi="Times New Roman" w:cs="Times New Roman"/>
        </w:rPr>
        <w:t>Poland,</w:t>
      </w:r>
      <w:r w:rsidR="00A65E38" w:rsidRPr="00F71C89">
        <w:rPr>
          <w:rStyle w:val="FootnoteReference"/>
          <w:rFonts w:ascii="Times New Roman" w:hAnsi="Times New Roman" w:cs="Times New Roman"/>
        </w:rPr>
        <w:footnoteReference w:id="31"/>
      </w:r>
      <w:r w:rsidR="00A65E38" w:rsidRPr="00F71C89">
        <w:rPr>
          <w:rFonts w:ascii="Times New Roman" w:hAnsi="Times New Roman" w:cs="Times New Roman"/>
        </w:rPr>
        <w:t xml:space="preserve"> the Commission’s belief in the </w:t>
      </w:r>
      <w:r w:rsidR="003B6AB0" w:rsidRPr="00F71C89">
        <w:rPr>
          <w:rFonts w:ascii="Times New Roman" w:hAnsi="Times New Roman" w:cs="Times New Roman"/>
        </w:rPr>
        <w:t xml:space="preserve">self-correcting </w:t>
      </w:r>
      <w:r w:rsidR="00A65E38" w:rsidRPr="00F71C89">
        <w:rPr>
          <w:rFonts w:ascii="Times New Roman" w:hAnsi="Times New Roman" w:cs="Times New Roman"/>
        </w:rPr>
        <w:t xml:space="preserve">virtues of a discursive approach was naïve and the </w:t>
      </w:r>
      <w:r w:rsidR="003B6AB0" w:rsidRPr="00F71C89">
        <w:rPr>
          <w:rFonts w:ascii="Times New Roman" w:hAnsi="Times New Roman" w:cs="Times New Roman"/>
        </w:rPr>
        <w:t xml:space="preserve">Framework </w:t>
      </w:r>
      <w:r w:rsidR="00A65E38" w:rsidRPr="00F71C89">
        <w:rPr>
          <w:rFonts w:ascii="Times New Roman" w:hAnsi="Times New Roman" w:cs="Times New Roman"/>
        </w:rPr>
        <w:t xml:space="preserve">bound to fail in a situation where </w:t>
      </w:r>
      <w:r w:rsidRPr="00F71C89">
        <w:rPr>
          <w:rFonts w:ascii="Times New Roman" w:hAnsi="Times New Roman" w:cs="Times New Roman"/>
        </w:rPr>
        <w:t>a ruling party aims</w:t>
      </w:r>
      <w:r w:rsidR="00A65E38" w:rsidRPr="00F71C89">
        <w:rPr>
          <w:rFonts w:ascii="Times New Roman" w:hAnsi="Times New Roman" w:cs="Times New Roman"/>
        </w:rPr>
        <w:t xml:space="preserve"> to dismantle all checks and balances</w:t>
      </w:r>
      <w:r w:rsidR="003B6AB0" w:rsidRPr="00F71C89">
        <w:rPr>
          <w:rFonts w:ascii="Times New Roman" w:hAnsi="Times New Roman" w:cs="Times New Roman"/>
        </w:rPr>
        <w:t xml:space="preserve"> and play for time while doing so</w:t>
      </w:r>
      <w:r w:rsidR="00A65E38" w:rsidRPr="00F71C89">
        <w:rPr>
          <w:rFonts w:ascii="Times New Roman" w:hAnsi="Times New Roman" w:cs="Times New Roman"/>
        </w:rPr>
        <w:t xml:space="preserve">. </w:t>
      </w:r>
    </w:p>
    <w:p w14:paraId="26AC84B4" w14:textId="77777777" w:rsidR="00C3105E" w:rsidRPr="00F71C89" w:rsidRDefault="00C3105E" w:rsidP="00F2706A">
      <w:pPr>
        <w:jc w:val="both"/>
        <w:rPr>
          <w:rFonts w:ascii="Times New Roman" w:hAnsi="Times New Roman" w:cs="Times New Roman"/>
        </w:rPr>
      </w:pPr>
    </w:p>
    <w:p w14:paraId="4C56F48C" w14:textId="6D0310BC" w:rsidR="00A65E38" w:rsidRPr="00F71C89" w:rsidRDefault="00A65E38" w:rsidP="00F2706A">
      <w:pPr>
        <w:jc w:val="both"/>
        <w:rPr>
          <w:rFonts w:ascii="Times New Roman" w:hAnsi="Times New Roman" w:cs="Times New Roman"/>
        </w:rPr>
      </w:pPr>
      <w:r w:rsidRPr="00F71C89">
        <w:rPr>
          <w:rFonts w:ascii="Times New Roman" w:hAnsi="Times New Roman" w:cs="Times New Roman"/>
        </w:rPr>
        <w:t xml:space="preserve">As far as the FRA is concerned, however, the </w:t>
      </w:r>
      <w:r w:rsidR="003B6AB0" w:rsidRPr="00F71C89">
        <w:rPr>
          <w:rFonts w:ascii="Times New Roman" w:hAnsi="Times New Roman" w:cs="Times New Roman"/>
        </w:rPr>
        <w:t>Commission</w:t>
      </w:r>
      <w:r w:rsidR="0079653B" w:rsidRPr="00F71C89">
        <w:rPr>
          <w:rFonts w:ascii="Times New Roman" w:hAnsi="Times New Roman" w:cs="Times New Roman"/>
        </w:rPr>
        <w:t>’s Framework</w:t>
      </w:r>
      <w:r w:rsidR="003B6AB0" w:rsidRPr="00F71C89">
        <w:rPr>
          <w:rFonts w:ascii="Times New Roman" w:hAnsi="Times New Roman" w:cs="Times New Roman"/>
        </w:rPr>
        <w:t xml:space="preserve"> </w:t>
      </w:r>
      <w:r w:rsidRPr="00F71C89">
        <w:rPr>
          <w:rFonts w:ascii="Times New Roman" w:hAnsi="Times New Roman" w:cs="Times New Roman"/>
        </w:rPr>
        <w:t>positively acknowledged the benefits of basing its preliminary assessment of the rule of law situation in any EU country ‘</w:t>
      </w:r>
      <w:r w:rsidRPr="00F71C89">
        <w:rPr>
          <w:rFonts w:ascii="Times New Roman" w:hAnsi="Times New Roman" w:cs="Times New Roman"/>
          <w:lang w:val="en-US"/>
        </w:rPr>
        <w:t>on the indications received from available sources and recognized</w:t>
      </w:r>
      <w:r w:rsidRPr="00F71C89">
        <w:rPr>
          <w:rFonts w:ascii="Times New Roman" w:hAnsi="Times New Roman" w:cs="Times New Roman"/>
        </w:rPr>
        <w:t xml:space="preserve"> </w:t>
      </w:r>
      <w:r w:rsidRPr="00F71C89">
        <w:rPr>
          <w:rFonts w:ascii="Times New Roman" w:hAnsi="Times New Roman" w:cs="Times New Roman"/>
          <w:lang w:val="en-US"/>
        </w:rPr>
        <w:t>institutions, including notably the bodies of the Council of Europe and the European Union</w:t>
      </w:r>
      <w:r w:rsidRPr="00F71C89">
        <w:rPr>
          <w:rFonts w:ascii="Times New Roman" w:hAnsi="Times New Roman" w:cs="Times New Roman"/>
        </w:rPr>
        <w:t xml:space="preserve"> </w:t>
      </w:r>
      <w:r w:rsidRPr="00F71C89">
        <w:rPr>
          <w:rFonts w:ascii="Times New Roman" w:hAnsi="Times New Roman" w:cs="Times New Roman"/>
          <w:lang w:val="en-US"/>
        </w:rPr>
        <w:t>Agency for Fundamental Rights’.</w:t>
      </w:r>
      <w:r w:rsidRPr="00F71C89">
        <w:rPr>
          <w:rStyle w:val="FootnoteReference"/>
          <w:rFonts w:ascii="Times New Roman" w:hAnsi="Times New Roman" w:cs="Times New Roman"/>
          <w:lang w:val="en-US"/>
        </w:rPr>
        <w:footnoteReference w:id="32"/>
      </w:r>
      <w:r w:rsidRPr="00F71C89">
        <w:rPr>
          <w:rFonts w:ascii="Times New Roman" w:hAnsi="Times New Roman" w:cs="Times New Roman"/>
          <w:lang w:val="en-US"/>
        </w:rPr>
        <w:t xml:space="preserve"> The possible involvement of judicial networks such </w:t>
      </w:r>
      <w:r w:rsidRPr="00F71C89">
        <w:rPr>
          <w:rFonts w:ascii="Times New Roman" w:hAnsi="Times New Roman" w:cs="Times New Roman"/>
        </w:rPr>
        <w:t>as the Network of the Presidents of the Supreme Judicial Courts of the EU was also positively stressed.</w:t>
      </w:r>
      <w:r w:rsidRPr="00F71C89">
        <w:rPr>
          <w:rStyle w:val="FootnoteReference"/>
          <w:rFonts w:ascii="Times New Roman" w:hAnsi="Times New Roman" w:cs="Times New Roman"/>
        </w:rPr>
        <w:footnoteReference w:id="33"/>
      </w:r>
      <w:r w:rsidRPr="00F71C89">
        <w:rPr>
          <w:rFonts w:ascii="Times New Roman" w:hAnsi="Times New Roman" w:cs="Times New Roman"/>
        </w:rPr>
        <w:t xml:space="preserve"> </w:t>
      </w:r>
      <w:r w:rsidR="00403692" w:rsidRPr="00F71C89">
        <w:rPr>
          <w:rFonts w:ascii="Times New Roman" w:hAnsi="Times New Roman" w:cs="Times New Roman"/>
        </w:rPr>
        <w:t>The Commission’s rule of law probe o</w:t>
      </w:r>
      <w:r w:rsidR="003B6AB0" w:rsidRPr="00F71C89">
        <w:rPr>
          <w:rFonts w:ascii="Times New Roman" w:hAnsi="Times New Roman" w:cs="Times New Roman"/>
        </w:rPr>
        <w:t>f Poland under the Framework</w:t>
      </w:r>
      <w:r w:rsidR="00757A5F" w:rsidRPr="00F71C89">
        <w:rPr>
          <w:rFonts w:ascii="Times New Roman" w:hAnsi="Times New Roman" w:cs="Times New Roman"/>
        </w:rPr>
        <w:t xml:space="preserve"> has shown however t</w:t>
      </w:r>
      <w:r w:rsidR="00403692" w:rsidRPr="00F71C89">
        <w:rPr>
          <w:rFonts w:ascii="Times New Roman" w:hAnsi="Times New Roman" w:cs="Times New Roman"/>
        </w:rPr>
        <w:t>he Commission’s apparent</w:t>
      </w:r>
      <w:r w:rsidR="00757A5F" w:rsidRPr="00F71C89">
        <w:rPr>
          <w:rFonts w:ascii="Times New Roman" w:hAnsi="Times New Roman" w:cs="Times New Roman"/>
        </w:rPr>
        <w:t xml:space="preserve"> preference to </w:t>
      </w:r>
      <w:r w:rsidR="00E21F77" w:rsidRPr="00F71C89">
        <w:rPr>
          <w:rFonts w:ascii="Times New Roman" w:hAnsi="Times New Roman" w:cs="Times New Roman"/>
        </w:rPr>
        <w:t xml:space="preserve">rely on </w:t>
      </w:r>
      <w:r w:rsidR="00757A5F" w:rsidRPr="00F71C89">
        <w:rPr>
          <w:rFonts w:ascii="Times New Roman" w:hAnsi="Times New Roman" w:cs="Times New Roman"/>
        </w:rPr>
        <w:t>the Council of Europe’s Venice Commission</w:t>
      </w:r>
      <w:r w:rsidR="00D0655A" w:rsidRPr="00F71C89">
        <w:rPr>
          <w:rFonts w:ascii="Times New Roman" w:hAnsi="Times New Roman" w:cs="Times New Roman"/>
        </w:rPr>
        <w:t xml:space="preserve"> rather</w:t>
      </w:r>
      <w:r w:rsidR="00757A5F" w:rsidRPr="00F71C89">
        <w:rPr>
          <w:rFonts w:ascii="Times New Roman" w:hAnsi="Times New Roman" w:cs="Times New Roman"/>
        </w:rPr>
        <w:t xml:space="preserve"> than the FRA. This </w:t>
      </w:r>
      <w:r w:rsidR="00AF2A29" w:rsidRPr="00F71C89">
        <w:rPr>
          <w:rFonts w:ascii="Times New Roman" w:hAnsi="Times New Roman" w:cs="Times New Roman"/>
        </w:rPr>
        <w:t xml:space="preserve">was actually made explicit by </w:t>
      </w:r>
      <w:r w:rsidR="00757A5F" w:rsidRPr="00F71C89">
        <w:rPr>
          <w:rFonts w:ascii="Times New Roman" w:hAnsi="Times New Roman" w:cs="Times New Roman"/>
        </w:rPr>
        <w:t xml:space="preserve">the 2014 Communication </w:t>
      </w:r>
      <w:r w:rsidR="00AF2A29" w:rsidRPr="00F71C89">
        <w:rPr>
          <w:rFonts w:ascii="Times New Roman" w:hAnsi="Times New Roman" w:cs="Times New Roman"/>
        </w:rPr>
        <w:t xml:space="preserve">which stressed that </w:t>
      </w:r>
      <w:r w:rsidR="00757A5F" w:rsidRPr="00F71C89">
        <w:rPr>
          <w:rFonts w:ascii="Times New Roman" w:hAnsi="Times New Roman" w:cs="Times New Roman"/>
        </w:rPr>
        <w:t xml:space="preserve">the Commission would ‘as a rule’ </w:t>
      </w:r>
      <w:r w:rsidR="00455E02" w:rsidRPr="00F71C89">
        <w:rPr>
          <w:rFonts w:ascii="Times New Roman" w:hAnsi="Times New Roman" w:cs="Times New Roman"/>
        </w:rPr>
        <w:t xml:space="preserve">seek to </w:t>
      </w:r>
      <w:r w:rsidR="00757A5F" w:rsidRPr="00F71C89">
        <w:rPr>
          <w:rFonts w:ascii="Times New Roman" w:hAnsi="Times New Roman" w:cs="Times New Roman"/>
        </w:rPr>
        <w:t>coordinate its analysis with the Council of Europe and/or its Venice Commission ‘in all case where the matter is also under their consideration and analysis’.</w:t>
      </w:r>
      <w:r w:rsidR="00757A5F" w:rsidRPr="00F71C89">
        <w:rPr>
          <w:rStyle w:val="FootnoteReference"/>
          <w:rFonts w:ascii="Times New Roman" w:hAnsi="Times New Roman" w:cs="Times New Roman"/>
        </w:rPr>
        <w:footnoteReference w:id="34"/>
      </w:r>
      <w:r w:rsidR="00757A5F" w:rsidRPr="00F71C89">
        <w:rPr>
          <w:rFonts w:ascii="Times New Roman" w:hAnsi="Times New Roman" w:cs="Times New Roman"/>
        </w:rPr>
        <w:t xml:space="preserve"> </w:t>
      </w:r>
      <w:r w:rsidR="0026447E" w:rsidRPr="00F71C89">
        <w:rPr>
          <w:rFonts w:ascii="Times New Roman" w:hAnsi="Times New Roman" w:cs="Times New Roman"/>
        </w:rPr>
        <w:t>In the Polish case, r</w:t>
      </w:r>
      <w:r w:rsidR="00F76DC1" w:rsidRPr="00F71C89">
        <w:rPr>
          <w:rFonts w:ascii="Times New Roman" w:hAnsi="Times New Roman" w:cs="Times New Roman"/>
        </w:rPr>
        <w:t xml:space="preserve">elying on </w:t>
      </w:r>
      <w:r w:rsidR="002760B3" w:rsidRPr="00F71C89">
        <w:rPr>
          <w:rFonts w:ascii="Times New Roman" w:hAnsi="Times New Roman" w:cs="Times New Roman"/>
        </w:rPr>
        <w:t>the expertise of a</w:t>
      </w:r>
      <w:r w:rsidR="0026447E" w:rsidRPr="00F71C89">
        <w:rPr>
          <w:rFonts w:ascii="Times New Roman" w:hAnsi="Times New Roman" w:cs="Times New Roman"/>
        </w:rPr>
        <w:t>n experienced</w:t>
      </w:r>
      <w:r w:rsidR="002760B3" w:rsidRPr="00F71C89">
        <w:rPr>
          <w:rFonts w:ascii="Times New Roman" w:hAnsi="Times New Roman" w:cs="Times New Roman"/>
        </w:rPr>
        <w:t xml:space="preserve"> non-EU body </w:t>
      </w:r>
      <w:r w:rsidR="0026447E" w:rsidRPr="00F71C89">
        <w:rPr>
          <w:rFonts w:ascii="Times New Roman" w:hAnsi="Times New Roman" w:cs="Times New Roman"/>
        </w:rPr>
        <w:t>with a well-established reputation in rule of law matters has proved, as expected, helpful not only in terms of assessing compliance of Poland’s ruling party’s ‘reforms’ with European standards, but also in terms of reinforcing the weight of th</w:t>
      </w:r>
      <w:r w:rsidR="002760B3" w:rsidRPr="00F71C89">
        <w:rPr>
          <w:rFonts w:ascii="Times New Roman" w:hAnsi="Times New Roman" w:cs="Times New Roman"/>
        </w:rPr>
        <w:t xml:space="preserve">e Commission’s </w:t>
      </w:r>
      <w:r w:rsidR="0026447E" w:rsidRPr="00F71C89">
        <w:rPr>
          <w:rFonts w:ascii="Times New Roman" w:hAnsi="Times New Roman" w:cs="Times New Roman"/>
        </w:rPr>
        <w:t xml:space="preserve">negative </w:t>
      </w:r>
      <w:r w:rsidR="002760B3" w:rsidRPr="00F71C89">
        <w:rPr>
          <w:rFonts w:ascii="Times New Roman" w:hAnsi="Times New Roman" w:cs="Times New Roman"/>
        </w:rPr>
        <w:t xml:space="preserve">findings </w:t>
      </w:r>
      <w:r w:rsidR="0026447E" w:rsidRPr="00F71C89">
        <w:rPr>
          <w:rFonts w:ascii="Times New Roman" w:hAnsi="Times New Roman" w:cs="Times New Roman"/>
        </w:rPr>
        <w:t xml:space="preserve">and counter criticism from Warsaw </w:t>
      </w:r>
      <w:r w:rsidR="002760B3" w:rsidRPr="00F71C89">
        <w:rPr>
          <w:rFonts w:ascii="Times New Roman" w:hAnsi="Times New Roman" w:cs="Times New Roman"/>
        </w:rPr>
        <w:t>in a si</w:t>
      </w:r>
      <w:r w:rsidR="00BA41AD" w:rsidRPr="00F71C89">
        <w:rPr>
          <w:rFonts w:ascii="Times New Roman" w:hAnsi="Times New Roman" w:cs="Times New Roman"/>
        </w:rPr>
        <w:t xml:space="preserve">tuation where the Commission’s legitimacy, authority </w:t>
      </w:r>
      <w:r w:rsidR="002760B3" w:rsidRPr="00F71C89">
        <w:rPr>
          <w:rFonts w:ascii="Times New Roman" w:hAnsi="Times New Roman" w:cs="Times New Roman"/>
        </w:rPr>
        <w:t xml:space="preserve">and impartiality are </w:t>
      </w:r>
      <w:r w:rsidR="007C2189" w:rsidRPr="00F71C89">
        <w:rPr>
          <w:rFonts w:ascii="Times New Roman" w:hAnsi="Times New Roman" w:cs="Times New Roman"/>
        </w:rPr>
        <w:t xml:space="preserve">defiantly </w:t>
      </w:r>
      <w:r w:rsidR="00BA41AD" w:rsidRPr="00F71C89">
        <w:rPr>
          <w:rFonts w:ascii="Times New Roman" w:hAnsi="Times New Roman" w:cs="Times New Roman"/>
        </w:rPr>
        <w:t>challenged</w:t>
      </w:r>
      <w:r w:rsidR="00175FC6" w:rsidRPr="00F71C89">
        <w:rPr>
          <w:rFonts w:ascii="Times New Roman" w:hAnsi="Times New Roman" w:cs="Times New Roman"/>
        </w:rPr>
        <w:t xml:space="preserve"> as they have been by the Polish government</w:t>
      </w:r>
      <w:r w:rsidR="002760B3" w:rsidRPr="00F71C89">
        <w:rPr>
          <w:rFonts w:ascii="Times New Roman" w:hAnsi="Times New Roman" w:cs="Times New Roman"/>
        </w:rPr>
        <w:t>.</w:t>
      </w:r>
      <w:r w:rsidR="00175FC6" w:rsidRPr="00F71C89">
        <w:rPr>
          <w:rStyle w:val="FootnoteReference"/>
          <w:rFonts w:ascii="Times New Roman" w:hAnsi="Times New Roman" w:cs="Times New Roman"/>
        </w:rPr>
        <w:footnoteReference w:id="35"/>
      </w:r>
      <w:r w:rsidR="002760B3" w:rsidRPr="00F71C89">
        <w:rPr>
          <w:rFonts w:ascii="Times New Roman" w:hAnsi="Times New Roman" w:cs="Times New Roman"/>
        </w:rPr>
        <w:t xml:space="preserve"> </w:t>
      </w:r>
      <w:r w:rsidR="00352235" w:rsidRPr="00F71C89">
        <w:rPr>
          <w:rFonts w:ascii="Times New Roman" w:hAnsi="Times New Roman" w:cs="Times New Roman"/>
        </w:rPr>
        <w:t>While it has been good</w:t>
      </w:r>
      <w:r w:rsidR="00175FC6" w:rsidRPr="00F71C89">
        <w:rPr>
          <w:rFonts w:ascii="Times New Roman" w:hAnsi="Times New Roman" w:cs="Times New Roman"/>
        </w:rPr>
        <w:t xml:space="preserve"> to see the European Commission and the Venice Commission rely on one another’s analysis and demand</w:t>
      </w:r>
      <w:r w:rsidR="00F67CC9" w:rsidRPr="00F71C89">
        <w:rPr>
          <w:rFonts w:ascii="Times New Roman" w:hAnsi="Times New Roman" w:cs="Times New Roman"/>
        </w:rPr>
        <w:t xml:space="preserve"> the implementation of each other’s recommendations</w:t>
      </w:r>
      <w:r w:rsidR="00352235" w:rsidRPr="00F71C89">
        <w:rPr>
          <w:rFonts w:ascii="Times New Roman" w:hAnsi="Times New Roman" w:cs="Times New Roman"/>
        </w:rPr>
        <w:t>,</w:t>
      </w:r>
      <w:r w:rsidR="00F67CC9" w:rsidRPr="00F71C89">
        <w:rPr>
          <w:rStyle w:val="FootnoteReference"/>
          <w:rFonts w:ascii="Times New Roman" w:hAnsi="Times New Roman" w:cs="Times New Roman"/>
        </w:rPr>
        <w:footnoteReference w:id="36"/>
      </w:r>
      <w:r w:rsidR="00F67CC9" w:rsidRPr="00F71C89">
        <w:rPr>
          <w:rFonts w:ascii="Times New Roman" w:hAnsi="Times New Roman" w:cs="Times New Roman"/>
        </w:rPr>
        <w:t xml:space="preserve"> </w:t>
      </w:r>
      <w:r w:rsidR="00352235" w:rsidRPr="00F71C89">
        <w:rPr>
          <w:rFonts w:ascii="Times New Roman" w:hAnsi="Times New Roman" w:cs="Times New Roman"/>
        </w:rPr>
        <w:t xml:space="preserve">this is not to say that the ongoing procedure against Poland would not have benefited from the assistance and expertise of the FRA. </w:t>
      </w:r>
      <w:r w:rsidR="00175FC6" w:rsidRPr="00F71C89">
        <w:rPr>
          <w:rFonts w:ascii="Times New Roman" w:hAnsi="Times New Roman" w:cs="Times New Roman"/>
        </w:rPr>
        <w:t xml:space="preserve"> </w:t>
      </w:r>
    </w:p>
    <w:p w14:paraId="2B83EEFE" w14:textId="77777777" w:rsidR="00A65E38" w:rsidRPr="00F71C89" w:rsidRDefault="00A65E38" w:rsidP="00F2706A">
      <w:pPr>
        <w:jc w:val="both"/>
        <w:rPr>
          <w:rFonts w:ascii="Times New Roman" w:hAnsi="Times New Roman" w:cs="Times New Roman"/>
        </w:rPr>
      </w:pPr>
    </w:p>
    <w:p w14:paraId="745E33A2" w14:textId="48C80AD4" w:rsidR="00403692" w:rsidRPr="00F71C89" w:rsidRDefault="002760B3" w:rsidP="00F2706A">
      <w:pPr>
        <w:jc w:val="both"/>
        <w:rPr>
          <w:rFonts w:ascii="Times New Roman" w:hAnsi="Times New Roman" w:cs="Times New Roman"/>
        </w:rPr>
      </w:pPr>
      <w:r w:rsidRPr="00F71C89">
        <w:rPr>
          <w:rFonts w:ascii="Times New Roman" w:hAnsi="Times New Roman" w:cs="Times New Roman"/>
        </w:rPr>
        <w:t>Looking beyond the case of Poland, i</w:t>
      </w:r>
      <w:r w:rsidR="00757A5F" w:rsidRPr="00F71C89">
        <w:rPr>
          <w:rFonts w:ascii="Times New Roman" w:hAnsi="Times New Roman" w:cs="Times New Roman"/>
        </w:rPr>
        <w:t>t would be positiv</w:t>
      </w:r>
      <w:r w:rsidR="00877E56" w:rsidRPr="00F71C89">
        <w:rPr>
          <w:rFonts w:ascii="Times New Roman" w:hAnsi="Times New Roman" w:cs="Times New Roman"/>
        </w:rPr>
        <w:t xml:space="preserve">e in our view to systematically </w:t>
      </w:r>
      <w:r w:rsidR="00757A5F" w:rsidRPr="00F71C89">
        <w:rPr>
          <w:rFonts w:ascii="Times New Roman" w:hAnsi="Times New Roman" w:cs="Times New Roman"/>
        </w:rPr>
        <w:t>involve the FRA at the assessment stage of the Rul</w:t>
      </w:r>
      <w:r w:rsidR="0079653B" w:rsidRPr="00F71C89">
        <w:rPr>
          <w:rFonts w:ascii="Times New Roman" w:hAnsi="Times New Roman" w:cs="Times New Roman"/>
        </w:rPr>
        <w:t>e of Law Framework. Similarly,</w:t>
      </w:r>
      <w:r w:rsidR="00757A5F" w:rsidRPr="00F71C89">
        <w:rPr>
          <w:rFonts w:ascii="Times New Roman" w:hAnsi="Times New Roman" w:cs="Times New Roman"/>
        </w:rPr>
        <w:t xml:space="preserve"> a more systematic and </w:t>
      </w:r>
      <w:r w:rsidR="00877E56" w:rsidRPr="00F71C89">
        <w:rPr>
          <w:rFonts w:ascii="Times New Roman" w:hAnsi="Times New Roman" w:cs="Times New Roman"/>
        </w:rPr>
        <w:t xml:space="preserve">meaningful </w:t>
      </w:r>
      <w:r w:rsidR="00757A5F" w:rsidRPr="00F71C89">
        <w:rPr>
          <w:rFonts w:ascii="Times New Roman" w:hAnsi="Times New Roman" w:cs="Times New Roman"/>
        </w:rPr>
        <w:t>role for the FRA in the context of the Council’s Annual Rule of Law dialogue</w:t>
      </w:r>
      <w:r w:rsidR="0079653B" w:rsidRPr="00F71C89">
        <w:rPr>
          <w:rFonts w:ascii="Times New Roman" w:hAnsi="Times New Roman" w:cs="Times New Roman"/>
        </w:rPr>
        <w:t>,</w:t>
      </w:r>
      <w:r w:rsidR="00757A5F" w:rsidRPr="00F71C89">
        <w:rPr>
          <w:rFonts w:ascii="Times New Roman" w:hAnsi="Times New Roman" w:cs="Times New Roman"/>
        </w:rPr>
        <w:t xml:space="preserve"> whose main features </w:t>
      </w:r>
      <w:r w:rsidR="00877E56" w:rsidRPr="00F71C89">
        <w:rPr>
          <w:rFonts w:ascii="Times New Roman" w:hAnsi="Times New Roman" w:cs="Times New Roman"/>
        </w:rPr>
        <w:t>are</w:t>
      </w:r>
      <w:r w:rsidR="00757A5F" w:rsidRPr="00F71C89">
        <w:rPr>
          <w:rFonts w:ascii="Times New Roman" w:hAnsi="Times New Roman" w:cs="Times New Roman"/>
        </w:rPr>
        <w:t xml:space="preserve"> described</w:t>
      </w:r>
      <w:r w:rsidR="0079653B" w:rsidRPr="00F71C89">
        <w:rPr>
          <w:rFonts w:ascii="Times New Roman" w:hAnsi="Times New Roman" w:cs="Times New Roman"/>
        </w:rPr>
        <w:t xml:space="preserve"> below, should be organised</w:t>
      </w:r>
      <w:r w:rsidR="00757A5F" w:rsidRPr="00F71C89">
        <w:rPr>
          <w:rFonts w:ascii="Times New Roman" w:hAnsi="Times New Roman" w:cs="Times New Roman"/>
        </w:rPr>
        <w:t xml:space="preserve">. </w:t>
      </w:r>
      <w:r w:rsidR="00BB5E7F" w:rsidRPr="00F71C89">
        <w:rPr>
          <w:rFonts w:ascii="Times New Roman" w:hAnsi="Times New Roman" w:cs="Times New Roman"/>
        </w:rPr>
        <w:t>One may however note that the Commission still does not appear</w:t>
      </w:r>
      <w:r w:rsidRPr="00F71C89">
        <w:rPr>
          <w:rFonts w:ascii="Times New Roman" w:hAnsi="Times New Roman" w:cs="Times New Roman"/>
        </w:rPr>
        <w:t xml:space="preserve"> anxious to involve the FRA in its rule of law </w:t>
      </w:r>
      <w:r w:rsidR="00F67CC9" w:rsidRPr="00F71C89">
        <w:rPr>
          <w:rFonts w:ascii="Times New Roman" w:hAnsi="Times New Roman" w:cs="Times New Roman"/>
        </w:rPr>
        <w:t>mechanisms. With respect to the proposed new mechanism to suspend EU funding in situations of “generalised deficiencies</w:t>
      </w:r>
      <w:r w:rsidR="00FB7DC3" w:rsidRPr="00F71C89">
        <w:rPr>
          <w:rFonts w:ascii="Times New Roman" w:hAnsi="Times New Roman" w:cs="Times New Roman"/>
        </w:rPr>
        <w:t xml:space="preserve"> </w:t>
      </w:r>
      <w:r w:rsidR="00F67CC9" w:rsidRPr="00F71C89">
        <w:rPr>
          <w:rFonts w:ascii="Times New Roman" w:hAnsi="Times New Roman" w:cs="Times New Roman"/>
        </w:rPr>
        <w:t>as regards the rule of law</w:t>
      </w:r>
      <w:r w:rsidR="00FB7DC3" w:rsidRPr="00F71C89">
        <w:rPr>
          <w:rFonts w:ascii="Times New Roman" w:hAnsi="Times New Roman" w:cs="Times New Roman"/>
        </w:rPr>
        <w:t>”</w:t>
      </w:r>
      <w:r w:rsidR="00F67CC9" w:rsidRPr="00F71C89">
        <w:rPr>
          <w:rFonts w:ascii="Times New Roman" w:hAnsi="Times New Roman" w:cs="Times New Roman"/>
        </w:rPr>
        <w:t>, the Commission for instance envisages ‘the use of external expertise from the Counc</w:t>
      </w:r>
      <w:r w:rsidR="00877E56" w:rsidRPr="00F71C89">
        <w:rPr>
          <w:rFonts w:ascii="Times New Roman" w:hAnsi="Times New Roman" w:cs="Times New Roman"/>
        </w:rPr>
        <w:t xml:space="preserve">il of Europe’ </w:t>
      </w:r>
      <w:r w:rsidR="00F67CC9" w:rsidRPr="00F71C89">
        <w:rPr>
          <w:rFonts w:ascii="Times New Roman" w:hAnsi="Times New Roman" w:cs="Times New Roman"/>
        </w:rPr>
        <w:t>but no explicit mention is made of the FRA.</w:t>
      </w:r>
      <w:r w:rsidR="00F67CC9" w:rsidRPr="00F71C89">
        <w:rPr>
          <w:rStyle w:val="FootnoteReference"/>
          <w:rFonts w:ascii="Times New Roman" w:hAnsi="Times New Roman" w:cs="Times New Roman"/>
        </w:rPr>
        <w:footnoteReference w:id="37"/>
      </w:r>
      <w:r w:rsidR="00F67CC9" w:rsidRPr="00F71C89">
        <w:rPr>
          <w:rFonts w:ascii="Times New Roman" w:hAnsi="Times New Roman" w:cs="Times New Roman"/>
        </w:rPr>
        <w:t xml:space="preserve"> </w:t>
      </w:r>
    </w:p>
    <w:p w14:paraId="42E09368" w14:textId="77777777" w:rsidR="00DA44FF" w:rsidRPr="00F71C89" w:rsidRDefault="00DA44FF" w:rsidP="00F2706A">
      <w:pPr>
        <w:jc w:val="both"/>
        <w:rPr>
          <w:rFonts w:ascii="Times New Roman" w:hAnsi="Times New Roman" w:cs="Times New Roman"/>
        </w:rPr>
      </w:pPr>
    </w:p>
    <w:p w14:paraId="5FE656CE" w14:textId="401A1F52" w:rsidR="00BE1D21" w:rsidRPr="00F71C89" w:rsidRDefault="00BE1D21" w:rsidP="00F2706A">
      <w:pPr>
        <w:jc w:val="both"/>
        <w:rPr>
          <w:rFonts w:ascii="Times New Roman" w:hAnsi="Times New Roman" w:cs="Times New Roman"/>
        </w:rPr>
      </w:pPr>
      <w:r w:rsidRPr="00F71C89">
        <w:rPr>
          <w:rFonts w:ascii="Times New Roman" w:hAnsi="Times New Roman" w:cs="Times New Roman"/>
        </w:rPr>
        <w:t>3.</w:t>
      </w:r>
      <w:r w:rsidR="00757A5F" w:rsidRPr="00F71C89">
        <w:rPr>
          <w:rFonts w:ascii="Times New Roman" w:hAnsi="Times New Roman" w:cs="Times New Roman"/>
        </w:rPr>
        <w:t>2</w:t>
      </w:r>
      <w:r w:rsidRPr="00F71C89">
        <w:rPr>
          <w:rFonts w:ascii="Times New Roman" w:hAnsi="Times New Roman" w:cs="Times New Roman"/>
        </w:rPr>
        <w:t xml:space="preserve"> </w:t>
      </w:r>
      <w:r w:rsidRPr="00F71C89">
        <w:rPr>
          <w:rFonts w:ascii="Times New Roman" w:hAnsi="Times New Roman" w:cs="Times New Roman"/>
          <w:i/>
        </w:rPr>
        <w:t>The Council’s Annual Rule of Law Dialogue</w:t>
      </w:r>
    </w:p>
    <w:p w14:paraId="4265403F" w14:textId="77777777" w:rsidR="00BE1D21" w:rsidRPr="00F71C89" w:rsidRDefault="00BE1D21" w:rsidP="00F2706A">
      <w:pPr>
        <w:jc w:val="both"/>
        <w:rPr>
          <w:rFonts w:ascii="Times New Roman" w:hAnsi="Times New Roman" w:cs="Times New Roman"/>
          <w:b/>
        </w:rPr>
      </w:pPr>
    </w:p>
    <w:p w14:paraId="49E3AF47" w14:textId="0BC73362" w:rsidR="007532FE" w:rsidRPr="00F71C89" w:rsidRDefault="00C21120" w:rsidP="00F2706A">
      <w:pPr>
        <w:jc w:val="both"/>
        <w:rPr>
          <w:rFonts w:ascii="Times New Roman" w:hAnsi="Times New Roman" w:cs="Times New Roman"/>
        </w:rPr>
      </w:pPr>
      <w:r w:rsidRPr="00F71C89">
        <w:rPr>
          <w:rFonts w:ascii="Times New Roman" w:hAnsi="Times New Roman" w:cs="Times New Roman"/>
        </w:rPr>
        <w:t>In December 2014, the Council of the EU and the Member States meeting within the Council committed ‘themselves to establishing a dialogue among all Member States within the Council to promote and safeguard the rule of law in the framework of the Treaties’</w:t>
      </w:r>
      <w:r w:rsidR="00C52D6C" w:rsidRPr="00F71C89">
        <w:rPr>
          <w:rFonts w:ascii="Times New Roman" w:hAnsi="Times New Roman" w:cs="Times New Roman"/>
          <w:color w:val="000000"/>
        </w:rPr>
        <w:t>.</w:t>
      </w:r>
      <w:r w:rsidR="00C52D6C" w:rsidRPr="00F71C89">
        <w:rPr>
          <w:rStyle w:val="FootnoteReference"/>
          <w:rFonts w:ascii="Times New Roman" w:hAnsi="Times New Roman" w:cs="Times New Roman"/>
        </w:rPr>
        <w:footnoteReference w:id="38"/>
      </w:r>
      <w:r w:rsidRPr="00F71C89">
        <w:rPr>
          <w:rFonts w:ascii="Times New Roman" w:hAnsi="Times New Roman" w:cs="Times New Roman"/>
          <w:color w:val="000000"/>
        </w:rPr>
        <w:t xml:space="preserve"> </w:t>
      </w:r>
      <w:r w:rsidR="00A87CD7" w:rsidRPr="00F71C89">
        <w:rPr>
          <w:rFonts w:ascii="Times New Roman" w:hAnsi="Times New Roman" w:cs="Times New Roman"/>
          <w:color w:val="000000"/>
        </w:rPr>
        <w:t>This dialogue is</w:t>
      </w:r>
      <w:r w:rsidR="003F28BC" w:rsidRPr="00F71C89">
        <w:rPr>
          <w:rFonts w:ascii="Times New Roman" w:hAnsi="Times New Roman" w:cs="Times New Roman"/>
          <w:color w:val="000000"/>
        </w:rPr>
        <w:t xml:space="preserve"> supposed to be </w:t>
      </w:r>
      <w:r w:rsidR="003F28BC" w:rsidRPr="00F71C89">
        <w:rPr>
          <w:rFonts w:ascii="Times New Roman" w:hAnsi="Times New Roman" w:cs="Times New Roman"/>
        </w:rPr>
        <w:t>based ‘on the</w:t>
      </w:r>
      <w:r w:rsidR="008469D6" w:rsidRPr="00F71C89">
        <w:rPr>
          <w:rFonts w:ascii="Times New Roman" w:hAnsi="Times New Roman" w:cs="Times New Roman"/>
        </w:rPr>
        <w:t xml:space="preserve"> principles of objectivity, non-</w:t>
      </w:r>
      <w:r w:rsidR="003F28BC" w:rsidRPr="00F71C89">
        <w:rPr>
          <w:rFonts w:ascii="Times New Roman" w:hAnsi="Times New Roman" w:cs="Times New Roman"/>
        </w:rPr>
        <w:t>discrimination and equal treatment of all Member Sta</w:t>
      </w:r>
      <w:r w:rsidR="008469D6" w:rsidRPr="00F71C89">
        <w:rPr>
          <w:rFonts w:ascii="Times New Roman" w:hAnsi="Times New Roman" w:cs="Times New Roman"/>
        </w:rPr>
        <w:t>tes’ and be ‘conducted on a non-</w:t>
      </w:r>
      <w:r w:rsidR="003F28BC" w:rsidRPr="00F71C89">
        <w:rPr>
          <w:rFonts w:ascii="Times New Roman" w:hAnsi="Times New Roman" w:cs="Times New Roman"/>
        </w:rPr>
        <w:t>partisan and evidence-based approach’, which is obviously preferable to a debate conducted on a partisan and evidence-free approach. T</w:t>
      </w:r>
      <w:r w:rsidR="00C05DB3" w:rsidRPr="00F71C89">
        <w:rPr>
          <w:rFonts w:ascii="Times New Roman" w:hAnsi="Times New Roman" w:cs="Times New Roman"/>
          <w:color w:val="000000"/>
        </w:rPr>
        <w:t>his</w:t>
      </w:r>
      <w:r w:rsidRPr="00F71C89">
        <w:rPr>
          <w:rFonts w:ascii="Times New Roman" w:hAnsi="Times New Roman" w:cs="Times New Roman"/>
          <w:color w:val="000000"/>
        </w:rPr>
        <w:t xml:space="preserve"> initiative may be understood as an</w:t>
      </w:r>
      <w:r w:rsidR="00C05DB3" w:rsidRPr="00F71C89">
        <w:rPr>
          <w:rFonts w:ascii="Times New Roman" w:hAnsi="Times New Roman" w:cs="Times New Roman"/>
          <w:color w:val="000000"/>
        </w:rPr>
        <w:t xml:space="preserve"> answer to the Commission’s Rule of Law Framework and</w:t>
      </w:r>
      <w:r w:rsidRPr="00F71C89">
        <w:rPr>
          <w:rFonts w:ascii="Times New Roman" w:hAnsi="Times New Roman" w:cs="Times New Roman"/>
          <w:color w:val="000000"/>
        </w:rPr>
        <w:t xml:space="preserve"> </w:t>
      </w:r>
      <w:r w:rsidR="00C05DB3" w:rsidRPr="00F71C89">
        <w:rPr>
          <w:rFonts w:ascii="Times New Roman" w:hAnsi="Times New Roman" w:cs="Times New Roman"/>
          <w:color w:val="000000"/>
        </w:rPr>
        <w:t xml:space="preserve">a possible </w:t>
      </w:r>
      <w:r w:rsidR="00C52D6C" w:rsidRPr="00F71C89">
        <w:rPr>
          <w:rFonts w:ascii="Times New Roman" w:hAnsi="Times New Roman" w:cs="Times New Roman"/>
          <w:color w:val="000000"/>
        </w:rPr>
        <w:t>attemp</w:t>
      </w:r>
      <w:r w:rsidR="00C05DB3" w:rsidRPr="00F71C89">
        <w:rPr>
          <w:rFonts w:ascii="Times New Roman" w:hAnsi="Times New Roman" w:cs="Times New Roman"/>
          <w:color w:val="000000"/>
        </w:rPr>
        <w:t>t to pre-empt the</w:t>
      </w:r>
      <w:r w:rsidR="00C52D6C" w:rsidRPr="00F71C89">
        <w:rPr>
          <w:rFonts w:ascii="Times New Roman" w:hAnsi="Times New Roman" w:cs="Times New Roman"/>
          <w:color w:val="000000"/>
        </w:rPr>
        <w:t xml:space="preserve"> activation </w:t>
      </w:r>
      <w:r w:rsidR="00C05DB3" w:rsidRPr="00F71C89">
        <w:rPr>
          <w:rFonts w:ascii="Times New Roman" w:hAnsi="Times New Roman" w:cs="Times New Roman"/>
          <w:color w:val="000000"/>
        </w:rPr>
        <w:t>of a mechanism</w:t>
      </w:r>
      <w:r w:rsidR="007532FE" w:rsidRPr="00F71C89">
        <w:rPr>
          <w:rFonts w:ascii="Times New Roman" w:hAnsi="Times New Roman" w:cs="Times New Roman"/>
          <w:color w:val="000000"/>
        </w:rPr>
        <w:t>,</w:t>
      </w:r>
      <w:r w:rsidRPr="00F71C89">
        <w:rPr>
          <w:rFonts w:ascii="Times New Roman" w:hAnsi="Times New Roman" w:cs="Times New Roman"/>
          <w:color w:val="000000"/>
        </w:rPr>
        <w:t xml:space="preserve"> which was criticised </w:t>
      </w:r>
      <w:r w:rsidRPr="00F71C89">
        <w:rPr>
          <w:rFonts w:ascii="Times New Roman" w:hAnsi="Times New Roman" w:cs="Times New Roman"/>
          <w:i/>
          <w:color w:val="000000"/>
        </w:rPr>
        <w:t>inter alia</w:t>
      </w:r>
      <w:r w:rsidRPr="00F71C89">
        <w:rPr>
          <w:rFonts w:ascii="Times New Roman" w:hAnsi="Times New Roman" w:cs="Times New Roman"/>
          <w:color w:val="000000"/>
        </w:rPr>
        <w:t xml:space="preserve"> by the UK government </w:t>
      </w:r>
      <w:r w:rsidR="007532FE" w:rsidRPr="00F71C89">
        <w:rPr>
          <w:rFonts w:ascii="Times New Roman" w:hAnsi="Times New Roman" w:cs="Times New Roman"/>
          <w:color w:val="000000"/>
        </w:rPr>
        <w:t xml:space="preserve">on the ground that it may enable the EU </w:t>
      </w:r>
      <w:r w:rsidR="00C52D6C" w:rsidRPr="00F71C89">
        <w:rPr>
          <w:rFonts w:ascii="Times New Roman" w:hAnsi="Times New Roman" w:cs="Times New Roman"/>
          <w:color w:val="000000"/>
        </w:rPr>
        <w:t>to look into rule of law issues beyond the areas governed by EU law.</w:t>
      </w:r>
      <w:r w:rsidR="00C52D6C" w:rsidRPr="00F71C89">
        <w:rPr>
          <w:rStyle w:val="FootnoteReference"/>
          <w:rFonts w:ascii="Times New Roman" w:hAnsi="Times New Roman" w:cs="Times New Roman"/>
        </w:rPr>
        <w:footnoteReference w:id="39"/>
      </w:r>
      <w:r w:rsidR="00C52D6C" w:rsidRPr="00F71C89">
        <w:rPr>
          <w:rFonts w:ascii="Times New Roman" w:hAnsi="Times New Roman" w:cs="Times New Roman"/>
        </w:rPr>
        <w:t xml:space="preserve"> </w:t>
      </w:r>
      <w:r w:rsidR="007532FE" w:rsidRPr="00F71C89">
        <w:rPr>
          <w:rFonts w:ascii="Times New Roman" w:hAnsi="Times New Roman" w:cs="Times New Roman"/>
        </w:rPr>
        <w:t xml:space="preserve">Be that as it may, no role was initially foreseen for the FRA. Instead, this dialogue was supposed to be exclusively prepared by the </w:t>
      </w:r>
      <w:r w:rsidR="0072276E" w:rsidRPr="00F71C89">
        <w:rPr>
          <w:rFonts w:ascii="Times New Roman" w:hAnsi="Times New Roman" w:cs="Times New Roman"/>
        </w:rPr>
        <w:t>Permanent Representatives Committee (</w:t>
      </w:r>
      <w:r w:rsidR="007532FE" w:rsidRPr="00F71C89">
        <w:rPr>
          <w:rFonts w:ascii="Times New Roman" w:hAnsi="Times New Roman" w:cs="Times New Roman"/>
        </w:rPr>
        <w:t>COREPER), following an undefined ‘inclusive approach’.</w:t>
      </w:r>
      <w:r w:rsidR="007532FE" w:rsidRPr="00F71C89">
        <w:rPr>
          <w:rStyle w:val="FootnoteReference"/>
          <w:rFonts w:ascii="Times New Roman" w:hAnsi="Times New Roman" w:cs="Times New Roman"/>
        </w:rPr>
        <w:footnoteReference w:id="40"/>
      </w:r>
    </w:p>
    <w:p w14:paraId="26E77EC6" w14:textId="77777777" w:rsidR="003F28BC" w:rsidRPr="00F71C89" w:rsidRDefault="003F28BC" w:rsidP="00F2706A">
      <w:pPr>
        <w:jc w:val="both"/>
        <w:rPr>
          <w:rFonts w:ascii="Times New Roman" w:hAnsi="Times New Roman" w:cs="Times New Roman"/>
        </w:rPr>
      </w:pPr>
    </w:p>
    <w:p w14:paraId="35A3ECFC" w14:textId="3937E7BE" w:rsidR="00B315CB" w:rsidRPr="00F71C89" w:rsidRDefault="00C21120" w:rsidP="00F2706A">
      <w:pPr>
        <w:jc w:val="both"/>
        <w:rPr>
          <w:rFonts w:ascii="Times New Roman" w:hAnsi="Times New Roman" w:cs="Times New Roman"/>
        </w:rPr>
      </w:pPr>
      <w:r w:rsidRPr="00F71C89">
        <w:rPr>
          <w:rFonts w:ascii="Times New Roman" w:hAnsi="Times New Roman" w:cs="Times New Roman"/>
        </w:rPr>
        <w:t>The first dialogue was organised by the Luxembourg presidency and took place on 17 November 2015. Its main point of focus was the rule of law in the age of digitalis</w:t>
      </w:r>
      <w:r w:rsidR="007532FE" w:rsidRPr="00F71C89">
        <w:rPr>
          <w:rFonts w:ascii="Times New Roman" w:hAnsi="Times New Roman" w:cs="Times New Roman"/>
        </w:rPr>
        <w:t>ation</w:t>
      </w:r>
      <w:r w:rsidRPr="00F71C89">
        <w:rPr>
          <w:rFonts w:ascii="Times New Roman" w:hAnsi="Times New Roman" w:cs="Times New Roman"/>
        </w:rPr>
        <w:t xml:space="preserve">. The second dialogue took place in May 2016 under the Netherlands presidency and focused on migrants’ integration and EU fundamental values. The first two editions of the Council’s rule of law dialogue led some to </w:t>
      </w:r>
      <w:r w:rsidR="00C05DB3" w:rsidRPr="00F71C89">
        <w:rPr>
          <w:rFonts w:ascii="Times New Roman" w:hAnsi="Times New Roman" w:cs="Times New Roman"/>
        </w:rPr>
        <w:t>(</w:t>
      </w:r>
      <w:r w:rsidRPr="00F71C89">
        <w:rPr>
          <w:rFonts w:ascii="Times New Roman" w:hAnsi="Times New Roman" w:cs="Times New Roman"/>
        </w:rPr>
        <w:t>justifiably</w:t>
      </w:r>
      <w:r w:rsidR="00C05DB3" w:rsidRPr="00F71C89">
        <w:rPr>
          <w:rFonts w:ascii="Times New Roman" w:hAnsi="Times New Roman" w:cs="Times New Roman"/>
        </w:rPr>
        <w:t>)</w:t>
      </w:r>
      <w:r w:rsidRPr="00F71C89">
        <w:rPr>
          <w:rFonts w:ascii="Times New Roman" w:hAnsi="Times New Roman" w:cs="Times New Roman"/>
        </w:rPr>
        <w:t xml:space="preserve"> regret ‘the Council’s lamentable inaction in the face of this profound crisis of the EU’s values’</w:t>
      </w:r>
      <w:r w:rsidR="007532FE" w:rsidRPr="00F71C89">
        <w:rPr>
          <w:rFonts w:ascii="Times New Roman" w:hAnsi="Times New Roman" w:cs="Times New Roman"/>
        </w:rPr>
        <w:t>.</w:t>
      </w:r>
      <w:r w:rsidR="007532FE" w:rsidRPr="00F71C89">
        <w:rPr>
          <w:rStyle w:val="FootnoteReference"/>
          <w:rFonts w:ascii="Times New Roman" w:hAnsi="Times New Roman" w:cs="Times New Roman"/>
        </w:rPr>
        <w:footnoteReference w:id="41"/>
      </w:r>
      <w:r w:rsidR="00040223" w:rsidRPr="00F71C89">
        <w:rPr>
          <w:rFonts w:ascii="Times New Roman" w:hAnsi="Times New Roman" w:cs="Times New Roman"/>
        </w:rPr>
        <w:t xml:space="preserve"> Seemingly aware of the toothless if not useless nature </w:t>
      </w:r>
      <w:r w:rsidR="007532FE" w:rsidRPr="00F71C89">
        <w:rPr>
          <w:rFonts w:ascii="Times New Roman" w:hAnsi="Times New Roman" w:cs="Times New Roman"/>
        </w:rPr>
        <w:t xml:space="preserve">of the Council’s new instrument, </w:t>
      </w:r>
      <w:r w:rsidRPr="00F71C89">
        <w:rPr>
          <w:rFonts w:ascii="Times New Roman" w:hAnsi="Times New Roman" w:cs="Times New Roman"/>
        </w:rPr>
        <w:t>the Slovak Presidency ci</w:t>
      </w:r>
      <w:r w:rsidR="007532FE" w:rsidRPr="00F71C89">
        <w:rPr>
          <w:rFonts w:ascii="Times New Roman" w:hAnsi="Times New Roman" w:cs="Times New Roman"/>
        </w:rPr>
        <w:t xml:space="preserve">rculated in September 2016 a </w:t>
      </w:r>
      <w:r w:rsidRPr="00F71C89">
        <w:rPr>
          <w:rFonts w:ascii="Times New Roman" w:hAnsi="Times New Roman" w:cs="Times New Roman"/>
        </w:rPr>
        <w:t>questionnaire to evaluate the ‘experience acquired on the basis of the dialogue’.</w:t>
      </w:r>
      <w:r w:rsidR="007532FE" w:rsidRPr="00F71C89">
        <w:rPr>
          <w:rStyle w:val="FootnoteReference"/>
          <w:rFonts w:ascii="Times New Roman" w:hAnsi="Times New Roman" w:cs="Times New Roman"/>
        </w:rPr>
        <w:footnoteReference w:id="42"/>
      </w:r>
      <w:r w:rsidRPr="00F71C89">
        <w:rPr>
          <w:rFonts w:ascii="Times New Roman" w:hAnsi="Times New Roman" w:cs="Times New Roman"/>
        </w:rPr>
        <w:t xml:space="preserve"> </w:t>
      </w:r>
    </w:p>
    <w:p w14:paraId="6CC7581C" w14:textId="77777777" w:rsidR="00B315CB" w:rsidRPr="00F71C89" w:rsidRDefault="00B315CB" w:rsidP="00F2706A">
      <w:pPr>
        <w:jc w:val="both"/>
        <w:rPr>
          <w:rFonts w:ascii="Times New Roman" w:hAnsi="Times New Roman" w:cs="Times New Roman"/>
        </w:rPr>
      </w:pPr>
    </w:p>
    <w:p w14:paraId="35D607F0" w14:textId="539977CC" w:rsidR="00855B1F" w:rsidRPr="00F71C89" w:rsidRDefault="00A4014C" w:rsidP="00855B1F">
      <w:pPr>
        <w:jc w:val="both"/>
        <w:rPr>
          <w:rFonts w:ascii="Times New Roman" w:hAnsi="Times New Roman" w:cs="Times New Roman"/>
        </w:rPr>
      </w:pPr>
      <w:r w:rsidRPr="00F71C89">
        <w:rPr>
          <w:rFonts w:ascii="Times New Roman" w:hAnsi="Times New Roman" w:cs="Times New Roman"/>
        </w:rPr>
        <w:t xml:space="preserve">The Member States’ replies reveal a broad consensus regarding a possible increasing role for the FRA in the Council’s dialogue with the following </w:t>
      </w:r>
      <w:r w:rsidR="00855B1F" w:rsidRPr="00F71C89">
        <w:rPr>
          <w:rFonts w:ascii="Times New Roman" w:hAnsi="Times New Roman" w:cs="Times New Roman"/>
        </w:rPr>
        <w:t>countries</w:t>
      </w:r>
      <w:r w:rsidRPr="00F71C89">
        <w:rPr>
          <w:rFonts w:ascii="Times New Roman" w:hAnsi="Times New Roman" w:cs="Times New Roman"/>
        </w:rPr>
        <w:t xml:space="preserve"> explicitly in favour of a</w:t>
      </w:r>
      <w:r w:rsidR="008C5491" w:rsidRPr="00F71C89">
        <w:rPr>
          <w:rFonts w:ascii="Times New Roman" w:hAnsi="Times New Roman" w:cs="Times New Roman"/>
        </w:rPr>
        <w:t xml:space="preserve"> more ambitious dialogue with a</w:t>
      </w:r>
      <w:r w:rsidRPr="00F71C89">
        <w:rPr>
          <w:rFonts w:ascii="Times New Roman" w:hAnsi="Times New Roman" w:cs="Times New Roman"/>
        </w:rPr>
        <w:t xml:space="preserve"> stronger involvement of the FRA: Austria</w:t>
      </w:r>
      <w:r w:rsidR="0072276E" w:rsidRPr="00F71C89">
        <w:rPr>
          <w:rFonts w:ascii="Times New Roman" w:hAnsi="Times New Roman" w:cs="Times New Roman"/>
        </w:rPr>
        <w:t>,</w:t>
      </w:r>
      <w:r w:rsidRPr="00F71C89">
        <w:rPr>
          <w:rFonts w:ascii="Times New Roman" w:hAnsi="Times New Roman" w:cs="Times New Roman"/>
        </w:rPr>
        <w:t xml:space="preserve"> Belgium</w:t>
      </w:r>
      <w:r w:rsidR="0072276E" w:rsidRPr="00F71C89">
        <w:rPr>
          <w:rFonts w:ascii="Times New Roman" w:hAnsi="Times New Roman" w:cs="Times New Roman"/>
        </w:rPr>
        <w:t>,</w:t>
      </w:r>
      <w:r w:rsidRPr="00F71C89">
        <w:rPr>
          <w:rFonts w:ascii="Times New Roman" w:hAnsi="Times New Roman" w:cs="Times New Roman"/>
        </w:rPr>
        <w:t xml:space="preserve"> </w:t>
      </w:r>
      <w:r w:rsidR="008C5491" w:rsidRPr="00F71C89">
        <w:rPr>
          <w:rFonts w:ascii="Times New Roman" w:hAnsi="Times New Roman" w:cs="Times New Roman"/>
        </w:rPr>
        <w:t>Finland</w:t>
      </w:r>
      <w:r w:rsidR="008208E8" w:rsidRPr="00F71C89">
        <w:rPr>
          <w:rFonts w:ascii="Times New Roman" w:hAnsi="Times New Roman" w:cs="Times New Roman"/>
        </w:rPr>
        <w:t>,</w:t>
      </w:r>
      <w:r w:rsidR="008C5491" w:rsidRPr="00F71C89">
        <w:rPr>
          <w:rFonts w:ascii="Times New Roman" w:hAnsi="Times New Roman" w:cs="Times New Roman"/>
        </w:rPr>
        <w:t xml:space="preserve"> </w:t>
      </w:r>
      <w:r w:rsidRPr="00F71C89">
        <w:rPr>
          <w:rFonts w:ascii="Times New Roman" w:hAnsi="Times New Roman" w:cs="Times New Roman"/>
        </w:rPr>
        <w:t>Ireland</w:t>
      </w:r>
      <w:r w:rsidR="008208E8" w:rsidRPr="00F71C89">
        <w:rPr>
          <w:rFonts w:ascii="Times New Roman" w:hAnsi="Times New Roman" w:cs="Times New Roman"/>
        </w:rPr>
        <w:t>,</w:t>
      </w:r>
      <w:r w:rsidRPr="00F71C89">
        <w:rPr>
          <w:rFonts w:ascii="Times New Roman" w:hAnsi="Times New Roman" w:cs="Times New Roman"/>
        </w:rPr>
        <w:t xml:space="preserve"> Croatia</w:t>
      </w:r>
      <w:r w:rsidR="008208E8" w:rsidRPr="00F71C89">
        <w:rPr>
          <w:rFonts w:ascii="Times New Roman" w:hAnsi="Times New Roman" w:cs="Times New Roman"/>
        </w:rPr>
        <w:t>,</w:t>
      </w:r>
      <w:r w:rsidRPr="00F71C89">
        <w:rPr>
          <w:rFonts w:ascii="Times New Roman" w:hAnsi="Times New Roman" w:cs="Times New Roman"/>
        </w:rPr>
        <w:t xml:space="preserve"> Italy</w:t>
      </w:r>
      <w:r w:rsidR="0072276E" w:rsidRPr="00F71C89">
        <w:rPr>
          <w:rFonts w:ascii="Times New Roman" w:hAnsi="Times New Roman" w:cs="Times New Roman"/>
        </w:rPr>
        <w:t>,</w:t>
      </w:r>
      <w:r w:rsidRPr="00F71C89">
        <w:rPr>
          <w:rFonts w:ascii="Times New Roman" w:hAnsi="Times New Roman" w:cs="Times New Roman"/>
        </w:rPr>
        <w:t xml:space="preserve"> Luxembourg</w:t>
      </w:r>
      <w:r w:rsidR="0072276E" w:rsidRPr="00F71C89">
        <w:rPr>
          <w:rFonts w:ascii="Times New Roman" w:hAnsi="Times New Roman" w:cs="Times New Roman"/>
        </w:rPr>
        <w:t>,</w:t>
      </w:r>
      <w:r w:rsidRPr="00F71C89">
        <w:rPr>
          <w:rFonts w:ascii="Times New Roman" w:hAnsi="Times New Roman" w:cs="Times New Roman"/>
        </w:rPr>
        <w:t xml:space="preserve"> Netherlands</w:t>
      </w:r>
      <w:r w:rsidR="0072276E" w:rsidRPr="00F71C89">
        <w:rPr>
          <w:rFonts w:ascii="Times New Roman" w:hAnsi="Times New Roman" w:cs="Times New Roman"/>
        </w:rPr>
        <w:t>, Slovenia,</w:t>
      </w:r>
      <w:r w:rsidR="00855B1F" w:rsidRPr="00F71C89">
        <w:rPr>
          <w:rFonts w:ascii="Times New Roman" w:hAnsi="Times New Roman" w:cs="Times New Roman"/>
        </w:rPr>
        <w:t xml:space="preserve"> and Sweden. A</w:t>
      </w:r>
      <w:r w:rsidR="008C5491" w:rsidRPr="00F71C89">
        <w:rPr>
          <w:rFonts w:ascii="Times New Roman" w:hAnsi="Times New Roman" w:cs="Times New Roman"/>
        </w:rPr>
        <w:t xml:space="preserve"> number of countries </w:t>
      </w:r>
      <w:r w:rsidR="00855B1F" w:rsidRPr="00F71C89">
        <w:rPr>
          <w:rFonts w:ascii="Times New Roman" w:hAnsi="Times New Roman" w:cs="Times New Roman"/>
        </w:rPr>
        <w:t>(</w:t>
      </w:r>
      <w:r w:rsidR="008C5491" w:rsidRPr="00F71C89">
        <w:rPr>
          <w:rFonts w:ascii="Times New Roman" w:hAnsi="Times New Roman" w:cs="Times New Roman"/>
        </w:rPr>
        <w:t xml:space="preserve">the Czech Republic, </w:t>
      </w:r>
      <w:r w:rsidR="001B4C90" w:rsidRPr="00F71C89">
        <w:rPr>
          <w:rFonts w:ascii="Times New Roman" w:hAnsi="Times New Roman" w:cs="Times New Roman"/>
        </w:rPr>
        <w:t xml:space="preserve">Cyprus, </w:t>
      </w:r>
      <w:r w:rsidR="008C5491" w:rsidRPr="00F71C89">
        <w:rPr>
          <w:rFonts w:ascii="Times New Roman" w:hAnsi="Times New Roman" w:cs="Times New Roman"/>
        </w:rPr>
        <w:t xml:space="preserve">Estonia, France, Greece, Latvia, Lithuania </w:t>
      </w:r>
      <w:r w:rsidR="008208E8" w:rsidRPr="00F71C89">
        <w:rPr>
          <w:rFonts w:ascii="Times New Roman" w:hAnsi="Times New Roman" w:cs="Times New Roman"/>
        </w:rPr>
        <w:t>and</w:t>
      </w:r>
      <w:r w:rsidR="008C5491" w:rsidRPr="00F71C89">
        <w:rPr>
          <w:rFonts w:ascii="Times New Roman" w:hAnsi="Times New Roman" w:cs="Times New Roman"/>
        </w:rPr>
        <w:t xml:space="preserve"> Spain</w:t>
      </w:r>
      <w:r w:rsidR="00855B1F" w:rsidRPr="00F71C89">
        <w:rPr>
          <w:rFonts w:ascii="Times New Roman" w:hAnsi="Times New Roman" w:cs="Times New Roman"/>
        </w:rPr>
        <w:t>)</w:t>
      </w:r>
      <w:r w:rsidR="008C5491" w:rsidRPr="00F71C89">
        <w:rPr>
          <w:rFonts w:ascii="Times New Roman" w:hAnsi="Times New Roman" w:cs="Times New Roman"/>
        </w:rPr>
        <w:t xml:space="preserve">, which expressed their opposition to the idea of turning the dialogue into a more structured periodical review process, also favoured the involvement of the FRA. </w:t>
      </w:r>
      <w:r w:rsidR="003F28BC" w:rsidRPr="00F71C89">
        <w:rPr>
          <w:rFonts w:ascii="Times New Roman" w:hAnsi="Times New Roman" w:cs="Times New Roman"/>
        </w:rPr>
        <w:t xml:space="preserve">Out of all the submissions, Austria’s is perhaps the one offering the most food for thought </w:t>
      </w:r>
      <w:r w:rsidR="00855B1F" w:rsidRPr="00F71C89">
        <w:rPr>
          <w:rFonts w:ascii="Times New Roman" w:hAnsi="Times New Roman" w:cs="Times New Roman"/>
        </w:rPr>
        <w:t>(</w:t>
      </w:r>
      <w:r w:rsidR="008208E8" w:rsidRPr="00F71C89">
        <w:rPr>
          <w:rFonts w:ascii="Times New Roman" w:hAnsi="Times New Roman" w:cs="Times New Roman"/>
        </w:rPr>
        <w:t xml:space="preserve">possibly </w:t>
      </w:r>
      <w:r w:rsidR="00855B1F" w:rsidRPr="00F71C89">
        <w:rPr>
          <w:rFonts w:ascii="Times New Roman" w:hAnsi="Times New Roman" w:cs="Times New Roman"/>
        </w:rPr>
        <w:t xml:space="preserve">due to its familiarity with the FRA which is based in Vienna), with its recommendation </w:t>
      </w:r>
      <w:r w:rsidR="001525D2" w:rsidRPr="00F71C89">
        <w:rPr>
          <w:rFonts w:ascii="Times New Roman" w:hAnsi="Times New Roman" w:cs="Times New Roman"/>
        </w:rPr>
        <w:t>t</w:t>
      </w:r>
      <w:r w:rsidR="00D77C08" w:rsidRPr="00F71C89">
        <w:rPr>
          <w:rFonts w:ascii="Times New Roman" w:hAnsi="Times New Roman" w:cs="Times New Roman"/>
        </w:rPr>
        <w:t xml:space="preserve">o </w:t>
      </w:r>
      <w:r w:rsidR="00855B1F" w:rsidRPr="00F71C89">
        <w:rPr>
          <w:rFonts w:ascii="Times New Roman" w:hAnsi="Times New Roman" w:cs="Times New Roman"/>
        </w:rPr>
        <w:t>‘</w:t>
      </w:r>
      <w:r w:rsidR="00D77C08" w:rsidRPr="00F71C89">
        <w:rPr>
          <w:rFonts w:ascii="Times New Roman" w:hAnsi="Times New Roman" w:cs="Times New Roman"/>
        </w:rPr>
        <w:t>strongly involve</w:t>
      </w:r>
      <w:r w:rsidR="00855B1F" w:rsidRPr="00F71C89">
        <w:rPr>
          <w:rFonts w:ascii="Times New Roman" w:hAnsi="Times New Roman" w:cs="Times New Roman"/>
        </w:rPr>
        <w:t xml:space="preserve">’ the FRA in the dialogue’s preparatory phase: </w:t>
      </w:r>
    </w:p>
    <w:p w14:paraId="71856FC1" w14:textId="77777777" w:rsidR="00976912" w:rsidRPr="00F71C89" w:rsidRDefault="00976912" w:rsidP="00855B1F">
      <w:pPr>
        <w:jc w:val="both"/>
        <w:rPr>
          <w:rFonts w:ascii="Times New Roman" w:hAnsi="Times New Roman" w:cs="Times New Roman"/>
        </w:rPr>
      </w:pPr>
    </w:p>
    <w:p w14:paraId="18E99824" w14:textId="6EFB5308" w:rsidR="003F28BC" w:rsidRPr="00F71C89" w:rsidRDefault="001525D2" w:rsidP="00855B1F">
      <w:pPr>
        <w:ind w:left="720"/>
        <w:jc w:val="both"/>
        <w:rPr>
          <w:rFonts w:ascii="Times New Roman" w:hAnsi="Times New Roman" w:cs="Times New Roman"/>
        </w:rPr>
      </w:pPr>
      <w:r w:rsidRPr="00F71C89">
        <w:rPr>
          <w:rFonts w:ascii="Times New Roman" w:hAnsi="Times New Roman" w:cs="Times New Roman"/>
        </w:rPr>
        <w:t>The FRA could be tasked by the Council to analyse existing information material and distil from it the most frequently addressed topics including recommendations thereon and prepare a summary and/or issues paper on it. This summary could be used by the Council as a basis for further discussions. In a next stage the FREMP, as the competent Council working group on an expert level, could discuss the FRA summary/issues paper and prepare a report</w:t>
      </w:r>
      <w:r w:rsidR="00455E02" w:rsidRPr="00F71C89">
        <w:rPr>
          <w:rFonts w:ascii="Times New Roman" w:hAnsi="Times New Roman" w:cs="Times New Roman"/>
        </w:rPr>
        <w:t xml:space="preserve"> to be forwarded to the Council</w:t>
      </w:r>
      <w:r w:rsidRPr="00F71C89">
        <w:rPr>
          <w:rFonts w:ascii="Times New Roman" w:hAnsi="Times New Roman" w:cs="Times New Roman"/>
        </w:rPr>
        <w:t>.</w:t>
      </w:r>
      <w:r w:rsidRPr="00F71C89">
        <w:rPr>
          <w:rStyle w:val="FootnoteReference"/>
          <w:rFonts w:ascii="Times New Roman" w:hAnsi="Times New Roman" w:cs="Times New Roman"/>
        </w:rPr>
        <w:footnoteReference w:id="43"/>
      </w:r>
      <w:r w:rsidRPr="00F71C89">
        <w:rPr>
          <w:rFonts w:ascii="Times New Roman" w:hAnsi="Times New Roman" w:cs="Times New Roman"/>
        </w:rPr>
        <w:t xml:space="preserve"> </w:t>
      </w:r>
    </w:p>
    <w:p w14:paraId="0BEDF462" w14:textId="77777777" w:rsidR="003F28BC" w:rsidRPr="00F71C89" w:rsidRDefault="003F28BC" w:rsidP="00F2706A">
      <w:pPr>
        <w:jc w:val="both"/>
        <w:rPr>
          <w:rFonts w:ascii="Times New Roman" w:hAnsi="Times New Roman" w:cs="Times New Roman"/>
        </w:rPr>
      </w:pPr>
    </w:p>
    <w:p w14:paraId="5A9966B7" w14:textId="4D535A6B" w:rsidR="001525D2" w:rsidRPr="00F71C89" w:rsidRDefault="003F28BC" w:rsidP="00F2706A">
      <w:pPr>
        <w:jc w:val="both"/>
        <w:rPr>
          <w:rFonts w:ascii="Times New Roman" w:hAnsi="Times New Roman" w:cs="Times New Roman"/>
        </w:rPr>
      </w:pPr>
      <w:r w:rsidRPr="00F71C89">
        <w:rPr>
          <w:rFonts w:ascii="Times New Roman" w:hAnsi="Times New Roman" w:cs="Times New Roman"/>
        </w:rPr>
        <w:t xml:space="preserve">Finland’s submission </w:t>
      </w:r>
      <w:r w:rsidR="008208E8" w:rsidRPr="00F71C89">
        <w:rPr>
          <w:rFonts w:ascii="Times New Roman" w:hAnsi="Times New Roman" w:cs="Times New Roman"/>
        </w:rPr>
        <w:t>proposing the</w:t>
      </w:r>
      <w:r w:rsidR="00D77C08" w:rsidRPr="00F71C89">
        <w:rPr>
          <w:rFonts w:ascii="Times New Roman" w:hAnsi="Times New Roman" w:cs="Times New Roman"/>
        </w:rPr>
        <w:t xml:space="preserve"> reorganisation of the dialogue</w:t>
      </w:r>
      <w:r w:rsidR="002B26E9" w:rsidRPr="00F71C89">
        <w:rPr>
          <w:rFonts w:ascii="Times New Roman" w:hAnsi="Times New Roman" w:cs="Times New Roman"/>
        </w:rPr>
        <w:t xml:space="preserve"> </w:t>
      </w:r>
      <w:r w:rsidR="008208E8" w:rsidRPr="00F71C89">
        <w:rPr>
          <w:rFonts w:ascii="Times New Roman" w:hAnsi="Times New Roman" w:cs="Times New Roman"/>
        </w:rPr>
        <w:t xml:space="preserve">is also worth noting </w:t>
      </w:r>
      <w:r w:rsidR="002B26E9" w:rsidRPr="00F71C89">
        <w:rPr>
          <w:rFonts w:ascii="Times New Roman" w:hAnsi="Times New Roman" w:cs="Times New Roman"/>
        </w:rPr>
        <w:t xml:space="preserve">as it </w:t>
      </w:r>
      <w:r w:rsidR="00D77C08" w:rsidRPr="00F71C89">
        <w:rPr>
          <w:rFonts w:ascii="Times New Roman" w:hAnsi="Times New Roman" w:cs="Times New Roman"/>
        </w:rPr>
        <w:t>s</w:t>
      </w:r>
      <w:r w:rsidRPr="00F71C89">
        <w:rPr>
          <w:rFonts w:ascii="Times New Roman" w:hAnsi="Times New Roman" w:cs="Times New Roman"/>
        </w:rPr>
        <w:t>imilarly</w:t>
      </w:r>
      <w:r w:rsidR="00D77C08" w:rsidRPr="00F71C89">
        <w:rPr>
          <w:rFonts w:ascii="Times New Roman" w:hAnsi="Times New Roman" w:cs="Times New Roman"/>
        </w:rPr>
        <w:t xml:space="preserve"> offer</w:t>
      </w:r>
      <w:r w:rsidR="00B04E19" w:rsidRPr="00F71C89">
        <w:rPr>
          <w:rFonts w:ascii="Times New Roman" w:hAnsi="Times New Roman" w:cs="Times New Roman"/>
        </w:rPr>
        <w:t>s in our view</w:t>
      </w:r>
      <w:r w:rsidR="00D77C08" w:rsidRPr="00F71C89">
        <w:rPr>
          <w:rFonts w:ascii="Times New Roman" w:hAnsi="Times New Roman" w:cs="Times New Roman"/>
        </w:rPr>
        <w:t xml:space="preserve"> a</w:t>
      </w:r>
      <w:r w:rsidR="00D512F8" w:rsidRPr="00F71C89">
        <w:rPr>
          <w:rFonts w:ascii="Times New Roman" w:hAnsi="Times New Roman" w:cs="Times New Roman"/>
        </w:rPr>
        <w:t>nother</w:t>
      </w:r>
      <w:r w:rsidR="00D77C08" w:rsidRPr="00F71C89">
        <w:rPr>
          <w:rFonts w:ascii="Times New Roman" w:hAnsi="Times New Roman" w:cs="Times New Roman"/>
        </w:rPr>
        <w:t xml:space="preserve"> potential</w:t>
      </w:r>
      <w:r w:rsidR="008208E8" w:rsidRPr="00F71C89">
        <w:rPr>
          <w:rFonts w:ascii="Times New Roman" w:hAnsi="Times New Roman" w:cs="Times New Roman"/>
        </w:rPr>
        <w:t>ly</w:t>
      </w:r>
      <w:r w:rsidR="00D77C08" w:rsidRPr="00F71C89">
        <w:rPr>
          <w:rFonts w:ascii="Times New Roman" w:hAnsi="Times New Roman" w:cs="Times New Roman"/>
        </w:rPr>
        <w:t xml:space="preserve"> promising path for reform:</w:t>
      </w:r>
      <w:r w:rsidR="00D77C08" w:rsidRPr="00F71C89">
        <w:rPr>
          <w:rStyle w:val="FootnoteReference"/>
          <w:rFonts w:ascii="Times New Roman" w:hAnsi="Times New Roman" w:cs="Times New Roman"/>
        </w:rPr>
        <w:footnoteReference w:id="44"/>
      </w:r>
      <w:r w:rsidR="00D77C08" w:rsidRPr="00F71C89">
        <w:rPr>
          <w:rFonts w:ascii="Times New Roman" w:hAnsi="Times New Roman" w:cs="Times New Roman"/>
        </w:rPr>
        <w:t xml:space="preserve"> </w:t>
      </w:r>
    </w:p>
    <w:p w14:paraId="7E78256E" w14:textId="77777777" w:rsidR="00C52D6C" w:rsidRPr="00F71C89" w:rsidRDefault="00C52D6C" w:rsidP="00F2706A">
      <w:pPr>
        <w:jc w:val="both"/>
        <w:rPr>
          <w:rFonts w:ascii="Times New Roman" w:hAnsi="Times New Roman" w:cs="Times New Roman"/>
        </w:rPr>
      </w:pPr>
    </w:p>
    <w:p w14:paraId="3C547873" w14:textId="17043B98" w:rsidR="00C52D6C" w:rsidRPr="00F71C89" w:rsidRDefault="00594B9D" w:rsidP="00F2706A">
      <w:pPr>
        <w:jc w:val="both"/>
        <w:rPr>
          <w:rFonts w:ascii="Times New Roman" w:hAnsi="Times New Roman" w:cs="Times New Roman"/>
        </w:rPr>
      </w:pPr>
      <w:r w:rsidRPr="00F71C89">
        <w:rPr>
          <w:rFonts w:ascii="Times New Roman" w:hAnsi="Times New Roman" w:cs="Times New Roman"/>
          <w:noProof/>
          <w:lang w:eastAsia="en-GB"/>
        </w:rPr>
        <w:drawing>
          <wp:inline distT="0" distB="0" distL="0" distR="0" wp14:anchorId="186EFEAD" wp14:editId="32162635">
            <wp:extent cx="5270500" cy="368363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5-25 at 12.18.30.png"/>
                    <pic:cNvPicPr/>
                  </pic:nvPicPr>
                  <pic:blipFill>
                    <a:blip r:embed="rId9">
                      <a:extLst>
                        <a:ext uri="{28A0092B-C50C-407E-A947-70E740481C1C}">
                          <a14:useLocalDpi xmlns:a14="http://schemas.microsoft.com/office/drawing/2010/main" val="0"/>
                        </a:ext>
                      </a:extLst>
                    </a:blip>
                    <a:stretch>
                      <a:fillRect/>
                    </a:stretch>
                  </pic:blipFill>
                  <pic:spPr>
                    <a:xfrm>
                      <a:off x="0" y="0"/>
                      <a:ext cx="5270500" cy="3683635"/>
                    </a:xfrm>
                    <a:prstGeom prst="rect">
                      <a:avLst/>
                    </a:prstGeom>
                  </pic:spPr>
                </pic:pic>
              </a:graphicData>
            </a:graphic>
          </wp:inline>
        </w:drawing>
      </w:r>
    </w:p>
    <w:p w14:paraId="59C8E989" w14:textId="77777777" w:rsidR="00B04E19" w:rsidRPr="00F71C89" w:rsidRDefault="00B04E19" w:rsidP="00F2706A">
      <w:pPr>
        <w:jc w:val="both"/>
        <w:rPr>
          <w:rFonts w:ascii="Times New Roman" w:hAnsi="Times New Roman" w:cs="Times New Roman"/>
        </w:rPr>
      </w:pPr>
    </w:p>
    <w:p w14:paraId="7D2FBB9C" w14:textId="3F7170D5" w:rsidR="00C52D6C" w:rsidRPr="00F71C89" w:rsidRDefault="00D77C08" w:rsidP="00F2706A">
      <w:pPr>
        <w:jc w:val="both"/>
        <w:rPr>
          <w:rFonts w:ascii="Times New Roman" w:hAnsi="Times New Roman" w:cs="Times New Roman"/>
        </w:rPr>
      </w:pPr>
      <w:r w:rsidRPr="00F71C89">
        <w:rPr>
          <w:rFonts w:ascii="Times New Roman" w:hAnsi="Times New Roman" w:cs="Times New Roman"/>
        </w:rPr>
        <w:t xml:space="preserve">Unsurprisingly, </w:t>
      </w:r>
      <w:r w:rsidR="00C77E32" w:rsidRPr="00F71C89">
        <w:rPr>
          <w:rFonts w:ascii="Times New Roman" w:eastAsia="Times New Roman" w:hAnsi="Times New Roman" w:cs="Times New Roman"/>
        </w:rPr>
        <w:t>Orbán</w:t>
      </w:r>
      <w:r w:rsidR="00C77E32" w:rsidRPr="00F71C89">
        <w:rPr>
          <w:rFonts w:ascii="Times New Roman" w:hAnsi="Times New Roman" w:cs="Times New Roman"/>
        </w:rPr>
        <w:t xml:space="preserve">’s </w:t>
      </w:r>
      <w:r w:rsidRPr="00F71C89">
        <w:rPr>
          <w:rFonts w:ascii="Times New Roman" w:hAnsi="Times New Roman" w:cs="Times New Roman"/>
        </w:rPr>
        <w:t xml:space="preserve">Hungary and </w:t>
      </w:r>
      <w:r w:rsidR="00C77E32" w:rsidRPr="00F71C89">
        <w:rPr>
          <w:rStyle w:val="Emphasis"/>
          <w:rFonts w:ascii="Times New Roman" w:eastAsia="Times New Roman" w:hAnsi="Times New Roman" w:cs="Times New Roman"/>
          <w:i w:val="0"/>
          <w:shd w:val="clear" w:color="auto" w:fill="FFFFFF"/>
        </w:rPr>
        <w:t>Kaczyński</w:t>
      </w:r>
      <w:r w:rsidR="00C77E32" w:rsidRPr="00F71C89">
        <w:rPr>
          <w:rFonts w:ascii="Times New Roman" w:hAnsi="Times New Roman" w:cs="Times New Roman"/>
          <w:i/>
        </w:rPr>
        <w:t>’</w:t>
      </w:r>
      <w:r w:rsidR="00C77E32" w:rsidRPr="00F71C89">
        <w:rPr>
          <w:rFonts w:ascii="Times New Roman" w:hAnsi="Times New Roman" w:cs="Times New Roman"/>
        </w:rPr>
        <w:t xml:space="preserve">s </w:t>
      </w:r>
      <w:r w:rsidR="00417522" w:rsidRPr="00F71C89">
        <w:rPr>
          <w:rFonts w:ascii="Times New Roman" w:hAnsi="Times New Roman" w:cs="Times New Roman"/>
        </w:rPr>
        <w:t xml:space="preserve">Poland have indicated their opposition to </w:t>
      </w:r>
      <w:r w:rsidRPr="00F71C89">
        <w:rPr>
          <w:rFonts w:ascii="Times New Roman" w:hAnsi="Times New Roman" w:cs="Times New Roman"/>
        </w:rPr>
        <w:t>any ‘upgrading’ of the Council’s dialogue</w:t>
      </w:r>
      <w:r w:rsidR="00C77E32" w:rsidRPr="00F71C89">
        <w:rPr>
          <w:rFonts w:ascii="Times New Roman" w:hAnsi="Times New Roman" w:cs="Times New Roman"/>
        </w:rPr>
        <w:t xml:space="preserve">. For the Hungarian government, </w:t>
      </w:r>
      <w:r w:rsidR="00C52D6C" w:rsidRPr="00F71C89">
        <w:rPr>
          <w:rFonts w:ascii="Times New Roman" w:hAnsi="Times New Roman" w:cs="Times New Roman"/>
        </w:rPr>
        <w:t>the current dialogue ‘can only be effective and keep its balanced character if no evaluation by other EU bodies or actors follow the exchange of views and experiences’</w:t>
      </w:r>
      <w:r w:rsidR="00C77E32" w:rsidRPr="00F71C89">
        <w:rPr>
          <w:rFonts w:ascii="Times New Roman" w:hAnsi="Times New Roman" w:cs="Times New Roman"/>
        </w:rPr>
        <w:t>.</w:t>
      </w:r>
      <w:r w:rsidRPr="00F71C89">
        <w:rPr>
          <w:rStyle w:val="FootnoteReference"/>
          <w:rFonts w:ascii="Times New Roman" w:hAnsi="Times New Roman" w:cs="Times New Roman"/>
        </w:rPr>
        <w:footnoteReference w:id="45"/>
      </w:r>
      <w:r w:rsidRPr="00F71C89">
        <w:rPr>
          <w:rFonts w:ascii="Times New Roman" w:hAnsi="Times New Roman" w:cs="Times New Roman"/>
        </w:rPr>
        <w:t xml:space="preserve"> </w:t>
      </w:r>
      <w:r w:rsidR="004A4AC7" w:rsidRPr="00F71C89">
        <w:rPr>
          <w:rFonts w:ascii="Times New Roman" w:hAnsi="Times New Roman" w:cs="Times New Roman"/>
        </w:rPr>
        <w:t xml:space="preserve">As regards </w:t>
      </w:r>
      <w:r w:rsidR="00C77E32" w:rsidRPr="00F71C89">
        <w:rPr>
          <w:rFonts w:ascii="Times New Roman" w:hAnsi="Times New Roman" w:cs="Times New Roman"/>
        </w:rPr>
        <w:t xml:space="preserve">the Polish government, </w:t>
      </w:r>
      <w:r w:rsidR="004A4AC7" w:rsidRPr="00F71C89">
        <w:rPr>
          <w:rFonts w:ascii="Times New Roman" w:hAnsi="Times New Roman" w:cs="Times New Roman"/>
        </w:rPr>
        <w:t xml:space="preserve">its key concern is </w:t>
      </w:r>
      <w:r w:rsidR="00C77E32" w:rsidRPr="00F71C89">
        <w:rPr>
          <w:rFonts w:ascii="Times New Roman" w:hAnsi="Times New Roman" w:cs="Times New Roman"/>
        </w:rPr>
        <w:t xml:space="preserve">not to allow for </w:t>
      </w:r>
      <w:r w:rsidRPr="00F71C89">
        <w:rPr>
          <w:rFonts w:ascii="Times New Roman" w:hAnsi="Times New Roman" w:cs="Times New Roman"/>
        </w:rPr>
        <w:t xml:space="preserve">any </w:t>
      </w:r>
      <w:r w:rsidR="004A4AC7" w:rsidRPr="00F71C89">
        <w:rPr>
          <w:rFonts w:ascii="Times New Roman" w:hAnsi="Times New Roman" w:cs="Times New Roman"/>
        </w:rPr>
        <w:t>discussion</w:t>
      </w:r>
      <w:r w:rsidR="00C52D6C" w:rsidRPr="00F71C89">
        <w:rPr>
          <w:rFonts w:ascii="Times New Roman" w:hAnsi="Times New Roman" w:cs="Times New Roman"/>
        </w:rPr>
        <w:t xml:space="preserve"> ‘directed against an individual Member State’</w:t>
      </w:r>
      <w:r w:rsidRPr="00F71C89">
        <w:rPr>
          <w:rFonts w:ascii="Times New Roman" w:hAnsi="Times New Roman" w:cs="Times New Roman"/>
        </w:rPr>
        <w:t>.</w:t>
      </w:r>
      <w:r w:rsidRPr="00F71C89">
        <w:rPr>
          <w:rStyle w:val="FootnoteReference"/>
          <w:rFonts w:ascii="Times New Roman" w:hAnsi="Times New Roman" w:cs="Times New Roman"/>
        </w:rPr>
        <w:footnoteReference w:id="46"/>
      </w:r>
      <w:r w:rsidR="00C52D6C" w:rsidRPr="00F71C89">
        <w:rPr>
          <w:rFonts w:ascii="Times New Roman" w:hAnsi="Times New Roman" w:cs="Times New Roman"/>
        </w:rPr>
        <w:t xml:space="preserve"> </w:t>
      </w:r>
      <w:r w:rsidR="004A4AC7" w:rsidRPr="00F71C89">
        <w:rPr>
          <w:rFonts w:ascii="Times New Roman" w:hAnsi="Times New Roman" w:cs="Times New Roman"/>
        </w:rPr>
        <w:t xml:space="preserve">In line with its previous </w:t>
      </w:r>
      <w:r w:rsidRPr="00F71C89">
        <w:rPr>
          <w:rFonts w:ascii="Times New Roman" w:hAnsi="Times New Roman" w:cs="Times New Roman"/>
        </w:rPr>
        <w:t>stance on this issue, the UK also expressed its opposition to</w:t>
      </w:r>
      <w:r w:rsidR="00C52D6C" w:rsidRPr="00F71C89">
        <w:rPr>
          <w:rFonts w:ascii="Times New Roman" w:hAnsi="Times New Roman" w:cs="Times New Roman"/>
        </w:rPr>
        <w:t xml:space="preserve"> ‘replacing or supplementing the existing exchange with a review element would duplicate the process that already takes place in the Council of Europe, and thus </w:t>
      </w:r>
      <w:r w:rsidRPr="00F71C89">
        <w:rPr>
          <w:rFonts w:ascii="Times New Roman" w:hAnsi="Times New Roman" w:cs="Times New Roman"/>
        </w:rPr>
        <w:t xml:space="preserve">is </w:t>
      </w:r>
      <w:r w:rsidR="00C52D6C" w:rsidRPr="00F71C89">
        <w:rPr>
          <w:rFonts w:ascii="Times New Roman" w:hAnsi="Times New Roman" w:cs="Times New Roman"/>
        </w:rPr>
        <w:t>unl</w:t>
      </w:r>
      <w:r w:rsidRPr="00F71C89">
        <w:rPr>
          <w:rFonts w:ascii="Times New Roman" w:hAnsi="Times New Roman" w:cs="Times New Roman"/>
        </w:rPr>
        <w:t>ikely to add additional value.’</w:t>
      </w:r>
      <w:r w:rsidRPr="00F71C89">
        <w:rPr>
          <w:rStyle w:val="FootnoteReference"/>
          <w:rFonts w:ascii="Times New Roman" w:hAnsi="Times New Roman" w:cs="Times New Roman"/>
        </w:rPr>
        <w:footnoteReference w:id="47"/>
      </w:r>
      <w:r w:rsidR="00417522" w:rsidRPr="00F71C89">
        <w:rPr>
          <w:rFonts w:ascii="Times New Roman" w:hAnsi="Times New Roman" w:cs="Times New Roman"/>
        </w:rPr>
        <w:t xml:space="preserve"> As the saying goes, </w:t>
      </w:r>
      <w:r w:rsidR="00040223" w:rsidRPr="00F71C89">
        <w:rPr>
          <w:rFonts w:ascii="Times New Roman" w:hAnsi="Times New Roman" w:cs="Times New Roman"/>
        </w:rPr>
        <w:t xml:space="preserve">nothing new under the sun and national governments have since continued to discuss topics having little direct connection with the rule of law: media pluralism was </w:t>
      </w:r>
      <w:r w:rsidR="002F1C7B" w:rsidRPr="00F71C89">
        <w:rPr>
          <w:rFonts w:ascii="Times New Roman" w:hAnsi="Times New Roman" w:cs="Times New Roman"/>
        </w:rPr>
        <w:t xml:space="preserve">for instance </w:t>
      </w:r>
      <w:r w:rsidR="00040223" w:rsidRPr="00F71C89">
        <w:rPr>
          <w:rFonts w:ascii="Times New Roman" w:hAnsi="Times New Roman" w:cs="Times New Roman"/>
        </w:rPr>
        <w:t>the topic of the third annual rule of law dialogue which took place in October 2017</w:t>
      </w:r>
      <w:r w:rsidR="002F1C7B" w:rsidRPr="00F71C89">
        <w:rPr>
          <w:rFonts w:ascii="Times New Roman" w:hAnsi="Times New Roman" w:cs="Times New Roman"/>
        </w:rPr>
        <w:t>.</w:t>
      </w:r>
      <w:r w:rsidR="00040223" w:rsidRPr="00F71C89">
        <w:rPr>
          <w:rStyle w:val="FootnoteReference"/>
          <w:rFonts w:ascii="Times New Roman" w:hAnsi="Times New Roman" w:cs="Times New Roman"/>
        </w:rPr>
        <w:footnoteReference w:id="48"/>
      </w:r>
      <w:r w:rsidR="00040223" w:rsidRPr="00F71C89">
        <w:rPr>
          <w:rFonts w:ascii="Times New Roman" w:hAnsi="Times New Roman" w:cs="Times New Roman"/>
        </w:rPr>
        <w:t xml:space="preserve"> </w:t>
      </w:r>
      <w:r w:rsidR="002F1C7B" w:rsidRPr="00F71C89">
        <w:rPr>
          <w:rFonts w:ascii="Times New Roman" w:hAnsi="Times New Roman" w:cs="Times New Roman"/>
        </w:rPr>
        <w:t xml:space="preserve">This latest dialogue or rather this set of multiple monologues did not lead, once again, to any measure or action </w:t>
      </w:r>
      <w:r w:rsidR="00040223" w:rsidRPr="00F71C89">
        <w:rPr>
          <w:rFonts w:ascii="Times New Roman" w:hAnsi="Times New Roman" w:cs="Times New Roman"/>
        </w:rPr>
        <w:t>against the rogue governments which have been busy undermining media freedom and attacking journalists</w:t>
      </w:r>
      <w:r w:rsidR="00593DB1" w:rsidRPr="00F71C89">
        <w:rPr>
          <w:rFonts w:ascii="Times New Roman" w:hAnsi="Times New Roman" w:cs="Times New Roman"/>
        </w:rPr>
        <w:t xml:space="preserve"> at home while paying lip service to media pluralism in Brussels</w:t>
      </w:r>
      <w:r w:rsidR="00040223" w:rsidRPr="00F71C89">
        <w:rPr>
          <w:rFonts w:ascii="Times New Roman" w:hAnsi="Times New Roman" w:cs="Times New Roman"/>
        </w:rPr>
        <w:t>.</w:t>
      </w:r>
      <w:r w:rsidR="002F1C7B" w:rsidRPr="00F71C89">
        <w:rPr>
          <w:rStyle w:val="FootnoteReference"/>
          <w:rFonts w:ascii="Times New Roman" w:hAnsi="Times New Roman" w:cs="Times New Roman"/>
        </w:rPr>
        <w:footnoteReference w:id="49"/>
      </w:r>
      <w:r w:rsidR="00040223" w:rsidRPr="00F71C89">
        <w:rPr>
          <w:rFonts w:ascii="Times New Roman" w:hAnsi="Times New Roman" w:cs="Times New Roman"/>
        </w:rPr>
        <w:t xml:space="preserve">  </w:t>
      </w:r>
    </w:p>
    <w:p w14:paraId="34DEBED4" w14:textId="77777777" w:rsidR="00BE1D21" w:rsidRPr="00F71C89" w:rsidRDefault="00BE1D21" w:rsidP="00F2706A">
      <w:pPr>
        <w:jc w:val="both"/>
        <w:rPr>
          <w:rFonts w:ascii="Times New Roman" w:hAnsi="Times New Roman" w:cs="Times New Roman"/>
          <w:b/>
        </w:rPr>
      </w:pPr>
    </w:p>
    <w:p w14:paraId="10A647CB" w14:textId="19C4B9A4" w:rsidR="003F6B6F" w:rsidRPr="00F71C89" w:rsidRDefault="000D2CAC" w:rsidP="00F2706A">
      <w:pPr>
        <w:jc w:val="both"/>
        <w:rPr>
          <w:rFonts w:ascii="Times New Roman" w:hAnsi="Times New Roman" w:cs="Times New Roman"/>
          <w:b/>
        </w:rPr>
      </w:pPr>
      <w:r w:rsidRPr="00F71C89">
        <w:rPr>
          <w:rFonts w:ascii="Times New Roman" w:hAnsi="Times New Roman" w:cs="Times New Roman"/>
          <w:b/>
        </w:rPr>
        <w:t xml:space="preserve">4. </w:t>
      </w:r>
      <w:r w:rsidR="005C1BCF" w:rsidRPr="00F71C89">
        <w:rPr>
          <w:rFonts w:ascii="Times New Roman" w:hAnsi="Times New Roman" w:cs="Times New Roman"/>
          <w:b/>
        </w:rPr>
        <w:t>A New Role for the EUFRA</w:t>
      </w:r>
    </w:p>
    <w:p w14:paraId="561D027F" w14:textId="1413E55F" w:rsidR="003F6B6F" w:rsidRPr="00F71C89" w:rsidRDefault="003F6B6F" w:rsidP="00F2706A">
      <w:pPr>
        <w:jc w:val="both"/>
        <w:rPr>
          <w:rFonts w:ascii="Times New Roman" w:hAnsi="Times New Roman" w:cs="Times New Roman"/>
          <w:b/>
        </w:rPr>
      </w:pPr>
    </w:p>
    <w:p w14:paraId="04A02249" w14:textId="2559876B" w:rsidR="0076006D" w:rsidRPr="00F71C89" w:rsidRDefault="004A4AC7" w:rsidP="00F2706A">
      <w:pPr>
        <w:jc w:val="both"/>
        <w:rPr>
          <w:rFonts w:ascii="Times New Roman" w:hAnsi="Times New Roman" w:cs="Times New Roman"/>
        </w:rPr>
      </w:pPr>
      <w:r w:rsidRPr="00F71C89">
        <w:rPr>
          <w:rFonts w:ascii="Times New Roman" w:hAnsi="Times New Roman" w:cs="Times New Roman"/>
        </w:rPr>
        <w:t xml:space="preserve">Having rightly noted that </w:t>
      </w:r>
      <w:r w:rsidR="0076006D" w:rsidRPr="00F71C89">
        <w:rPr>
          <w:rFonts w:ascii="Times New Roman" w:hAnsi="Times New Roman" w:cs="Times New Roman"/>
        </w:rPr>
        <w:t>the failure of a Member State to meet the standards required of candidate countries ‘has little consequence in practice’</w:t>
      </w:r>
      <w:r w:rsidR="0076006D" w:rsidRPr="00F71C89">
        <w:rPr>
          <w:rStyle w:val="FootnoteReference"/>
          <w:rFonts w:ascii="Times New Roman" w:hAnsi="Times New Roman" w:cs="Times New Roman"/>
        </w:rPr>
        <w:footnoteReference w:id="50"/>
      </w:r>
      <w:r w:rsidR="0076006D" w:rsidRPr="00F71C89">
        <w:rPr>
          <w:rFonts w:ascii="Times New Roman" w:hAnsi="Times New Roman" w:cs="Times New Roman"/>
        </w:rPr>
        <w:t xml:space="preserve"> and the</w:t>
      </w:r>
      <w:r w:rsidRPr="00F71C89">
        <w:rPr>
          <w:rFonts w:ascii="Times New Roman" w:hAnsi="Times New Roman" w:cs="Times New Roman"/>
        </w:rPr>
        <w:t xml:space="preserve"> contrast with the Union’s ‘</w:t>
      </w:r>
      <w:r w:rsidR="0076006D" w:rsidRPr="00F71C89">
        <w:rPr>
          <w:rFonts w:ascii="Times New Roman" w:hAnsi="Times New Roman" w:cs="Times New Roman"/>
        </w:rPr>
        <w:t>intransigence and firmness</w:t>
      </w:r>
      <w:r w:rsidRPr="00F71C89">
        <w:rPr>
          <w:rFonts w:ascii="Times New Roman" w:hAnsi="Times New Roman" w:cs="Times New Roman"/>
        </w:rPr>
        <w:t xml:space="preserve">’ when it comes to Member States’ failure to properly implement </w:t>
      </w:r>
      <w:r w:rsidR="0076006D" w:rsidRPr="00F71C89">
        <w:rPr>
          <w:rFonts w:ascii="Times New Roman" w:hAnsi="Times New Roman" w:cs="Times New Roman"/>
        </w:rPr>
        <w:t>economic and fiscal</w:t>
      </w:r>
      <w:r w:rsidRPr="00F71C89">
        <w:rPr>
          <w:rFonts w:ascii="Times New Roman" w:hAnsi="Times New Roman" w:cs="Times New Roman"/>
        </w:rPr>
        <w:t xml:space="preserve"> rules,</w:t>
      </w:r>
      <w:r w:rsidR="0076006D" w:rsidRPr="00F71C89">
        <w:rPr>
          <w:rStyle w:val="FootnoteReference"/>
          <w:rFonts w:ascii="Times New Roman" w:hAnsi="Times New Roman" w:cs="Times New Roman"/>
        </w:rPr>
        <w:footnoteReference w:id="51"/>
      </w:r>
      <w:r w:rsidR="0076006D" w:rsidRPr="00F71C89">
        <w:rPr>
          <w:rFonts w:ascii="Times New Roman" w:hAnsi="Times New Roman" w:cs="Times New Roman"/>
        </w:rPr>
        <w:t xml:space="preserve"> the European Parliament recommended </w:t>
      </w:r>
      <w:r w:rsidR="00072E63" w:rsidRPr="00F71C89">
        <w:rPr>
          <w:rFonts w:ascii="Times New Roman" w:hAnsi="Times New Roman" w:cs="Times New Roman"/>
        </w:rPr>
        <w:t xml:space="preserve">in October 2016 </w:t>
      </w:r>
      <w:r w:rsidR="0076006D" w:rsidRPr="00F71C89">
        <w:rPr>
          <w:rFonts w:ascii="Times New Roman" w:hAnsi="Times New Roman" w:cs="Times New Roman"/>
        </w:rPr>
        <w:t>the adoption of a new EU pact on democracy, the rule o</w:t>
      </w:r>
      <w:r w:rsidR="00503886" w:rsidRPr="00F71C89">
        <w:rPr>
          <w:rFonts w:ascii="Times New Roman" w:hAnsi="Times New Roman" w:cs="Times New Roman"/>
        </w:rPr>
        <w:t xml:space="preserve">f law and fundamental rights. A brief overview of the suggested involvement of the FRA in this context will be offered below after which a number of additional suggestions will be made. </w:t>
      </w:r>
    </w:p>
    <w:p w14:paraId="479BD5DD" w14:textId="77777777" w:rsidR="009A1CF8" w:rsidRPr="00F71C89" w:rsidRDefault="009A1CF8" w:rsidP="00F2706A">
      <w:pPr>
        <w:jc w:val="both"/>
        <w:rPr>
          <w:rFonts w:ascii="Times New Roman" w:hAnsi="Times New Roman" w:cs="Times New Roman"/>
          <w:b/>
        </w:rPr>
      </w:pPr>
    </w:p>
    <w:p w14:paraId="1DEB0E81" w14:textId="25AA956F" w:rsidR="009A1CF8" w:rsidRPr="00F71C89" w:rsidRDefault="009A1CF8" w:rsidP="00F2706A">
      <w:pPr>
        <w:jc w:val="both"/>
        <w:rPr>
          <w:rFonts w:ascii="Times New Roman" w:hAnsi="Times New Roman" w:cs="Times New Roman"/>
        </w:rPr>
      </w:pPr>
      <w:r w:rsidRPr="00F71C89">
        <w:rPr>
          <w:rFonts w:ascii="Times New Roman" w:hAnsi="Times New Roman" w:cs="Times New Roman"/>
        </w:rPr>
        <w:t xml:space="preserve">4.1 </w:t>
      </w:r>
      <w:r w:rsidRPr="00F71C89">
        <w:rPr>
          <w:rFonts w:ascii="Times New Roman" w:hAnsi="Times New Roman" w:cs="Times New Roman"/>
          <w:i/>
        </w:rPr>
        <w:t xml:space="preserve">The </w:t>
      </w:r>
      <w:r w:rsidR="00503886" w:rsidRPr="00F71C89">
        <w:rPr>
          <w:rFonts w:ascii="Times New Roman" w:hAnsi="Times New Roman" w:cs="Times New Roman"/>
          <w:i/>
        </w:rPr>
        <w:t>European Parliament’s proposed new mechanism</w:t>
      </w:r>
    </w:p>
    <w:p w14:paraId="5D982827" w14:textId="77777777" w:rsidR="009A1CF8" w:rsidRPr="00F71C89" w:rsidRDefault="009A1CF8" w:rsidP="00F2706A">
      <w:pPr>
        <w:jc w:val="both"/>
        <w:rPr>
          <w:rFonts w:ascii="Times New Roman" w:hAnsi="Times New Roman" w:cs="Times New Roman"/>
          <w:b/>
        </w:rPr>
      </w:pPr>
    </w:p>
    <w:p w14:paraId="75C68C69" w14:textId="10CCA76E" w:rsidR="00511688" w:rsidRPr="00F71C89" w:rsidRDefault="00072E63" w:rsidP="00F2706A">
      <w:pPr>
        <w:jc w:val="both"/>
        <w:rPr>
          <w:rFonts w:ascii="Times New Roman" w:hAnsi="Times New Roman" w:cs="Times New Roman"/>
          <w:lang w:eastAsia="fi-FI"/>
        </w:rPr>
      </w:pPr>
      <w:r w:rsidRPr="00F71C89">
        <w:rPr>
          <w:rFonts w:ascii="Times New Roman" w:hAnsi="Times New Roman" w:cs="Times New Roman"/>
          <w:lang w:eastAsia="fi-FI"/>
        </w:rPr>
        <w:t xml:space="preserve">Prior to the adoption of </w:t>
      </w:r>
      <w:r w:rsidR="006A24D2" w:rsidRPr="00F71C89">
        <w:rPr>
          <w:rFonts w:ascii="Times New Roman" w:hAnsi="Times New Roman" w:cs="Times New Roman"/>
          <w:lang w:eastAsia="fi-FI"/>
        </w:rPr>
        <w:t xml:space="preserve">a resolution calling for an </w:t>
      </w:r>
      <w:r w:rsidR="006A24D2" w:rsidRPr="00F71C89">
        <w:rPr>
          <w:rFonts w:ascii="Times New Roman" w:hAnsi="Times New Roman" w:cs="Times New Roman"/>
        </w:rPr>
        <w:t>Union Pact for democracy, the rule of law and fund</w:t>
      </w:r>
      <w:r w:rsidR="00511688" w:rsidRPr="00F71C89">
        <w:rPr>
          <w:rFonts w:ascii="Times New Roman" w:hAnsi="Times New Roman" w:cs="Times New Roman"/>
        </w:rPr>
        <w:t>amental rights</w:t>
      </w:r>
      <w:r w:rsidR="006A24D2" w:rsidRPr="00F71C89">
        <w:rPr>
          <w:rFonts w:ascii="Times New Roman" w:hAnsi="Times New Roman" w:cs="Times New Roman"/>
        </w:rPr>
        <w:t xml:space="preserve">, whose main features will be reviewed below, </w:t>
      </w:r>
      <w:r w:rsidR="006A24D2" w:rsidRPr="00F71C89">
        <w:rPr>
          <w:rFonts w:ascii="Times New Roman" w:hAnsi="Times New Roman" w:cs="Times New Roman"/>
          <w:lang w:eastAsia="fi-FI"/>
        </w:rPr>
        <w:t xml:space="preserve">the </w:t>
      </w:r>
      <w:r w:rsidRPr="00F71C89">
        <w:rPr>
          <w:rFonts w:ascii="Times New Roman" w:hAnsi="Times New Roman" w:cs="Times New Roman"/>
          <w:lang w:eastAsia="fi-FI"/>
        </w:rPr>
        <w:t>European Parliamen</w:t>
      </w:r>
      <w:r w:rsidR="006A24D2" w:rsidRPr="00F71C89">
        <w:rPr>
          <w:rFonts w:ascii="Times New Roman" w:hAnsi="Times New Roman" w:cs="Times New Roman"/>
          <w:lang w:eastAsia="fi-FI"/>
        </w:rPr>
        <w:t>t had recommended in its</w:t>
      </w:r>
      <w:r w:rsidRPr="00F71C89">
        <w:rPr>
          <w:rFonts w:ascii="Times New Roman" w:hAnsi="Times New Roman" w:cs="Times New Roman"/>
          <w:lang w:eastAsia="fi-FI"/>
        </w:rPr>
        <w:t xml:space="preserve"> Resolution of 10 June 2015 on the situation in Hungary</w:t>
      </w:r>
      <w:r w:rsidR="006A24D2" w:rsidRPr="00F71C89">
        <w:rPr>
          <w:rFonts w:ascii="Times New Roman" w:hAnsi="Times New Roman" w:cs="Times New Roman"/>
          <w:lang w:eastAsia="fi-FI"/>
        </w:rPr>
        <w:t xml:space="preserve"> that the Commission begin carrying out an ‘</w:t>
      </w:r>
      <w:r w:rsidRPr="00F71C89">
        <w:rPr>
          <w:rFonts w:ascii="Times New Roman" w:hAnsi="Times New Roman" w:cs="Times New Roman"/>
          <w:lang w:eastAsia="fi-FI"/>
        </w:rPr>
        <w:t>impartial, yearly assessment on the situation of fundamental rights, democracy and the rule of law in all Member States, indiscriminately and on an equal basis, involving an evaluation by the EU Agency for Fundamental Rights, together with appropriate binding and corrective mechanisms, in order to fill existing gaps and to allow for an automatic and gradual response to breaches of the rule of law and fundamental rights at Member State level</w:t>
      </w:r>
      <w:r w:rsidR="006A24D2" w:rsidRPr="00F71C89">
        <w:rPr>
          <w:rFonts w:ascii="Times New Roman" w:hAnsi="Times New Roman" w:cs="Times New Roman"/>
          <w:lang w:eastAsia="fi-FI"/>
        </w:rPr>
        <w:t>’.</w:t>
      </w:r>
      <w:r w:rsidR="00511688" w:rsidRPr="00F71C89">
        <w:rPr>
          <w:rStyle w:val="FootnoteReference"/>
          <w:rFonts w:ascii="Times New Roman" w:hAnsi="Times New Roman" w:cs="Times New Roman"/>
          <w:lang w:eastAsia="fi-FI"/>
        </w:rPr>
        <w:footnoteReference w:id="52"/>
      </w:r>
      <w:r w:rsidR="00511688" w:rsidRPr="00F71C89">
        <w:rPr>
          <w:rFonts w:ascii="Times New Roman" w:hAnsi="Times New Roman" w:cs="Times New Roman"/>
          <w:lang w:eastAsia="fi-FI"/>
        </w:rPr>
        <w:t xml:space="preserve"> </w:t>
      </w:r>
      <w:r w:rsidRPr="00F71C89">
        <w:rPr>
          <w:rFonts w:ascii="Times New Roman" w:hAnsi="Times New Roman" w:cs="Times New Roman"/>
          <w:lang w:val="en-US"/>
        </w:rPr>
        <w:t>In December 2015, the European Parliament reiterated this call in another Resolution regarding the situation in Hungary</w:t>
      </w:r>
      <w:r w:rsidR="00511688" w:rsidRPr="00F71C89">
        <w:rPr>
          <w:rFonts w:ascii="Times New Roman" w:hAnsi="Times New Roman" w:cs="Times New Roman"/>
          <w:lang w:val="en-US"/>
        </w:rPr>
        <w:t>.</w:t>
      </w:r>
      <w:r w:rsidRPr="00F71C89">
        <w:rPr>
          <w:rStyle w:val="FootnoteReference"/>
          <w:rFonts w:ascii="Times New Roman" w:hAnsi="Times New Roman" w:cs="Times New Roman"/>
          <w:lang w:val="en-US"/>
        </w:rPr>
        <w:footnoteReference w:id="53"/>
      </w:r>
      <w:r w:rsidR="00455E02" w:rsidRPr="00F71C89">
        <w:rPr>
          <w:rFonts w:ascii="Times New Roman" w:hAnsi="Times New Roman" w:cs="Times New Roman"/>
          <w:lang w:val="en-US"/>
        </w:rPr>
        <w:t xml:space="preserve"> </w:t>
      </w:r>
    </w:p>
    <w:p w14:paraId="3A67A371" w14:textId="77777777" w:rsidR="00511688" w:rsidRPr="00F71C89" w:rsidRDefault="00511688" w:rsidP="00F2706A">
      <w:pPr>
        <w:jc w:val="both"/>
        <w:rPr>
          <w:rFonts w:ascii="Times New Roman" w:hAnsi="Times New Roman" w:cs="Times New Roman"/>
          <w:lang w:val="en-US"/>
        </w:rPr>
      </w:pPr>
    </w:p>
    <w:p w14:paraId="35DD2F23" w14:textId="27AEF7D4" w:rsidR="00072E63" w:rsidRPr="00F71C89" w:rsidRDefault="006A24D2" w:rsidP="00F2706A">
      <w:pPr>
        <w:jc w:val="both"/>
        <w:rPr>
          <w:rFonts w:ascii="Times New Roman" w:hAnsi="Times New Roman" w:cs="Times New Roman"/>
          <w:b/>
        </w:rPr>
      </w:pPr>
      <w:r w:rsidRPr="00F71C89">
        <w:rPr>
          <w:rFonts w:ascii="Times New Roman" w:hAnsi="Times New Roman" w:cs="Times New Roman"/>
        </w:rPr>
        <w:t>This finally led the Parliament, o</w:t>
      </w:r>
      <w:r w:rsidR="00447D37" w:rsidRPr="00F71C89">
        <w:rPr>
          <w:rFonts w:ascii="Times New Roman" w:hAnsi="Times New Roman" w:cs="Times New Roman"/>
          <w:lang w:eastAsia="fi-FI"/>
        </w:rPr>
        <w:t xml:space="preserve">n 25 October 2016, </w:t>
      </w:r>
      <w:r w:rsidRPr="00F71C89">
        <w:rPr>
          <w:rFonts w:ascii="Times New Roman" w:hAnsi="Times New Roman" w:cs="Times New Roman"/>
          <w:lang w:eastAsia="fi-FI"/>
        </w:rPr>
        <w:t xml:space="preserve">to call for </w:t>
      </w:r>
      <w:r w:rsidR="00447D37" w:rsidRPr="00F71C89">
        <w:rPr>
          <w:rFonts w:ascii="Times New Roman" w:hAnsi="Times New Roman" w:cs="Times New Roman"/>
          <w:lang w:eastAsia="fi-FI"/>
        </w:rPr>
        <w:t xml:space="preserve">the establishment, ‘until a possible Treaty change’, of a new mechanism </w:t>
      </w:r>
      <w:r w:rsidR="00447D37" w:rsidRPr="00F71C89">
        <w:rPr>
          <w:rFonts w:ascii="Times New Roman" w:hAnsi="Times New Roman" w:cs="Times New Roman"/>
        </w:rPr>
        <w:t xml:space="preserve">in the form of an interinstitutional agreement </w:t>
      </w:r>
      <w:r w:rsidR="00503886" w:rsidRPr="00F71C89">
        <w:rPr>
          <w:rFonts w:ascii="Times New Roman" w:hAnsi="Times New Roman" w:cs="Times New Roman"/>
        </w:rPr>
        <w:t xml:space="preserve">in order </w:t>
      </w:r>
      <w:r w:rsidR="00447D37" w:rsidRPr="00F71C89">
        <w:rPr>
          <w:rFonts w:ascii="Times New Roman" w:hAnsi="Times New Roman" w:cs="Times New Roman"/>
        </w:rPr>
        <w:t xml:space="preserve">to more effectively monitor EU countries’ </w:t>
      </w:r>
      <w:r w:rsidR="00503886" w:rsidRPr="00F71C89">
        <w:rPr>
          <w:rFonts w:ascii="Times New Roman" w:hAnsi="Times New Roman" w:cs="Times New Roman"/>
        </w:rPr>
        <w:t xml:space="preserve">continuing </w:t>
      </w:r>
      <w:r w:rsidR="00447D37" w:rsidRPr="00F71C89">
        <w:rPr>
          <w:rFonts w:ascii="Times New Roman" w:hAnsi="Times New Roman" w:cs="Times New Roman"/>
        </w:rPr>
        <w:t>adherence to the values laid down in Article 2 TEU</w:t>
      </w:r>
      <w:r w:rsidR="00503886" w:rsidRPr="00F71C89">
        <w:rPr>
          <w:rFonts w:ascii="Times New Roman" w:hAnsi="Times New Roman" w:cs="Times New Roman"/>
        </w:rPr>
        <w:t xml:space="preserve"> post accession</w:t>
      </w:r>
      <w:r w:rsidR="00447D37" w:rsidRPr="00F71C89">
        <w:rPr>
          <w:rFonts w:ascii="Times New Roman" w:hAnsi="Times New Roman" w:cs="Times New Roman"/>
        </w:rPr>
        <w:t>.</w:t>
      </w:r>
      <w:r w:rsidR="00447D37" w:rsidRPr="00F71C89">
        <w:rPr>
          <w:rStyle w:val="FootnoteReference"/>
          <w:rFonts w:ascii="Times New Roman" w:hAnsi="Times New Roman" w:cs="Times New Roman"/>
          <w:lang w:eastAsia="fi-FI"/>
        </w:rPr>
        <w:footnoteReference w:id="54"/>
      </w:r>
      <w:r w:rsidR="00447D37" w:rsidRPr="00F71C89">
        <w:rPr>
          <w:rFonts w:ascii="Times New Roman" w:hAnsi="Times New Roman" w:cs="Times New Roman"/>
          <w:lang w:eastAsia="fi-FI"/>
        </w:rPr>
        <w:t xml:space="preserve"> </w:t>
      </w:r>
      <w:r w:rsidR="00503886" w:rsidRPr="00F71C89">
        <w:rPr>
          <w:rFonts w:ascii="Times New Roman" w:hAnsi="Times New Roman" w:cs="Times New Roman"/>
          <w:lang w:eastAsia="fi-FI"/>
        </w:rPr>
        <w:t xml:space="preserve">It would do so via a new permanent monitoring mechanism </w:t>
      </w:r>
      <w:r w:rsidR="00503886" w:rsidRPr="00F71C89">
        <w:rPr>
          <w:rFonts w:ascii="Times New Roman" w:hAnsi="Times New Roman" w:cs="Times New Roman"/>
        </w:rPr>
        <w:t>to which all EU Member States would be subject as a matter of principle</w:t>
      </w:r>
      <w:r w:rsidR="00511688" w:rsidRPr="00F71C89">
        <w:rPr>
          <w:rFonts w:ascii="Times New Roman" w:hAnsi="Times New Roman" w:cs="Times New Roman"/>
        </w:rPr>
        <w:t xml:space="preserve"> and which would also involve </w:t>
      </w:r>
      <w:r w:rsidR="00503886" w:rsidRPr="00F71C89">
        <w:rPr>
          <w:rFonts w:ascii="Times New Roman" w:hAnsi="Times New Roman" w:cs="Times New Roman"/>
        </w:rPr>
        <w:t>all releva</w:t>
      </w:r>
      <w:r w:rsidR="00902773" w:rsidRPr="00F71C89">
        <w:rPr>
          <w:rFonts w:ascii="Times New Roman" w:hAnsi="Times New Roman" w:cs="Times New Roman"/>
        </w:rPr>
        <w:t>nt stakeholders</w:t>
      </w:r>
      <w:r w:rsidR="00503886" w:rsidRPr="00F71C89">
        <w:rPr>
          <w:rFonts w:ascii="Times New Roman" w:hAnsi="Times New Roman" w:cs="Times New Roman"/>
        </w:rPr>
        <w:t xml:space="preserve">. </w:t>
      </w:r>
    </w:p>
    <w:p w14:paraId="1D8790B6" w14:textId="77777777" w:rsidR="00902773" w:rsidRPr="00F71C89" w:rsidRDefault="00902773" w:rsidP="00F2706A">
      <w:pPr>
        <w:jc w:val="both"/>
        <w:rPr>
          <w:rFonts w:ascii="Times New Roman" w:hAnsi="Times New Roman" w:cs="Times New Roman"/>
        </w:rPr>
      </w:pPr>
    </w:p>
    <w:p w14:paraId="2F4F6EBA" w14:textId="5D9430CC" w:rsidR="00C23142" w:rsidRPr="00F71C89" w:rsidRDefault="00503886" w:rsidP="00F2706A">
      <w:pPr>
        <w:jc w:val="both"/>
        <w:rPr>
          <w:rFonts w:ascii="Times New Roman" w:hAnsi="Times New Roman" w:cs="Times New Roman"/>
        </w:rPr>
      </w:pPr>
      <w:r w:rsidRPr="00F71C89">
        <w:rPr>
          <w:rFonts w:ascii="Times New Roman" w:hAnsi="Times New Roman" w:cs="Times New Roman"/>
          <w:lang w:eastAsia="fi-FI"/>
        </w:rPr>
        <w:t xml:space="preserve">As </w:t>
      </w:r>
      <w:r w:rsidR="00902773" w:rsidRPr="00F71C89">
        <w:rPr>
          <w:rFonts w:ascii="Times New Roman" w:hAnsi="Times New Roman" w:cs="Times New Roman"/>
          <w:lang w:eastAsia="fi-FI"/>
        </w:rPr>
        <w:t>far as the FRA is specifically concerned, t</w:t>
      </w:r>
      <w:r w:rsidRPr="00F71C89">
        <w:rPr>
          <w:rFonts w:ascii="Times New Roman" w:hAnsi="Times New Roman" w:cs="Times New Roman"/>
          <w:lang w:eastAsia="fi-FI"/>
        </w:rPr>
        <w:t xml:space="preserve">he European Parliament’s resolution directly </w:t>
      </w:r>
      <w:r w:rsidR="00902773" w:rsidRPr="00F71C89">
        <w:rPr>
          <w:rFonts w:ascii="Times New Roman" w:hAnsi="Times New Roman" w:cs="Times New Roman"/>
          <w:lang w:eastAsia="fi-FI"/>
        </w:rPr>
        <w:t xml:space="preserve">provides for its involvement when it comes to identifying potential breaches of the values laid down in Article 2 TEU. In other words, the proposed new </w:t>
      </w:r>
      <w:r w:rsidR="00902773" w:rsidRPr="00F71C89">
        <w:rPr>
          <w:rFonts w:ascii="Times New Roman" w:hAnsi="Times New Roman" w:cs="Times New Roman"/>
        </w:rPr>
        <w:t>annual report on democracy, the rule of law and fundamental rights (European DRF Report), which is supposed to include country-specific recommendations, would incorporate ‘the reporting done by the FRA, the Council of Europe, and other relevant authorities in the field’.</w:t>
      </w:r>
      <w:r w:rsidR="00902773" w:rsidRPr="00F71C89">
        <w:rPr>
          <w:rStyle w:val="FootnoteReference"/>
          <w:rFonts w:ascii="Times New Roman" w:hAnsi="Times New Roman" w:cs="Times New Roman"/>
        </w:rPr>
        <w:footnoteReference w:id="55"/>
      </w:r>
      <w:r w:rsidR="00902773" w:rsidRPr="00F71C89">
        <w:rPr>
          <w:rFonts w:ascii="Times New Roman" w:hAnsi="Times New Roman" w:cs="Times New Roman"/>
        </w:rPr>
        <w:t xml:space="preserve"> This would be accompanied by an annual inter-parliamentary debate to be conducted on the basis of the European DRF Report, and which would also involve civil society, the FRA and the Council of Europe.</w:t>
      </w:r>
      <w:r w:rsidR="00902773" w:rsidRPr="00F71C89">
        <w:rPr>
          <w:rStyle w:val="FootnoteReference"/>
          <w:rFonts w:ascii="Times New Roman" w:hAnsi="Times New Roman" w:cs="Times New Roman"/>
        </w:rPr>
        <w:footnoteReference w:id="56"/>
      </w:r>
      <w:r w:rsidR="00C23142" w:rsidRPr="00F71C89">
        <w:rPr>
          <w:rFonts w:ascii="Times New Roman" w:hAnsi="Times New Roman" w:cs="Times New Roman"/>
        </w:rPr>
        <w:t xml:space="preserve"> </w:t>
      </w:r>
    </w:p>
    <w:p w14:paraId="5F9524F4" w14:textId="77777777" w:rsidR="00C23142" w:rsidRPr="00F71C89" w:rsidRDefault="00C23142" w:rsidP="00F2706A">
      <w:pPr>
        <w:jc w:val="both"/>
        <w:rPr>
          <w:rFonts w:ascii="Times New Roman" w:hAnsi="Times New Roman" w:cs="Times New Roman"/>
        </w:rPr>
      </w:pPr>
    </w:p>
    <w:p w14:paraId="4051DA3C" w14:textId="23DBD00E" w:rsidR="00BE2BA2" w:rsidRPr="00F71C89" w:rsidRDefault="00511688" w:rsidP="00F2706A">
      <w:pPr>
        <w:jc w:val="both"/>
        <w:rPr>
          <w:rFonts w:ascii="Times New Roman" w:hAnsi="Times New Roman" w:cs="Times New Roman"/>
        </w:rPr>
      </w:pPr>
      <w:r w:rsidRPr="00F71C89">
        <w:rPr>
          <w:rFonts w:ascii="Times New Roman" w:hAnsi="Times New Roman" w:cs="Times New Roman"/>
        </w:rPr>
        <w:t>T</w:t>
      </w:r>
      <w:r w:rsidR="00C23142" w:rsidRPr="00F71C89">
        <w:rPr>
          <w:rFonts w:ascii="Times New Roman" w:hAnsi="Times New Roman" w:cs="Times New Roman"/>
        </w:rPr>
        <w:t xml:space="preserve">he involvement of the FRA in the </w:t>
      </w:r>
      <w:r w:rsidRPr="00F71C89">
        <w:rPr>
          <w:rFonts w:ascii="Times New Roman" w:hAnsi="Times New Roman" w:cs="Times New Roman"/>
        </w:rPr>
        <w:t xml:space="preserve">actual </w:t>
      </w:r>
      <w:r w:rsidR="00C23142" w:rsidRPr="00F71C89">
        <w:rPr>
          <w:rFonts w:ascii="Times New Roman" w:hAnsi="Times New Roman" w:cs="Times New Roman"/>
        </w:rPr>
        <w:t xml:space="preserve">drafting of the ‘European DRF Report’ is not </w:t>
      </w:r>
      <w:r w:rsidRPr="00F71C89">
        <w:rPr>
          <w:rFonts w:ascii="Times New Roman" w:hAnsi="Times New Roman" w:cs="Times New Roman"/>
        </w:rPr>
        <w:t xml:space="preserve">however </w:t>
      </w:r>
      <w:r w:rsidR="00C23142" w:rsidRPr="00F71C89">
        <w:rPr>
          <w:rFonts w:ascii="Times New Roman" w:hAnsi="Times New Roman" w:cs="Times New Roman"/>
        </w:rPr>
        <w:t xml:space="preserve">foreseen. Instead, supposedly </w:t>
      </w:r>
      <w:r w:rsidR="00880568" w:rsidRPr="00F71C89">
        <w:rPr>
          <w:rFonts w:ascii="Times New Roman" w:hAnsi="Times New Roman" w:cs="Times New Roman"/>
        </w:rPr>
        <w:t xml:space="preserve">in order </w:t>
      </w:r>
      <w:r w:rsidR="00C23142" w:rsidRPr="00F71C89">
        <w:rPr>
          <w:rFonts w:ascii="Times New Roman" w:hAnsi="Times New Roman" w:cs="Times New Roman"/>
        </w:rPr>
        <w:t>to guarantee an independent assessment of EU countries’ records, the European Parliament called for the setting up of a new expert panel entitled ‘</w:t>
      </w:r>
      <w:r w:rsidR="00447D37" w:rsidRPr="00F71C89">
        <w:rPr>
          <w:rFonts w:ascii="Times New Roman" w:hAnsi="Times New Roman" w:cs="Times New Roman"/>
        </w:rPr>
        <w:t>DRF Expert Panel</w:t>
      </w:r>
      <w:r w:rsidR="00C23142" w:rsidRPr="00F71C89">
        <w:rPr>
          <w:rFonts w:ascii="Times New Roman" w:hAnsi="Times New Roman" w:cs="Times New Roman"/>
        </w:rPr>
        <w:t>’</w:t>
      </w:r>
      <w:r w:rsidR="00447D37" w:rsidRPr="00F71C89">
        <w:rPr>
          <w:rStyle w:val="FootnoteReference"/>
          <w:rFonts w:ascii="Times New Roman" w:hAnsi="Times New Roman" w:cs="Times New Roman"/>
        </w:rPr>
        <w:footnoteReference w:id="57"/>
      </w:r>
      <w:r w:rsidR="00C23142" w:rsidRPr="00F71C89">
        <w:rPr>
          <w:rFonts w:ascii="Times New Roman" w:hAnsi="Times New Roman" w:cs="Times New Roman"/>
        </w:rPr>
        <w:t xml:space="preserve">, which would be responsible for drafting the DRF report. </w:t>
      </w:r>
      <w:r w:rsidR="00447D37" w:rsidRPr="00F71C89">
        <w:rPr>
          <w:rFonts w:ascii="Times New Roman" w:hAnsi="Times New Roman" w:cs="Times New Roman"/>
        </w:rPr>
        <w:t>In situations where evidence supports the conclusion that there are breaches of core elements of Art</w:t>
      </w:r>
      <w:r w:rsidR="00C23142" w:rsidRPr="00F71C89">
        <w:rPr>
          <w:rFonts w:ascii="Times New Roman" w:hAnsi="Times New Roman" w:cs="Times New Roman"/>
        </w:rPr>
        <w:t>icle 2 values, the Commission would then</w:t>
      </w:r>
      <w:r w:rsidR="00447D37" w:rsidRPr="00F71C89">
        <w:rPr>
          <w:rFonts w:ascii="Times New Roman" w:hAnsi="Times New Roman" w:cs="Times New Roman"/>
        </w:rPr>
        <w:t xml:space="preserve"> start a </w:t>
      </w:r>
      <w:r w:rsidR="00C23142" w:rsidRPr="00F71C89">
        <w:rPr>
          <w:rFonts w:ascii="Times New Roman" w:hAnsi="Times New Roman" w:cs="Times New Roman"/>
        </w:rPr>
        <w:t>dialogue with that Member State. However, in situations where there</w:t>
      </w:r>
      <w:r w:rsidR="00447D37" w:rsidRPr="00F71C89">
        <w:rPr>
          <w:rFonts w:ascii="Times New Roman" w:hAnsi="Times New Roman" w:cs="Times New Roman"/>
        </w:rPr>
        <w:t xml:space="preserve"> are sufficient grounds for invoking Article 7(1)</w:t>
      </w:r>
      <w:r w:rsidR="00C23142" w:rsidRPr="00F71C89">
        <w:rPr>
          <w:rFonts w:ascii="Times New Roman" w:hAnsi="Times New Roman" w:cs="Times New Roman"/>
        </w:rPr>
        <w:t xml:space="preserve"> or 7(2)</w:t>
      </w:r>
      <w:r w:rsidR="00447D37" w:rsidRPr="00F71C89">
        <w:rPr>
          <w:rFonts w:ascii="Times New Roman" w:hAnsi="Times New Roman" w:cs="Times New Roman"/>
        </w:rPr>
        <w:t xml:space="preserve"> TEU, </w:t>
      </w:r>
      <w:r w:rsidR="00C23142" w:rsidRPr="00F71C89">
        <w:rPr>
          <w:rFonts w:ascii="Times New Roman" w:hAnsi="Times New Roman" w:cs="Times New Roman"/>
        </w:rPr>
        <w:t xml:space="preserve">the Parliament’s resolution then calls for </w:t>
      </w:r>
      <w:r w:rsidR="00447D37" w:rsidRPr="00F71C89">
        <w:rPr>
          <w:rFonts w:ascii="Times New Roman" w:hAnsi="Times New Roman" w:cs="Times New Roman"/>
        </w:rPr>
        <w:t xml:space="preserve">the European Parliament, the Council and the Commission </w:t>
      </w:r>
      <w:r w:rsidR="00C23142" w:rsidRPr="00F71C89">
        <w:rPr>
          <w:rFonts w:ascii="Times New Roman" w:hAnsi="Times New Roman" w:cs="Times New Roman"/>
        </w:rPr>
        <w:t xml:space="preserve">to </w:t>
      </w:r>
      <w:r w:rsidR="00447D37" w:rsidRPr="00F71C89">
        <w:rPr>
          <w:rFonts w:ascii="Times New Roman" w:hAnsi="Times New Roman" w:cs="Times New Roman"/>
        </w:rPr>
        <w:t xml:space="preserve">promptly discuss the matter and </w:t>
      </w:r>
      <w:r w:rsidR="00C23142" w:rsidRPr="00F71C89">
        <w:rPr>
          <w:rFonts w:ascii="Times New Roman" w:hAnsi="Times New Roman" w:cs="Times New Roman"/>
        </w:rPr>
        <w:t xml:space="preserve">for each institution to </w:t>
      </w:r>
      <w:r w:rsidR="00447D37" w:rsidRPr="00F71C89">
        <w:rPr>
          <w:rFonts w:ascii="Times New Roman" w:hAnsi="Times New Roman" w:cs="Times New Roman"/>
        </w:rPr>
        <w:t>adopt</w:t>
      </w:r>
      <w:r w:rsidR="00BE2BA2" w:rsidRPr="00F71C89">
        <w:rPr>
          <w:rFonts w:ascii="Times New Roman" w:hAnsi="Times New Roman" w:cs="Times New Roman"/>
        </w:rPr>
        <w:t xml:space="preserve"> and publish their</w:t>
      </w:r>
      <w:r w:rsidR="00447D37" w:rsidRPr="00F71C89">
        <w:rPr>
          <w:rFonts w:ascii="Times New Roman" w:hAnsi="Times New Roman" w:cs="Times New Roman"/>
        </w:rPr>
        <w:t xml:space="preserve"> reasoned deci</w:t>
      </w:r>
      <w:r w:rsidR="00C23142" w:rsidRPr="00F71C89">
        <w:rPr>
          <w:rFonts w:ascii="Times New Roman" w:hAnsi="Times New Roman" w:cs="Times New Roman"/>
        </w:rPr>
        <w:t>sion</w:t>
      </w:r>
      <w:r w:rsidR="00BE2BA2" w:rsidRPr="00F71C89">
        <w:rPr>
          <w:rFonts w:ascii="Times New Roman" w:hAnsi="Times New Roman" w:cs="Times New Roman"/>
        </w:rPr>
        <w:t>s on whether activation of Article 7(1) or (2) is warranted</w:t>
      </w:r>
      <w:r w:rsidR="00C23142" w:rsidRPr="00F71C89">
        <w:rPr>
          <w:rFonts w:ascii="Times New Roman" w:hAnsi="Times New Roman" w:cs="Times New Roman"/>
        </w:rPr>
        <w:t xml:space="preserve">. </w:t>
      </w:r>
    </w:p>
    <w:p w14:paraId="44823766" w14:textId="77777777" w:rsidR="00BE2BA2" w:rsidRPr="00F71C89" w:rsidRDefault="00BE2BA2" w:rsidP="00F2706A">
      <w:pPr>
        <w:jc w:val="both"/>
        <w:rPr>
          <w:rFonts w:ascii="Times New Roman" w:hAnsi="Times New Roman" w:cs="Times New Roman"/>
        </w:rPr>
      </w:pPr>
    </w:p>
    <w:p w14:paraId="32832068" w14:textId="67E2CC00" w:rsidR="00BE2BA2" w:rsidRPr="00F71C89" w:rsidRDefault="00BE2BA2" w:rsidP="00880568">
      <w:pPr>
        <w:pStyle w:val="NoSpacing"/>
        <w:jc w:val="both"/>
        <w:rPr>
          <w:rFonts w:ascii="Times New Roman" w:eastAsia="Calibri" w:hAnsi="Times New Roman" w:cs="Times New Roman"/>
        </w:rPr>
      </w:pPr>
      <w:r w:rsidRPr="00F71C89">
        <w:rPr>
          <w:rFonts w:ascii="Times New Roman" w:hAnsi="Times New Roman" w:cs="Times New Roman"/>
        </w:rPr>
        <w:t>Rather d</w:t>
      </w:r>
      <w:r w:rsidR="00447D37" w:rsidRPr="00F71C89">
        <w:rPr>
          <w:rFonts w:ascii="Times New Roman" w:hAnsi="Times New Roman" w:cs="Times New Roman"/>
        </w:rPr>
        <w:t>isappointingly, the Commission has since expressed its opposition to the Parliament’s proposal</w:t>
      </w:r>
      <w:r w:rsidR="00854DE8" w:rsidRPr="00F71C89">
        <w:rPr>
          <w:rFonts w:ascii="Times New Roman" w:hAnsi="Times New Roman" w:cs="Times New Roman"/>
        </w:rPr>
        <w:t xml:space="preserve"> as it </w:t>
      </w:r>
      <w:r w:rsidRPr="00F71C89">
        <w:rPr>
          <w:rFonts w:ascii="Times New Roman" w:eastAsia="Calibri" w:hAnsi="Times New Roman" w:cs="Times New Roman"/>
        </w:rPr>
        <w:t>doubts ‘the need and the feasibility of an annual Report and a policy cycle on democracy, the rule of law and fundamental rights prepared by a committee of "experts" and about the need for, feasibility and added value of an inter-institu</w:t>
      </w:r>
      <w:r w:rsidR="00880568" w:rsidRPr="00F71C89">
        <w:rPr>
          <w:rFonts w:ascii="Times New Roman" w:eastAsia="Calibri" w:hAnsi="Times New Roman" w:cs="Times New Roman"/>
        </w:rPr>
        <w:t>tional agreement on this matter.’</w:t>
      </w:r>
      <w:r w:rsidRPr="00F71C89">
        <w:rPr>
          <w:rStyle w:val="FootnoteReference"/>
          <w:rFonts w:ascii="Times New Roman" w:eastAsia="Calibri" w:hAnsi="Times New Roman" w:cs="Times New Roman"/>
        </w:rPr>
        <w:footnoteReference w:id="58"/>
      </w:r>
      <w:r w:rsidRPr="00F71C89">
        <w:rPr>
          <w:rFonts w:ascii="Times New Roman" w:eastAsia="Calibri" w:hAnsi="Times New Roman" w:cs="Times New Roman"/>
        </w:rPr>
        <w:t xml:space="preserve"> Accordingly, the Commission suggests instead </w:t>
      </w:r>
      <w:r w:rsidR="00112222" w:rsidRPr="00F71C89">
        <w:rPr>
          <w:rFonts w:ascii="Times New Roman" w:eastAsia="Calibri" w:hAnsi="Times New Roman" w:cs="Times New Roman"/>
        </w:rPr>
        <w:t>making ‘</w:t>
      </w:r>
      <w:r w:rsidRPr="00F71C89">
        <w:rPr>
          <w:rFonts w:ascii="Times New Roman" w:eastAsia="Calibri" w:hAnsi="Times New Roman" w:cs="Times New Roman"/>
        </w:rPr>
        <w:t>the best possible use should be made of existing instruments, while avoiding duplication</w:t>
      </w:r>
      <w:r w:rsidR="00112222" w:rsidRPr="00F71C89">
        <w:rPr>
          <w:rFonts w:ascii="Times New Roman" w:eastAsia="Calibri" w:hAnsi="Times New Roman" w:cs="Times New Roman"/>
        </w:rPr>
        <w:t>’</w:t>
      </w:r>
      <w:r w:rsidRPr="00F71C89">
        <w:rPr>
          <w:rFonts w:ascii="Times New Roman" w:eastAsia="Calibri" w:hAnsi="Times New Roman" w:cs="Times New Roman"/>
        </w:rPr>
        <w:t>.</w:t>
      </w:r>
      <w:r w:rsidR="00112222" w:rsidRPr="00F71C89">
        <w:rPr>
          <w:rStyle w:val="FootnoteReference"/>
          <w:rFonts w:ascii="Times New Roman" w:eastAsia="Calibri" w:hAnsi="Times New Roman" w:cs="Times New Roman"/>
        </w:rPr>
        <w:footnoteReference w:id="59"/>
      </w:r>
      <w:r w:rsidRPr="00F71C89">
        <w:rPr>
          <w:rFonts w:ascii="Times New Roman" w:eastAsia="Calibri" w:hAnsi="Times New Roman" w:cs="Times New Roman"/>
        </w:rPr>
        <w:t xml:space="preserve"> </w:t>
      </w:r>
    </w:p>
    <w:p w14:paraId="590054F1" w14:textId="77777777" w:rsidR="00112222" w:rsidRPr="00F71C89" w:rsidRDefault="00112222" w:rsidP="00F2706A">
      <w:pPr>
        <w:jc w:val="both"/>
        <w:rPr>
          <w:rFonts w:ascii="Times New Roman" w:eastAsia="Calibri" w:hAnsi="Times New Roman" w:cs="Times New Roman"/>
        </w:rPr>
      </w:pPr>
    </w:p>
    <w:p w14:paraId="190FE998" w14:textId="188E2333" w:rsidR="00112222" w:rsidRPr="00F71C89" w:rsidRDefault="00112222" w:rsidP="00F2706A">
      <w:pPr>
        <w:jc w:val="both"/>
        <w:rPr>
          <w:rFonts w:ascii="Times New Roman" w:hAnsi="Times New Roman" w:cs="Times New Roman"/>
        </w:rPr>
      </w:pPr>
      <w:r w:rsidRPr="00F71C89">
        <w:rPr>
          <w:rFonts w:ascii="Times New Roman" w:eastAsia="Calibri" w:hAnsi="Times New Roman" w:cs="Times New Roman"/>
        </w:rPr>
        <w:t xml:space="preserve">Positively, the Commission’s response does however welcome </w:t>
      </w:r>
      <w:r w:rsidRPr="00F71C89">
        <w:rPr>
          <w:rFonts w:ascii="Times New Roman" w:hAnsi="Times New Roman" w:cs="Times New Roman"/>
        </w:rPr>
        <w:t>‘</w:t>
      </w:r>
      <w:r w:rsidR="00BE2BA2" w:rsidRPr="00F71C89">
        <w:rPr>
          <w:rFonts w:ascii="Times New Roman" w:eastAsia="Calibri" w:hAnsi="Times New Roman" w:cs="Times New Roman"/>
        </w:rPr>
        <w:t>the underlying idea of the resolution to make the variety of existing data and reports more accessible and visible, also at national level</w:t>
      </w:r>
      <w:r w:rsidRPr="00F71C89">
        <w:rPr>
          <w:rFonts w:ascii="Times New Roman" w:eastAsia="Calibri" w:hAnsi="Times New Roman" w:cs="Times New Roman"/>
        </w:rPr>
        <w:t>’</w:t>
      </w:r>
      <w:r w:rsidR="007D251C" w:rsidRPr="00F71C89">
        <w:rPr>
          <w:rStyle w:val="FootnoteReference"/>
          <w:rFonts w:ascii="Times New Roman" w:eastAsia="Calibri" w:hAnsi="Times New Roman" w:cs="Times New Roman"/>
        </w:rPr>
        <w:footnoteReference w:id="60"/>
      </w:r>
      <w:r w:rsidRPr="00F71C89">
        <w:rPr>
          <w:rFonts w:ascii="Times New Roman" w:eastAsia="Calibri" w:hAnsi="Times New Roman" w:cs="Times New Roman"/>
        </w:rPr>
        <w:t xml:space="preserve"> and explicitly refers in this context to the work done by </w:t>
      </w:r>
      <w:r w:rsidR="00BE2BA2" w:rsidRPr="00F71C89">
        <w:rPr>
          <w:rFonts w:ascii="Times New Roman" w:eastAsia="Calibri" w:hAnsi="Times New Roman" w:cs="Times New Roman"/>
        </w:rPr>
        <w:t xml:space="preserve">the Council of Europe and its Venice Commission, the </w:t>
      </w:r>
      <w:r w:rsidR="00854DE8" w:rsidRPr="00F71C89">
        <w:rPr>
          <w:rFonts w:ascii="Times New Roman" w:eastAsia="Calibri" w:hAnsi="Times New Roman" w:cs="Times New Roman"/>
        </w:rPr>
        <w:t>FRA</w:t>
      </w:r>
      <w:r w:rsidRPr="00F71C89">
        <w:rPr>
          <w:rFonts w:ascii="Times New Roman" w:eastAsia="Calibri" w:hAnsi="Times New Roman" w:cs="Times New Roman"/>
        </w:rPr>
        <w:t>, and NGOs</w:t>
      </w:r>
      <w:r w:rsidR="00BE2BA2" w:rsidRPr="00F71C89">
        <w:rPr>
          <w:rFonts w:ascii="Times New Roman" w:eastAsia="Calibri" w:hAnsi="Times New Roman" w:cs="Times New Roman"/>
        </w:rPr>
        <w:t>.</w:t>
      </w:r>
      <w:r w:rsidRPr="00F71C89">
        <w:rPr>
          <w:rFonts w:ascii="Times New Roman" w:eastAsia="Calibri" w:hAnsi="Times New Roman" w:cs="Times New Roman"/>
        </w:rPr>
        <w:t xml:space="preserve"> With respect to the FRA, the Commission explicitly acknowledges that it ‘has</w:t>
      </w:r>
      <w:r w:rsidR="00BE2BA2" w:rsidRPr="00F71C89">
        <w:rPr>
          <w:rFonts w:ascii="Times New Roman" w:eastAsia="Calibri" w:hAnsi="Times New Roman" w:cs="Times New Roman"/>
        </w:rPr>
        <w:t xml:space="preserve"> a role to play by making easily accessible a clear overview of existing information and reports relating to Member States or particular the</w:t>
      </w:r>
      <w:r w:rsidR="00C55428" w:rsidRPr="00F71C89">
        <w:rPr>
          <w:rFonts w:ascii="Times New Roman" w:eastAsia="Calibri" w:hAnsi="Times New Roman" w:cs="Times New Roman"/>
        </w:rPr>
        <w:t>mes, as reflected in the Agency’</w:t>
      </w:r>
      <w:r w:rsidR="00BE2BA2" w:rsidRPr="00F71C89">
        <w:rPr>
          <w:rFonts w:ascii="Times New Roman" w:eastAsia="Calibri" w:hAnsi="Times New Roman" w:cs="Times New Roman"/>
        </w:rPr>
        <w:t>s programming document for 2017-2019</w:t>
      </w:r>
      <w:r w:rsidR="00880568" w:rsidRPr="00F71C89">
        <w:rPr>
          <w:rFonts w:ascii="Times New Roman" w:eastAsia="Calibri" w:hAnsi="Times New Roman" w:cs="Times New Roman"/>
        </w:rPr>
        <w:t>’</w:t>
      </w:r>
      <w:r w:rsidR="00BE2BA2" w:rsidRPr="00F71C89">
        <w:rPr>
          <w:rFonts w:ascii="Times New Roman" w:eastAsia="Calibri" w:hAnsi="Times New Roman" w:cs="Times New Roman"/>
        </w:rPr>
        <w:t>.</w:t>
      </w:r>
      <w:r w:rsidR="007D251C" w:rsidRPr="00F71C89">
        <w:rPr>
          <w:rStyle w:val="FootnoteReference"/>
          <w:rFonts w:ascii="Times New Roman" w:eastAsia="Calibri" w:hAnsi="Times New Roman" w:cs="Times New Roman"/>
        </w:rPr>
        <w:footnoteReference w:id="61"/>
      </w:r>
      <w:r w:rsidR="00C55428" w:rsidRPr="00F71C89">
        <w:rPr>
          <w:rFonts w:ascii="Times New Roman" w:hAnsi="Times New Roman" w:cs="Times New Roman"/>
        </w:rPr>
        <w:t xml:space="preserve"> </w:t>
      </w:r>
      <w:r w:rsidR="00854DE8" w:rsidRPr="00F71C89">
        <w:rPr>
          <w:rFonts w:ascii="Times New Roman" w:hAnsi="Times New Roman" w:cs="Times New Roman"/>
        </w:rPr>
        <w:t>It remains to be</w:t>
      </w:r>
      <w:r w:rsidR="007D251C" w:rsidRPr="00F71C89">
        <w:rPr>
          <w:rFonts w:ascii="Times New Roman" w:hAnsi="Times New Roman" w:cs="Times New Roman"/>
        </w:rPr>
        <w:t xml:space="preserve"> seen to what extent if any the Commission’s positive assessment of the FRA</w:t>
      </w:r>
      <w:r w:rsidR="00854DE8" w:rsidRPr="00F71C89">
        <w:rPr>
          <w:rFonts w:ascii="Times New Roman" w:hAnsi="Times New Roman" w:cs="Times New Roman"/>
        </w:rPr>
        <w:t xml:space="preserve"> will result in any concrete actions</w:t>
      </w:r>
      <w:r w:rsidR="007D251C" w:rsidRPr="00F71C89">
        <w:rPr>
          <w:rFonts w:ascii="Times New Roman" w:hAnsi="Times New Roman" w:cs="Times New Roman"/>
        </w:rPr>
        <w:t xml:space="preserve"> to support an increased role for it, in particular in the rule of law area</w:t>
      </w:r>
      <w:r w:rsidR="00854DE8" w:rsidRPr="00F71C89">
        <w:rPr>
          <w:rFonts w:ascii="Times New Roman" w:hAnsi="Times New Roman" w:cs="Times New Roman"/>
        </w:rPr>
        <w:t xml:space="preserve">. </w:t>
      </w:r>
    </w:p>
    <w:p w14:paraId="3BADF3E3" w14:textId="77777777" w:rsidR="00112222" w:rsidRPr="00F71C89" w:rsidRDefault="00112222" w:rsidP="00F2706A">
      <w:pPr>
        <w:jc w:val="both"/>
        <w:rPr>
          <w:rFonts w:ascii="Times New Roman" w:hAnsi="Times New Roman" w:cs="Times New Roman"/>
        </w:rPr>
      </w:pPr>
    </w:p>
    <w:p w14:paraId="3117D8BB" w14:textId="325AE74B" w:rsidR="009A1CF8" w:rsidRPr="00F71C89" w:rsidRDefault="009A1CF8" w:rsidP="00F2706A">
      <w:pPr>
        <w:jc w:val="both"/>
        <w:rPr>
          <w:rFonts w:ascii="Times New Roman" w:hAnsi="Times New Roman" w:cs="Times New Roman"/>
        </w:rPr>
      </w:pPr>
      <w:r w:rsidRPr="00F71C89">
        <w:rPr>
          <w:rFonts w:ascii="Times New Roman" w:hAnsi="Times New Roman" w:cs="Times New Roman"/>
        </w:rPr>
        <w:t xml:space="preserve">4.2 </w:t>
      </w:r>
      <w:r w:rsidR="00FE7FAB" w:rsidRPr="00F71C89">
        <w:rPr>
          <w:rFonts w:ascii="Times New Roman" w:hAnsi="Times New Roman" w:cs="Times New Roman"/>
          <w:i/>
        </w:rPr>
        <w:t>Possible a</w:t>
      </w:r>
      <w:r w:rsidR="00FB4331" w:rsidRPr="00F71C89">
        <w:rPr>
          <w:rFonts w:ascii="Times New Roman" w:hAnsi="Times New Roman" w:cs="Times New Roman"/>
          <w:i/>
        </w:rPr>
        <w:t>dditional reform avenues</w:t>
      </w:r>
    </w:p>
    <w:p w14:paraId="4BD69F70" w14:textId="77777777" w:rsidR="00066599" w:rsidRPr="00F71C89" w:rsidRDefault="00066599" w:rsidP="00F27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7213DCF9" w14:textId="02895192" w:rsidR="00455E02" w:rsidRPr="00F71C89" w:rsidRDefault="007D251C" w:rsidP="00F27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F71C89">
        <w:rPr>
          <w:rFonts w:ascii="Times New Roman" w:hAnsi="Times New Roman" w:cs="Times New Roman"/>
        </w:rPr>
        <w:t xml:space="preserve">A number of </w:t>
      </w:r>
      <w:r w:rsidR="00CC5525" w:rsidRPr="00F71C89">
        <w:rPr>
          <w:rFonts w:ascii="Times New Roman" w:hAnsi="Times New Roman" w:cs="Times New Roman"/>
        </w:rPr>
        <w:t>legislative and non-legisla</w:t>
      </w:r>
      <w:r w:rsidR="00EA6670" w:rsidRPr="00F71C89">
        <w:rPr>
          <w:rFonts w:ascii="Times New Roman" w:hAnsi="Times New Roman" w:cs="Times New Roman"/>
        </w:rPr>
        <w:t xml:space="preserve">tive </w:t>
      </w:r>
      <w:r w:rsidR="000054E2" w:rsidRPr="00F71C89">
        <w:rPr>
          <w:rFonts w:ascii="Times New Roman" w:hAnsi="Times New Roman" w:cs="Times New Roman"/>
        </w:rPr>
        <w:t>avenues deserve</w:t>
      </w:r>
      <w:r w:rsidRPr="00F71C89">
        <w:rPr>
          <w:rFonts w:ascii="Times New Roman" w:hAnsi="Times New Roman" w:cs="Times New Roman"/>
        </w:rPr>
        <w:t xml:space="preserve"> to be explored. To begin with, </w:t>
      </w:r>
      <w:r w:rsidR="000054E2" w:rsidRPr="00F71C89">
        <w:rPr>
          <w:rFonts w:ascii="Times New Roman" w:hAnsi="Times New Roman" w:cs="Times New Roman"/>
        </w:rPr>
        <w:t>respect for the rule of law should be included among the thematic areas mentioned in the FRA’s multiannual framework</w:t>
      </w:r>
      <w:r w:rsidR="00234633" w:rsidRPr="00F71C89">
        <w:rPr>
          <w:rFonts w:ascii="Times New Roman" w:hAnsi="Times New Roman" w:cs="Times New Roman"/>
        </w:rPr>
        <w:t>. The current reference to ‘judicial cooperation, except in criminal matters’ is both too narrow and</w:t>
      </w:r>
      <w:r w:rsidR="008B07F0" w:rsidRPr="00F71C89">
        <w:rPr>
          <w:rFonts w:ascii="Times New Roman" w:hAnsi="Times New Roman" w:cs="Times New Roman"/>
        </w:rPr>
        <w:t xml:space="preserve"> also</w:t>
      </w:r>
      <w:r w:rsidR="00234633" w:rsidRPr="00F71C89">
        <w:rPr>
          <w:rFonts w:ascii="Times New Roman" w:hAnsi="Times New Roman" w:cs="Times New Roman"/>
        </w:rPr>
        <w:t xml:space="preserve"> incompatible with the changes made by the Lisbon Treaty regarding what used to be known as the ‘Third Pillar’</w:t>
      </w:r>
      <w:r w:rsidR="000054E2" w:rsidRPr="00F71C89">
        <w:rPr>
          <w:rFonts w:ascii="Times New Roman" w:hAnsi="Times New Roman" w:cs="Times New Roman"/>
        </w:rPr>
        <w:t>.</w:t>
      </w:r>
      <w:r w:rsidR="00234633" w:rsidRPr="00F71C89">
        <w:rPr>
          <w:rStyle w:val="FootnoteReference"/>
          <w:rFonts w:ascii="Times New Roman" w:hAnsi="Times New Roman" w:cs="Times New Roman"/>
        </w:rPr>
        <w:footnoteReference w:id="62"/>
      </w:r>
      <w:r w:rsidR="000054E2" w:rsidRPr="00F71C89">
        <w:rPr>
          <w:rFonts w:ascii="Times New Roman" w:hAnsi="Times New Roman" w:cs="Times New Roman"/>
        </w:rPr>
        <w:t xml:space="preserve"> </w:t>
      </w:r>
      <w:r w:rsidR="00C2749E" w:rsidRPr="00F71C89">
        <w:rPr>
          <w:rFonts w:ascii="Times New Roman" w:hAnsi="Times New Roman" w:cs="Times New Roman"/>
        </w:rPr>
        <w:t>Its absence from the list of thematic areas for the period 2018-2022</w:t>
      </w:r>
      <w:r w:rsidR="00A335FD" w:rsidRPr="00F71C89">
        <w:rPr>
          <w:rFonts w:ascii="Times New Roman" w:hAnsi="Times New Roman" w:cs="Times New Roman"/>
        </w:rPr>
        <w:t xml:space="preserve"> beggars belief considering the Commission’s own reference to the FRA in its 2014 Rule of Law Framework and the broad consensus among EU national governments, as noted above, regarding a larger role for the FRA in the context of the Council’s annual rule of law dialogue</w:t>
      </w:r>
      <w:r w:rsidR="00C2749E" w:rsidRPr="00F71C89">
        <w:rPr>
          <w:rFonts w:ascii="Times New Roman" w:hAnsi="Times New Roman" w:cs="Times New Roman"/>
        </w:rPr>
        <w:t>, not to mention the existential threat that the process of rule of law backsliding poses for the EU, a danger which has been regularly highlighted by the European Parliament since the ‘Tavares report’ of 2013</w:t>
      </w:r>
      <w:r w:rsidR="00A335FD" w:rsidRPr="00F71C89">
        <w:rPr>
          <w:rFonts w:ascii="Times New Roman" w:hAnsi="Times New Roman" w:cs="Times New Roman"/>
        </w:rPr>
        <w:t>.</w:t>
      </w:r>
      <w:r w:rsidR="00C2749E" w:rsidRPr="00F71C89">
        <w:rPr>
          <w:rStyle w:val="FootnoteReference"/>
          <w:rFonts w:ascii="Times New Roman" w:hAnsi="Times New Roman" w:cs="Times New Roman"/>
        </w:rPr>
        <w:footnoteReference w:id="63"/>
      </w:r>
      <w:r w:rsidR="00A335FD" w:rsidRPr="00F71C89">
        <w:rPr>
          <w:rFonts w:ascii="Times New Roman" w:hAnsi="Times New Roman" w:cs="Times New Roman"/>
        </w:rPr>
        <w:t xml:space="preserve"> </w:t>
      </w:r>
    </w:p>
    <w:p w14:paraId="2459DF7C" w14:textId="77777777" w:rsidR="00015825" w:rsidRPr="00F71C89" w:rsidRDefault="00015825" w:rsidP="00F27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21F41EBB" w14:textId="6326DA94" w:rsidR="00455AEE" w:rsidRPr="00F71C89" w:rsidRDefault="00C2749E" w:rsidP="00F27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F71C89">
        <w:rPr>
          <w:rFonts w:ascii="Times New Roman" w:hAnsi="Times New Roman" w:cs="Times New Roman"/>
        </w:rPr>
        <w:t xml:space="preserve">The </w:t>
      </w:r>
      <w:r w:rsidR="008F1C3A" w:rsidRPr="00F71C89">
        <w:rPr>
          <w:rFonts w:ascii="Times New Roman" w:hAnsi="Times New Roman" w:cs="Times New Roman"/>
        </w:rPr>
        <w:t xml:space="preserve">FRA </w:t>
      </w:r>
      <w:r w:rsidRPr="00F71C89">
        <w:rPr>
          <w:rFonts w:ascii="Times New Roman" w:hAnsi="Times New Roman" w:cs="Times New Roman"/>
        </w:rPr>
        <w:t xml:space="preserve">should also be provided </w:t>
      </w:r>
      <w:r w:rsidR="008F1C3A" w:rsidRPr="00F71C89">
        <w:rPr>
          <w:rFonts w:ascii="Times New Roman" w:hAnsi="Times New Roman" w:cs="Times New Roman"/>
        </w:rPr>
        <w:t>with ‘the power to seek specific information from EU institutions and Member States and to probe them should they delay in providing it’</w:t>
      </w:r>
      <w:r w:rsidRPr="00F71C89">
        <w:rPr>
          <w:rFonts w:ascii="Times New Roman" w:hAnsi="Times New Roman" w:cs="Times New Roman"/>
        </w:rPr>
        <w:t>.</w:t>
      </w:r>
      <w:r w:rsidR="008F1C3A" w:rsidRPr="00F71C89">
        <w:rPr>
          <w:rStyle w:val="FootnoteReference"/>
          <w:rFonts w:ascii="Times New Roman" w:hAnsi="Times New Roman" w:cs="Times New Roman"/>
        </w:rPr>
        <w:footnoteReference w:id="64"/>
      </w:r>
      <w:r w:rsidRPr="00F71C89">
        <w:rPr>
          <w:rFonts w:ascii="Times New Roman" w:hAnsi="Times New Roman" w:cs="Times New Roman"/>
        </w:rPr>
        <w:t xml:space="preserve"> Related to this, the</w:t>
      </w:r>
      <w:r w:rsidR="00C95058" w:rsidRPr="00F71C89">
        <w:rPr>
          <w:rFonts w:ascii="Times New Roman" w:hAnsi="Times New Roman" w:cs="Times New Roman"/>
        </w:rPr>
        <w:t xml:space="preserve"> FRA should be entrusted with a gene</w:t>
      </w:r>
      <w:r w:rsidRPr="00F71C89">
        <w:rPr>
          <w:rFonts w:ascii="Times New Roman" w:hAnsi="Times New Roman" w:cs="Times New Roman"/>
        </w:rPr>
        <w:t>ral legislative scrutiny role</w:t>
      </w:r>
      <w:r w:rsidR="00F73E5C" w:rsidRPr="00F71C89">
        <w:rPr>
          <w:rFonts w:ascii="Times New Roman" w:hAnsi="Times New Roman" w:cs="Times New Roman"/>
        </w:rPr>
        <w:t>, which would not require the Agency to carry out ‘a systemic assessment of the human rights implications of every legislative proposal’ but allow it ‘to carry out legislative scrutiny as it sees fit’</w:t>
      </w:r>
      <w:r w:rsidR="00455AEE" w:rsidRPr="00F71C89">
        <w:rPr>
          <w:rFonts w:ascii="Times New Roman" w:hAnsi="Times New Roman" w:cs="Times New Roman"/>
          <w:lang w:eastAsia="fi-FI"/>
        </w:rPr>
        <w:t>.</w:t>
      </w:r>
      <w:r w:rsidR="00455AEE" w:rsidRPr="00F71C89">
        <w:rPr>
          <w:rStyle w:val="FootnoteReference"/>
          <w:rFonts w:ascii="Times New Roman" w:hAnsi="Times New Roman" w:cs="Times New Roman"/>
          <w:lang w:eastAsia="fi-FI"/>
        </w:rPr>
        <w:footnoteReference w:id="65"/>
      </w:r>
      <w:r w:rsidR="00455AEE" w:rsidRPr="00F71C89">
        <w:rPr>
          <w:rFonts w:ascii="Times New Roman" w:hAnsi="Times New Roman" w:cs="Times New Roman"/>
          <w:lang w:eastAsia="fi-FI"/>
        </w:rPr>
        <w:t xml:space="preserve">  </w:t>
      </w:r>
      <w:r w:rsidR="00F73E5C" w:rsidRPr="00F71C89">
        <w:rPr>
          <w:rFonts w:ascii="Times New Roman" w:hAnsi="Times New Roman" w:cs="Times New Roman"/>
          <w:lang w:eastAsia="fi-FI"/>
        </w:rPr>
        <w:t xml:space="preserve">We realise that this would </w:t>
      </w:r>
      <w:r w:rsidR="00455AEE" w:rsidRPr="00F71C89">
        <w:rPr>
          <w:rFonts w:ascii="Times New Roman" w:hAnsi="Times New Roman" w:cs="Times New Roman"/>
          <w:lang w:eastAsia="fi-FI"/>
        </w:rPr>
        <w:t>require expanding the Agency’s mandate and amending its founding regulation</w:t>
      </w:r>
      <w:r w:rsidR="00730DF8" w:rsidRPr="00F71C89">
        <w:rPr>
          <w:rFonts w:ascii="Times New Roman" w:hAnsi="Times New Roman" w:cs="Times New Roman"/>
          <w:lang w:eastAsia="fi-FI"/>
        </w:rPr>
        <w:t>,</w:t>
      </w:r>
      <w:r w:rsidR="00F73E5C" w:rsidRPr="00F71C89">
        <w:rPr>
          <w:rFonts w:ascii="Times New Roman" w:hAnsi="Times New Roman" w:cs="Times New Roman"/>
          <w:lang w:eastAsia="fi-FI"/>
        </w:rPr>
        <w:t xml:space="preserve"> but an expanded role with adequate resources for the FRA would help bridge the gap between the EU institutions’ strong rhetoric and the more limited reality of their policies and actions when it comes to upholding compliance with the values laid down in Article 2 TEU. </w:t>
      </w:r>
      <w:r w:rsidR="00455AEE" w:rsidRPr="00F71C89">
        <w:rPr>
          <w:rFonts w:ascii="Times New Roman" w:hAnsi="Times New Roman" w:cs="Times New Roman"/>
          <w:lang w:eastAsia="fi-FI"/>
        </w:rPr>
        <w:t xml:space="preserve"> </w:t>
      </w:r>
    </w:p>
    <w:p w14:paraId="4B03DBBC" w14:textId="77777777" w:rsidR="00455AEE" w:rsidRPr="00F71C89" w:rsidRDefault="00455AEE" w:rsidP="00F27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73AEC65D" w14:textId="176D0B90" w:rsidR="007F1136" w:rsidRPr="00F71C89" w:rsidRDefault="00AA7FEF" w:rsidP="00F27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lang w:eastAsia="fi-FI"/>
        </w:rPr>
      </w:pPr>
      <w:r w:rsidRPr="00F71C89">
        <w:rPr>
          <w:rFonts w:ascii="Times New Roman" w:hAnsi="Times New Roman" w:cs="Times New Roman"/>
        </w:rPr>
        <w:t>We also support the adoption of the EU DRF pact, which put forward by Dutch ALDE MEP Sophie in 't Veld,</w:t>
      </w:r>
      <w:r w:rsidRPr="00F71C89">
        <w:rPr>
          <w:rStyle w:val="FootnoteReference"/>
          <w:rFonts w:ascii="Times New Roman" w:hAnsi="Times New Roman" w:cs="Times New Roman"/>
        </w:rPr>
        <w:footnoteReference w:id="66"/>
      </w:r>
      <w:r w:rsidRPr="00F71C89">
        <w:rPr>
          <w:rFonts w:ascii="Times New Roman" w:hAnsi="Times New Roman" w:cs="Times New Roman"/>
        </w:rPr>
        <w:t xml:space="preserve"> and in particular the idea of a new </w:t>
      </w:r>
      <w:r w:rsidRPr="00F71C89">
        <w:rPr>
          <w:rFonts w:ascii="Times New Roman" w:hAnsi="Times New Roman" w:cs="Times New Roman"/>
          <w:lang w:eastAsia="fi-FI"/>
        </w:rPr>
        <w:t>interparliamentary rights dialogue.</w:t>
      </w:r>
      <w:r w:rsidRPr="00F71C89">
        <w:rPr>
          <w:rFonts w:ascii="Times New Roman" w:hAnsi="Times New Roman" w:cs="Times New Roman"/>
          <w:vertAlign w:val="superscript"/>
          <w:lang w:eastAsia="fi-FI"/>
        </w:rPr>
        <w:footnoteReference w:id="67"/>
      </w:r>
      <w:r w:rsidRPr="00F71C89">
        <w:rPr>
          <w:rFonts w:ascii="Times New Roman" w:hAnsi="Times New Roman" w:cs="Times New Roman"/>
          <w:lang w:eastAsia="fi-FI"/>
        </w:rPr>
        <w:t xml:space="preserve"> </w:t>
      </w:r>
      <w:r w:rsidR="007F1136" w:rsidRPr="00F71C89">
        <w:rPr>
          <w:rFonts w:ascii="Times New Roman" w:hAnsi="Times New Roman" w:cs="Times New Roman"/>
          <w:lang w:eastAsia="fi-FI"/>
        </w:rPr>
        <w:t>This interparliamentary dialogue could rely on data already gathered and analysed by institutions such as CEPEJ and FRA in order to develop ‘country fiches’ which would then be used as starting points for this dialogue.</w:t>
      </w:r>
      <w:r w:rsidR="007F1136" w:rsidRPr="00F71C89">
        <w:rPr>
          <w:rFonts w:ascii="Times New Roman" w:hAnsi="Times New Roman" w:cs="Times New Roman"/>
          <w:vertAlign w:val="superscript"/>
          <w:lang w:eastAsia="fi-FI"/>
        </w:rPr>
        <w:footnoteReference w:id="68"/>
      </w:r>
      <w:r w:rsidR="007F1136" w:rsidRPr="00F71C89">
        <w:rPr>
          <w:rFonts w:ascii="Times New Roman" w:hAnsi="Times New Roman" w:cs="Times New Roman"/>
          <w:lang w:eastAsia="fi-FI"/>
        </w:rPr>
        <w:t xml:space="preserve"> </w:t>
      </w:r>
      <w:r w:rsidRPr="00F71C89">
        <w:rPr>
          <w:rFonts w:ascii="Times New Roman" w:hAnsi="Times New Roman" w:cs="Times New Roman"/>
          <w:lang w:eastAsia="fi-FI"/>
        </w:rPr>
        <w:t>This task could be facilitated by the creation of a database, a European Fundamental Rights Information System</w:t>
      </w:r>
      <w:r w:rsidR="007F1136" w:rsidRPr="00F71C89">
        <w:rPr>
          <w:rFonts w:ascii="Times New Roman" w:hAnsi="Times New Roman" w:cs="Times New Roman"/>
          <w:lang w:eastAsia="fi-FI"/>
        </w:rPr>
        <w:t xml:space="preserve"> (EFRIS), that is, </w:t>
      </w:r>
      <w:r w:rsidRPr="00F71C89">
        <w:rPr>
          <w:rFonts w:ascii="Times New Roman" w:hAnsi="Times New Roman" w:cs="Times New Roman"/>
          <w:lang w:eastAsia="fi-FI"/>
        </w:rPr>
        <w:t>an electronic system providing information gathered by different actors on the situation of fundamental rights on a country-by-country or right specific basis</w:t>
      </w:r>
      <w:r w:rsidR="007F1136" w:rsidRPr="00F71C89">
        <w:rPr>
          <w:rFonts w:ascii="Times New Roman" w:hAnsi="Times New Roman" w:cs="Times New Roman"/>
          <w:lang w:eastAsia="fi-FI"/>
        </w:rPr>
        <w:t>.</w:t>
      </w:r>
      <w:r w:rsidRPr="00F71C89">
        <w:rPr>
          <w:rFonts w:ascii="Times New Roman" w:hAnsi="Times New Roman" w:cs="Times New Roman"/>
          <w:vertAlign w:val="superscript"/>
          <w:lang w:eastAsia="fi-FI"/>
        </w:rPr>
        <w:footnoteReference w:id="69"/>
      </w:r>
      <w:r w:rsidRPr="00F71C89">
        <w:rPr>
          <w:rFonts w:ascii="Times New Roman" w:hAnsi="Times New Roman" w:cs="Times New Roman"/>
          <w:lang w:eastAsia="fi-FI"/>
        </w:rPr>
        <w:t xml:space="preserve"> </w:t>
      </w:r>
      <w:r w:rsidR="007F1136" w:rsidRPr="00F71C89">
        <w:rPr>
          <w:rFonts w:ascii="Times New Roman" w:hAnsi="Times New Roman" w:cs="Times New Roman"/>
          <w:lang w:eastAsia="fi-FI"/>
        </w:rPr>
        <w:t xml:space="preserve">This would however </w:t>
      </w:r>
      <w:r w:rsidR="007E157D" w:rsidRPr="00F71C89">
        <w:rPr>
          <w:rFonts w:ascii="Times New Roman" w:hAnsi="Times New Roman" w:cs="Times New Roman"/>
          <w:lang w:eastAsia="fi-FI"/>
        </w:rPr>
        <w:t xml:space="preserve">also </w:t>
      </w:r>
      <w:r w:rsidR="007F1136" w:rsidRPr="00F71C89">
        <w:rPr>
          <w:rFonts w:ascii="Times New Roman" w:hAnsi="Times New Roman" w:cs="Times New Roman"/>
          <w:lang w:eastAsia="fi-FI"/>
        </w:rPr>
        <w:t xml:space="preserve">require a revision of the FRA’s mandate as it currently </w:t>
      </w:r>
      <w:r w:rsidRPr="00F71C89">
        <w:rPr>
          <w:rFonts w:ascii="Times New Roman" w:hAnsi="Times New Roman" w:cs="Times New Roman"/>
          <w:lang w:eastAsia="fi-FI"/>
        </w:rPr>
        <w:t>does not have the competence to collect data outside the scope of EU matters</w:t>
      </w:r>
      <w:r w:rsidR="00F334C8" w:rsidRPr="00F71C89">
        <w:rPr>
          <w:rFonts w:ascii="Times New Roman" w:hAnsi="Times New Roman" w:cs="Times New Roman"/>
          <w:lang w:eastAsia="fi-FI"/>
        </w:rPr>
        <w:t>.</w:t>
      </w:r>
      <w:r w:rsidRPr="00F71C89">
        <w:rPr>
          <w:rFonts w:ascii="Times New Roman" w:hAnsi="Times New Roman" w:cs="Times New Roman"/>
          <w:vertAlign w:val="superscript"/>
          <w:lang w:eastAsia="fi-FI"/>
        </w:rPr>
        <w:footnoteReference w:id="70"/>
      </w:r>
      <w:r w:rsidR="00F334C8" w:rsidRPr="00F71C89">
        <w:rPr>
          <w:rFonts w:ascii="Times New Roman" w:hAnsi="Times New Roman" w:cs="Times New Roman"/>
          <w:lang w:eastAsia="fi-FI"/>
        </w:rPr>
        <w:t xml:space="preserve"> </w:t>
      </w:r>
      <w:r w:rsidR="00792118" w:rsidRPr="00F71C89">
        <w:rPr>
          <w:rFonts w:ascii="Times New Roman" w:hAnsi="Times New Roman" w:cs="Times New Roman"/>
          <w:lang w:eastAsia="fi-FI"/>
        </w:rPr>
        <w:t>More radically, we would suggest to no longer use t</w:t>
      </w:r>
      <w:r w:rsidR="00F334C8" w:rsidRPr="00F71C89">
        <w:rPr>
          <w:rFonts w:ascii="Times New Roman" w:hAnsi="Times New Roman" w:cs="Times New Roman"/>
          <w:lang w:eastAsia="fi-FI"/>
        </w:rPr>
        <w:t xml:space="preserve">he notion of </w:t>
      </w:r>
      <w:r w:rsidR="00792118" w:rsidRPr="00F71C89">
        <w:rPr>
          <w:rFonts w:ascii="Times New Roman" w:hAnsi="Times New Roman" w:cs="Times New Roman"/>
          <w:lang w:eastAsia="fi-FI"/>
        </w:rPr>
        <w:t xml:space="preserve">‘scope of/implementation of’ EU law in order to define the remit of the Agency. The notion of ‘scope of/implementation of’ EU law was indeed devised by the Court to decide on a case-by-case basis when national measures can be subject to EU review on fundamental rights grounds. It is too complex and non-static a standard to be used to define the data-gathering and monitoring remit of an EU agency. </w:t>
      </w:r>
    </w:p>
    <w:p w14:paraId="501D28DA" w14:textId="77777777" w:rsidR="00AA7FEF" w:rsidRPr="00F71C89" w:rsidRDefault="00AA7FEF" w:rsidP="00F27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5DB58BB4" w14:textId="1EFB2ECD" w:rsidR="007E08A2" w:rsidRPr="00F71C89" w:rsidRDefault="00867C40" w:rsidP="00792118">
      <w:pPr>
        <w:pStyle w:val="p1"/>
        <w:jc w:val="both"/>
        <w:rPr>
          <w:rFonts w:ascii="Times New Roman" w:hAnsi="Times New Roman"/>
          <w:sz w:val="24"/>
          <w:szCs w:val="24"/>
        </w:rPr>
      </w:pPr>
      <w:r w:rsidRPr="00F71C89">
        <w:rPr>
          <w:rFonts w:ascii="Times New Roman" w:hAnsi="Times New Roman"/>
          <w:sz w:val="24"/>
          <w:szCs w:val="24"/>
        </w:rPr>
        <w:t>Last but not least</w:t>
      </w:r>
      <w:r w:rsidR="008F1C3A" w:rsidRPr="00F71C89">
        <w:rPr>
          <w:rFonts w:ascii="Times New Roman" w:hAnsi="Times New Roman"/>
          <w:sz w:val="24"/>
          <w:szCs w:val="24"/>
        </w:rPr>
        <w:t xml:space="preserve">, </w:t>
      </w:r>
      <w:r w:rsidR="00792118" w:rsidRPr="00F71C89">
        <w:rPr>
          <w:rFonts w:ascii="Times New Roman" w:hAnsi="Times New Roman"/>
          <w:sz w:val="24"/>
          <w:szCs w:val="24"/>
        </w:rPr>
        <w:t xml:space="preserve">and connected to our previous point, </w:t>
      </w:r>
      <w:r w:rsidR="008F1C3A" w:rsidRPr="00F71C89">
        <w:rPr>
          <w:rFonts w:ascii="Times New Roman" w:hAnsi="Times New Roman"/>
          <w:sz w:val="24"/>
          <w:szCs w:val="24"/>
        </w:rPr>
        <w:t>we would re</w:t>
      </w:r>
      <w:r w:rsidR="00792118" w:rsidRPr="00F71C89">
        <w:rPr>
          <w:rFonts w:ascii="Times New Roman" w:hAnsi="Times New Roman"/>
          <w:sz w:val="24"/>
          <w:szCs w:val="24"/>
        </w:rPr>
        <w:t>commend to explicitly confer</w:t>
      </w:r>
      <w:r w:rsidR="008F1C3A" w:rsidRPr="00F71C89">
        <w:rPr>
          <w:rFonts w:ascii="Times New Roman" w:hAnsi="Times New Roman"/>
          <w:sz w:val="24"/>
          <w:szCs w:val="24"/>
        </w:rPr>
        <w:t xml:space="preserve"> on the FRA an </w:t>
      </w:r>
      <w:r w:rsidR="00066599" w:rsidRPr="00F71C89">
        <w:rPr>
          <w:rFonts w:ascii="Times New Roman" w:hAnsi="Times New Roman"/>
          <w:sz w:val="24"/>
          <w:szCs w:val="24"/>
        </w:rPr>
        <w:t>Article 7 TEU remit</w:t>
      </w:r>
      <w:r w:rsidR="00792118" w:rsidRPr="00F71C89">
        <w:rPr>
          <w:rFonts w:ascii="Times New Roman" w:hAnsi="Times New Roman"/>
          <w:sz w:val="24"/>
          <w:szCs w:val="24"/>
        </w:rPr>
        <w:t xml:space="preserve">. This provision, as noted by the Commission in a 2003 Communication </w:t>
      </w:r>
      <w:r w:rsidR="00792118" w:rsidRPr="00F71C89">
        <w:rPr>
          <w:rStyle w:val="s1"/>
          <w:rFonts w:ascii="Times New Roman" w:hAnsi="Times New Roman"/>
          <w:sz w:val="24"/>
          <w:szCs w:val="24"/>
        </w:rPr>
        <w:t>‘</w:t>
      </w:r>
      <w:r w:rsidR="00792118" w:rsidRPr="00F71C89">
        <w:rPr>
          <w:rFonts w:ascii="Times New Roman" w:hAnsi="Times New Roman"/>
          <w:sz w:val="24"/>
          <w:szCs w:val="24"/>
        </w:rPr>
        <w:t>is not con</w:t>
      </w:r>
      <w:r w:rsidR="00792118" w:rsidRPr="00F71C89">
        <w:rPr>
          <w:rStyle w:val="s1"/>
          <w:rFonts w:ascii="Times New Roman" w:hAnsi="Times New Roman"/>
          <w:sz w:val="24"/>
          <w:szCs w:val="24"/>
        </w:rPr>
        <w:t>fi</w:t>
      </w:r>
      <w:r w:rsidR="00792118" w:rsidRPr="00F71C89">
        <w:rPr>
          <w:rFonts w:ascii="Times New Roman" w:hAnsi="Times New Roman"/>
          <w:sz w:val="24"/>
          <w:szCs w:val="24"/>
        </w:rPr>
        <w:t>ned to areas covered by Union law</w:t>
      </w:r>
      <w:r w:rsidR="00792118" w:rsidRPr="00F71C89">
        <w:rPr>
          <w:rStyle w:val="s1"/>
          <w:rFonts w:ascii="Times New Roman" w:hAnsi="Times New Roman"/>
          <w:sz w:val="24"/>
          <w:szCs w:val="24"/>
        </w:rPr>
        <w:t>’</w:t>
      </w:r>
      <w:r w:rsidR="008F1C3A" w:rsidRPr="00F71C89">
        <w:rPr>
          <w:rFonts w:ascii="Times New Roman" w:hAnsi="Times New Roman"/>
          <w:sz w:val="24"/>
          <w:szCs w:val="24"/>
        </w:rPr>
        <w:t>.</w:t>
      </w:r>
      <w:r w:rsidR="00792118" w:rsidRPr="00F71C89">
        <w:rPr>
          <w:rStyle w:val="FootnoteReference"/>
          <w:rFonts w:ascii="Times New Roman" w:hAnsi="Times New Roman"/>
          <w:sz w:val="24"/>
          <w:szCs w:val="24"/>
        </w:rPr>
        <w:footnoteReference w:id="71"/>
      </w:r>
      <w:r w:rsidR="008F1C3A" w:rsidRPr="00F71C89">
        <w:rPr>
          <w:rFonts w:ascii="Times New Roman" w:hAnsi="Times New Roman"/>
          <w:sz w:val="24"/>
          <w:szCs w:val="24"/>
        </w:rPr>
        <w:t xml:space="preserve"> I</w:t>
      </w:r>
      <w:r w:rsidR="00792118" w:rsidRPr="00F71C89">
        <w:rPr>
          <w:rFonts w:ascii="Times New Roman" w:hAnsi="Times New Roman"/>
          <w:sz w:val="24"/>
          <w:szCs w:val="24"/>
        </w:rPr>
        <w:t xml:space="preserve">t is worth noting in this respect that </w:t>
      </w:r>
      <w:r w:rsidR="008F1C3A" w:rsidRPr="00F71C89">
        <w:rPr>
          <w:rFonts w:ascii="Times New Roman" w:hAnsi="Times New Roman"/>
          <w:sz w:val="24"/>
          <w:szCs w:val="24"/>
        </w:rPr>
        <w:t>the Commission</w:t>
      </w:r>
      <w:r w:rsidR="00792118" w:rsidRPr="00F71C89">
        <w:rPr>
          <w:rFonts w:ascii="Times New Roman" w:hAnsi="Times New Roman"/>
          <w:sz w:val="24"/>
          <w:szCs w:val="24"/>
        </w:rPr>
        <w:t xml:space="preserve"> initially </w:t>
      </w:r>
      <w:r w:rsidR="008F1C3A" w:rsidRPr="00F71C89">
        <w:rPr>
          <w:rFonts w:ascii="Times New Roman" w:hAnsi="Times New Roman"/>
          <w:sz w:val="24"/>
          <w:szCs w:val="24"/>
          <w:lang w:val="en-US"/>
        </w:rPr>
        <w:t xml:space="preserve">foresaw </w:t>
      </w:r>
      <w:r w:rsidR="00501A76" w:rsidRPr="00F71C89">
        <w:rPr>
          <w:rFonts w:ascii="Times New Roman" w:hAnsi="Times New Roman"/>
          <w:sz w:val="24"/>
          <w:szCs w:val="24"/>
          <w:lang w:val="en-US"/>
        </w:rPr>
        <w:t xml:space="preserve">in 2005 </w:t>
      </w:r>
      <w:r w:rsidR="008F1C3A" w:rsidRPr="00F71C89">
        <w:rPr>
          <w:rFonts w:ascii="Times New Roman" w:hAnsi="Times New Roman"/>
          <w:sz w:val="24"/>
          <w:szCs w:val="24"/>
          <w:lang w:val="en-US"/>
        </w:rPr>
        <w:t xml:space="preserve">the possibility of having the FRA </w:t>
      </w:r>
      <w:r w:rsidR="008F1C3A" w:rsidRPr="00F71C89">
        <w:rPr>
          <w:rFonts w:ascii="Times New Roman" w:hAnsi="Times New Roman"/>
          <w:sz w:val="24"/>
          <w:szCs w:val="24"/>
        </w:rPr>
        <w:t>making</w:t>
      </w:r>
      <w:r w:rsidR="00066599" w:rsidRPr="00F71C89">
        <w:rPr>
          <w:rFonts w:ascii="Times New Roman" w:hAnsi="Times New Roman"/>
          <w:sz w:val="24"/>
          <w:szCs w:val="24"/>
        </w:rPr>
        <w:t xml:space="preserve"> its technical expertise available to the Council in </w:t>
      </w:r>
      <w:r w:rsidR="008F1C3A" w:rsidRPr="00F71C89">
        <w:rPr>
          <w:rFonts w:ascii="Times New Roman" w:hAnsi="Times New Roman"/>
          <w:sz w:val="24"/>
          <w:szCs w:val="24"/>
        </w:rPr>
        <w:t>an Article 7 TEU situation</w:t>
      </w:r>
      <w:r w:rsidR="00C95058" w:rsidRPr="00F71C89">
        <w:rPr>
          <w:rFonts w:ascii="Times New Roman" w:hAnsi="Times New Roman"/>
          <w:sz w:val="24"/>
          <w:szCs w:val="24"/>
        </w:rPr>
        <w:t>.</w:t>
      </w:r>
      <w:r w:rsidR="00066599" w:rsidRPr="00F71C89">
        <w:rPr>
          <w:rStyle w:val="FootnoteReference"/>
          <w:rFonts w:ascii="Times New Roman" w:hAnsi="Times New Roman"/>
          <w:sz w:val="24"/>
          <w:szCs w:val="24"/>
        </w:rPr>
        <w:footnoteReference w:id="72"/>
      </w:r>
      <w:r w:rsidR="00C95058" w:rsidRPr="00F71C89">
        <w:rPr>
          <w:rFonts w:ascii="Times New Roman" w:hAnsi="Times New Roman"/>
          <w:sz w:val="24"/>
          <w:szCs w:val="24"/>
        </w:rPr>
        <w:t xml:space="preserve"> </w:t>
      </w:r>
      <w:r w:rsidR="007E08A2" w:rsidRPr="00F71C89">
        <w:rPr>
          <w:rFonts w:ascii="Times New Roman" w:hAnsi="Times New Roman"/>
          <w:sz w:val="24"/>
          <w:szCs w:val="24"/>
        </w:rPr>
        <w:t xml:space="preserve">While Regulation 168/2007 </w:t>
      </w:r>
      <w:r w:rsidR="00AA036E" w:rsidRPr="00F71C89">
        <w:rPr>
          <w:rFonts w:ascii="Times New Roman" w:hAnsi="Times New Roman"/>
          <w:sz w:val="24"/>
          <w:szCs w:val="24"/>
        </w:rPr>
        <w:t xml:space="preserve">ultimately </w:t>
      </w:r>
      <w:r w:rsidR="007E08A2" w:rsidRPr="00F71C89">
        <w:rPr>
          <w:rFonts w:ascii="Times New Roman" w:hAnsi="Times New Roman"/>
          <w:sz w:val="24"/>
          <w:szCs w:val="24"/>
        </w:rPr>
        <w:t xml:space="preserve">did not grant any explicit Article 7 remit to the FRA, it is worth noting that the Council, in a Declaration on Proceedings under Article 7, did </w:t>
      </w:r>
      <w:r w:rsidR="00AA036E" w:rsidRPr="00F71C89">
        <w:rPr>
          <w:rFonts w:ascii="Times New Roman" w:hAnsi="Times New Roman"/>
          <w:sz w:val="24"/>
          <w:szCs w:val="24"/>
        </w:rPr>
        <w:t xml:space="preserve">however </w:t>
      </w:r>
      <w:r w:rsidR="007E08A2" w:rsidRPr="00F71C89">
        <w:rPr>
          <w:rFonts w:ascii="Times New Roman" w:hAnsi="Times New Roman"/>
          <w:sz w:val="24"/>
          <w:szCs w:val="24"/>
        </w:rPr>
        <w:t xml:space="preserve">expressly state that it </w:t>
      </w:r>
    </w:p>
    <w:p w14:paraId="349AB57E" w14:textId="77777777" w:rsidR="007E08A2" w:rsidRPr="00F71C89" w:rsidRDefault="007E08A2" w:rsidP="00F2706A">
      <w:pPr>
        <w:widowControl w:val="0"/>
        <w:autoSpaceDE w:val="0"/>
        <w:autoSpaceDN w:val="0"/>
        <w:adjustRightInd w:val="0"/>
        <w:jc w:val="both"/>
        <w:rPr>
          <w:rFonts w:ascii="Times New Roman" w:hAnsi="Times New Roman" w:cs="Times New Roman"/>
        </w:rPr>
      </w:pPr>
    </w:p>
    <w:p w14:paraId="467FE619" w14:textId="073D90B2" w:rsidR="00C95058" w:rsidRPr="00F71C89" w:rsidRDefault="007E08A2" w:rsidP="00F2706A">
      <w:pPr>
        <w:widowControl w:val="0"/>
        <w:autoSpaceDE w:val="0"/>
        <w:autoSpaceDN w:val="0"/>
        <w:adjustRightInd w:val="0"/>
        <w:ind w:left="720"/>
        <w:jc w:val="both"/>
        <w:rPr>
          <w:rFonts w:ascii="Times New Roman" w:hAnsi="Times New Roman" w:cs="Times New Roman"/>
        </w:rPr>
      </w:pPr>
      <w:r w:rsidRPr="00F71C89">
        <w:rPr>
          <w:rFonts w:ascii="Times New Roman" w:hAnsi="Times New Roman" w:cs="Times New Roman"/>
        </w:rPr>
        <w:t xml:space="preserve">considers that neither the Treaties nor the Regulation establishing the [FRA] precludes the possibility for the Council to seek the assistance of the future [FRA] when deciding </w:t>
      </w:r>
      <w:r w:rsidR="00C95058" w:rsidRPr="00F71C89">
        <w:rPr>
          <w:rFonts w:ascii="Times New Roman" w:hAnsi="Times New Roman" w:cs="Times New Roman"/>
          <w:color w:val="141413"/>
          <w:lang w:val="en-US"/>
        </w:rPr>
        <w:t>to obtain from independent persons a repo</w:t>
      </w:r>
      <w:r w:rsidRPr="00F71C89">
        <w:rPr>
          <w:rFonts w:ascii="Times New Roman" w:hAnsi="Times New Roman" w:cs="Times New Roman"/>
          <w:color w:val="141413"/>
          <w:lang w:val="en-US"/>
        </w:rPr>
        <w:t>rt on the situation in a Member State</w:t>
      </w:r>
      <w:r w:rsidR="00C95058" w:rsidRPr="00F71C89">
        <w:rPr>
          <w:rFonts w:ascii="Times New Roman" w:hAnsi="Times New Roman" w:cs="Times New Roman"/>
          <w:color w:val="141413"/>
          <w:lang w:val="en-US"/>
        </w:rPr>
        <w:t xml:space="preserve"> within the meaning of Article 7 TEU when the Council decides that the conditions of Article 7 TEU are met</w:t>
      </w:r>
      <w:r w:rsidRPr="00F71C89">
        <w:rPr>
          <w:rFonts w:ascii="Times New Roman" w:hAnsi="Times New Roman" w:cs="Times New Roman"/>
          <w:color w:val="141413"/>
          <w:lang w:val="en-US"/>
        </w:rPr>
        <w:t>.</w:t>
      </w:r>
      <w:r w:rsidRPr="00F71C89">
        <w:rPr>
          <w:rStyle w:val="FootnoteReference"/>
          <w:rFonts w:ascii="Times New Roman" w:hAnsi="Times New Roman" w:cs="Times New Roman"/>
          <w:color w:val="141413"/>
          <w:lang w:val="en-US"/>
        </w:rPr>
        <w:footnoteReference w:id="73"/>
      </w:r>
    </w:p>
    <w:p w14:paraId="0AB0A385" w14:textId="253F3EF3" w:rsidR="007E08A2" w:rsidRPr="00F71C89" w:rsidRDefault="007E08A2" w:rsidP="00F2706A">
      <w:pPr>
        <w:jc w:val="both"/>
        <w:rPr>
          <w:rFonts w:ascii="Times New Roman" w:hAnsi="Times New Roman" w:cs="Times New Roman"/>
          <w:lang w:eastAsia="fi-FI"/>
        </w:rPr>
      </w:pPr>
    </w:p>
    <w:p w14:paraId="58F2D7ED" w14:textId="77777777" w:rsidR="00AA036E" w:rsidRPr="00F71C89" w:rsidRDefault="00AA036E" w:rsidP="00F2706A">
      <w:pPr>
        <w:jc w:val="both"/>
        <w:rPr>
          <w:rFonts w:ascii="Times New Roman" w:hAnsi="Times New Roman" w:cs="Times New Roman"/>
          <w:lang w:eastAsia="fi-FI"/>
        </w:rPr>
      </w:pPr>
      <w:r w:rsidRPr="00F71C89">
        <w:rPr>
          <w:rFonts w:ascii="Times New Roman" w:hAnsi="Times New Roman" w:cs="Times New Roman"/>
          <w:lang w:eastAsia="fi-FI"/>
        </w:rPr>
        <w:t xml:space="preserve">Neither the Commission nor the Council have however requested the involvement of the FRA in the ongoing Article 7 proceedings against Poland. This is regrettable but may also merely reflect the fact that having agreed a multi-annual framework which does not ask the FRA to focus on respect for the rule of law, it would have been odd to ask for FRA’s involvement in a procedure which is primarily justified by the existence of a clear risk of a serious breach of the rule of law by Poland. </w:t>
      </w:r>
    </w:p>
    <w:p w14:paraId="3177E68D" w14:textId="77777777" w:rsidR="00AA036E" w:rsidRPr="00F71C89" w:rsidRDefault="00AA036E" w:rsidP="00F2706A">
      <w:pPr>
        <w:jc w:val="both"/>
        <w:rPr>
          <w:rFonts w:ascii="Times New Roman" w:hAnsi="Times New Roman" w:cs="Times New Roman"/>
          <w:lang w:eastAsia="fi-FI"/>
        </w:rPr>
      </w:pPr>
    </w:p>
    <w:p w14:paraId="75683873" w14:textId="649C4AE9" w:rsidR="00015825" w:rsidRPr="00F71C89" w:rsidRDefault="00AA036E" w:rsidP="005F2594">
      <w:pPr>
        <w:jc w:val="both"/>
        <w:rPr>
          <w:rFonts w:ascii="Times New Roman" w:hAnsi="Times New Roman" w:cs="Times New Roman"/>
          <w:b/>
          <w:lang w:eastAsia="fi-FI"/>
        </w:rPr>
      </w:pPr>
      <w:r w:rsidRPr="00F71C89">
        <w:rPr>
          <w:rFonts w:ascii="Times New Roman" w:hAnsi="Times New Roman" w:cs="Times New Roman"/>
          <w:lang w:eastAsia="fi-FI"/>
        </w:rPr>
        <w:t xml:space="preserve">It is in any event time to provide the FRA with an Article 7 remit as well as enable it to monitor all relevant issues regardless of whether they may fall outside of the scope of EU law. </w:t>
      </w:r>
      <w:r w:rsidR="005F2594" w:rsidRPr="00F71C89">
        <w:rPr>
          <w:rFonts w:ascii="Times New Roman" w:hAnsi="Times New Roman" w:cs="Times New Roman"/>
          <w:lang w:eastAsia="fi-FI"/>
        </w:rPr>
        <w:t xml:space="preserve">The FRA should also be provided with the resources to </w:t>
      </w:r>
      <w:r w:rsidRPr="00F71C89">
        <w:rPr>
          <w:rFonts w:ascii="Times New Roman" w:hAnsi="Times New Roman" w:cs="Times New Roman"/>
          <w:lang w:eastAsia="fi-FI"/>
        </w:rPr>
        <w:t xml:space="preserve">strengthen its expertise on rule of law </w:t>
      </w:r>
      <w:r w:rsidR="005F2594" w:rsidRPr="00F71C89">
        <w:rPr>
          <w:rFonts w:ascii="Times New Roman" w:hAnsi="Times New Roman" w:cs="Times New Roman"/>
          <w:lang w:eastAsia="fi-FI"/>
        </w:rPr>
        <w:t xml:space="preserve">issues. If anything, </w:t>
      </w:r>
      <w:r w:rsidR="00015825" w:rsidRPr="00F71C89">
        <w:rPr>
          <w:rFonts w:ascii="Times New Roman" w:hAnsi="Times New Roman" w:cs="Times New Roman"/>
        </w:rPr>
        <w:t xml:space="preserve">the regular consolidation and analysis of data from Member States could </w:t>
      </w:r>
      <w:r w:rsidR="005F2594" w:rsidRPr="00F71C89">
        <w:rPr>
          <w:rFonts w:ascii="Times New Roman" w:hAnsi="Times New Roman" w:cs="Times New Roman"/>
        </w:rPr>
        <w:t xml:space="preserve">help </w:t>
      </w:r>
      <w:r w:rsidR="00015825" w:rsidRPr="00F71C89">
        <w:rPr>
          <w:rFonts w:ascii="Times New Roman" w:hAnsi="Times New Roman" w:cs="Times New Roman"/>
        </w:rPr>
        <w:t xml:space="preserve">negate accusations by Member States of any </w:t>
      </w:r>
      <w:r w:rsidR="005F2594" w:rsidRPr="00F71C89">
        <w:rPr>
          <w:rFonts w:ascii="Times New Roman" w:hAnsi="Times New Roman" w:cs="Times New Roman"/>
        </w:rPr>
        <w:t>possible unfair</w:t>
      </w:r>
      <w:r w:rsidR="00015825" w:rsidRPr="00F71C89">
        <w:rPr>
          <w:rFonts w:ascii="Times New Roman" w:hAnsi="Times New Roman" w:cs="Times New Roman"/>
        </w:rPr>
        <w:t xml:space="preserve"> or inconsistent application of </w:t>
      </w:r>
      <w:r w:rsidR="005F2594" w:rsidRPr="00F71C89">
        <w:rPr>
          <w:rFonts w:ascii="Times New Roman" w:hAnsi="Times New Roman" w:cs="Times New Roman"/>
        </w:rPr>
        <w:t xml:space="preserve">Article 2 standards in any Article 7 </w:t>
      </w:r>
      <w:r w:rsidR="00015825" w:rsidRPr="00F71C89">
        <w:rPr>
          <w:rFonts w:ascii="Times New Roman" w:hAnsi="Times New Roman" w:cs="Times New Roman"/>
        </w:rPr>
        <w:t xml:space="preserve">process. </w:t>
      </w:r>
      <w:r w:rsidR="005F2594" w:rsidRPr="00F71C89">
        <w:rPr>
          <w:rFonts w:ascii="Times New Roman" w:hAnsi="Times New Roman" w:cs="Times New Roman"/>
        </w:rPr>
        <w:t xml:space="preserve">More generally, the </w:t>
      </w:r>
      <w:r w:rsidR="00015825" w:rsidRPr="00F71C89">
        <w:rPr>
          <w:rFonts w:ascii="Times New Roman" w:hAnsi="Times New Roman" w:cs="Times New Roman"/>
        </w:rPr>
        <w:t xml:space="preserve">regular provision of data and analysis by the FRA could enhance the operational effectiveness of the EU in monitoring fundamental values, while also helping to prevent </w:t>
      </w:r>
      <w:r w:rsidR="0076337F" w:rsidRPr="00F71C89">
        <w:rPr>
          <w:rFonts w:ascii="Times New Roman" w:hAnsi="Times New Roman" w:cs="Times New Roman"/>
        </w:rPr>
        <w:t xml:space="preserve">the perception </w:t>
      </w:r>
      <w:r w:rsidR="00730DF8" w:rsidRPr="00F71C89">
        <w:rPr>
          <w:rFonts w:ascii="Times New Roman" w:hAnsi="Times New Roman" w:cs="Times New Roman"/>
        </w:rPr>
        <w:t xml:space="preserve">and materialisation </w:t>
      </w:r>
      <w:r w:rsidR="0076337F" w:rsidRPr="00F71C89">
        <w:rPr>
          <w:rFonts w:ascii="Times New Roman" w:hAnsi="Times New Roman" w:cs="Times New Roman"/>
        </w:rPr>
        <w:t xml:space="preserve">of </w:t>
      </w:r>
      <w:r w:rsidR="00015825" w:rsidRPr="00F71C89">
        <w:rPr>
          <w:rFonts w:ascii="Times New Roman" w:hAnsi="Times New Roman" w:cs="Times New Roman"/>
        </w:rPr>
        <w:t>double standards.</w:t>
      </w:r>
      <w:r w:rsidR="00015825" w:rsidRPr="00F71C89">
        <w:rPr>
          <w:rStyle w:val="FootnoteReference"/>
          <w:rFonts w:ascii="Times New Roman" w:hAnsi="Times New Roman" w:cs="Times New Roman"/>
        </w:rPr>
        <w:footnoteReference w:id="74"/>
      </w:r>
    </w:p>
    <w:p w14:paraId="6D7CF578" w14:textId="77777777" w:rsidR="00455E02" w:rsidRPr="00F71C89" w:rsidRDefault="00455E02" w:rsidP="00F2706A">
      <w:pPr>
        <w:jc w:val="both"/>
        <w:rPr>
          <w:rFonts w:ascii="Times New Roman" w:hAnsi="Times New Roman" w:cs="Times New Roman"/>
          <w:color w:val="18376A"/>
          <w:lang w:val="en-US"/>
        </w:rPr>
      </w:pPr>
    </w:p>
    <w:p w14:paraId="51C4513E" w14:textId="14AA8B3C" w:rsidR="00C55428" w:rsidRPr="00F71C89" w:rsidRDefault="00C55428" w:rsidP="00F2706A">
      <w:pPr>
        <w:jc w:val="both"/>
        <w:rPr>
          <w:rFonts w:ascii="Times New Roman" w:hAnsi="Times New Roman" w:cs="Times New Roman"/>
          <w:b/>
        </w:rPr>
      </w:pPr>
      <w:r w:rsidRPr="00F71C89">
        <w:rPr>
          <w:rFonts w:ascii="Times New Roman" w:hAnsi="Times New Roman" w:cs="Times New Roman"/>
          <w:b/>
        </w:rPr>
        <w:t>5. Concluding remarks</w:t>
      </w:r>
    </w:p>
    <w:p w14:paraId="4DECE8C4" w14:textId="77777777" w:rsidR="00C55428" w:rsidRPr="00F71C89" w:rsidRDefault="00C55428" w:rsidP="00F2706A">
      <w:pPr>
        <w:jc w:val="both"/>
        <w:rPr>
          <w:rFonts w:ascii="Times New Roman" w:hAnsi="Times New Roman" w:cs="Times New Roman"/>
        </w:rPr>
      </w:pPr>
    </w:p>
    <w:p w14:paraId="3A08C6B9" w14:textId="42F5703F" w:rsidR="00730DF8" w:rsidRPr="00F71C89" w:rsidRDefault="007C399B" w:rsidP="007C399B">
      <w:pPr>
        <w:jc w:val="both"/>
        <w:rPr>
          <w:rFonts w:ascii="Times New Roman" w:hAnsi="Times New Roman" w:cs="Times New Roman"/>
          <w:lang w:eastAsia="en-GB"/>
        </w:rPr>
      </w:pPr>
      <w:r w:rsidRPr="00F71C89">
        <w:rPr>
          <w:rFonts w:ascii="Times New Roman" w:hAnsi="Times New Roman" w:cs="Times New Roman"/>
        </w:rPr>
        <w:t>As recalled by the European Commission in its Article 7 reasoned proposal regarding the situation in Poland, ‘respect for the rule of law is not only a prerequisite for the protection of all the fundamental values listed in Article 2 TEU</w:t>
      </w:r>
      <w:r w:rsidR="0076337F" w:rsidRPr="00F71C89">
        <w:rPr>
          <w:rFonts w:ascii="Times New Roman" w:hAnsi="Times New Roman" w:cs="Times New Roman"/>
        </w:rPr>
        <w:t xml:space="preserve"> […] </w:t>
      </w:r>
      <w:r w:rsidRPr="00F71C89">
        <w:rPr>
          <w:rFonts w:ascii="Times New Roman" w:hAnsi="Times New Roman" w:cs="Times New Roman"/>
        </w:rPr>
        <w:t xml:space="preserve">it is also a prerequisite for </w:t>
      </w:r>
      <w:r w:rsidRPr="00F71C89">
        <w:rPr>
          <w:rFonts w:ascii="Times New Roman" w:hAnsi="Times New Roman" w:cs="Times New Roman"/>
          <w:lang w:eastAsia="en-GB"/>
        </w:rPr>
        <w:t>upholding all rights and obligations deriving from the Treaties and for establishing mutual trust of citizens, businesses and national authorities in the legal systems of all other Member States’.</w:t>
      </w:r>
      <w:r w:rsidRPr="00F71C89">
        <w:rPr>
          <w:rStyle w:val="FootnoteReference"/>
          <w:rFonts w:ascii="Times New Roman" w:hAnsi="Times New Roman" w:cs="Times New Roman"/>
          <w:lang w:eastAsia="en-GB"/>
        </w:rPr>
        <w:footnoteReference w:id="75"/>
      </w:r>
      <w:r w:rsidRPr="00F71C89">
        <w:rPr>
          <w:rFonts w:ascii="Times New Roman" w:hAnsi="Times New Roman" w:cs="Times New Roman"/>
          <w:lang w:eastAsia="en-GB"/>
        </w:rPr>
        <w:t xml:space="preserve"> If so, it is difficult to understand why the FRA</w:t>
      </w:r>
      <w:r w:rsidR="00730DF8" w:rsidRPr="00F71C89">
        <w:rPr>
          <w:rFonts w:ascii="Times New Roman" w:hAnsi="Times New Roman" w:cs="Times New Roman"/>
          <w:lang w:eastAsia="en-GB"/>
        </w:rPr>
        <w:t xml:space="preserve"> </w:t>
      </w:r>
      <w:r w:rsidRPr="00F71C89">
        <w:rPr>
          <w:rFonts w:ascii="Times New Roman" w:hAnsi="Times New Roman" w:cs="Times New Roman"/>
          <w:lang w:eastAsia="en-GB"/>
        </w:rPr>
        <w:t xml:space="preserve">is yet to be clearly mandated to monitor compliance with the rule of law within the EU and help detect the emergence of systemic threats or breaches in this area. </w:t>
      </w:r>
    </w:p>
    <w:p w14:paraId="3FF805D7" w14:textId="77777777" w:rsidR="00730DF8" w:rsidRPr="00F71C89" w:rsidRDefault="00730DF8" w:rsidP="007C399B">
      <w:pPr>
        <w:jc w:val="both"/>
        <w:rPr>
          <w:rFonts w:ascii="Times New Roman" w:hAnsi="Times New Roman" w:cs="Times New Roman"/>
          <w:lang w:eastAsia="en-GB"/>
        </w:rPr>
      </w:pPr>
    </w:p>
    <w:p w14:paraId="5F729C79" w14:textId="7DBC683E" w:rsidR="008D385A" w:rsidRPr="00F71C89" w:rsidRDefault="007C399B" w:rsidP="007C399B">
      <w:pPr>
        <w:jc w:val="both"/>
        <w:rPr>
          <w:rFonts w:ascii="Times New Roman" w:hAnsi="Times New Roman" w:cs="Times New Roman"/>
          <w:i/>
          <w:lang w:eastAsia="en-GB"/>
        </w:rPr>
      </w:pPr>
      <w:r w:rsidRPr="00F71C89">
        <w:rPr>
          <w:rFonts w:ascii="Times New Roman" w:hAnsi="Times New Roman" w:cs="Times New Roman"/>
          <w:lang w:eastAsia="en-GB"/>
        </w:rPr>
        <w:t xml:space="preserve">When the FRA was first established, rule of law backsliding was not the pressing issue it has become today. </w:t>
      </w:r>
      <w:r w:rsidR="00C66696" w:rsidRPr="00F71C89">
        <w:rPr>
          <w:rFonts w:ascii="Times New Roman" w:hAnsi="Times New Roman" w:cs="Times New Roman"/>
          <w:lang w:eastAsia="en-GB"/>
        </w:rPr>
        <w:t xml:space="preserve">As noted by </w:t>
      </w:r>
      <w:r w:rsidR="00C66696" w:rsidRPr="00F71C89">
        <w:rPr>
          <w:rFonts w:ascii="Times New Roman" w:eastAsia="Times New Roman" w:hAnsi="Times New Roman" w:cs="Times New Roman"/>
        </w:rPr>
        <w:t>Commissioner Jourová</w:t>
      </w:r>
      <w:r w:rsidR="00C66696" w:rsidRPr="00F71C89">
        <w:rPr>
          <w:rFonts w:ascii="Times New Roman" w:hAnsi="Times New Roman" w:cs="Times New Roman"/>
          <w:lang w:eastAsia="en-GB"/>
        </w:rPr>
        <w:t>, in a speech given at an event celebrating the ten-year anniversary of the establishment of the FRA, we are now ‘seeing fundamental democratic freedoms questions. The rule of law, the freedom of the press, the independence of the judiciary are at risk again.’</w:t>
      </w:r>
      <w:r w:rsidR="00C66696" w:rsidRPr="00F71C89">
        <w:rPr>
          <w:rStyle w:val="FootnoteReference"/>
          <w:rFonts w:ascii="Times New Roman" w:hAnsi="Times New Roman" w:cs="Times New Roman"/>
          <w:lang w:eastAsia="en-GB"/>
        </w:rPr>
        <w:footnoteReference w:id="76"/>
      </w:r>
      <w:r w:rsidR="00730DF8" w:rsidRPr="00F71C89">
        <w:rPr>
          <w:rFonts w:ascii="Times New Roman" w:hAnsi="Times New Roman" w:cs="Times New Roman"/>
          <w:lang w:eastAsia="en-GB"/>
        </w:rPr>
        <w:t xml:space="preserve"> </w:t>
      </w:r>
      <w:r w:rsidR="00F64E87" w:rsidRPr="00F71C89">
        <w:rPr>
          <w:rFonts w:ascii="Times New Roman" w:hAnsi="Times New Roman" w:cs="Times New Roman"/>
          <w:lang w:eastAsia="en-GB"/>
        </w:rPr>
        <w:t>Based on the evidence, this risk is acute. However, it is</w:t>
      </w:r>
      <w:r w:rsidR="008D385A" w:rsidRPr="00F71C89">
        <w:rPr>
          <w:rFonts w:ascii="Times New Roman" w:hAnsi="Times New Roman" w:cs="Times New Roman"/>
          <w:lang w:eastAsia="en-GB"/>
        </w:rPr>
        <w:t xml:space="preserve"> </w:t>
      </w:r>
      <w:r w:rsidR="00F64E87" w:rsidRPr="00F71C89">
        <w:rPr>
          <w:rFonts w:ascii="Times New Roman" w:hAnsi="Times New Roman" w:cs="Times New Roman"/>
          <w:lang w:eastAsia="en-GB"/>
        </w:rPr>
        <w:t>also evident</w:t>
      </w:r>
      <w:r w:rsidR="008D385A" w:rsidRPr="00F71C89">
        <w:rPr>
          <w:rFonts w:ascii="Times New Roman" w:hAnsi="Times New Roman" w:cs="Times New Roman"/>
          <w:lang w:eastAsia="en-GB"/>
        </w:rPr>
        <w:t xml:space="preserve"> that </w:t>
      </w:r>
      <w:r w:rsidR="00F64E87" w:rsidRPr="00F71C89">
        <w:rPr>
          <w:rFonts w:ascii="Times New Roman" w:hAnsi="Times New Roman" w:cs="Times New Roman"/>
          <w:lang w:eastAsia="en-GB"/>
        </w:rPr>
        <w:t>far more</w:t>
      </w:r>
      <w:r w:rsidR="008D385A" w:rsidRPr="00F71C89">
        <w:rPr>
          <w:rFonts w:ascii="Times New Roman" w:hAnsi="Times New Roman" w:cs="Times New Roman"/>
          <w:lang w:eastAsia="en-GB"/>
        </w:rPr>
        <w:t xml:space="preserve"> is to be gained in benefiting from the expertise and support of the FRA than is worth risking by continued reticence and disregard for the challenges here outlined.</w:t>
      </w:r>
    </w:p>
    <w:p w14:paraId="1961C8A9" w14:textId="12D8D278" w:rsidR="007C399B" w:rsidRPr="00F71C89" w:rsidRDefault="007C399B" w:rsidP="007C399B">
      <w:pPr>
        <w:jc w:val="both"/>
        <w:rPr>
          <w:rFonts w:ascii="Times New Roman" w:hAnsi="Times New Roman" w:cs="Times New Roman"/>
          <w:lang w:eastAsia="en-GB"/>
        </w:rPr>
      </w:pPr>
    </w:p>
    <w:p w14:paraId="0AEF8F5A" w14:textId="77777777" w:rsidR="007C399B" w:rsidRPr="00F71C89" w:rsidRDefault="007C399B" w:rsidP="00F2706A">
      <w:pPr>
        <w:jc w:val="both"/>
        <w:rPr>
          <w:rFonts w:ascii="Times New Roman" w:hAnsi="Times New Roman" w:cs="Times New Roman"/>
        </w:rPr>
      </w:pPr>
    </w:p>
    <w:p w14:paraId="43930CC3" w14:textId="77777777" w:rsidR="006C4C64" w:rsidRPr="00F71C89" w:rsidRDefault="006C4C64" w:rsidP="00F2706A">
      <w:pPr>
        <w:jc w:val="both"/>
        <w:rPr>
          <w:rFonts w:ascii="Times New Roman" w:hAnsi="Times New Roman" w:cs="Times New Roman"/>
        </w:rPr>
      </w:pPr>
    </w:p>
    <w:sectPr w:rsidR="006C4C64" w:rsidRPr="00F71C89" w:rsidSect="006C4C64">
      <w:headerReference w:type="default" r:id="rId10"/>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971E5" w14:textId="77777777" w:rsidR="00042289" w:rsidRDefault="00042289" w:rsidP="003F6B6F">
      <w:r>
        <w:separator/>
      </w:r>
    </w:p>
  </w:endnote>
  <w:endnote w:type="continuationSeparator" w:id="0">
    <w:p w14:paraId="65ABA51D" w14:textId="77777777" w:rsidR="00042289" w:rsidRDefault="00042289" w:rsidP="003F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Book Antiqua">
    <w:panose1 w:val="020406020503050303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D2BCE" w14:textId="77777777" w:rsidR="00511688" w:rsidRDefault="00511688" w:rsidP="000D2C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E65EDE" w14:textId="77777777" w:rsidR="00511688" w:rsidRDefault="00511688" w:rsidP="000D2C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4D235" w14:textId="57FCB752" w:rsidR="00511688" w:rsidRPr="00A253F6" w:rsidRDefault="00511688" w:rsidP="000D2CAC">
    <w:pPr>
      <w:pStyle w:val="Footer"/>
      <w:framePr w:wrap="around" w:vAnchor="text" w:hAnchor="margin" w:xAlign="right" w:y="1"/>
      <w:rPr>
        <w:rStyle w:val="PageNumber"/>
        <w:sz w:val="20"/>
        <w:szCs w:val="20"/>
      </w:rPr>
    </w:pPr>
    <w:r w:rsidRPr="00A253F6">
      <w:rPr>
        <w:rStyle w:val="PageNumber"/>
        <w:sz w:val="20"/>
        <w:szCs w:val="20"/>
      </w:rPr>
      <w:fldChar w:fldCharType="begin"/>
    </w:r>
    <w:r w:rsidRPr="00A253F6">
      <w:rPr>
        <w:rStyle w:val="PageNumber"/>
        <w:sz w:val="20"/>
        <w:szCs w:val="20"/>
      </w:rPr>
      <w:instrText xml:space="preserve">PAGE  </w:instrText>
    </w:r>
    <w:r w:rsidRPr="00A253F6">
      <w:rPr>
        <w:rStyle w:val="PageNumber"/>
        <w:sz w:val="20"/>
        <w:szCs w:val="20"/>
      </w:rPr>
      <w:fldChar w:fldCharType="separate"/>
    </w:r>
    <w:r w:rsidR="00042289">
      <w:rPr>
        <w:rStyle w:val="PageNumber"/>
        <w:noProof/>
        <w:sz w:val="20"/>
        <w:szCs w:val="20"/>
      </w:rPr>
      <w:t>1</w:t>
    </w:r>
    <w:r w:rsidRPr="00A253F6">
      <w:rPr>
        <w:rStyle w:val="PageNumber"/>
        <w:sz w:val="20"/>
        <w:szCs w:val="20"/>
      </w:rPr>
      <w:fldChar w:fldCharType="end"/>
    </w:r>
  </w:p>
  <w:p w14:paraId="08612D73" w14:textId="77777777" w:rsidR="00511688" w:rsidRPr="00A253F6" w:rsidRDefault="00511688" w:rsidP="000D2CAC">
    <w:pPr>
      <w:pStyle w:val="Footer"/>
      <w:ind w:right="360"/>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0D3F1" w14:textId="77777777" w:rsidR="00042289" w:rsidRDefault="00042289" w:rsidP="003F6B6F">
      <w:r>
        <w:separator/>
      </w:r>
    </w:p>
  </w:footnote>
  <w:footnote w:type="continuationSeparator" w:id="0">
    <w:p w14:paraId="323F0978" w14:textId="77777777" w:rsidR="00042289" w:rsidRDefault="00042289" w:rsidP="003F6B6F">
      <w:r>
        <w:continuationSeparator/>
      </w:r>
    </w:p>
  </w:footnote>
  <w:footnote w:id="1">
    <w:p w14:paraId="60449A37" w14:textId="77777777" w:rsidR="00511688" w:rsidRPr="007130FE" w:rsidRDefault="00511688" w:rsidP="007130FE">
      <w:pPr>
        <w:pStyle w:val="FootnoteText"/>
        <w:ind w:right="-64"/>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lang w:val="fr-FR"/>
        </w:rPr>
        <w:t xml:space="preserve"> Case 294/83 </w:t>
      </w:r>
      <w:r w:rsidRPr="007130FE">
        <w:rPr>
          <w:rFonts w:cs="Times New Roman"/>
          <w:i/>
          <w:iCs/>
          <w:sz w:val="20"/>
          <w:szCs w:val="20"/>
          <w:lang w:val="fr-FR"/>
        </w:rPr>
        <w:t>Les Verts v Parliament</w:t>
      </w:r>
      <w:r w:rsidRPr="007130FE">
        <w:rPr>
          <w:rFonts w:cs="Times New Roman"/>
          <w:sz w:val="20"/>
          <w:szCs w:val="20"/>
          <w:lang w:val="fr-FR"/>
        </w:rPr>
        <w:t xml:space="preserve"> [1986] </w:t>
      </w:r>
      <w:r w:rsidRPr="007130FE">
        <w:rPr>
          <w:rFonts w:cs="Times New Roman"/>
          <w:i/>
          <w:sz w:val="20"/>
          <w:szCs w:val="20"/>
          <w:lang w:val="fr-FR"/>
        </w:rPr>
        <w:t>ECR</w:t>
      </w:r>
      <w:r w:rsidRPr="007130FE">
        <w:rPr>
          <w:rFonts w:cs="Times New Roman"/>
          <w:sz w:val="20"/>
          <w:szCs w:val="20"/>
          <w:lang w:val="fr-FR"/>
        </w:rPr>
        <w:t xml:space="preserve"> 1339, para. </w:t>
      </w:r>
      <w:r w:rsidRPr="007130FE">
        <w:rPr>
          <w:rFonts w:cs="Times New Roman"/>
          <w:sz w:val="20"/>
          <w:szCs w:val="20"/>
        </w:rPr>
        <w:t xml:space="preserve">23. </w:t>
      </w:r>
    </w:p>
  </w:footnote>
  <w:footnote w:id="2">
    <w:p w14:paraId="42DD0CD1" w14:textId="727A1C71"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For further analysis, see </w:t>
      </w:r>
      <w:r w:rsidRPr="007130FE">
        <w:rPr>
          <w:rFonts w:cs="Times New Roman"/>
          <w:bCs/>
          <w:sz w:val="20"/>
          <w:szCs w:val="20"/>
        </w:rPr>
        <w:t xml:space="preserve">L. Pech, ‘A Union Founded on the Rule of Law: Meaning and Reality of the Rule of Law as a Constitutional Principle of EU Law’ (2010) 6 </w:t>
      </w:r>
      <w:r w:rsidRPr="007130FE">
        <w:rPr>
          <w:rFonts w:cs="Times New Roman"/>
          <w:bCs/>
          <w:i/>
          <w:sz w:val="20"/>
          <w:szCs w:val="20"/>
        </w:rPr>
        <w:t>European Constitutional Law Review</w:t>
      </w:r>
      <w:r w:rsidRPr="007130FE">
        <w:rPr>
          <w:rFonts w:cs="Times New Roman"/>
          <w:bCs/>
          <w:sz w:val="20"/>
          <w:szCs w:val="20"/>
        </w:rPr>
        <w:t xml:space="preserve"> 359.</w:t>
      </w:r>
    </w:p>
  </w:footnote>
  <w:footnote w:id="3">
    <w:p w14:paraId="17CDE29C" w14:textId="21BA5A35" w:rsidR="0042769B" w:rsidRPr="007130FE" w:rsidRDefault="0042769B" w:rsidP="007130FE">
      <w:pPr>
        <w:jc w:val="both"/>
        <w:rPr>
          <w:rFonts w:ascii="Times New Roman" w:eastAsia="Times New Roman" w:hAnsi="Times New Roman" w:cs="Times New Roman"/>
          <w:sz w:val="20"/>
          <w:szCs w:val="20"/>
        </w:rPr>
      </w:pPr>
      <w:r w:rsidRPr="007130FE">
        <w:rPr>
          <w:rStyle w:val="FootnoteReference"/>
          <w:rFonts w:ascii="Times New Roman" w:hAnsi="Times New Roman" w:cs="Times New Roman"/>
          <w:sz w:val="20"/>
          <w:szCs w:val="20"/>
        </w:rPr>
        <w:footnoteRef/>
      </w:r>
      <w:r w:rsidRPr="007130FE">
        <w:rPr>
          <w:rFonts w:ascii="Times New Roman" w:hAnsi="Times New Roman" w:cs="Times New Roman"/>
          <w:sz w:val="20"/>
          <w:szCs w:val="20"/>
        </w:rPr>
        <w:t xml:space="preserve"> Article 7(1) TEU, the preventive arm of this provision, was activated for the first time ever against Poland in December 2017: see D. Kochenov, L. Pech and K Lane Scheppele, </w:t>
      </w:r>
      <w:r w:rsidR="00AA4EE0" w:rsidRPr="007130FE">
        <w:rPr>
          <w:rFonts w:ascii="Times New Roman" w:eastAsia="Times New Roman" w:hAnsi="Times New Roman" w:cs="Times New Roman"/>
          <w:color w:val="000000" w:themeColor="text1"/>
          <w:sz w:val="20"/>
          <w:szCs w:val="20"/>
        </w:rPr>
        <w:t xml:space="preserve">‘The European Commission’s Activation of Article 7: Better Late than Never?’, </w:t>
      </w:r>
      <w:r w:rsidR="00AA4EE0" w:rsidRPr="007130FE">
        <w:rPr>
          <w:rFonts w:ascii="Times New Roman" w:eastAsia="Times New Roman" w:hAnsi="Times New Roman" w:cs="Times New Roman"/>
          <w:i/>
          <w:color w:val="000000" w:themeColor="text1"/>
          <w:sz w:val="20"/>
          <w:szCs w:val="20"/>
        </w:rPr>
        <w:t>EU Law Analysis</w:t>
      </w:r>
      <w:r w:rsidR="00AA4EE0" w:rsidRPr="007130FE">
        <w:rPr>
          <w:rFonts w:ascii="Times New Roman" w:eastAsia="Times New Roman" w:hAnsi="Times New Roman" w:cs="Times New Roman"/>
          <w:color w:val="000000" w:themeColor="text1"/>
          <w:sz w:val="20"/>
          <w:szCs w:val="20"/>
        </w:rPr>
        <w:t xml:space="preserve">, 23 December 2017: </w:t>
      </w:r>
      <w:hyperlink r:id="rId1" w:history="1">
        <w:r w:rsidR="00AA4EE0" w:rsidRPr="007130FE">
          <w:rPr>
            <w:rStyle w:val="Hyperlink"/>
            <w:rFonts w:ascii="Times New Roman" w:eastAsia="Times New Roman" w:hAnsi="Times New Roman" w:cs="Times New Roman"/>
            <w:color w:val="000000" w:themeColor="text1"/>
            <w:sz w:val="20"/>
            <w:szCs w:val="20"/>
          </w:rPr>
          <w:t>http://eulawanalysis.blogspot.co.uk/2017/12/the-european-commissions-activation-of.html</w:t>
        </w:r>
      </w:hyperlink>
    </w:p>
  </w:footnote>
  <w:footnote w:id="4">
    <w:p w14:paraId="482D04D0" w14:textId="3CBDBBEF" w:rsidR="00511688" w:rsidRPr="007130FE" w:rsidRDefault="00511688" w:rsidP="007130FE">
      <w:pPr>
        <w:jc w:val="both"/>
        <w:rPr>
          <w:rFonts w:ascii="Times New Roman" w:hAnsi="Times New Roman" w:cs="Times New Roman"/>
          <w:sz w:val="20"/>
          <w:szCs w:val="20"/>
        </w:rPr>
      </w:pPr>
      <w:r w:rsidRPr="007130FE">
        <w:rPr>
          <w:rStyle w:val="FootnoteReference"/>
          <w:rFonts w:ascii="Times New Roman" w:hAnsi="Times New Roman" w:cs="Times New Roman"/>
          <w:sz w:val="20"/>
          <w:szCs w:val="20"/>
        </w:rPr>
        <w:footnoteRef/>
      </w:r>
      <w:r w:rsidRPr="007130FE">
        <w:rPr>
          <w:rFonts w:ascii="Times New Roman" w:hAnsi="Times New Roman" w:cs="Times New Roman"/>
          <w:sz w:val="20"/>
          <w:szCs w:val="20"/>
        </w:rPr>
        <w:t xml:space="preserve"> See respectively Article 21 TFEU and Article 49 TEU. For further analysis, see L. Pech ‘The EU as a Global ‘Rule of Law Promoter’: The Consistency and Effectiveness Challenges’ (2016) 14(1) </w:t>
      </w:r>
      <w:r w:rsidRPr="007130FE">
        <w:rPr>
          <w:rFonts w:ascii="Times New Roman" w:hAnsi="Times New Roman" w:cs="Times New Roman"/>
          <w:i/>
          <w:sz w:val="20"/>
          <w:szCs w:val="20"/>
        </w:rPr>
        <w:t>Europe-Asia Journal</w:t>
      </w:r>
      <w:r w:rsidR="0072276E" w:rsidRPr="007130FE">
        <w:rPr>
          <w:rFonts w:ascii="Times New Roman" w:hAnsi="Times New Roman" w:cs="Times New Roman"/>
          <w:sz w:val="20"/>
          <w:szCs w:val="20"/>
        </w:rPr>
        <w:t xml:space="preserve"> 7</w:t>
      </w:r>
      <w:r w:rsidRPr="007130FE">
        <w:rPr>
          <w:rFonts w:ascii="Times New Roman" w:hAnsi="Times New Roman" w:cs="Times New Roman"/>
          <w:sz w:val="20"/>
          <w:szCs w:val="20"/>
        </w:rPr>
        <w:t>.</w:t>
      </w:r>
    </w:p>
  </w:footnote>
  <w:footnote w:id="5">
    <w:p w14:paraId="7C87479A" w14:textId="0B0EDF18"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w:t>
      </w:r>
      <w:r w:rsidR="00AA4EE0" w:rsidRPr="007130FE">
        <w:rPr>
          <w:rFonts w:cs="Times New Roman"/>
          <w:sz w:val="20"/>
          <w:szCs w:val="20"/>
          <w:lang w:val="en-US"/>
        </w:rPr>
        <w:t xml:space="preserve">See L. Pech, </w:t>
      </w:r>
      <w:r w:rsidR="00AA4EE0" w:rsidRPr="007130FE">
        <w:rPr>
          <w:rFonts w:cs="Times New Roman"/>
          <w:color w:val="000000" w:themeColor="text1"/>
          <w:sz w:val="20"/>
          <w:szCs w:val="20"/>
        </w:rPr>
        <w:t xml:space="preserve">‘The Rule of Law as a Constitutional Principle of the EU’, </w:t>
      </w:r>
      <w:r w:rsidR="00AA4EE0" w:rsidRPr="007130FE">
        <w:rPr>
          <w:rFonts w:cs="Times New Roman"/>
          <w:i/>
          <w:color w:val="000000" w:themeColor="text1"/>
          <w:sz w:val="20"/>
          <w:szCs w:val="20"/>
        </w:rPr>
        <w:t>NYU Jean Monnet Working Papers</w:t>
      </w:r>
      <w:r w:rsidR="00AA4EE0" w:rsidRPr="007130FE">
        <w:rPr>
          <w:rFonts w:cs="Times New Roman"/>
          <w:color w:val="000000" w:themeColor="text1"/>
          <w:sz w:val="20"/>
          <w:szCs w:val="20"/>
        </w:rPr>
        <w:t xml:space="preserve"> no. 04/09</w:t>
      </w:r>
      <w:r w:rsidR="00205C7D" w:rsidRPr="007130FE">
        <w:rPr>
          <w:rFonts w:cs="Times New Roman"/>
          <w:color w:val="000000" w:themeColor="text1"/>
          <w:sz w:val="20"/>
          <w:szCs w:val="20"/>
        </w:rPr>
        <w:t xml:space="preserve">: </w:t>
      </w:r>
      <w:hyperlink r:id="rId2" w:history="1">
        <w:r w:rsidR="00205C7D" w:rsidRPr="007130FE">
          <w:rPr>
            <w:rStyle w:val="Hyperlink"/>
            <w:rFonts w:cs="Times New Roman"/>
            <w:sz w:val="20"/>
            <w:szCs w:val="20"/>
          </w:rPr>
          <w:t>https://jeanmonnetprogram.org/paper/the-rule-of-law-as-a-constitutional-principle-of-the-european-union/</w:t>
        </w:r>
      </w:hyperlink>
      <w:r w:rsidR="00205C7D" w:rsidRPr="007130FE">
        <w:rPr>
          <w:rFonts w:cs="Times New Roman"/>
          <w:color w:val="000000" w:themeColor="text1"/>
          <w:sz w:val="20"/>
          <w:szCs w:val="20"/>
        </w:rPr>
        <w:t xml:space="preserve"> </w:t>
      </w:r>
    </w:p>
  </w:footnote>
  <w:footnote w:id="6">
    <w:p w14:paraId="41241C49" w14:textId="26817B11" w:rsidR="00511688" w:rsidRPr="007130FE" w:rsidRDefault="00511688" w:rsidP="007130FE">
      <w:pPr>
        <w:pStyle w:val="p1"/>
        <w:jc w:val="both"/>
        <w:rPr>
          <w:rFonts w:ascii="Times New Roman" w:hAnsi="Times New Roman"/>
          <w:sz w:val="20"/>
          <w:szCs w:val="20"/>
        </w:rPr>
      </w:pPr>
      <w:r w:rsidRPr="007130FE">
        <w:rPr>
          <w:rStyle w:val="FootnoteReference"/>
          <w:rFonts w:ascii="Times New Roman" w:hAnsi="Times New Roman"/>
          <w:sz w:val="20"/>
          <w:szCs w:val="20"/>
        </w:rPr>
        <w:footnoteRef/>
      </w:r>
      <w:r w:rsidRPr="007130FE">
        <w:rPr>
          <w:rFonts w:ascii="Times New Roman" w:hAnsi="Times New Roman"/>
          <w:sz w:val="20"/>
          <w:szCs w:val="20"/>
        </w:rPr>
        <w:t xml:space="preserve"> </w:t>
      </w:r>
      <w:r w:rsidR="00205C7D" w:rsidRPr="007130FE">
        <w:rPr>
          <w:rFonts w:ascii="Times New Roman" w:hAnsi="Times New Roman"/>
          <w:sz w:val="20"/>
          <w:szCs w:val="20"/>
        </w:rPr>
        <w:t xml:space="preserve">European Commission Communication, </w:t>
      </w:r>
      <w:r w:rsidR="00205C7D" w:rsidRPr="007130FE">
        <w:rPr>
          <w:rFonts w:ascii="Times New Roman" w:hAnsi="Times New Roman"/>
          <w:i/>
          <w:sz w:val="20"/>
          <w:szCs w:val="20"/>
        </w:rPr>
        <w:t>A new EU Framework to strengthen the Rule of Law</w:t>
      </w:r>
      <w:r w:rsidR="00205C7D" w:rsidRPr="007130FE">
        <w:rPr>
          <w:rFonts w:ascii="Times New Roman" w:hAnsi="Times New Roman"/>
          <w:sz w:val="20"/>
          <w:szCs w:val="20"/>
        </w:rPr>
        <w:t>, COM(2014) 158 Final, 11 March 2014,</w:t>
      </w:r>
      <w:r w:rsidRPr="007130FE">
        <w:rPr>
          <w:rFonts w:ascii="Times New Roman" w:hAnsi="Times New Roman"/>
          <w:sz w:val="20"/>
          <w:szCs w:val="20"/>
          <w:lang w:val="en-US"/>
        </w:rPr>
        <w:t xml:space="preserve"> p. 4.</w:t>
      </w:r>
    </w:p>
  </w:footnote>
  <w:footnote w:id="7">
    <w:p w14:paraId="6AA07662" w14:textId="1F91F689"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w:t>
      </w:r>
      <w:r w:rsidRPr="007130FE">
        <w:rPr>
          <w:rFonts w:cs="Times New Roman"/>
          <w:i/>
          <w:sz w:val="20"/>
          <w:szCs w:val="20"/>
          <w:lang w:val="en-US"/>
        </w:rPr>
        <w:t>Report on the Rule of Law</w:t>
      </w:r>
      <w:r w:rsidRPr="007130FE">
        <w:rPr>
          <w:rFonts w:cs="Times New Roman"/>
          <w:sz w:val="20"/>
          <w:szCs w:val="20"/>
          <w:lang w:val="en-US"/>
        </w:rPr>
        <w:t xml:space="preserve">, Study No 512/2009, 4 April 2011, para 41 et seq. See also </w:t>
      </w:r>
      <w:r w:rsidR="00205C7D" w:rsidRPr="007130FE">
        <w:rPr>
          <w:rFonts w:cs="Times New Roman"/>
          <w:sz w:val="20"/>
          <w:szCs w:val="20"/>
          <w:lang w:val="en-US"/>
        </w:rPr>
        <w:t>Venice Com</w:t>
      </w:r>
      <w:r w:rsidR="0072276E" w:rsidRPr="007130FE">
        <w:rPr>
          <w:rFonts w:cs="Times New Roman"/>
          <w:sz w:val="20"/>
          <w:szCs w:val="20"/>
          <w:lang w:val="en-US"/>
        </w:rPr>
        <w:t>mission</w:t>
      </w:r>
      <w:r w:rsidR="00205C7D" w:rsidRPr="007130FE">
        <w:rPr>
          <w:rFonts w:cs="Times New Roman"/>
          <w:sz w:val="20"/>
          <w:szCs w:val="20"/>
          <w:lang w:val="en-US"/>
        </w:rPr>
        <w:t xml:space="preserve">, </w:t>
      </w:r>
      <w:r w:rsidR="00205C7D" w:rsidRPr="007130FE">
        <w:rPr>
          <w:rFonts w:cs="Times New Roman"/>
          <w:i/>
          <w:sz w:val="20"/>
          <w:szCs w:val="20"/>
          <w:lang w:val="en-US"/>
        </w:rPr>
        <w:t>Rule of law checklist</w:t>
      </w:r>
      <w:r w:rsidR="00205C7D" w:rsidRPr="007130FE">
        <w:rPr>
          <w:rFonts w:cs="Times New Roman"/>
          <w:sz w:val="20"/>
          <w:szCs w:val="20"/>
          <w:lang w:val="en-US"/>
        </w:rPr>
        <w:t>, Adopted by the Venice Commission at its 106</w:t>
      </w:r>
      <w:r w:rsidR="00205C7D" w:rsidRPr="007130FE">
        <w:rPr>
          <w:rFonts w:cs="Times New Roman"/>
          <w:sz w:val="20"/>
          <w:szCs w:val="20"/>
          <w:vertAlign w:val="superscript"/>
          <w:lang w:val="en-US"/>
        </w:rPr>
        <w:t>th</w:t>
      </w:r>
      <w:r w:rsidR="00205C7D" w:rsidRPr="007130FE">
        <w:rPr>
          <w:rFonts w:cs="Times New Roman"/>
          <w:sz w:val="20"/>
          <w:szCs w:val="20"/>
          <w:lang w:val="en-US"/>
        </w:rPr>
        <w:t xml:space="preserve"> plenary session (11-12 March 2016), Council of Europe, May 2016.  </w:t>
      </w:r>
    </w:p>
  </w:footnote>
  <w:footnote w:id="8">
    <w:p w14:paraId="7CA2D724" w14:textId="0E5ACD33"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00205C7D" w:rsidRPr="007130FE">
        <w:rPr>
          <w:rFonts w:cs="Times New Roman"/>
          <w:sz w:val="20"/>
          <w:szCs w:val="20"/>
        </w:rPr>
        <w:t xml:space="preserve"> European Commission</w:t>
      </w:r>
      <w:r w:rsidRPr="007130FE">
        <w:rPr>
          <w:rFonts w:cs="Times New Roman"/>
          <w:sz w:val="20"/>
          <w:szCs w:val="20"/>
        </w:rPr>
        <w:t xml:space="preserve">, </w:t>
      </w:r>
      <w:r w:rsidR="00205C7D" w:rsidRPr="007130FE">
        <w:rPr>
          <w:rFonts w:cs="Times New Roman"/>
          <w:i/>
          <w:sz w:val="20"/>
          <w:szCs w:val="20"/>
        </w:rPr>
        <w:t>A new EU Framework</w:t>
      </w:r>
      <w:r w:rsidR="00205C7D" w:rsidRPr="007130FE">
        <w:rPr>
          <w:rFonts w:cs="Times New Roman"/>
          <w:sz w:val="20"/>
          <w:szCs w:val="20"/>
        </w:rPr>
        <w:t>, op. cit.</w:t>
      </w:r>
      <w:r w:rsidRPr="007130FE">
        <w:rPr>
          <w:rFonts w:cs="Times New Roman"/>
          <w:sz w:val="20"/>
          <w:szCs w:val="20"/>
        </w:rPr>
        <w:t xml:space="preserve">, p. 4. </w:t>
      </w:r>
    </w:p>
  </w:footnote>
  <w:footnote w:id="9">
    <w:p w14:paraId="1230805B" w14:textId="77777777" w:rsidR="00511688" w:rsidRPr="007130FE" w:rsidRDefault="00511688" w:rsidP="007130FE">
      <w:pPr>
        <w:jc w:val="both"/>
        <w:rPr>
          <w:rStyle w:val="FootnoteReference"/>
          <w:rFonts w:ascii="Times New Roman" w:hAnsi="Times New Roman" w:cs="Times New Roman"/>
          <w:sz w:val="20"/>
          <w:szCs w:val="20"/>
        </w:rPr>
      </w:pPr>
      <w:r w:rsidRPr="007130FE">
        <w:rPr>
          <w:rStyle w:val="FootnoteReference"/>
          <w:rFonts w:ascii="Times New Roman" w:hAnsi="Times New Roman" w:cs="Times New Roman"/>
          <w:sz w:val="20"/>
          <w:szCs w:val="20"/>
        </w:rPr>
        <w:footnoteRef/>
      </w:r>
      <w:r w:rsidRPr="007130FE">
        <w:rPr>
          <w:rStyle w:val="FootnoteReference"/>
          <w:rFonts w:ascii="Times New Roman" w:hAnsi="Times New Roman" w:cs="Times New Roman"/>
          <w:sz w:val="20"/>
          <w:szCs w:val="20"/>
        </w:rPr>
        <w:t xml:space="preserve"> </w:t>
      </w:r>
      <w:r w:rsidRPr="007130FE">
        <w:rPr>
          <w:rFonts w:ascii="Times New Roman" w:hAnsi="Times New Roman" w:cs="Times New Roman"/>
          <w:sz w:val="20"/>
          <w:szCs w:val="20"/>
        </w:rPr>
        <w:t>Ibid.</w:t>
      </w:r>
      <w:r w:rsidRPr="007130FE">
        <w:rPr>
          <w:rStyle w:val="FootnoteReference"/>
          <w:rFonts w:ascii="Times New Roman" w:hAnsi="Times New Roman" w:cs="Times New Roman"/>
          <w:sz w:val="20"/>
          <w:szCs w:val="20"/>
        </w:rPr>
        <w:t xml:space="preserve"> </w:t>
      </w:r>
    </w:p>
  </w:footnote>
  <w:footnote w:id="10">
    <w:p w14:paraId="05832007" w14:textId="71E9E26F"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w:t>
      </w:r>
      <w:r w:rsidR="00205C7D" w:rsidRPr="007130FE">
        <w:rPr>
          <w:rFonts w:cs="Times New Roman"/>
          <w:sz w:val="20"/>
          <w:szCs w:val="20"/>
          <w:lang w:val="en-US"/>
        </w:rPr>
        <w:t xml:space="preserve">Venice Commission, </w:t>
      </w:r>
      <w:r w:rsidR="00205C7D" w:rsidRPr="007130FE">
        <w:rPr>
          <w:rFonts w:cs="Times New Roman"/>
          <w:i/>
          <w:sz w:val="20"/>
          <w:szCs w:val="20"/>
          <w:lang w:val="en-US"/>
        </w:rPr>
        <w:t>Report on the Rule of Law</w:t>
      </w:r>
      <w:r w:rsidRPr="007130FE">
        <w:rPr>
          <w:rFonts w:cs="Times New Roman"/>
          <w:sz w:val="20"/>
          <w:szCs w:val="20"/>
          <w:lang w:val="en-US"/>
        </w:rPr>
        <w:t xml:space="preserve">, </w:t>
      </w:r>
      <w:r w:rsidR="00205C7D" w:rsidRPr="007130FE">
        <w:rPr>
          <w:rFonts w:cs="Times New Roman"/>
          <w:sz w:val="20"/>
          <w:szCs w:val="20"/>
          <w:lang w:val="en-US"/>
        </w:rPr>
        <w:t xml:space="preserve">op. cit., </w:t>
      </w:r>
      <w:r w:rsidRPr="007130FE">
        <w:rPr>
          <w:rFonts w:cs="Times New Roman"/>
          <w:sz w:val="20"/>
          <w:szCs w:val="20"/>
          <w:lang w:val="en-US"/>
        </w:rPr>
        <w:t xml:space="preserve">para 69. </w:t>
      </w:r>
    </w:p>
  </w:footnote>
  <w:footnote w:id="11">
    <w:p w14:paraId="7438161A" w14:textId="21D724B4"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L. Pech and K. Lane Scheppele, </w:t>
      </w:r>
      <w:r w:rsidR="00205C7D" w:rsidRPr="007130FE">
        <w:rPr>
          <w:rFonts w:eastAsia="Times New Roman" w:cs="Times New Roman"/>
          <w:color w:val="000000" w:themeColor="text1"/>
          <w:sz w:val="20"/>
          <w:szCs w:val="20"/>
        </w:rPr>
        <w:t xml:space="preserve">‘Illiberalism Within: Rule of Law Backsliding in the EU’ (2017) 19 </w:t>
      </w:r>
      <w:r w:rsidR="00205C7D" w:rsidRPr="007130FE">
        <w:rPr>
          <w:rFonts w:eastAsia="Times New Roman" w:cs="Times New Roman"/>
          <w:i/>
          <w:color w:val="000000" w:themeColor="text1"/>
          <w:sz w:val="20"/>
          <w:szCs w:val="20"/>
        </w:rPr>
        <w:t>Cambridge Yearbook of European Legal Studies</w:t>
      </w:r>
      <w:r w:rsidR="00205C7D" w:rsidRPr="007130FE">
        <w:rPr>
          <w:rFonts w:eastAsia="Times New Roman" w:cs="Times New Roman"/>
          <w:color w:val="000000" w:themeColor="text1"/>
          <w:sz w:val="20"/>
          <w:szCs w:val="20"/>
        </w:rPr>
        <w:t xml:space="preserve"> 3. </w:t>
      </w:r>
    </w:p>
  </w:footnote>
  <w:footnote w:id="12">
    <w:p w14:paraId="65A08F0B" w14:textId="1C87E52C" w:rsidR="00511688" w:rsidRPr="007130FE" w:rsidRDefault="00511688" w:rsidP="007130FE">
      <w:pPr>
        <w:pStyle w:val="FootnoteText"/>
        <w:jc w:val="both"/>
        <w:rPr>
          <w:rFonts w:cs="Times New Roman"/>
          <w:bCs/>
          <w:sz w:val="20"/>
          <w:szCs w:val="20"/>
        </w:rPr>
      </w:pPr>
      <w:r w:rsidRPr="007130FE">
        <w:rPr>
          <w:rStyle w:val="FootnoteReference"/>
          <w:rFonts w:cs="Times New Roman"/>
          <w:sz w:val="20"/>
          <w:szCs w:val="20"/>
        </w:rPr>
        <w:footnoteRef/>
      </w:r>
      <w:r w:rsidRPr="007130FE">
        <w:rPr>
          <w:rFonts w:cs="Times New Roman"/>
          <w:sz w:val="20"/>
          <w:szCs w:val="20"/>
        </w:rPr>
        <w:t xml:space="preserve"> </w:t>
      </w:r>
      <w:r w:rsidR="007379EB" w:rsidRPr="007130FE">
        <w:rPr>
          <w:rStyle w:val="Strong"/>
          <w:rFonts w:cs="Times New Roman"/>
          <w:b w:val="0"/>
          <w:sz w:val="20"/>
          <w:szCs w:val="20"/>
        </w:rPr>
        <w:t xml:space="preserve">Council Regulation (EC) No 168/2007 of 15 February 2007 establishing a European Union Agency for Fundamental Rights, OJ L 53/1 [2007]. </w:t>
      </w:r>
    </w:p>
  </w:footnote>
  <w:footnote w:id="13">
    <w:p w14:paraId="1E1795BC" w14:textId="677E9B65"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lang w:val="en-US"/>
        </w:rPr>
        <w:t xml:space="preserve"> For the FRA’s genesis and an introduction to its mandate, see </w:t>
      </w:r>
      <w:r w:rsidR="007379EB" w:rsidRPr="007130FE">
        <w:rPr>
          <w:rFonts w:cs="Times New Roman"/>
          <w:sz w:val="20"/>
          <w:szCs w:val="20"/>
          <w:lang w:val="en-US"/>
        </w:rPr>
        <w:t>G. Toggenburg</w:t>
      </w:r>
      <w:r w:rsidRPr="007130FE">
        <w:rPr>
          <w:rFonts w:cs="Times New Roman"/>
          <w:sz w:val="20"/>
          <w:szCs w:val="20"/>
          <w:lang w:val="en-US"/>
        </w:rPr>
        <w:t xml:space="preserve">, </w:t>
      </w:r>
      <w:r w:rsidR="007379EB" w:rsidRPr="007130FE">
        <w:rPr>
          <w:rFonts w:cs="Times New Roman"/>
          <w:sz w:val="20"/>
          <w:szCs w:val="20"/>
          <w:lang w:val="en-US"/>
        </w:rPr>
        <w:t>‘</w:t>
      </w:r>
      <w:r w:rsidRPr="007130FE">
        <w:rPr>
          <w:rFonts w:cs="Times New Roman"/>
          <w:sz w:val="20"/>
          <w:szCs w:val="20"/>
          <w:lang w:val="en-US"/>
        </w:rPr>
        <w:t>The role of the new EU Fundamental Rights Agency: Debating the “sex of angels” or improving Europe’s human rights performance?</w:t>
      </w:r>
      <w:r w:rsidR="007379EB" w:rsidRPr="007130FE">
        <w:rPr>
          <w:rFonts w:cs="Times New Roman"/>
          <w:sz w:val="20"/>
          <w:szCs w:val="20"/>
          <w:lang w:val="en-US"/>
        </w:rPr>
        <w:t xml:space="preserve">’ (2008) </w:t>
      </w:r>
      <w:r w:rsidR="00F66226" w:rsidRPr="007130FE">
        <w:rPr>
          <w:rFonts w:cs="Times New Roman"/>
          <w:sz w:val="20"/>
          <w:szCs w:val="20"/>
          <w:lang w:val="en-US"/>
        </w:rPr>
        <w:t>33</w:t>
      </w:r>
      <w:r w:rsidRPr="007130FE">
        <w:rPr>
          <w:rFonts w:cs="Times New Roman"/>
          <w:sz w:val="20"/>
          <w:szCs w:val="20"/>
          <w:lang w:val="en-US"/>
        </w:rPr>
        <w:t xml:space="preserve"> </w:t>
      </w:r>
      <w:r w:rsidRPr="007130FE">
        <w:rPr>
          <w:rFonts w:cs="Times New Roman"/>
          <w:i/>
          <w:sz w:val="20"/>
          <w:szCs w:val="20"/>
          <w:lang w:val="en-US"/>
        </w:rPr>
        <w:t>European Law Review</w:t>
      </w:r>
      <w:r w:rsidRPr="007130FE">
        <w:rPr>
          <w:rFonts w:cs="Times New Roman"/>
          <w:sz w:val="20"/>
          <w:szCs w:val="20"/>
          <w:lang w:val="en-US"/>
        </w:rPr>
        <w:t xml:space="preserve"> </w:t>
      </w:r>
      <w:r w:rsidR="00F66226" w:rsidRPr="007130FE">
        <w:rPr>
          <w:rFonts w:cs="Times New Roman"/>
          <w:sz w:val="20"/>
          <w:szCs w:val="20"/>
          <w:lang w:val="en-US"/>
        </w:rPr>
        <w:t>385;</w:t>
      </w:r>
      <w:r w:rsidRPr="007130FE">
        <w:rPr>
          <w:rFonts w:cs="Times New Roman"/>
          <w:sz w:val="20"/>
          <w:szCs w:val="20"/>
          <w:lang w:val="en-US"/>
        </w:rPr>
        <w:t xml:space="preserve"> </w:t>
      </w:r>
      <w:r w:rsidR="0072276E" w:rsidRPr="007130FE">
        <w:rPr>
          <w:rFonts w:cs="Times New Roman"/>
          <w:sz w:val="20"/>
          <w:szCs w:val="20"/>
          <w:lang w:val="en-US"/>
        </w:rPr>
        <w:t>‘</w:t>
      </w:r>
      <w:r w:rsidRPr="007130FE">
        <w:rPr>
          <w:rFonts w:cs="Times New Roman"/>
          <w:sz w:val="20"/>
          <w:szCs w:val="20"/>
          <w:lang w:val="en-US"/>
        </w:rPr>
        <w:t xml:space="preserve">Fundamental </w:t>
      </w:r>
      <w:r w:rsidR="0011527A" w:rsidRPr="007130FE">
        <w:rPr>
          <w:rFonts w:cs="Times New Roman"/>
          <w:sz w:val="20"/>
          <w:szCs w:val="20"/>
          <w:lang w:val="en-US"/>
        </w:rPr>
        <w:t>Rights and the European Union: H</w:t>
      </w:r>
      <w:r w:rsidRPr="007130FE">
        <w:rPr>
          <w:rFonts w:cs="Times New Roman"/>
          <w:sz w:val="20"/>
          <w:szCs w:val="20"/>
          <w:lang w:val="en-US"/>
        </w:rPr>
        <w:t>ow does and how should the EU Agency for Fundamental Rights relate to the EU Charter of Fundamental Rights?</w:t>
      </w:r>
      <w:r w:rsidR="0072276E" w:rsidRPr="007130FE">
        <w:rPr>
          <w:rFonts w:cs="Times New Roman"/>
          <w:sz w:val="20"/>
          <w:szCs w:val="20"/>
          <w:lang w:val="en-US"/>
        </w:rPr>
        <w:t>’</w:t>
      </w:r>
      <w:r w:rsidRPr="007130FE">
        <w:rPr>
          <w:rFonts w:cs="Times New Roman"/>
          <w:sz w:val="20"/>
          <w:szCs w:val="20"/>
          <w:lang w:val="en-US"/>
        </w:rPr>
        <w:t xml:space="preserve">, EUI </w:t>
      </w:r>
      <w:r w:rsidR="007A6079" w:rsidRPr="007130FE">
        <w:rPr>
          <w:rFonts w:cs="Times New Roman"/>
          <w:sz w:val="20"/>
          <w:szCs w:val="20"/>
          <w:lang w:val="en-US"/>
        </w:rPr>
        <w:t xml:space="preserve">Working Paper </w:t>
      </w:r>
      <w:r w:rsidRPr="007130FE">
        <w:rPr>
          <w:rFonts w:cs="Times New Roman"/>
          <w:sz w:val="20"/>
          <w:szCs w:val="20"/>
          <w:lang w:val="en-US"/>
        </w:rPr>
        <w:t>L</w:t>
      </w:r>
      <w:r w:rsidR="007A6079" w:rsidRPr="007130FE">
        <w:rPr>
          <w:rFonts w:cs="Times New Roman"/>
          <w:sz w:val="20"/>
          <w:szCs w:val="20"/>
          <w:lang w:val="en-US"/>
        </w:rPr>
        <w:t>AW</w:t>
      </w:r>
      <w:r w:rsidRPr="007130FE">
        <w:rPr>
          <w:rFonts w:cs="Times New Roman"/>
          <w:sz w:val="20"/>
          <w:szCs w:val="20"/>
          <w:lang w:val="en-US"/>
        </w:rPr>
        <w:t xml:space="preserve"> </w:t>
      </w:r>
      <w:r w:rsidR="0011527A" w:rsidRPr="007130FE">
        <w:rPr>
          <w:rFonts w:cs="Times New Roman"/>
          <w:sz w:val="20"/>
          <w:szCs w:val="20"/>
          <w:lang w:val="en-US"/>
        </w:rPr>
        <w:t xml:space="preserve">2013/13: </w:t>
      </w:r>
      <w:hyperlink r:id="rId3" w:history="1">
        <w:r w:rsidR="0011527A" w:rsidRPr="007130FE">
          <w:rPr>
            <w:rStyle w:val="Hyperlink"/>
            <w:rFonts w:cs="Times New Roman"/>
            <w:sz w:val="20"/>
            <w:szCs w:val="20"/>
            <w:lang w:val="en-US"/>
          </w:rPr>
          <w:t>http://cadmus.eui.eu/handle/1814/28658</w:t>
        </w:r>
      </w:hyperlink>
      <w:r w:rsidR="0011527A" w:rsidRPr="007130FE">
        <w:rPr>
          <w:rFonts w:cs="Times New Roman"/>
          <w:sz w:val="20"/>
          <w:szCs w:val="20"/>
          <w:lang w:val="en-US"/>
        </w:rPr>
        <w:t xml:space="preserve"> </w:t>
      </w:r>
    </w:p>
  </w:footnote>
  <w:footnote w:id="14">
    <w:p w14:paraId="2F4F46B2" w14:textId="4DD9CEBB"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007A6079" w:rsidRPr="007130FE">
        <w:rPr>
          <w:rFonts w:cs="Times New Roman"/>
          <w:sz w:val="20"/>
          <w:szCs w:val="20"/>
        </w:rPr>
        <w:t xml:space="preserve"> </w:t>
      </w:r>
      <w:r w:rsidR="00330DAA" w:rsidRPr="007130FE">
        <w:rPr>
          <w:sz w:val="20"/>
          <w:szCs w:val="20"/>
        </w:rPr>
        <w:t xml:space="preserve">A. Von Bogdandy and J. Von Bernstorff, “The EU Fundamental Rights Agency within the European and International Human Rights Architecture: The legal framework and some unsettled issues in a new field of administrative law” (2009) 46 </w:t>
      </w:r>
      <w:r w:rsidR="00330DAA" w:rsidRPr="007130FE">
        <w:rPr>
          <w:i/>
          <w:sz w:val="20"/>
          <w:szCs w:val="20"/>
        </w:rPr>
        <w:t>Common Market Law Review</w:t>
      </w:r>
      <w:r w:rsidR="00330DAA" w:rsidRPr="007130FE">
        <w:rPr>
          <w:sz w:val="20"/>
          <w:szCs w:val="20"/>
        </w:rPr>
        <w:t xml:space="preserve"> 1035, </w:t>
      </w:r>
      <w:r w:rsidRPr="007130FE">
        <w:rPr>
          <w:rFonts w:cs="Times New Roman"/>
          <w:sz w:val="20"/>
          <w:szCs w:val="20"/>
        </w:rPr>
        <w:t xml:space="preserve">p. 1059. </w:t>
      </w:r>
    </w:p>
  </w:footnote>
  <w:footnote w:id="15">
    <w:p w14:paraId="36EBF90F" w14:textId="1FA83307"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Infra Section 4.</w:t>
      </w:r>
    </w:p>
  </w:footnote>
  <w:footnote w:id="16">
    <w:p w14:paraId="0E79F44A" w14:textId="5D3816E1" w:rsidR="00B80BEE" w:rsidRPr="007130FE" w:rsidRDefault="00B80BEE" w:rsidP="007130FE">
      <w:pPr>
        <w:pStyle w:val="FootnoteText"/>
        <w:jc w:val="both"/>
        <w:rPr>
          <w:sz w:val="20"/>
          <w:szCs w:val="20"/>
        </w:rPr>
      </w:pPr>
      <w:r w:rsidRPr="007130FE">
        <w:rPr>
          <w:rStyle w:val="FootnoteReference"/>
          <w:sz w:val="20"/>
          <w:szCs w:val="20"/>
        </w:rPr>
        <w:footnoteRef/>
      </w:r>
      <w:r w:rsidRPr="007130FE">
        <w:rPr>
          <w:sz w:val="20"/>
          <w:szCs w:val="20"/>
        </w:rPr>
        <w:t xml:space="preserve"> See e.g. FRA-ECtHR Handbook on European law relating to access to justice, June 2016:</w:t>
      </w:r>
      <w:r w:rsidR="003F4389" w:rsidRPr="007130FE">
        <w:rPr>
          <w:sz w:val="20"/>
          <w:szCs w:val="20"/>
        </w:rPr>
        <w:t xml:space="preserve"> </w:t>
      </w:r>
      <w:hyperlink r:id="rId4" w:history="1">
        <w:r w:rsidR="003F4389" w:rsidRPr="007130FE">
          <w:rPr>
            <w:rStyle w:val="Hyperlink"/>
            <w:sz w:val="20"/>
            <w:szCs w:val="20"/>
          </w:rPr>
          <w:t>http://fra.europa.eu/en/publication/2016/handbook-european-law-relating-access-justice</w:t>
        </w:r>
      </w:hyperlink>
      <w:r w:rsidR="003F4389" w:rsidRPr="007130FE">
        <w:rPr>
          <w:sz w:val="20"/>
          <w:szCs w:val="20"/>
        </w:rPr>
        <w:t xml:space="preserve"> </w:t>
      </w:r>
      <w:r w:rsidRPr="007130FE">
        <w:rPr>
          <w:sz w:val="20"/>
          <w:szCs w:val="20"/>
        </w:rPr>
        <w:t xml:space="preserve"> </w:t>
      </w:r>
    </w:p>
  </w:footnote>
  <w:footnote w:id="17">
    <w:p w14:paraId="016A2591" w14:textId="5CC0E11C"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w:t>
      </w:r>
      <w:r w:rsidR="00330DAA" w:rsidRPr="007130FE">
        <w:rPr>
          <w:rFonts w:cs="Times New Roman"/>
          <w:sz w:val="20"/>
          <w:szCs w:val="20"/>
        </w:rPr>
        <w:t xml:space="preserve">See recital 9 of </w:t>
      </w:r>
      <w:r w:rsidR="00330DAA" w:rsidRPr="007130FE">
        <w:rPr>
          <w:rStyle w:val="Strong"/>
          <w:rFonts w:cs="Times New Roman"/>
          <w:b w:val="0"/>
          <w:sz w:val="20"/>
          <w:szCs w:val="20"/>
        </w:rPr>
        <w:t xml:space="preserve">Regulation 168/2007. This regulation having been adopted before the entry into force of the Lisbon Treaty, which gave legally binding force to the EU Charter, would </w:t>
      </w:r>
      <w:r w:rsidR="001C693A" w:rsidRPr="007130FE">
        <w:rPr>
          <w:rStyle w:val="Strong"/>
          <w:rFonts w:cs="Times New Roman"/>
          <w:b w:val="0"/>
          <w:sz w:val="20"/>
          <w:szCs w:val="20"/>
        </w:rPr>
        <w:t xml:space="preserve">however </w:t>
      </w:r>
      <w:r w:rsidR="00330DAA" w:rsidRPr="007130FE">
        <w:rPr>
          <w:rStyle w:val="Strong"/>
          <w:rFonts w:cs="Times New Roman"/>
          <w:b w:val="0"/>
          <w:sz w:val="20"/>
          <w:szCs w:val="20"/>
        </w:rPr>
        <w:t xml:space="preserve">benefit from a revision if only to </w:t>
      </w:r>
      <w:r w:rsidR="001C693A" w:rsidRPr="007130FE">
        <w:rPr>
          <w:rStyle w:val="Strong"/>
          <w:rFonts w:cs="Times New Roman"/>
          <w:b w:val="0"/>
          <w:sz w:val="20"/>
          <w:szCs w:val="20"/>
        </w:rPr>
        <w:t xml:space="preserve">reflect </w:t>
      </w:r>
      <w:r w:rsidR="00330DAA" w:rsidRPr="007130FE">
        <w:rPr>
          <w:rStyle w:val="Strong"/>
          <w:rFonts w:cs="Times New Roman"/>
          <w:b w:val="0"/>
          <w:sz w:val="20"/>
          <w:szCs w:val="20"/>
        </w:rPr>
        <w:t xml:space="preserve">this fundamental </w:t>
      </w:r>
      <w:r w:rsidR="001C693A" w:rsidRPr="007130FE">
        <w:rPr>
          <w:rStyle w:val="Strong"/>
          <w:rFonts w:cs="Times New Roman"/>
          <w:b w:val="0"/>
          <w:sz w:val="20"/>
          <w:szCs w:val="20"/>
        </w:rPr>
        <w:t xml:space="preserve">legal </w:t>
      </w:r>
      <w:r w:rsidR="00330DAA" w:rsidRPr="007130FE">
        <w:rPr>
          <w:rStyle w:val="Strong"/>
          <w:rFonts w:cs="Times New Roman"/>
          <w:b w:val="0"/>
          <w:sz w:val="20"/>
          <w:szCs w:val="20"/>
        </w:rPr>
        <w:t>change</w:t>
      </w:r>
      <w:r w:rsidR="001C693A" w:rsidRPr="007130FE">
        <w:rPr>
          <w:rStyle w:val="Strong"/>
          <w:rFonts w:cs="Times New Roman"/>
          <w:b w:val="0"/>
          <w:sz w:val="20"/>
          <w:szCs w:val="20"/>
        </w:rPr>
        <w:t xml:space="preserve">. </w:t>
      </w:r>
    </w:p>
  </w:footnote>
  <w:footnote w:id="18">
    <w:p w14:paraId="13B6F36B" w14:textId="0A7D933B" w:rsidR="000B5D3D" w:rsidRPr="007130FE" w:rsidRDefault="000B5D3D" w:rsidP="007130FE">
      <w:pPr>
        <w:pStyle w:val="FootnoteText"/>
        <w:jc w:val="both"/>
        <w:rPr>
          <w:sz w:val="20"/>
          <w:szCs w:val="20"/>
        </w:rPr>
      </w:pPr>
      <w:r w:rsidRPr="007130FE">
        <w:rPr>
          <w:rStyle w:val="FootnoteReference"/>
          <w:sz w:val="20"/>
          <w:szCs w:val="20"/>
        </w:rPr>
        <w:footnoteRef/>
      </w:r>
      <w:r w:rsidR="0049150C" w:rsidRPr="007130FE">
        <w:rPr>
          <w:sz w:val="20"/>
          <w:szCs w:val="20"/>
        </w:rPr>
        <w:t xml:space="preserve"> FRA Symposium: Promoting the rule of law in the EU, 7 June 2013:</w:t>
      </w:r>
      <w:r w:rsidRPr="007130FE">
        <w:rPr>
          <w:sz w:val="20"/>
          <w:szCs w:val="20"/>
        </w:rPr>
        <w:t xml:space="preserve"> </w:t>
      </w:r>
      <w:hyperlink r:id="rId5" w:history="1">
        <w:r w:rsidR="0049150C" w:rsidRPr="007130FE">
          <w:rPr>
            <w:rStyle w:val="Hyperlink"/>
            <w:sz w:val="20"/>
            <w:szCs w:val="20"/>
          </w:rPr>
          <w:t>http://fra.europa.eu/en/event/2013/fra-symposium-promoting-rule-law-eu</w:t>
        </w:r>
      </w:hyperlink>
      <w:r w:rsidR="0049150C" w:rsidRPr="007130FE">
        <w:rPr>
          <w:sz w:val="20"/>
          <w:szCs w:val="20"/>
        </w:rPr>
        <w:t xml:space="preserve"> </w:t>
      </w:r>
    </w:p>
  </w:footnote>
  <w:footnote w:id="19">
    <w:p w14:paraId="73B72BF0" w14:textId="3F6EEE94" w:rsidR="001C693A" w:rsidRPr="007130FE" w:rsidRDefault="001C693A" w:rsidP="007130FE">
      <w:pPr>
        <w:pStyle w:val="FootnoteText"/>
        <w:jc w:val="both"/>
        <w:rPr>
          <w:sz w:val="20"/>
          <w:szCs w:val="20"/>
        </w:rPr>
      </w:pPr>
      <w:r w:rsidRPr="007130FE">
        <w:rPr>
          <w:rStyle w:val="FootnoteReference"/>
          <w:sz w:val="20"/>
          <w:szCs w:val="20"/>
        </w:rPr>
        <w:footnoteRef/>
      </w:r>
      <w:r w:rsidRPr="007130FE">
        <w:rPr>
          <w:sz w:val="20"/>
          <w:szCs w:val="20"/>
        </w:rPr>
        <w:t xml:space="preserve"> </w:t>
      </w:r>
      <w:r w:rsidR="00431F31" w:rsidRPr="007130FE">
        <w:rPr>
          <w:sz w:val="20"/>
          <w:szCs w:val="20"/>
        </w:rPr>
        <w:t>Welcome</w:t>
      </w:r>
      <w:r w:rsidR="004C46AC" w:rsidRPr="007130FE">
        <w:rPr>
          <w:sz w:val="20"/>
          <w:szCs w:val="20"/>
        </w:rPr>
        <w:t xml:space="preserve"> speech</w:t>
      </w:r>
      <w:r w:rsidR="00431F31" w:rsidRPr="007130FE">
        <w:rPr>
          <w:sz w:val="20"/>
          <w:szCs w:val="20"/>
        </w:rPr>
        <w:t xml:space="preserve"> at FRA symposium on promoting the rule of law</w:t>
      </w:r>
      <w:r w:rsidR="004C46AC" w:rsidRPr="007130FE">
        <w:rPr>
          <w:sz w:val="20"/>
          <w:szCs w:val="20"/>
        </w:rPr>
        <w:t xml:space="preserve">, 7 June 2013: </w:t>
      </w:r>
      <w:hyperlink r:id="rId6" w:history="1">
        <w:r w:rsidR="004C46AC" w:rsidRPr="007130FE">
          <w:rPr>
            <w:rStyle w:val="Hyperlink"/>
            <w:sz w:val="20"/>
            <w:szCs w:val="20"/>
          </w:rPr>
          <w:t>http://fra.europa.eu/en/speech/2013/opening-speech-morten-kjaerum-fra-symposium-promoting-rule-law-eu</w:t>
        </w:r>
      </w:hyperlink>
      <w:r w:rsidR="004C46AC" w:rsidRPr="007130FE">
        <w:rPr>
          <w:sz w:val="20"/>
          <w:szCs w:val="20"/>
        </w:rPr>
        <w:t xml:space="preserve"> </w:t>
      </w:r>
    </w:p>
  </w:footnote>
  <w:footnote w:id="20">
    <w:p w14:paraId="4AE4CEBA" w14:textId="172D9FD4" w:rsidR="001C693A" w:rsidRPr="007130FE" w:rsidRDefault="001C693A" w:rsidP="007130FE">
      <w:pPr>
        <w:pStyle w:val="FootnoteText"/>
        <w:jc w:val="both"/>
        <w:rPr>
          <w:sz w:val="20"/>
          <w:szCs w:val="20"/>
        </w:rPr>
      </w:pPr>
      <w:r w:rsidRPr="007130FE">
        <w:rPr>
          <w:rStyle w:val="FootnoteReference"/>
          <w:sz w:val="20"/>
          <w:szCs w:val="20"/>
        </w:rPr>
        <w:footnoteRef/>
      </w:r>
      <w:r w:rsidRPr="007130FE">
        <w:rPr>
          <w:sz w:val="20"/>
          <w:szCs w:val="20"/>
        </w:rPr>
        <w:t xml:space="preserve"> </w:t>
      </w:r>
      <w:r w:rsidR="0049150C" w:rsidRPr="007130FE">
        <w:rPr>
          <w:sz w:val="20"/>
          <w:szCs w:val="20"/>
        </w:rPr>
        <w:t xml:space="preserve">FRA, Fundamental rights: challenges and achievements in 2013 – Annual report 2013, June 2014: </w:t>
      </w:r>
      <w:hyperlink r:id="rId7" w:history="1">
        <w:r w:rsidR="0049150C" w:rsidRPr="007130FE">
          <w:rPr>
            <w:rStyle w:val="Hyperlink"/>
            <w:sz w:val="20"/>
            <w:szCs w:val="20"/>
          </w:rPr>
          <w:t>http://fra.europa.eu/en/publication/2014/fundamental-rights-challenges-and-achievements-2013-annual-report-2013</w:t>
        </w:r>
      </w:hyperlink>
      <w:r w:rsidR="0049150C" w:rsidRPr="007130FE">
        <w:rPr>
          <w:sz w:val="20"/>
          <w:szCs w:val="20"/>
        </w:rPr>
        <w:t xml:space="preserve"> </w:t>
      </w:r>
    </w:p>
  </w:footnote>
  <w:footnote w:id="21">
    <w:p w14:paraId="43CAB17C" w14:textId="0EEFEC3A" w:rsidR="00511688" w:rsidRPr="007130FE" w:rsidRDefault="00511688" w:rsidP="007130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0"/>
          <w:szCs w:val="20"/>
        </w:rPr>
      </w:pPr>
      <w:r w:rsidRPr="007130FE">
        <w:rPr>
          <w:rStyle w:val="FootnoteReference"/>
          <w:rFonts w:ascii="Times New Roman" w:hAnsi="Times New Roman" w:cs="Times New Roman"/>
          <w:sz w:val="20"/>
          <w:szCs w:val="20"/>
        </w:rPr>
        <w:footnoteRef/>
      </w:r>
      <w:r w:rsidRPr="007130FE">
        <w:rPr>
          <w:rFonts w:ascii="Times New Roman" w:hAnsi="Times New Roman" w:cs="Times New Roman"/>
          <w:sz w:val="20"/>
          <w:szCs w:val="20"/>
        </w:rPr>
        <w:t xml:space="preserve"> G. Toggenburg and J. Grimheden, ‘Upholding Shared Values in the EU: What Role for the EU Agency for Fundamental Rights’ (2016) 54(5) </w:t>
      </w:r>
      <w:r w:rsidRPr="007130FE">
        <w:rPr>
          <w:rFonts w:ascii="Times New Roman" w:hAnsi="Times New Roman" w:cs="Times New Roman"/>
          <w:i/>
          <w:sz w:val="20"/>
          <w:szCs w:val="20"/>
        </w:rPr>
        <w:t>JCMS</w:t>
      </w:r>
      <w:r w:rsidRPr="007130FE">
        <w:rPr>
          <w:rFonts w:ascii="Times New Roman" w:hAnsi="Times New Roman" w:cs="Times New Roman"/>
          <w:sz w:val="20"/>
          <w:szCs w:val="20"/>
        </w:rPr>
        <w:t xml:space="preserve"> 1093, </w:t>
      </w:r>
      <w:r w:rsidR="0072276E" w:rsidRPr="007130FE">
        <w:rPr>
          <w:rFonts w:ascii="Times New Roman" w:hAnsi="Times New Roman" w:cs="Times New Roman"/>
          <w:sz w:val="20"/>
          <w:szCs w:val="20"/>
        </w:rPr>
        <w:t xml:space="preserve">p. </w:t>
      </w:r>
      <w:r w:rsidRPr="007130FE">
        <w:rPr>
          <w:rFonts w:ascii="Times New Roman" w:hAnsi="Times New Roman" w:cs="Times New Roman"/>
          <w:sz w:val="20"/>
          <w:szCs w:val="20"/>
        </w:rPr>
        <w:t>1098.</w:t>
      </w:r>
    </w:p>
  </w:footnote>
  <w:footnote w:id="22">
    <w:p w14:paraId="70D0952F" w14:textId="0DCEDEAB"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w:t>
      </w:r>
      <w:r w:rsidR="0049150C" w:rsidRPr="007130FE">
        <w:rPr>
          <w:rFonts w:cs="Times New Roman"/>
          <w:sz w:val="20"/>
          <w:szCs w:val="20"/>
        </w:rPr>
        <w:t xml:space="preserve">FRA Opinion No 2/2016, 8 April 2016: </w:t>
      </w:r>
      <w:hyperlink r:id="rId8" w:history="1">
        <w:r w:rsidR="0049150C" w:rsidRPr="007130FE">
          <w:rPr>
            <w:rStyle w:val="Hyperlink"/>
            <w:rFonts w:cs="Times New Roman"/>
            <w:sz w:val="20"/>
            <w:szCs w:val="20"/>
          </w:rPr>
          <w:t>http://fra.europa.eu/en/opinion/2016/fra-opinion-eu-shared-values-tool</w:t>
        </w:r>
      </w:hyperlink>
      <w:r w:rsidR="0049150C" w:rsidRPr="007130FE">
        <w:rPr>
          <w:rFonts w:cs="Times New Roman"/>
          <w:sz w:val="20"/>
          <w:szCs w:val="20"/>
        </w:rPr>
        <w:t xml:space="preserve"> </w:t>
      </w:r>
    </w:p>
  </w:footnote>
  <w:footnote w:id="23">
    <w:p w14:paraId="3EF74AF5" w14:textId="732DEA42" w:rsidR="00511688" w:rsidRPr="007130FE" w:rsidRDefault="00511688" w:rsidP="007130FE">
      <w:pPr>
        <w:jc w:val="both"/>
        <w:rPr>
          <w:rFonts w:ascii="Times New Roman" w:hAnsi="Times New Roman" w:cs="Times New Roman"/>
          <w:sz w:val="20"/>
          <w:szCs w:val="20"/>
          <w:lang w:val="cy-GB"/>
        </w:rPr>
      </w:pPr>
      <w:r w:rsidRPr="007130FE">
        <w:rPr>
          <w:rStyle w:val="FootnoteReference"/>
          <w:rFonts w:ascii="Times New Roman" w:hAnsi="Times New Roman" w:cs="Times New Roman"/>
          <w:sz w:val="20"/>
          <w:szCs w:val="20"/>
        </w:rPr>
        <w:footnoteRef/>
      </w:r>
      <w:r w:rsidRPr="007130FE">
        <w:rPr>
          <w:rFonts w:ascii="Times New Roman" w:hAnsi="Times New Roman" w:cs="Times New Roman"/>
          <w:sz w:val="20"/>
          <w:szCs w:val="20"/>
        </w:rPr>
        <w:t xml:space="preserve"> UK </w:t>
      </w:r>
      <w:r w:rsidRPr="007130FE">
        <w:rPr>
          <w:rFonts w:ascii="Times New Roman" w:hAnsi="Times New Roman" w:cs="Times New Roman"/>
          <w:sz w:val="20"/>
          <w:szCs w:val="20"/>
          <w:lang w:val="cy-GB"/>
        </w:rPr>
        <w:t xml:space="preserve">House of Lords, EU Committee, </w:t>
      </w:r>
      <w:r w:rsidRPr="007130FE">
        <w:rPr>
          <w:rFonts w:ascii="Times New Roman" w:hAnsi="Times New Roman" w:cs="Times New Roman"/>
          <w:i/>
          <w:sz w:val="20"/>
          <w:szCs w:val="20"/>
          <w:lang w:val="cy-GB"/>
        </w:rPr>
        <w:t>Human Rights Protection in Europe: the Fundamental Rights Agency</w:t>
      </w:r>
      <w:r w:rsidRPr="007130FE">
        <w:rPr>
          <w:rFonts w:ascii="Times New Roman" w:hAnsi="Times New Roman" w:cs="Times New Roman"/>
          <w:color w:val="000000"/>
          <w:sz w:val="20"/>
          <w:szCs w:val="20"/>
        </w:rPr>
        <w:t>, 29th Report of Ses</w:t>
      </w:r>
      <w:r w:rsidR="0049150C" w:rsidRPr="007130FE">
        <w:rPr>
          <w:rFonts w:ascii="Times New Roman" w:hAnsi="Times New Roman" w:cs="Times New Roman"/>
          <w:color w:val="000000"/>
          <w:sz w:val="20"/>
          <w:szCs w:val="20"/>
        </w:rPr>
        <w:t>sion 2005–06, HL Paper 155, para. 45</w:t>
      </w:r>
      <w:r w:rsidRPr="007130FE">
        <w:rPr>
          <w:rFonts w:ascii="Times New Roman" w:hAnsi="Times New Roman" w:cs="Times New Roman"/>
          <w:color w:val="000000"/>
          <w:sz w:val="20"/>
          <w:szCs w:val="20"/>
        </w:rPr>
        <w:t>.</w:t>
      </w:r>
    </w:p>
  </w:footnote>
  <w:footnote w:id="24">
    <w:p w14:paraId="1B6902EF" w14:textId="32FACD17"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0049150C" w:rsidRPr="007130FE">
        <w:rPr>
          <w:rFonts w:cs="Times New Roman"/>
          <w:sz w:val="20"/>
          <w:szCs w:val="20"/>
        </w:rPr>
        <w:t xml:space="preserve"> Ibid, para. 70</w:t>
      </w:r>
      <w:r w:rsidRPr="007130FE">
        <w:rPr>
          <w:rFonts w:cs="Times New Roman"/>
          <w:sz w:val="20"/>
          <w:szCs w:val="20"/>
        </w:rPr>
        <w:t>.</w:t>
      </w:r>
    </w:p>
  </w:footnote>
  <w:footnote w:id="25">
    <w:p w14:paraId="3F0E61DC" w14:textId="0C6BB041"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0049150C" w:rsidRPr="007130FE">
        <w:rPr>
          <w:rFonts w:cs="Times New Roman"/>
          <w:sz w:val="20"/>
          <w:szCs w:val="20"/>
        </w:rPr>
        <w:t xml:space="preserve"> Ibid, para. 73</w:t>
      </w:r>
      <w:r w:rsidRPr="007130FE">
        <w:rPr>
          <w:rFonts w:cs="Times New Roman"/>
          <w:sz w:val="20"/>
          <w:szCs w:val="20"/>
        </w:rPr>
        <w:t>.</w:t>
      </w:r>
    </w:p>
  </w:footnote>
  <w:footnote w:id="26">
    <w:p w14:paraId="3CABF0AF" w14:textId="7C44338E"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w:t>
      </w:r>
      <w:r w:rsidRPr="007130FE">
        <w:rPr>
          <w:rFonts w:cs="Times New Roman"/>
          <w:sz w:val="20"/>
          <w:szCs w:val="20"/>
          <w:lang w:val="en-US"/>
        </w:rPr>
        <w:t xml:space="preserve">European Commission, </w:t>
      </w:r>
      <w:r w:rsidRPr="007130FE">
        <w:rPr>
          <w:rFonts w:cs="Times New Roman"/>
          <w:i/>
          <w:sz w:val="20"/>
          <w:szCs w:val="20"/>
          <w:lang w:val="en-US"/>
        </w:rPr>
        <w:t>A new EU Framework to strengthen the Rule of Law</w:t>
      </w:r>
      <w:r w:rsidRPr="007130FE">
        <w:rPr>
          <w:rFonts w:cs="Times New Roman"/>
          <w:sz w:val="20"/>
          <w:szCs w:val="20"/>
          <w:lang w:val="en-US"/>
        </w:rPr>
        <w:t>, COM(2014) 158 final.</w:t>
      </w:r>
    </w:p>
  </w:footnote>
  <w:footnote w:id="27">
    <w:p w14:paraId="3B126715" w14:textId="632514DF"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w:t>
      </w:r>
      <w:r w:rsidRPr="007130FE">
        <w:rPr>
          <w:rFonts w:cs="Times New Roman"/>
          <w:sz w:val="20"/>
          <w:szCs w:val="20"/>
          <w:u w:color="262626"/>
        </w:rPr>
        <w:t xml:space="preserve">Council of the EU, press release no. </w:t>
      </w:r>
      <w:r w:rsidRPr="007130FE">
        <w:rPr>
          <w:rFonts w:cs="Times New Roman"/>
          <w:sz w:val="20"/>
          <w:szCs w:val="20"/>
        </w:rPr>
        <w:t>16936/14</w:t>
      </w:r>
      <w:r w:rsidRPr="007130FE">
        <w:rPr>
          <w:rFonts w:cs="Times New Roman"/>
          <w:sz w:val="20"/>
          <w:szCs w:val="20"/>
          <w:u w:color="262626"/>
        </w:rPr>
        <w:t>, 3362</w:t>
      </w:r>
      <w:r w:rsidRPr="007130FE">
        <w:rPr>
          <w:rFonts w:cs="Times New Roman"/>
          <w:sz w:val="20"/>
          <w:szCs w:val="20"/>
          <w:u w:color="262626"/>
          <w:vertAlign w:val="superscript"/>
        </w:rPr>
        <w:t>nd</w:t>
      </w:r>
      <w:r w:rsidRPr="007130FE">
        <w:rPr>
          <w:rFonts w:cs="Times New Roman"/>
          <w:sz w:val="20"/>
          <w:szCs w:val="20"/>
          <w:u w:color="262626"/>
        </w:rPr>
        <w:t xml:space="preserve"> Council mee</w:t>
      </w:r>
      <w:r w:rsidR="00976912" w:rsidRPr="007130FE">
        <w:rPr>
          <w:rFonts w:cs="Times New Roman"/>
          <w:sz w:val="20"/>
          <w:szCs w:val="20"/>
          <w:u w:color="262626"/>
        </w:rPr>
        <w:t>ting, General Affairs</w:t>
      </w:r>
      <w:r w:rsidRPr="007130FE">
        <w:rPr>
          <w:rFonts w:cs="Times New Roman"/>
          <w:sz w:val="20"/>
          <w:szCs w:val="20"/>
          <w:u w:color="262626"/>
        </w:rPr>
        <w:t xml:space="preserve">, 16 December 2014, pp. 20-21. </w:t>
      </w:r>
    </w:p>
  </w:footnote>
  <w:footnote w:id="28">
    <w:p w14:paraId="6AA7F4B5" w14:textId="00689F23"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00976912" w:rsidRPr="007130FE">
        <w:rPr>
          <w:rFonts w:cs="Times New Roman"/>
          <w:sz w:val="20"/>
          <w:szCs w:val="20"/>
        </w:rPr>
        <w:t xml:space="preserve"> For further </w:t>
      </w:r>
      <w:r w:rsidRPr="007130FE">
        <w:rPr>
          <w:rFonts w:cs="Times New Roman"/>
          <w:sz w:val="20"/>
          <w:szCs w:val="20"/>
        </w:rPr>
        <w:t xml:space="preserve">references, see D. Kochenov and L. Pech, ‘Monitoring and Enforcement of the Rule of Law in the EU: Rhetoric and Reality’ (2015) 11(3) </w:t>
      </w:r>
      <w:r w:rsidRPr="007130FE">
        <w:rPr>
          <w:rFonts w:cs="Times New Roman"/>
          <w:i/>
          <w:sz w:val="20"/>
          <w:szCs w:val="20"/>
        </w:rPr>
        <w:t>European Constitutional Law Review</w:t>
      </w:r>
      <w:r w:rsidRPr="007130FE">
        <w:rPr>
          <w:rFonts w:cs="Times New Roman"/>
          <w:sz w:val="20"/>
          <w:szCs w:val="20"/>
        </w:rPr>
        <w:t xml:space="preserve"> 512.</w:t>
      </w:r>
    </w:p>
  </w:footnote>
  <w:footnote w:id="29">
    <w:p w14:paraId="6CECF9AD" w14:textId="03971DF4"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00976912" w:rsidRPr="007130FE">
        <w:rPr>
          <w:rFonts w:cs="Times New Roman"/>
          <w:sz w:val="20"/>
          <w:szCs w:val="20"/>
        </w:rPr>
        <w:t xml:space="preserve"> Pech and </w:t>
      </w:r>
      <w:r w:rsidRPr="007130FE">
        <w:rPr>
          <w:rFonts w:cs="Times New Roman"/>
          <w:sz w:val="20"/>
          <w:szCs w:val="20"/>
        </w:rPr>
        <w:t>Lane Scheppele, ‘Illiberalism Within</w:t>
      </w:r>
      <w:r w:rsidR="00976912" w:rsidRPr="007130FE">
        <w:rPr>
          <w:rFonts w:cs="Times New Roman"/>
          <w:sz w:val="20"/>
          <w:szCs w:val="20"/>
        </w:rPr>
        <w:t xml:space="preserve">’, op. cit., pp. 10-11. </w:t>
      </w:r>
    </w:p>
  </w:footnote>
  <w:footnote w:id="30">
    <w:p w14:paraId="767825E1" w14:textId="106A9512" w:rsidR="00511688" w:rsidRPr="007130FE" w:rsidRDefault="00511688" w:rsidP="007130FE">
      <w:pPr>
        <w:pStyle w:val="p1"/>
        <w:jc w:val="both"/>
        <w:rPr>
          <w:rFonts w:ascii="Times New Roman" w:hAnsi="Times New Roman"/>
          <w:sz w:val="20"/>
          <w:szCs w:val="20"/>
        </w:rPr>
      </w:pPr>
      <w:r w:rsidRPr="007130FE">
        <w:rPr>
          <w:rStyle w:val="FootnoteReference"/>
          <w:rFonts w:ascii="Times New Roman" w:hAnsi="Times New Roman"/>
          <w:sz w:val="20"/>
          <w:szCs w:val="20"/>
        </w:rPr>
        <w:footnoteRef/>
      </w:r>
      <w:r w:rsidR="00976912" w:rsidRPr="007130FE">
        <w:rPr>
          <w:rFonts w:ascii="Times New Roman" w:hAnsi="Times New Roman"/>
          <w:sz w:val="20"/>
          <w:szCs w:val="20"/>
        </w:rPr>
        <w:t xml:space="preserve"> </w:t>
      </w:r>
      <w:r w:rsidRPr="007130FE">
        <w:rPr>
          <w:rFonts w:ascii="Times New Roman" w:hAnsi="Times New Roman"/>
          <w:sz w:val="20"/>
          <w:szCs w:val="20"/>
        </w:rPr>
        <w:t xml:space="preserve">Kochenov and L. Pech, </w:t>
      </w:r>
      <w:r w:rsidR="00976912" w:rsidRPr="007130FE">
        <w:rPr>
          <w:rFonts w:ascii="Times New Roman" w:hAnsi="Times New Roman"/>
          <w:sz w:val="20"/>
          <w:szCs w:val="20"/>
        </w:rPr>
        <w:t xml:space="preserve">‘Monitoring and Enforcement of the Rule of Law in the EU’, </w:t>
      </w:r>
      <w:r w:rsidRPr="007130FE">
        <w:rPr>
          <w:rFonts w:ascii="Times New Roman" w:hAnsi="Times New Roman"/>
          <w:sz w:val="20"/>
          <w:szCs w:val="20"/>
        </w:rPr>
        <w:t>op. cit., p. 5</w:t>
      </w:r>
      <w:r w:rsidR="00976912" w:rsidRPr="007130FE">
        <w:rPr>
          <w:rFonts w:ascii="Times New Roman" w:hAnsi="Times New Roman"/>
          <w:sz w:val="20"/>
          <w:szCs w:val="20"/>
        </w:rPr>
        <w:t>32: The Commission’s Framework ‘</w:t>
      </w:r>
      <w:r w:rsidRPr="007130FE">
        <w:rPr>
          <w:rFonts w:ascii="Times New Roman" w:hAnsi="Times New Roman"/>
          <w:sz w:val="20"/>
          <w:szCs w:val="20"/>
        </w:rPr>
        <w:t>is based on the presumption that a discursive approach</w:t>
      </w:r>
      <w:r w:rsidR="00976912" w:rsidRPr="007130FE">
        <w:rPr>
          <w:rFonts w:ascii="Times New Roman" w:hAnsi="Times New Roman"/>
          <w:sz w:val="20"/>
          <w:szCs w:val="20"/>
        </w:rPr>
        <w:t xml:space="preserve"> …</w:t>
      </w:r>
      <w:r w:rsidRPr="007130FE">
        <w:rPr>
          <w:rFonts w:ascii="Times New Roman" w:hAnsi="Times New Roman"/>
          <w:sz w:val="20"/>
          <w:szCs w:val="20"/>
        </w:rPr>
        <w:t xml:space="preserve"> is bound to produce positive results. The validity of this presumption is questionable. Indeed, once we move towards really problematic cases, i.e. the countries where the ruling élite has made a conscious choice not to comply with EU values, then a totally different picture emerges. If such a conscious choice has been made, socialisation in the framework of a new pre-Article 7 TEU procedure is unlikely to bring about any meaningful change and an end to any systemic attempt to breach EU value</w:t>
      </w:r>
      <w:r w:rsidR="00976912" w:rsidRPr="007130FE">
        <w:rPr>
          <w:rFonts w:ascii="Times New Roman" w:hAnsi="Times New Roman"/>
          <w:sz w:val="20"/>
          <w:szCs w:val="20"/>
        </w:rPr>
        <w:t>s in the relevant member state.’</w:t>
      </w:r>
    </w:p>
  </w:footnote>
  <w:footnote w:id="31">
    <w:p w14:paraId="3069E028" w14:textId="7C9BA91C"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00976912" w:rsidRPr="007130FE">
        <w:rPr>
          <w:rFonts w:cs="Times New Roman"/>
          <w:sz w:val="20"/>
          <w:szCs w:val="20"/>
        </w:rPr>
        <w:t xml:space="preserve"> See Pech and </w:t>
      </w:r>
      <w:r w:rsidRPr="007130FE">
        <w:rPr>
          <w:rFonts w:cs="Times New Roman"/>
          <w:sz w:val="20"/>
          <w:szCs w:val="20"/>
        </w:rPr>
        <w:t xml:space="preserve">Lane Scheppele, ‘Illiberalism Within’, op. cit. </w:t>
      </w:r>
    </w:p>
  </w:footnote>
  <w:footnote w:id="32">
    <w:p w14:paraId="4E7B9528" w14:textId="55C72710"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w:t>
      </w:r>
      <w:r w:rsidRPr="007130FE">
        <w:rPr>
          <w:rFonts w:cs="Times New Roman"/>
          <w:sz w:val="20"/>
          <w:szCs w:val="20"/>
          <w:lang w:val="en-US"/>
        </w:rPr>
        <w:t xml:space="preserve">European Commission, A new EU Framework, op. cit., p 7. </w:t>
      </w:r>
    </w:p>
  </w:footnote>
  <w:footnote w:id="33">
    <w:p w14:paraId="76160C40" w14:textId="73DAC82E"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Ibid., </w:t>
      </w:r>
      <w:r w:rsidRPr="007130FE">
        <w:rPr>
          <w:rFonts w:cs="Times New Roman"/>
          <w:sz w:val="20"/>
          <w:szCs w:val="20"/>
          <w:lang w:val="en-US"/>
        </w:rPr>
        <w:t>p. 9.</w:t>
      </w:r>
    </w:p>
  </w:footnote>
  <w:footnote w:id="34">
    <w:p w14:paraId="1CE80F3F" w14:textId="1250CCA8"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w:t>
      </w:r>
      <w:r w:rsidRPr="007130FE">
        <w:rPr>
          <w:rFonts w:cs="Times New Roman"/>
          <w:sz w:val="20"/>
          <w:szCs w:val="20"/>
          <w:lang w:val="en-US"/>
        </w:rPr>
        <w:t xml:space="preserve">Ibid. </w:t>
      </w:r>
    </w:p>
  </w:footnote>
  <w:footnote w:id="35">
    <w:p w14:paraId="6FEB9A73" w14:textId="4303416A" w:rsidR="00511688" w:rsidRPr="007130FE" w:rsidRDefault="00511688" w:rsidP="007130FE">
      <w:pPr>
        <w:pStyle w:val="p1"/>
        <w:jc w:val="both"/>
        <w:rPr>
          <w:rFonts w:ascii="Times New Roman" w:hAnsi="Times New Roman"/>
          <w:sz w:val="20"/>
          <w:szCs w:val="20"/>
        </w:rPr>
      </w:pPr>
      <w:r w:rsidRPr="007130FE">
        <w:rPr>
          <w:rStyle w:val="FootnoteReference"/>
          <w:rFonts w:ascii="Times New Roman" w:hAnsi="Times New Roman"/>
          <w:sz w:val="20"/>
          <w:szCs w:val="20"/>
        </w:rPr>
        <w:footnoteRef/>
      </w:r>
      <w:r w:rsidRPr="007130FE">
        <w:rPr>
          <w:rFonts w:ascii="Times New Roman" w:hAnsi="Times New Roman"/>
          <w:sz w:val="20"/>
          <w:szCs w:val="20"/>
        </w:rPr>
        <w:t xml:space="preserve"> </w:t>
      </w:r>
      <w:r w:rsidR="00567B5E">
        <w:rPr>
          <w:rFonts w:ascii="Times New Roman" w:hAnsi="Times New Roman"/>
          <w:sz w:val="20"/>
          <w:szCs w:val="20"/>
        </w:rPr>
        <w:t>One should however note that the Polish government ended up challenging</w:t>
      </w:r>
      <w:r w:rsidRPr="007130FE">
        <w:rPr>
          <w:rFonts w:ascii="Times New Roman" w:hAnsi="Times New Roman"/>
          <w:sz w:val="20"/>
          <w:szCs w:val="20"/>
        </w:rPr>
        <w:t xml:space="preserve"> the Venice Commission’s impartiality</w:t>
      </w:r>
      <w:r w:rsidR="00567B5E">
        <w:rPr>
          <w:rFonts w:ascii="Times New Roman" w:hAnsi="Times New Roman"/>
          <w:sz w:val="20"/>
          <w:szCs w:val="20"/>
        </w:rPr>
        <w:t xml:space="preserve"> when it became clear that its legal assessment would reinforce the European Commission’s findings</w:t>
      </w:r>
      <w:r w:rsidRPr="007130FE">
        <w:rPr>
          <w:rFonts w:ascii="Times New Roman" w:hAnsi="Times New Roman"/>
          <w:sz w:val="20"/>
          <w:szCs w:val="20"/>
        </w:rPr>
        <w:t>. See e.g. European Commission’s Article 7 reasoned p</w:t>
      </w:r>
      <w:r w:rsidR="00976912" w:rsidRPr="007130FE">
        <w:rPr>
          <w:rFonts w:ascii="Times New Roman" w:hAnsi="Times New Roman"/>
          <w:sz w:val="20"/>
          <w:szCs w:val="20"/>
        </w:rPr>
        <w:t>roposal, op. cit., recital 32: ‘</w:t>
      </w:r>
      <w:r w:rsidRPr="007130FE">
        <w:rPr>
          <w:rFonts w:ascii="Times New Roman" w:hAnsi="Times New Roman"/>
          <w:sz w:val="20"/>
          <w:szCs w:val="20"/>
        </w:rPr>
        <w:t xml:space="preserve">The Polish Government decided not to participate in the sitting of the Venice Commission on 14 October 2016 as it considered that the opinion of the </w:t>
      </w:r>
      <w:r w:rsidR="00976912" w:rsidRPr="007130FE">
        <w:rPr>
          <w:rFonts w:ascii="Times New Roman" w:hAnsi="Times New Roman"/>
          <w:sz w:val="20"/>
          <w:szCs w:val="20"/>
        </w:rPr>
        <w:t>Venice Commission was one-sided.’</w:t>
      </w:r>
    </w:p>
  </w:footnote>
  <w:footnote w:id="36">
    <w:p w14:paraId="0C87BAB9" w14:textId="63B90DEC" w:rsidR="00511688" w:rsidRPr="007130FE" w:rsidRDefault="00511688" w:rsidP="007130FE">
      <w:pPr>
        <w:pStyle w:val="p1"/>
        <w:jc w:val="both"/>
        <w:rPr>
          <w:rFonts w:ascii="Times New Roman" w:hAnsi="Times New Roman"/>
          <w:sz w:val="20"/>
          <w:szCs w:val="20"/>
        </w:rPr>
      </w:pPr>
      <w:r w:rsidRPr="007130FE">
        <w:rPr>
          <w:rStyle w:val="FootnoteReference"/>
          <w:rFonts w:ascii="Times New Roman" w:hAnsi="Times New Roman"/>
          <w:sz w:val="20"/>
          <w:szCs w:val="20"/>
        </w:rPr>
        <w:footnoteRef/>
      </w:r>
      <w:r w:rsidRPr="007130FE">
        <w:rPr>
          <w:rFonts w:ascii="Times New Roman" w:hAnsi="Times New Roman"/>
          <w:sz w:val="20"/>
          <w:szCs w:val="20"/>
        </w:rPr>
        <w:t xml:space="preserve"> See e.g. European Commission Recommendation regarding the rule of law in Poland, C(2017) 9050 fina</w:t>
      </w:r>
      <w:r w:rsidR="00976912" w:rsidRPr="007130FE">
        <w:rPr>
          <w:rFonts w:ascii="Times New Roman" w:hAnsi="Times New Roman"/>
          <w:sz w:val="20"/>
          <w:szCs w:val="20"/>
        </w:rPr>
        <w:t>l, 20 December 2017, para. 48: ‘</w:t>
      </w:r>
      <w:r w:rsidRPr="007130FE">
        <w:rPr>
          <w:rFonts w:ascii="Times New Roman" w:hAnsi="Times New Roman"/>
          <w:sz w:val="20"/>
          <w:szCs w:val="20"/>
        </w:rPr>
        <w:t>The Commission also encourages the Polish authorities to implement the opinions of the Venice Commission on the law on the National Council for the Judiciary, the law on the Ordinary Courts Organisation and the law on the Supreme Court as well as to seek the views of the Venice Commission on any new legislative proposal aiming to refor</w:t>
      </w:r>
      <w:r w:rsidR="00976912" w:rsidRPr="007130FE">
        <w:rPr>
          <w:rFonts w:ascii="Times New Roman" w:hAnsi="Times New Roman"/>
          <w:sz w:val="20"/>
          <w:szCs w:val="20"/>
        </w:rPr>
        <w:t>m the justice system in Poland.’</w:t>
      </w:r>
      <w:r w:rsidRPr="007130FE">
        <w:rPr>
          <w:rFonts w:ascii="Times New Roman" w:hAnsi="Times New Roman"/>
          <w:sz w:val="20"/>
          <w:szCs w:val="20"/>
        </w:rPr>
        <w:t xml:space="preserve"> </w:t>
      </w:r>
    </w:p>
  </w:footnote>
  <w:footnote w:id="37">
    <w:p w14:paraId="1BB0757B" w14:textId="1A6B9647"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European Commission proposal for a regulation on the protection of the Union’s budget in case of generalised deficiencies as regards the rule of law in the Member States, COM(2018) 324 final, 2 May 2018, p. 3.</w:t>
      </w:r>
    </w:p>
  </w:footnote>
  <w:footnote w:id="38">
    <w:p w14:paraId="52C55829" w14:textId="46C28EE1" w:rsidR="00511688" w:rsidRPr="007130FE" w:rsidRDefault="00511688" w:rsidP="007130FE">
      <w:pPr>
        <w:jc w:val="both"/>
        <w:rPr>
          <w:rFonts w:ascii="Times New Roman" w:hAnsi="Times New Roman" w:cs="Times New Roman"/>
          <w:sz w:val="20"/>
          <w:szCs w:val="20"/>
        </w:rPr>
      </w:pPr>
      <w:r w:rsidRPr="007130FE">
        <w:rPr>
          <w:rStyle w:val="FootnoteReference"/>
          <w:rFonts w:ascii="Times New Roman" w:hAnsi="Times New Roman" w:cs="Times New Roman"/>
          <w:sz w:val="20"/>
          <w:szCs w:val="20"/>
        </w:rPr>
        <w:footnoteRef/>
      </w:r>
      <w:r w:rsidRPr="007130FE">
        <w:rPr>
          <w:rFonts w:ascii="Times New Roman" w:hAnsi="Times New Roman" w:cs="Times New Roman"/>
          <w:sz w:val="20"/>
          <w:szCs w:val="20"/>
        </w:rPr>
        <w:t xml:space="preserve"> </w:t>
      </w:r>
      <w:r w:rsidRPr="007130FE">
        <w:rPr>
          <w:rFonts w:ascii="Times New Roman" w:hAnsi="Times New Roman" w:cs="Times New Roman"/>
          <w:sz w:val="20"/>
          <w:szCs w:val="20"/>
          <w:u w:color="262626"/>
        </w:rPr>
        <w:t xml:space="preserve">Council of the EU, press release no. </w:t>
      </w:r>
      <w:r w:rsidRPr="007130FE">
        <w:rPr>
          <w:rFonts w:ascii="Times New Roman" w:hAnsi="Times New Roman" w:cs="Times New Roman"/>
          <w:sz w:val="20"/>
          <w:szCs w:val="20"/>
        </w:rPr>
        <w:t>16936/14</w:t>
      </w:r>
      <w:r w:rsidRPr="007130FE">
        <w:rPr>
          <w:rFonts w:ascii="Times New Roman" w:hAnsi="Times New Roman" w:cs="Times New Roman"/>
          <w:sz w:val="20"/>
          <w:szCs w:val="20"/>
          <w:u w:color="262626"/>
        </w:rPr>
        <w:t xml:space="preserve">, </w:t>
      </w:r>
      <w:r w:rsidR="00976912" w:rsidRPr="007130FE">
        <w:rPr>
          <w:rFonts w:ascii="Times New Roman" w:hAnsi="Times New Roman" w:cs="Times New Roman"/>
          <w:sz w:val="20"/>
          <w:szCs w:val="20"/>
          <w:u w:color="262626"/>
        </w:rPr>
        <w:t xml:space="preserve">op. cit., </w:t>
      </w:r>
      <w:r w:rsidRPr="007130FE">
        <w:rPr>
          <w:rFonts w:ascii="Times New Roman" w:hAnsi="Times New Roman" w:cs="Times New Roman"/>
          <w:sz w:val="20"/>
          <w:szCs w:val="20"/>
          <w:u w:color="262626"/>
        </w:rPr>
        <w:t xml:space="preserve">p. 20. </w:t>
      </w:r>
    </w:p>
  </w:footnote>
  <w:footnote w:id="39">
    <w:p w14:paraId="77D40E68" w14:textId="0625C1B8" w:rsidR="00511688" w:rsidRPr="007130FE" w:rsidRDefault="00511688" w:rsidP="007130FE">
      <w:pPr>
        <w:jc w:val="both"/>
        <w:rPr>
          <w:rFonts w:ascii="Times New Roman" w:hAnsi="Times New Roman" w:cs="Times New Roman"/>
          <w:sz w:val="20"/>
          <w:szCs w:val="20"/>
        </w:rPr>
      </w:pPr>
      <w:r w:rsidRPr="007130FE">
        <w:rPr>
          <w:rStyle w:val="FootnoteReference"/>
          <w:rFonts w:ascii="Times New Roman" w:hAnsi="Times New Roman" w:cs="Times New Roman"/>
          <w:sz w:val="20"/>
          <w:szCs w:val="20"/>
        </w:rPr>
        <w:footnoteRef/>
      </w:r>
      <w:r w:rsidRPr="007130FE">
        <w:rPr>
          <w:rFonts w:ascii="Times New Roman" w:hAnsi="Times New Roman" w:cs="Times New Roman"/>
          <w:sz w:val="20"/>
          <w:szCs w:val="20"/>
        </w:rPr>
        <w:t xml:space="preserve"> See e.g. UK Government, </w:t>
      </w:r>
      <w:r w:rsidRPr="007130FE">
        <w:rPr>
          <w:rFonts w:ascii="Times New Roman" w:hAnsi="Times New Roman" w:cs="Times New Roman"/>
          <w:i/>
          <w:sz w:val="20"/>
          <w:szCs w:val="20"/>
        </w:rPr>
        <w:t>Review of the Balance of Competences between the UK and the EU – EU Enlargement</w:t>
      </w:r>
      <w:r w:rsidRPr="007130FE">
        <w:rPr>
          <w:rFonts w:ascii="Times New Roman" w:hAnsi="Times New Roman" w:cs="Times New Roman"/>
          <w:sz w:val="20"/>
          <w:szCs w:val="20"/>
        </w:rPr>
        <w:t xml:space="preserve"> (Decemb</w:t>
      </w:r>
      <w:r w:rsidR="00976912" w:rsidRPr="007130FE">
        <w:rPr>
          <w:rFonts w:ascii="Times New Roman" w:hAnsi="Times New Roman" w:cs="Times New Roman"/>
          <w:sz w:val="20"/>
          <w:szCs w:val="20"/>
        </w:rPr>
        <w:t>er 2014), para. 2.116: ‘</w:t>
      </w:r>
      <w:r w:rsidRPr="007130FE">
        <w:rPr>
          <w:rFonts w:ascii="Times New Roman" w:hAnsi="Times New Roman" w:cs="Times New Roman"/>
          <w:sz w:val="20"/>
          <w:szCs w:val="20"/>
        </w:rPr>
        <w:t>the Government does not accept the need for a new EU rule of law framework applying to all Member States. There are already mechanisms in place to protect EU common values and a further EU mechanism would risk undermining the clear roles for the Council and the European Council in this area.’</w:t>
      </w:r>
    </w:p>
  </w:footnote>
  <w:footnote w:id="40">
    <w:p w14:paraId="24725CAC" w14:textId="60F557E8"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w:t>
      </w:r>
      <w:r w:rsidRPr="007130FE">
        <w:rPr>
          <w:rFonts w:cs="Times New Roman"/>
          <w:sz w:val="20"/>
          <w:szCs w:val="20"/>
          <w:u w:color="262626"/>
        </w:rPr>
        <w:t xml:space="preserve">Council of the EU, press release no. </w:t>
      </w:r>
      <w:r w:rsidRPr="007130FE">
        <w:rPr>
          <w:rFonts w:cs="Times New Roman"/>
          <w:sz w:val="20"/>
          <w:szCs w:val="20"/>
        </w:rPr>
        <w:t>16936/14</w:t>
      </w:r>
      <w:r w:rsidRPr="007130FE">
        <w:rPr>
          <w:rFonts w:cs="Times New Roman"/>
          <w:sz w:val="20"/>
          <w:szCs w:val="20"/>
          <w:u w:color="262626"/>
        </w:rPr>
        <w:t xml:space="preserve">, op. cit., p. 21. </w:t>
      </w:r>
    </w:p>
  </w:footnote>
  <w:footnote w:id="41">
    <w:p w14:paraId="5173E7A7" w14:textId="23CAED41"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P. Oliver and J. Stefanelli, ‘Strengthening the Rule of Law in the EU: The Council’s Inaction’ (2016) 54(5) </w:t>
      </w:r>
      <w:r w:rsidRPr="007130FE">
        <w:rPr>
          <w:rFonts w:cs="Times New Roman"/>
          <w:i/>
          <w:sz w:val="20"/>
          <w:szCs w:val="20"/>
        </w:rPr>
        <w:t>Journal of Common Market Studies</w:t>
      </w:r>
      <w:r w:rsidRPr="007130FE">
        <w:rPr>
          <w:rFonts w:cs="Times New Roman"/>
          <w:sz w:val="20"/>
          <w:szCs w:val="20"/>
        </w:rPr>
        <w:t xml:space="preserve"> 1075. </w:t>
      </w:r>
    </w:p>
  </w:footnote>
  <w:footnote w:id="42">
    <w:p w14:paraId="2A2C9162" w14:textId="70A90858" w:rsidR="00511688" w:rsidRPr="007130FE" w:rsidRDefault="00511688" w:rsidP="007130FE">
      <w:pPr>
        <w:pStyle w:val="Paragraphestandard"/>
        <w:tabs>
          <w:tab w:val="left" w:pos="2127"/>
        </w:tabs>
        <w:spacing w:line="240" w:lineRule="auto"/>
        <w:jc w:val="both"/>
        <w:rPr>
          <w:rFonts w:ascii="Times New Roman" w:hAnsi="Times New Roman" w:cs="Times New Roman"/>
          <w:sz w:val="20"/>
          <w:szCs w:val="20"/>
        </w:rPr>
      </w:pPr>
      <w:r w:rsidRPr="007130FE">
        <w:rPr>
          <w:rStyle w:val="FootnoteReference"/>
          <w:rFonts w:ascii="Times New Roman" w:hAnsi="Times New Roman" w:cs="Times New Roman"/>
          <w:sz w:val="20"/>
          <w:szCs w:val="20"/>
        </w:rPr>
        <w:footnoteRef/>
      </w:r>
      <w:r w:rsidRPr="007130FE">
        <w:rPr>
          <w:rFonts w:ascii="Times New Roman" w:hAnsi="Times New Roman" w:cs="Times New Roman"/>
          <w:sz w:val="20"/>
          <w:szCs w:val="20"/>
        </w:rPr>
        <w:t xml:space="preserve"> Presidency questionnaire (document 12205/16) as well as the replies to this questionnaire (document 13230/1/16 REV 1) were made public following a successful request for access to documents submitted to the Council in December 2016 by one of the present authors (reference Ref. 16/2401-ld/ns). </w:t>
      </w:r>
    </w:p>
  </w:footnote>
  <w:footnote w:id="43">
    <w:p w14:paraId="07E13F4C" w14:textId="61FED151"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Council of the EU, compilation of replies to the Presidency questionnaire</w:t>
      </w:r>
      <w:r w:rsidRPr="007130FE">
        <w:rPr>
          <w:rFonts w:cs="Times New Roman"/>
          <w:sz w:val="20"/>
          <w:szCs w:val="20"/>
          <w:lang w:val="en-US"/>
        </w:rPr>
        <w:t xml:space="preserve">, </w:t>
      </w:r>
      <w:r w:rsidRPr="007130FE">
        <w:rPr>
          <w:rFonts w:cs="Times New Roman"/>
          <w:sz w:val="20"/>
          <w:szCs w:val="20"/>
        </w:rPr>
        <w:t xml:space="preserve">document 13230/1/16 REV 1, </w:t>
      </w:r>
      <w:r w:rsidRPr="007130FE">
        <w:rPr>
          <w:rFonts w:cs="Times New Roman"/>
          <w:sz w:val="20"/>
          <w:szCs w:val="20"/>
          <w:lang w:val="en-US"/>
        </w:rPr>
        <w:t xml:space="preserve">p. 66. </w:t>
      </w:r>
    </w:p>
  </w:footnote>
  <w:footnote w:id="44">
    <w:p w14:paraId="33A14CE4" w14:textId="245B1545"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w:t>
      </w:r>
      <w:r w:rsidR="0072276E" w:rsidRPr="007130FE">
        <w:rPr>
          <w:rFonts w:cs="Times New Roman"/>
          <w:sz w:val="20"/>
          <w:szCs w:val="20"/>
        </w:rPr>
        <w:t>I</w:t>
      </w:r>
      <w:r w:rsidRPr="007130FE">
        <w:rPr>
          <w:rFonts w:cs="Times New Roman"/>
          <w:sz w:val="20"/>
          <w:szCs w:val="20"/>
        </w:rPr>
        <w:t>bid</w:t>
      </w:r>
      <w:r w:rsidR="00976912" w:rsidRPr="007130FE">
        <w:rPr>
          <w:rFonts w:cs="Times New Roman"/>
          <w:sz w:val="20"/>
          <w:szCs w:val="20"/>
        </w:rPr>
        <w:t>.</w:t>
      </w:r>
      <w:r w:rsidRPr="007130FE">
        <w:rPr>
          <w:rFonts w:cs="Times New Roman"/>
          <w:sz w:val="20"/>
          <w:szCs w:val="20"/>
          <w:lang w:val="en-US"/>
        </w:rPr>
        <w:t xml:space="preserve">, p. 91. </w:t>
      </w:r>
    </w:p>
  </w:footnote>
  <w:footnote w:id="45">
    <w:p w14:paraId="54FC16BA" w14:textId="12073183"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Ibid, p. </w:t>
      </w:r>
      <w:r w:rsidRPr="007130FE">
        <w:rPr>
          <w:rFonts w:cs="Times New Roman"/>
          <w:sz w:val="20"/>
          <w:szCs w:val="20"/>
          <w:lang w:val="en-US"/>
        </w:rPr>
        <w:t xml:space="preserve">55. </w:t>
      </w:r>
    </w:p>
  </w:footnote>
  <w:footnote w:id="46">
    <w:p w14:paraId="6F86DF43" w14:textId="47586358"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Ibid</w:t>
      </w:r>
      <w:r w:rsidRPr="007130FE">
        <w:rPr>
          <w:rFonts w:cs="Times New Roman"/>
          <w:sz w:val="20"/>
          <w:szCs w:val="20"/>
          <w:lang w:val="en-US"/>
        </w:rPr>
        <w:t xml:space="preserve">, p. 71. </w:t>
      </w:r>
    </w:p>
  </w:footnote>
  <w:footnote w:id="47">
    <w:p w14:paraId="53F2B6DE" w14:textId="03A1A2A0"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Ibid, p. 96. </w:t>
      </w:r>
    </w:p>
  </w:footnote>
  <w:footnote w:id="48">
    <w:p w14:paraId="080D00C3" w14:textId="1B723DDD" w:rsidR="00040223" w:rsidRPr="007130FE" w:rsidRDefault="00040223"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w:t>
      </w:r>
      <w:r w:rsidR="00593DB1" w:rsidRPr="007130FE">
        <w:rPr>
          <w:rFonts w:cs="Times New Roman"/>
          <w:sz w:val="20"/>
          <w:szCs w:val="20"/>
        </w:rPr>
        <w:t>Council of the EU, Presidency conclusions after the annual rul</w:t>
      </w:r>
      <w:r w:rsidR="00976912" w:rsidRPr="007130FE">
        <w:rPr>
          <w:rFonts w:cs="Times New Roman"/>
          <w:sz w:val="20"/>
          <w:szCs w:val="20"/>
        </w:rPr>
        <w:t>e of law dialogue on the topic '</w:t>
      </w:r>
      <w:r w:rsidR="00593DB1" w:rsidRPr="007130FE">
        <w:rPr>
          <w:rFonts w:cs="Times New Roman"/>
          <w:sz w:val="20"/>
          <w:szCs w:val="20"/>
        </w:rPr>
        <w:t xml:space="preserve">Media pluralism and the rule of law in the digital age”, 13609/17. </w:t>
      </w:r>
    </w:p>
  </w:footnote>
  <w:footnote w:id="49">
    <w:p w14:paraId="7E027CC8" w14:textId="4B2CED2F" w:rsidR="002F1C7B" w:rsidRPr="007130FE" w:rsidRDefault="002F1C7B" w:rsidP="007130FE">
      <w:pPr>
        <w:pStyle w:val="FootnoteText"/>
        <w:jc w:val="both"/>
        <w:rPr>
          <w:sz w:val="20"/>
          <w:szCs w:val="20"/>
        </w:rPr>
      </w:pPr>
      <w:r w:rsidRPr="007130FE">
        <w:rPr>
          <w:rStyle w:val="FootnoteReference"/>
          <w:sz w:val="20"/>
          <w:szCs w:val="20"/>
        </w:rPr>
        <w:footnoteRef/>
      </w:r>
      <w:r w:rsidRPr="007130FE">
        <w:rPr>
          <w:sz w:val="20"/>
          <w:szCs w:val="20"/>
        </w:rPr>
        <w:t xml:space="preserve"> See e.g. </w:t>
      </w:r>
      <w:r w:rsidR="00322DFC" w:rsidRPr="007130FE">
        <w:rPr>
          <w:sz w:val="20"/>
          <w:szCs w:val="20"/>
        </w:rPr>
        <w:t xml:space="preserve">European Parliament, Committee on Culture and Education, Opinion on the situation in Hungary, 17 May 2018, 2017/2131(INL), </w:t>
      </w:r>
      <w:r w:rsidR="00171E88">
        <w:rPr>
          <w:sz w:val="20"/>
          <w:szCs w:val="20"/>
        </w:rPr>
        <w:t xml:space="preserve">para. 9: ‘is outraged by the fact that the media council has failed to guarantee even the minimum level of balance in the media’, or </w:t>
      </w:r>
      <w:r w:rsidR="007130FE">
        <w:rPr>
          <w:sz w:val="20"/>
          <w:szCs w:val="20"/>
        </w:rPr>
        <w:t xml:space="preserve">para. 17: ‘Is concerned that the Hungarian government, after Hungary’s last independent regional newspapers were taken over by oligarchs close to the government, has recently further extended its control over the media, with media concentration in Hungary reaching an unprecedented and grostesque level’. </w:t>
      </w:r>
    </w:p>
  </w:footnote>
  <w:footnote w:id="50">
    <w:p w14:paraId="2D123CFA" w14:textId="2BF1CAE1" w:rsidR="00511688" w:rsidRPr="007130FE" w:rsidRDefault="00511688" w:rsidP="007130FE">
      <w:pPr>
        <w:pStyle w:val="p1"/>
        <w:jc w:val="both"/>
        <w:rPr>
          <w:rFonts w:ascii="Times New Roman" w:hAnsi="Times New Roman"/>
          <w:sz w:val="20"/>
          <w:szCs w:val="20"/>
        </w:rPr>
      </w:pPr>
      <w:r w:rsidRPr="007130FE">
        <w:rPr>
          <w:rStyle w:val="FootnoteReference"/>
          <w:rFonts w:ascii="Times New Roman" w:hAnsi="Times New Roman"/>
          <w:sz w:val="20"/>
          <w:szCs w:val="20"/>
        </w:rPr>
        <w:footnoteRef/>
      </w:r>
      <w:r w:rsidRPr="007130FE">
        <w:rPr>
          <w:rFonts w:ascii="Times New Roman" w:hAnsi="Times New Roman"/>
          <w:sz w:val="20"/>
          <w:szCs w:val="20"/>
        </w:rPr>
        <w:t xml:space="preserve"> European Parliament resolution of 25 October 2016 on the establishment of an EU mechanism on democracy, the rule of law and fundamental rights (2015/2254(INL)), </w:t>
      </w:r>
      <w:r w:rsidRPr="007130FE">
        <w:rPr>
          <w:rFonts w:ascii="Times New Roman" w:hAnsi="Times New Roman"/>
          <w:sz w:val="20"/>
          <w:szCs w:val="20"/>
          <w:lang w:val="en-US"/>
        </w:rPr>
        <w:t xml:space="preserve">Recital R. </w:t>
      </w:r>
    </w:p>
  </w:footnote>
  <w:footnote w:id="51">
    <w:p w14:paraId="32535931" w14:textId="73786E1E"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Ibid., </w:t>
      </w:r>
      <w:r w:rsidRPr="007130FE">
        <w:rPr>
          <w:rFonts w:cs="Times New Roman"/>
          <w:sz w:val="20"/>
          <w:szCs w:val="20"/>
          <w:lang w:val="en-US"/>
        </w:rPr>
        <w:t>Recital Q</w:t>
      </w:r>
    </w:p>
  </w:footnote>
  <w:footnote w:id="52">
    <w:p w14:paraId="3017BB80" w14:textId="3A7E865D"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w:t>
      </w:r>
      <w:r w:rsidRPr="007130FE">
        <w:rPr>
          <w:rFonts w:cs="Times New Roman"/>
          <w:sz w:val="20"/>
          <w:szCs w:val="20"/>
          <w:lang w:val="en-US"/>
        </w:rPr>
        <w:t>European Parliament resolution of 10 June 2015 on the situation in Hungary, (2015/2700(RSP)), para. 12.</w:t>
      </w:r>
    </w:p>
  </w:footnote>
  <w:footnote w:id="53">
    <w:p w14:paraId="204A41E8" w14:textId="3A54D0D4"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European Parliament resolution of 16 December 2015 on the situation in Hungary (2015/2935(RSP)). </w:t>
      </w:r>
    </w:p>
  </w:footnote>
  <w:footnote w:id="54">
    <w:p w14:paraId="143EA2F3" w14:textId="336BBFD4" w:rsidR="00511688" w:rsidRPr="007130FE" w:rsidRDefault="00511688" w:rsidP="007130FE">
      <w:pPr>
        <w:jc w:val="both"/>
        <w:rPr>
          <w:rFonts w:ascii="Times New Roman" w:eastAsia="Times New Roman" w:hAnsi="Times New Roman" w:cs="Times New Roman"/>
          <w:sz w:val="20"/>
          <w:szCs w:val="20"/>
        </w:rPr>
      </w:pPr>
      <w:r w:rsidRPr="007130FE">
        <w:rPr>
          <w:rStyle w:val="FootnoteReference"/>
          <w:rFonts w:ascii="Times New Roman" w:hAnsi="Times New Roman" w:cs="Times New Roman"/>
          <w:sz w:val="20"/>
          <w:szCs w:val="20"/>
        </w:rPr>
        <w:footnoteRef/>
      </w:r>
      <w:r w:rsidRPr="007130FE">
        <w:rPr>
          <w:rFonts w:ascii="Times New Roman" w:hAnsi="Times New Roman" w:cs="Times New Roman"/>
          <w:sz w:val="20"/>
          <w:szCs w:val="20"/>
        </w:rPr>
        <w:t xml:space="preserve"> </w:t>
      </w:r>
      <w:r w:rsidRPr="007130FE">
        <w:rPr>
          <w:rFonts w:ascii="Times New Roman" w:eastAsia="Times New Roman" w:hAnsi="Times New Roman" w:cs="Times New Roman"/>
          <w:bCs/>
          <w:sz w:val="20"/>
          <w:szCs w:val="20"/>
          <w:shd w:val="clear" w:color="auto" w:fill="FFFFFF"/>
        </w:rPr>
        <w:t xml:space="preserve">European Parliament resolution of 25 October 2016, op. cit., para. 1. </w:t>
      </w:r>
    </w:p>
  </w:footnote>
  <w:footnote w:id="55">
    <w:p w14:paraId="5497BA8A" w14:textId="0C86B2A2" w:rsidR="00511688" w:rsidRPr="007130FE" w:rsidRDefault="00511688" w:rsidP="007130FE">
      <w:pPr>
        <w:pStyle w:val="Default"/>
        <w:jc w:val="both"/>
        <w:rPr>
          <w:sz w:val="20"/>
          <w:szCs w:val="20"/>
        </w:rPr>
      </w:pPr>
      <w:r w:rsidRPr="007130FE">
        <w:rPr>
          <w:rStyle w:val="FootnoteReference"/>
          <w:sz w:val="20"/>
          <w:szCs w:val="20"/>
        </w:rPr>
        <w:footnoteRef/>
      </w:r>
      <w:r w:rsidRPr="007130FE">
        <w:rPr>
          <w:sz w:val="20"/>
          <w:szCs w:val="20"/>
        </w:rPr>
        <w:t xml:space="preserve"> Article 2 of the draft institutional agreement included as an annex in the </w:t>
      </w:r>
      <w:r w:rsidRPr="007130FE">
        <w:rPr>
          <w:rFonts w:eastAsia="Times New Roman"/>
          <w:bCs/>
          <w:sz w:val="20"/>
          <w:szCs w:val="20"/>
          <w:shd w:val="clear" w:color="auto" w:fill="FFFFFF"/>
        </w:rPr>
        <w:t>European Parliament resolution of 25 October 2016</w:t>
      </w:r>
      <w:r w:rsidRPr="007130FE">
        <w:rPr>
          <w:sz w:val="20"/>
          <w:szCs w:val="20"/>
        </w:rPr>
        <w:t>. See also Article 6: ‘The European DRF Report shall be drawn up using a variety of sources and the existing tools for assessment, reporting and monitoring of Member States’ activities, including: … the FRA, in particular the EFRIS instrument; …’</w:t>
      </w:r>
    </w:p>
  </w:footnote>
  <w:footnote w:id="56">
    <w:p w14:paraId="31DF9BA3" w14:textId="0C623E93"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Article 10, draft institutional agreement, ibid. </w:t>
      </w:r>
    </w:p>
  </w:footnote>
  <w:footnote w:id="57">
    <w:p w14:paraId="41FE00F8" w14:textId="4DE5D319" w:rsidR="00511688" w:rsidRPr="007130FE" w:rsidRDefault="00511688" w:rsidP="007130FE">
      <w:pPr>
        <w:shd w:val="clear" w:color="auto" w:fill="FFFFFF"/>
        <w:jc w:val="both"/>
        <w:rPr>
          <w:rFonts w:ascii="Times New Roman" w:hAnsi="Times New Roman" w:cs="Times New Roman"/>
          <w:sz w:val="20"/>
          <w:szCs w:val="20"/>
        </w:rPr>
      </w:pPr>
      <w:r w:rsidRPr="007130FE">
        <w:rPr>
          <w:rStyle w:val="FootnoteReference"/>
          <w:rFonts w:ascii="Times New Roman" w:hAnsi="Times New Roman" w:cs="Times New Roman"/>
          <w:sz w:val="20"/>
          <w:szCs w:val="20"/>
        </w:rPr>
        <w:footnoteRef/>
      </w:r>
      <w:r w:rsidRPr="007130FE">
        <w:rPr>
          <w:rFonts w:ascii="Times New Roman" w:hAnsi="Times New Roman" w:cs="Times New Roman"/>
          <w:sz w:val="20"/>
          <w:szCs w:val="20"/>
        </w:rPr>
        <w:t xml:space="preserve"> The proposal to involve a new expert body is </w:t>
      </w:r>
      <w:r w:rsidR="00880568" w:rsidRPr="007130FE">
        <w:rPr>
          <w:rFonts w:ascii="Times New Roman" w:hAnsi="Times New Roman" w:cs="Times New Roman"/>
          <w:sz w:val="20"/>
          <w:szCs w:val="20"/>
        </w:rPr>
        <w:t xml:space="preserve">reminiscent of </w:t>
      </w:r>
      <w:r w:rsidRPr="007130FE">
        <w:rPr>
          <w:rFonts w:ascii="Times New Roman" w:hAnsi="Times New Roman" w:cs="Times New Roman"/>
          <w:sz w:val="20"/>
          <w:szCs w:val="20"/>
        </w:rPr>
        <w:t xml:space="preserve">the proposal to set up a ‘Systemic Deficiency Committee’ </w:t>
      </w:r>
      <w:r w:rsidR="00880568" w:rsidRPr="007130FE">
        <w:rPr>
          <w:rFonts w:ascii="Times New Roman" w:hAnsi="Times New Roman" w:cs="Times New Roman"/>
          <w:sz w:val="20"/>
          <w:szCs w:val="20"/>
        </w:rPr>
        <w:t xml:space="preserve">which was </w:t>
      </w:r>
      <w:r w:rsidRPr="007130FE">
        <w:rPr>
          <w:rFonts w:ascii="Times New Roman" w:hAnsi="Times New Roman" w:cs="Times New Roman"/>
          <w:sz w:val="20"/>
          <w:szCs w:val="20"/>
        </w:rPr>
        <w:t>made by A</w:t>
      </w:r>
      <w:r w:rsidR="00880568" w:rsidRPr="007130FE">
        <w:rPr>
          <w:rFonts w:ascii="Times New Roman" w:hAnsi="Times New Roman" w:cs="Times New Roman"/>
          <w:sz w:val="20"/>
          <w:szCs w:val="20"/>
        </w:rPr>
        <w:t>.</w:t>
      </w:r>
      <w:r w:rsidRPr="007130FE">
        <w:rPr>
          <w:rFonts w:ascii="Times New Roman" w:hAnsi="Times New Roman" w:cs="Times New Roman"/>
          <w:sz w:val="20"/>
          <w:szCs w:val="20"/>
        </w:rPr>
        <w:t xml:space="preserve"> von Bogdandy et al, ‘Protecting EU values’ in A</w:t>
      </w:r>
      <w:r w:rsidR="00880568" w:rsidRPr="007130FE">
        <w:rPr>
          <w:rFonts w:ascii="Times New Roman" w:hAnsi="Times New Roman" w:cs="Times New Roman"/>
          <w:sz w:val="20"/>
          <w:szCs w:val="20"/>
        </w:rPr>
        <w:t>.</w:t>
      </w:r>
      <w:r w:rsidRPr="007130FE">
        <w:rPr>
          <w:rFonts w:ascii="Times New Roman" w:hAnsi="Times New Roman" w:cs="Times New Roman"/>
          <w:sz w:val="20"/>
          <w:szCs w:val="20"/>
        </w:rPr>
        <w:t xml:space="preserve"> Jakab and D</w:t>
      </w:r>
      <w:r w:rsidR="00880568" w:rsidRPr="007130FE">
        <w:rPr>
          <w:rFonts w:ascii="Times New Roman" w:hAnsi="Times New Roman" w:cs="Times New Roman"/>
          <w:sz w:val="20"/>
          <w:szCs w:val="20"/>
        </w:rPr>
        <w:t>.</w:t>
      </w:r>
      <w:r w:rsidRPr="007130FE">
        <w:rPr>
          <w:rFonts w:ascii="Times New Roman" w:hAnsi="Times New Roman" w:cs="Times New Roman"/>
          <w:sz w:val="20"/>
          <w:szCs w:val="20"/>
        </w:rPr>
        <w:t xml:space="preserve"> Kochenov (eds</w:t>
      </w:r>
      <w:r w:rsidR="00880568" w:rsidRPr="007130FE">
        <w:rPr>
          <w:rFonts w:ascii="Times New Roman" w:hAnsi="Times New Roman" w:cs="Times New Roman"/>
          <w:sz w:val="20"/>
          <w:szCs w:val="20"/>
        </w:rPr>
        <w:t>.</w:t>
      </w:r>
      <w:r w:rsidRPr="007130FE">
        <w:rPr>
          <w:rFonts w:ascii="Times New Roman" w:hAnsi="Times New Roman" w:cs="Times New Roman"/>
          <w:sz w:val="20"/>
          <w:szCs w:val="20"/>
        </w:rPr>
        <w:t>),</w:t>
      </w:r>
      <w:r w:rsidRPr="007130FE">
        <w:rPr>
          <w:rFonts w:ascii="Times New Roman" w:hAnsi="Times New Roman" w:cs="Times New Roman"/>
          <w:i/>
          <w:sz w:val="20"/>
          <w:szCs w:val="20"/>
        </w:rPr>
        <w:t xml:space="preserve"> The Enforcement of EU Law and Values</w:t>
      </w:r>
      <w:r w:rsidRPr="007130FE">
        <w:rPr>
          <w:rFonts w:ascii="Times New Roman" w:hAnsi="Times New Roman" w:cs="Times New Roman"/>
          <w:sz w:val="20"/>
          <w:szCs w:val="20"/>
        </w:rPr>
        <w:t xml:space="preserve"> (Oxford Univer</w:t>
      </w:r>
      <w:r w:rsidR="00880568" w:rsidRPr="007130FE">
        <w:rPr>
          <w:rFonts w:ascii="Times New Roman" w:hAnsi="Times New Roman" w:cs="Times New Roman"/>
          <w:sz w:val="20"/>
          <w:szCs w:val="20"/>
        </w:rPr>
        <w:t>sity Press, 2017), p. 228 et seq</w:t>
      </w:r>
      <w:r w:rsidRPr="007130FE">
        <w:rPr>
          <w:rFonts w:ascii="Times New Roman" w:hAnsi="Times New Roman" w:cs="Times New Roman"/>
          <w:sz w:val="20"/>
          <w:szCs w:val="20"/>
        </w:rPr>
        <w:t>.</w:t>
      </w:r>
    </w:p>
  </w:footnote>
  <w:footnote w:id="58">
    <w:p w14:paraId="2A2E20E4" w14:textId="3CACAD13"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European Commission, </w:t>
      </w:r>
      <w:r w:rsidRPr="007130FE">
        <w:rPr>
          <w:rFonts w:eastAsia="Calibri" w:cs="Times New Roman"/>
          <w:sz w:val="20"/>
          <w:szCs w:val="20"/>
        </w:rPr>
        <w:t>Follow up to the European Parliament resolution on with recommendations to the Commission on the establishment of an EU mechanism on democracy, the rule of law and fundamental</w:t>
      </w:r>
      <w:r w:rsidR="00EA3646" w:rsidRPr="007130FE">
        <w:rPr>
          <w:rFonts w:eastAsia="Calibri" w:cs="Times New Roman"/>
          <w:sz w:val="20"/>
          <w:szCs w:val="20"/>
        </w:rPr>
        <w:t xml:space="preserve"> rights, SP(2017)16, </w:t>
      </w:r>
      <w:r w:rsidR="002D3ECB" w:rsidRPr="007130FE">
        <w:rPr>
          <w:rFonts w:eastAsia="Calibri" w:cs="Times New Roman"/>
          <w:sz w:val="20"/>
          <w:szCs w:val="20"/>
        </w:rPr>
        <w:t xml:space="preserve">adopted by the Commission on </w:t>
      </w:r>
      <w:r w:rsidR="00EA3646" w:rsidRPr="007130FE">
        <w:rPr>
          <w:rFonts w:eastAsia="Calibri" w:cs="Times New Roman"/>
          <w:sz w:val="20"/>
          <w:szCs w:val="20"/>
        </w:rPr>
        <w:t>17 January</w:t>
      </w:r>
      <w:r w:rsidRPr="007130FE">
        <w:rPr>
          <w:rFonts w:eastAsia="Calibri" w:cs="Times New Roman"/>
          <w:sz w:val="20"/>
          <w:szCs w:val="20"/>
        </w:rPr>
        <w:t xml:space="preserve"> 2017.</w:t>
      </w:r>
    </w:p>
  </w:footnote>
  <w:footnote w:id="59">
    <w:p w14:paraId="5AC3F92C" w14:textId="0A0132D8"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w:t>
      </w:r>
      <w:r w:rsidRPr="007130FE">
        <w:rPr>
          <w:rFonts w:cs="Times New Roman"/>
          <w:sz w:val="20"/>
          <w:szCs w:val="20"/>
          <w:lang w:val="en-US"/>
        </w:rPr>
        <w:t xml:space="preserve">Ibid. </w:t>
      </w:r>
    </w:p>
  </w:footnote>
  <w:footnote w:id="60">
    <w:p w14:paraId="5A8A95A6" w14:textId="3381070C" w:rsidR="007D251C" w:rsidRPr="007130FE" w:rsidRDefault="007D251C"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w:t>
      </w:r>
      <w:r w:rsidRPr="007130FE">
        <w:rPr>
          <w:rFonts w:cs="Times New Roman"/>
          <w:sz w:val="20"/>
          <w:szCs w:val="20"/>
          <w:lang w:val="en-US"/>
        </w:rPr>
        <w:t>Ibid.</w:t>
      </w:r>
    </w:p>
  </w:footnote>
  <w:footnote w:id="61">
    <w:p w14:paraId="3C1D1C5C" w14:textId="3F707FD1" w:rsidR="007D251C" w:rsidRPr="007130FE" w:rsidRDefault="007D251C"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w:t>
      </w:r>
      <w:r w:rsidRPr="007130FE">
        <w:rPr>
          <w:rFonts w:cs="Times New Roman"/>
          <w:sz w:val="20"/>
          <w:szCs w:val="20"/>
          <w:lang w:val="en-US"/>
        </w:rPr>
        <w:t>Ibid.</w:t>
      </w:r>
    </w:p>
  </w:footnote>
  <w:footnote w:id="62">
    <w:p w14:paraId="5DD8DD86" w14:textId="6BD9C966" w:rsidR="00234633" w:rsidRPr="007130FE" w:rsidRDefault="00234633"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w:t>
      </w:r>
      <w:r w:rsidR="000A6A6F" w:rsidRPr="007130FE">
        <w:rPr>
          <w:rFonts w:cs="Times New Roman"/>
          <w:sz w:val="20"/>
          <w:szCs w:val="20"/>
        </w:rPr>
        <w:t>See European Commission proposal for a Council decision amending Decision (2008/203/EC) of 28 February 2008 implementing Regulation (EC) No 168/2007, COM(2010) 708 final, section 1.2: ‘The legally binding nature of the Charter of Fundamental Rights and the suppression of the so-called “pillars” make a stronger case of the addition of [judicial cooperation in criminal matters and police cooperation] to the activities of the Agency.’</w:t>
      </w:r>
    </w:p>
  </w:footnote>
  <w:footnote w:id="63">
    <w:p w14:paraId="291DB3BC" w14:textId="5D252DAB" w:rsidR="00C2749E" w:rsidRPr="007130FE" w:rsidRDefault="00C2749E" w:rsidP="007130FE">
      <w:pPr>
        <w:pStyle w:val="p1"/>
        <w:jc w:val="both"/>
        <w:rPr>
          <w:rFonts w:ascii="Times New Roman" w:hAnsi="Times New Roman"/>
          <w:sz w:val="20"/>
          <w:szCs w:val="20"/>
        </w:rPr>
      </w:pPr>
      <w:r w:rsidRPr="007130FE">
        <w:rPr>
          <w:rStyle w:val="FootnoteReference"/>
          <w:rFonts w:ascii="Times New Roman" w:hAnsi="Times New Roman"/>
          <w:sz w:val="20"/>
          <w:szCs w:val="20"/>
        </w:rPr>
        <w:footnoteRef/>
      </w:r>
      <w:r w:rsidRPr="007130FE">
        <w:rPr>
          <w:rFonts w:ascii="Times New Roman" w:hAnsi="Times New Roman"/>
          <w:sz w:val="20"/>
          <w:szCs w:val="20"/>
        </w:rPr>
        <w:t xml:space="preserve"> European Parliament, Resolution of 3 July 2013 on the situation of fundamental rights: standards and practices in Hungary, A7-0229/2013. </w:t>
      </w:r>
    </w:p>
  </w:footnote>
  <w:footnote w:id="64">
    <w:p w14:paraId="6D8D29BF" w14:textId="3BA95E44"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House of Lords</w:t>
      </w:r>
      <w:r w:rsidR="00C2749E" w:rsidRPr="007130FE">
        <w:rPr>
          <w:rFonts w:cs="Times New Roman"/>
          <w:sz w:val="20"/>
          <w:szCs w:val="20"/>
        </w:rPr>
        <w:t xml:space="preserve">, Human rights protection in Europe, op. cit., para. 70. </w:t>
      </w:r>
    </w:p>
  </w:footnote>
  <w:footnote w:id="65">
    <w:p w14:paraId="3B1D12C3" w14:textId="3BC0381F"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00F73E5C" w:rsidRPr="007130FE">
        <w:rPr>
          <w:rFonts w:cs="Times New Roman"/>
          <w:sz w:val="20"/>
          <w:szCs w:val="20"/>
        </w:rPr>
        <w:t xml:space="preserve"> Ibid., para. 73. </w:t>
      </w:r>
    </w:p>
  </w:footnote>
  <w:footnote w:id="66">
    <w:p w14:paraId="34FFF3E5" w14:textId="60BFF6A6"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Report with recommendations to the Commission on the establishment of an EU mechanism on democracy, the rule of law and fundamental rights (2015/2254(INL)), LIBE Co</w:t>
      </w:r>
      <w:r w:rsidR="007E157D" w:rsidRPr="007130FE">
        <w:rPr>
          <w:rFonts w:cs="Times New Roman"/>
          <w:sz w:val="20"/>
          <w:szCs w:val="20"/>
        </w:rPr>
        <w:t>mmittee, Rapporteur: Sophie in '</w:t>
      </w:r>
      <w:r w:rsidRPr="007130FE">
        <w:rPr>
          <w:rFonts w:cs="Times New Roman"/>
          <w:sz w:val="20"/>
          <w:szCs w:val="20"/>
        </w:rPr>
        <w:t>t Veld, A8-0283/2016, 10 October 2016.</w:t>
      </w:r>
    </w:p>
  </w:footnote>
  <w:footnote w:id="67">
    <w:p w14:paraId="48087DDC" w14:textId="5BF6BB32"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w:t>
      </w:r>
      <w:r w:rsidR="007E157D" w:rsidRPr="007130FE">
        <w:rPr>
          <w:rFonts w:cs="Times New Roman"/>
          <w:sz w:val="20"/>
          <w:szCs w:val="20"/>
        </w:rPr>
        <w:t xml:space="preserve">This idea was first put forward by I. </w:t>
      </w:r>
      <w:r w:rsidRPr="007130FE">
        <w:rPr>
          <w:rFonts w:cs="Times New Roman"/>
          <w:sz w:val="20"/>
          <w:szCs w:val="20"/>
        </w:rPr>
        <w:t>Butler, ‘How the European Parliament can protect the EU’s fundamental values: An inte</w:t>
      </w:r>
      <w:r w:rsidR="007E157D" w:rsidRPr="007130FE">
        <w:rPr>
          <w:rFonts w:cs="Times New Roman"/>
          <w:sz w:val="20"/>
          <w:szCs w:val="20"/>
        </w:rPr>
        <w:t xml:space="preserve">rparliamentary rights dialogue’, </w:t>
      </w:r>
      <w:r w:rsidR="007E157D" w:rsidRPr="007130FE">
        <w:rPr>
          <w:rFonts w:cs="Times New Roman"/>
          <w:i/>
          <w:sz w:val="20"/>
          <w:szCs w:val="20"/>
        </w:rPr>
        <w:t>Liberties.eu</w:t>
      </w:r>
      <w:r w:rsidR="007E157D" w:rsidRPr="007130FE">
        <w:rPr>
          <w:rFonts w:cs="Times New Roman"/>
          <w:sz w:val="20"/>
          <w:szCs w:val="20"/>
        </w:rPr>
        <w:t xml:space="preserve">, 15 January 2016: </w:t>
      </w:r>
      <w:hyperlink r:id="rId9" w:history="1">
        <w:r w:rsidR="007E157D" w:rsidRPr="007130FE">
          <w:rPr>
            <w:rStyle w:val="Hyperlink"/>
            <w:rFonts w:cs="Times New Roman"/>
            <w:sz w:val="20"/>
            <w:szCs w:val="20"/>
          </w:rPr>
          <w:t>https://www.liberties.eu/en/news/european-parliament-protect-eu-values/6831</w:t>
        </w:r>
      </w:hyperlink>
      <w:r w:rsidR="007E157D" w:rsidRPr="007130FE">
        <w:rPr>
          <w:rFonts w:cs="Times New Roman"/>
          <w:sz w:val="20"/>
          <w:szCs w:val="20"/>
        </w:rPr>
        <w:t xml:space="preserve"> </w:t>
      </w:r>
    </w:p>
  </w:footnote>
  <w:footnote w:id="68">
    <w:p w14:paraId="41F6BD98" w14:textId="32DC9446"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Ibid</w:t>
      </w:r>
      <w:r w:rsidR="00F553CC" w:rsidRPr="007130FE">
        <w:rPr>
          <w:rFonts w:cs="Times New Roman"/>
          <w:sz w:val="20"/>
          <w:szCs w:val="20"/>
        </w:rPr>
        <w:t>.</w:t>
      </w:r>
      <w:r w:rsidRPr="007130FE">
        <w:rPr>
          <w:rFonts w:cs="Times New Roman"/>
          <w:sz w:val="20"/>
          <w:szCs w:val="20"/>
        </w:rPr>
        <w:t>, pp. 12-15.</w:t>
      </w:r>
    </w:p>
  </w:footnote>
  <w:footnote w:id="69">
    <w:p w14:paraId="7E599010" w14:textId="44630685"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Hearing of the LIBE Committee of 10 December 2015, Presentation by Gabriel Toggenburg.</w:t>
      </w:r>
      <w:r w:rsidR="005323BC" w:rsidRPr="007130FE">
        <w:rPr>
          <w:rFonts w:cs="Times New Roman"/>
          <w:sz w:val="20"/>
          <w:szCs w:val="20"/>
        </w:rPr>
        <w:t xml:space="preserve"> </w:t>
      </w:r>
      <w:r w:rsidR="00F553CC" w:rsidRPr="007130FE">
        <w:rPr>
          <w:rFonts w:cs="Times New Roman"/>
          <w:sz w:val="20"/>
          <w:szCs w:val="20"/>
        </w:rPr>
        <w:t xml:space="preserve"> </w:t>
      </w:r>
    </w:p>
  </w:footnote>
  <w:footnote w:id="70">
    <w:p w14:paraId="7DECB7DE" w14:textId="57021BD9"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w:t>
      </w:r>
      <w:r w:rsidR="00F553CC" w:rsidRPr="007130FE">
        <w:rPr>
          <w:rFonts w:cs="Times New Roman"/>
          <w:sz w:val="20"/>
          <w:szCs w:val="20"/>
        </w:rPr>
        <w:t xml:space="preserve">Ibid. </w:t>
      </w:r>
      <w:r w:rsidRPr="007130FE">
        <w:rPr>
          <w:rFonts w:cs="Times New Roman"/>
          <w:sz w:val="20"/>
          <w:szCs w:val="20"/>
        </w:rPr>
        <w:t xml:space="preserve">See also </w:t>
      </w:r>
      <w:r w:rsidR="00F553CC" w:rsidRPr="007130FE">
        <w:rPr>
          <w:rFonts w:cs="Times New Roman"/>
          <w:sz w:val="20"/>
          <w:szCs w:val="20"/>
        </w:rPr>
        <w:t xml:space="preserve">M. </w:t>
      </w:r>
      <w:r w:rsidRPr="007130FE">
        <w:rPr>
          <w:rFonts w:cs="Times New Roman"/>
          <w:sz w:val="20"/>
          <w:szCs w:val="20"/>
        </w:rPr>
        <w:t xml:space="preserve">Kjaerum, FRA Director, </w:t>
      </w:r>
      <w:r w:rsidR="005C4455" w:rsidRPr="007130FE">
        <w:rPr>
          <w:rFonts w:cs="Times New Roman"/>
          <w:sz w:val="20"/>
          <w:szCs w:val="20"/>
        </w:rPr>
        <w:t xml:space="preserve">Farewell speech to the European Parliamentary Committee on Civil Liberties, Justice and Home Affairs (LIBE), Brussels, 5 March 2015: </w:t>
      </w:r>
      <w:hyperlink r:id="rId10" w:history="1">
        <w:r w:rsidR="005C4455" w:rsidRPr="007130FE">
          <w:rPr>
            <w:rStyle w:val="Hyperlink"/>
            <w:rFonts w:cs="Times New Roman"/>
            <w:sz w:val="20"/>
            <w:szCs w:val="20"/>
          </w:rPr>
          <w:t>http://fra.europa.eu/en/speech/2015/fra-director-speaks-fundamental-rights-achievements-and-challenges-european-parliaments</w:t>
        </w:r>
      </w:hyperlink>
      <w:r w:rsidR="005C4455" w:rsidRPr="007130FE">
        <w:rPr>
          <w:rFonts w:cs="Times New Roman"/>
          <w:sz w:val="20"/>
          <w:szCs w:val="20"/>
        </w:rPr>
        <w:t>; ‘Fundamental Values and the Rule of Law’, Ad</w:t>
      </w:r>
      <w:r w:rsidRPr="007130FE">
        <w:rPr>
          <w:rFonts w:cs="Times New Roman"/>
          <w:sz w:val="20"/>
          <w:szCs w:val="20"/>
        </w:rPr>
        <w:t>dress to the European Affairs Committee hearing at the Danish Parliament, Copenhagen, 12 March 2015</w:t>
      </w:r>
      <w:r w:rsidR="005C4455" w:rsidRPr="007130FE">
        <w:rPr>
          <w:rFonts w:cs="Times New Roman"/>
          <w:sz w:val="20"/>
          <w:szCs w:val="20"/>
        </w:rPr>
        <w:t xml:space="preserve">: </w:t>
      </w:r>
      <w:hyperlink r:id="rId11" w:history="1">
        <w:r w:rsidR="005C4455" w:rsidRPr="007130FE">
          <w:rPr>
            <w:rStyle w:val="Hyperlink"/>
            <w:rFonts w:cs="Times New Roman"/>
            <w:sz w:val="20"/>
            <w:szCs w:val="20"/>
          </w:rPr>
          <w:t>http://fra.europa.eu/en/speech/2015/fundamental-values-and-rule-law</w:t>
        </w:r>
      </w:hyperlink>
    </w:p>
  </w:footnote>
  <w:footnote w:id="71">
    <w:p w14:paraId="15228833" w14:textId="1B800DED" w:rsidR="00792118" w:rsidRPr="007130FE" w:rsidRDefault="00792118" w:rsidP="007130FE">
      <w:pPr>
        <w:pStyle w:val="p1"/>
        <w:jc w:val="both"/>
        <w:rPr>
          <w:rFonts w:ascii="Times New Roman" w:hAnsi="Times New Roman"/>
          <w:sz w:val="20"/>
          <w:szCs w:val="20"/>
        </w:rPr>
      </w:pPr>
      <w:r w:rsidRPr="007130FE">
        <w:rPr>
          <w:rStyle w:val="FootnoteReference"/>
          <w:rFonts w:ascii="Times New Roman" w:hAnsi="Times New Roman"/>
          <w:sz w:val="20"/>
          <w:szCs w:val="20"/>
        </w:rPr>
        <w:footnoteRef/>
      </w:r>
      <w:r w:rsidRPr="007130FE">
        <w:rPr>
          <w:rFonts w:ascii="Times New Roman" w:hAnsi="Times New Roman"/>
          <w:sz w:val="20"/>
          <w:szCs w:val="20"/>
        </w:rPr>
        <w:t xml:space="preserve"> Communication on Article 7 of the Treaty on European Union. Respect for and promotion of the values on which the Union is founded, COM(2003) 606 final, section 1.1.</w:t>
      </w:r>
    </w:p>
  </w:footnote>
  <w:footnote w:id="72">
    <w:p w14:paraId="60BD2B31" w14:textId="4C30395C" w:rsidR="00511688" w:rsidRPr="007130FE" w:rsidRDefault="00511688"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w:t>
      </w:r>
      <w:r w:rsidR="00AA036E" w:rsidRPr="007130FE">
        <w:rPr>
          <w:rFonts w:cs="Times New Roman"/>
          <w:color w:val="141413"/>
          <w:sz w:val="20"/>
          <w:szCs w:val="20"/>
          <w:lang w:val="en-US"/>
        </w:rPr>
        <w:t>House of Lords, op. cit.</w:t>
      </w:r>
      <w:r w:rsidRPr="007130FE">
        <w:rPr>
          <w:rFonts w:cs="Times New Roman"/>
          <w:color w:val="141413"/>
          <w:sz w:val="20"/>
          <w:szCs w:val="20"/>
          <w:lang w:val="en-US"/>
        </w:rPr>
        <w:t xml:space="preserve">, paras 74-76. </w:t>
      </w:r>
    </w:p>
  </w:footnote>
  <w:footnote w:id="73">
    <w:p w14:paraId="5FE4A7D2" w14:textId="2CFA2A9E" w:rsidR="00511688" w:rsidRPr="007130FE" w:rsidRDefault="00511688" w:rsidP="007130FE">
      <w:pPr>
        <w:pStyle w:val="FootnoteText"/>
        <w:jc w:val="both"/>
        <w:rPr>
          <w:rFonts w:cs="Times New Roman"/>
          <w:sz w:val="20"/>
          <w:szCs w:val="20"/>
          <w:lang w:val="en-US"/>
        </w:rPr>
      </w:pPr>
      <w:r w:rsidRPr="007130FE">
        <w:rPr>
          <w:rStyle w:val="FootnoteReference"/>
          <w:rFonts w:cs="Times New Roman"/>
          <w:sz w:val="20"/>
          <w:szCs w:val="20"/>
        </w:rPr>
        <w:footnoteRef/>
      </w:r>
      <w:r w:rsidRPr="007130FE">
        <w:rPr>
          <w:rFonts w:cs="Times New Roman"/>
          <w:sz w:val="20"/>
          <w:szCs w:val="20"/>
        </w:rPr>
        <w:t xml:space="preserve"> </w:t>
      </w:r>
      <w:r w:rsidRPr="007130FE">
        <w:rPr>
          <w:rFonts w:cs="Times New Roman"/>
          <w:sz w:val="20"/>
          <w:szCs w:val="20"/>
          <w:lang w:val="en-US"/>
        </w:rPr>
        <w:t>Council of the EU, Proposal for a Council Regulation establishing a European Union Agency for Fundamental Rights, document no 6166/07, 12 February 2007.</w:t>
      </w:r>
    </w:p>
  </w:footnote>
  <w:footnote w:id="74">
    <w:p w14:paraId="3A4A9002" w14:textId="1D9D6D30" w:rsidR="00015825" w:rsidRPr="007130FE" w:rsidRDefault="00015825" w:rsidP="007130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0"/>
          <w:szCs w:val="20"/>
        </w:rPr>
      </w:pPr>
      <w:r w:rsidRPr="007130FE">
        <w:rPr>
          <w:rStyle w:val="FootnoteReference"/>
          <w:rFonts w:ascii="Times New Roman" w:hAnsi="Times New Roman" w:cs="Times New Roman"/>
          <w:sz w:val="20"/>
          <w:szCs w:val="20"/>
        </w:rPr>
        <w:footnoteRef/>
      </w:r>
      <w:r w:rsidRPr="007130FE">
        <w:rPr>
          <w:rFonts w:ascii="Times New Roman" w:hAnsi="Times New Roman" w:cs="Times New Roman"/>
          <w:sz w:val="20"/>
          <w:szCs w:val="20"/>
        </w:rPr>
        <w:t xml:space="preserve"> G</w:t>
      </w:r>
      <w:r w:rsidR="00AA036E" w:rsidRPr="007130FE">
        <w:rPr>
          <w:rFonts w:ascii="Times New Roman" w:hAnsi="Times New Roman" w:cs="Times New Roman"/>
          <w:sz w:val="20"/>
          <w:szCs w:val="20"/>
        </w:rPr>
        <w:t>.</w:t>
      </w:r>
      <w:r w:rsidRPr="007130FE">
        <w:rPr>
          <w:rFonts w:ascii="Times New Roman" w:hAnsi="Times New Roman" w:cs="Times New Roman"/>
          <w:sz w:val="20"/>
          <w:szCs w:val="20"/>
        </w:rPr>
        <w:t xml:space="preserve"> Toggenburg and J</w:t>
      </w:r>
      <w:r w:rsidR="00AA036E" w:rsidRPr="007130FE">
        <w:rPr>
          <w:rFonts w:ascii="Times New Roman" w:hAnsi="Times New Roman" w:cs="Times New Roman"/>
          <w:sz w:val="20"/>
          <w:szCs w:val="20"/>
        </w:rPr>
        <w:t>.</w:t>
      </w:r>
      <w:r w:rsidRPr="007130FE">
        <w:rPr>
          <w:rFonts w:ascii="Times New Roman" w:hAnsi="Times New Roman" w:cs="Times New Roman"/>
          <w:sz w:val="20"/>
          <w:szCs w:val="20"/>
        </w:rPr>
        <w:t xml:space="preserve"> Grimheden, ‘Upholding Shared Values in the EU: What Role for the EU Agency for Fundamental Rights’ (2016) 54(5) </w:t>
      </w:r>
      <w:r w:rsidRPr="007130FE">
        <w:rPr>
          <w:rFonts w:ascii="Times New Roman" w:hAnsi="Times New Roman" w:cs="Times New Roman"/>
          <w:i/>
          <w:sz w:val="20"/>
          <w:szCs w:val="20"/>
        </w:rPr>
        <w:t>JCMS</w:t>
      </w:r>
      <w:r w:rsidRPr="007130FE">
        <w:rPr>
          <w:rFonts w:ascii="Times New Roman" w:hAnsi="Times New Roman" w:cs="Times New Roman"/>
          <w:sz w:val="20"/>
          <w:szCs w:val="20"/>
        </w:rPr>
        <w:t xml:space="preserve"> 1093</w:t>
      </w:r>
      <w:r w:rsidR="005F2594" w:rsidRPr="007130FE">
        <w:rPr>
          <w:rFonts w:ascii="Times New Roman" w:hAnsi="Times New Roman" w:cs="Times New Roman"/>
          <w:sz w:val="20"/>
          <w:szCs w:val="20"/>
        </w:rPr>
        <w:t xml:space="preserve">. For an arguable example of double standards, see </w:t>
      </w:r>
      <w:r w:rsidR="005C4455" w:rsidRPr="007130FE">
        <w:rPr>
          <w:rFonts w:ascii="Times New Roman" w:hAnsi="Times New Roman" w:cs="Times New Roman"/>
          <w:sz w:val="20"/>
          <w:szCs w:val="20"/>
        </w:rPr>
        <w:t xml:space="preserve">L. Pech and K. Lane Scheppele, </w:t>
      </w:r>
      <w:r w:rsidR="001B1D22" w:rsidRPr="007130FE">
        <w:rPr>
          <w:rFonts w:ascii="Times New Roman" w:hAnsi="Times New Roman" w:cs="Times New Roman"/>
          <w:sz w:val="20"/>
          <w:szCs w:val="20"/>
        </w:rPr>
        <w:t xml:space="preserve">‘Why Poland and not Hungary?’, </w:t>
      </w:r>
      <w:r w:rsidR="001B1D22" w:rsidRPr="007130FE">
        <w:rPr>
          <w:rFonts w:ascii="Times New Roman" w:hAnsi="Times New Roman" w:cs="Times New Roman"/>
          <w:i/>
          <w:sz w:val="20"/>
          <w:szCs w:val="20"/>
        </w:rPr>
        <w:t>Verfassungblog</w:t>
      </w:r>
      <w:r w:rsidR="001B1D22" w:rsidRPr="007130FE">
        <w:rPr>
          <w:rFonts w:ascii="Times New Roman" w:hAnsi="Times New Roman" w:cs="Times New Roman"/>
          <w:sz w:val="20"/>
          <w:szCs w:val="20"/>
        </w:rPr>
        <w:t xml:space="preserve">, 8 March 2018: </w:t>
      </w:r>
      <w:hyperlink r:id="rId12" w:history="1">
        <w:r w:rsidR="001B1D22" w:rsidRPr="007130FE">
          <w:rPr>
            <w:rStyle w:val="Hyperlink"/>
            <w:rFonts w:ascii="Times New Roman" w:hAnsi="Times New Roman" w:cs="Times New Roman"/>
            <w:sz w:val="20"/>
            <w:szCs w:val="20"/>
          </w:rPr>
          <w:t>https://verfassungsblog.de/why-poland-and-not-hungary/</w:t>
        </w:r>
      </w:hyperlink>
      <w:r w:rsidR="001B1D22" w:rsidRPr="007130FE">
        <w:rPr>
          <w:rFonts w:ascii="Times New Roman" w:hAnsi="Times New Roman" w:cs="Times New Roman"/>
          <w:sz w:val="20"/>
          <w:szCs w:val="20"/>
        </w:rPr>
        <w:t xml:space="preserve">  </w:t>
      </w:r>
    </w:p>
  </w:footnote>
  <w:footnote w:id="75">
    <w:p w14:paraId="06C58737" w14:textId="0DA2F601" w:rsidR="007C399B" w:rsidRPr="007130FE" w:rsidRDefault="007C399B"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European Commission, Proposal for a Council Decision on the determination of a clear risk of a serious breach by the Republic of Poland of the rule of law, 2017/0360 (APP), recital 11. </w:t>
      </w:r>
    </w:p>
  </w:footnote>
  <w:footnote w:id="76">
    <w:p w14:paraId="6DC2C199" w14:textId="5BB89910" w:rsidR="00C66696" w:rsidRPr="007130FE" w:rsidRDefault="00C66696" w:rsidP="007130FE">
      <w:pPr>
        <w:pStyle w:val="FootnoteText"/>
        <w:jc w:val="both"/>
        <w:rPr>
          <w:rFonts w:cs="Times New Roman"/>
          <w:sz w:val="20"/>
          <w:szCs w:val="20"/>
        </w:rPr>
      </w:pPr>
      <w:r w:rsidRPr="007130FE">
        <w:rPr>
          <w:rStyle w:val="FootnoteReference"/>
          <w:rFonts w:cs="Times New Roman"/>
          <w:sz w:val="20"/>
          <w:szCs w:val="20"/>
        </w:rPr>
        <w:footnoteRef/>
      </w:r>
      <w:r w:rsidRPr="007130FE">
        <w:rPr>
          <w:rFonts w:cs="Times New Roman"/>
          <w:sz w:val="20"/>
          <w:szCs w:val="20"/>
        </w:rPr>
        <w:t xml:space="preserve"> </w:t>
      </w:r>
      <w:r w:rsidRPr="007130FE">
        <w:rPr>
          <w:rFonts w:eastAsia="Times New Roman" w:cs="Times New Roman"/>
          <w:sz w:val="20"/>
          <w:szCs w:val="20"/>
        </w:rPr>
        <w:t xml:space="preserve">10 years of the EU Fundamental Rights Agency: a call to action in defence of fundamental rights, democracy and the rule of law, Vienna, 28 February 2017, Speech/17/403.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71E7E" w14:textId="651B7AB4" w:rsidR="00511688" w:rsidRPr="00D25F15" w:rsidRDefault="006E7BEA" w:rsidP="000D2CAC">
    <w:pPr>
      <w:pStyle w:val="Header"/>
      <w:jc w:val="center"/>
      <w:rPr>
        <w:sz w:val="20"/>
      </w:rPr>
    </w:pPr>
    <w:r>
      <w:rPr>
        <w:sz w:val="20"/>
      </w:rPr>
      <w:t>Pre-production version (</w:t>
    </w:r>
    <w:r w:rsidR="00511688">
      <w:rPr>
        <w:sz w:val="20"/>
      </w:rPr>
      <w:t>May 2018</w:t>
    </w:r>
    <w:r>
      <w:rPr>
        <w:sz w:val="20"/>
      </w:rPr>
      <w:t>)</w:t>
    </w:r>
    <w:r w:rsidR="00511688">
      <w:rPr>
        <w:sz w:val="20"/>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1697D"/>
    <w:multiLevelType w:val="hybridMultilevel"/>
    <w:tmpl w:val="C2F48708"/>
    <w:lvl w:ilvl="0" w:tplc="D5164E6E">
      <w:start w:val="1"/>
      <w:numFmt w:val="bullet"/>
      <w:pStyle w:val="Lauren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4229E8"/>
    <w:multiLevelType w:val="hybridMultilevel"/>
    <w:tmpl w:val="E3C0D654"/>
    <w:lvl w:ilvl="0" w:tplc="147AF2B8">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F1D37"/>
    <w:multiLevelType w:val="hybridMultilevel"/>
    <w:tmpl w:val="132E0A96"/>
    <w:lvl w:ilvl="0" w:tplc="75BAE4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F405D"/>
    <w:multiLevelType w:val="hybridMultilevel"/>
    <w:tmpl w:val="03F66D04"/>
    <w:lvl w:ilvl="0" w:tplc="147AF2B8">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81B35"/>
    <w:multiLevelType w:val="hybridMultilevel"/>
    <w:tmpl w:val="005ACFFC"/>
    <w:lvl w:ilvl="0" w:tplc="F5B00DDC">
      <w:start w:val="2"/>
      <w:numFmt w:val="bullet"/>
      <w:lvlText w:val="-"/>
      <w:lvlJc w:val="left"/>
      <w:pPr>
        <w:ind w:left="720" w:hanging="360"/>
      </w:pPr>
      <w:rPr>
        <w:rFonts w:ascii="Times" w:eastAsia="Cambria" w:hAnsi="Times"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EE69EC"/>
    <w:multiLevelType w:val="hybridMultilevel"/>
    <w:tmpl w:val="9196977A"/>
    <w:lvl w:ilvl="0" w:tplc="0190599E">
      <w:start w:val="1"/>
      <w:numFmt w:val="bullet"/>
      <w:pStyle w:val="BOX1-tex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68B81802"/>
    <w:multiLevelType w:val="hybridMultilevel"/>
    <w:tmpl w:val="518C023C"/>
    <w:lvl w:ilvl="0" w:tplc="EF0AFFAE">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E41B01"/>
    <w:multiLevelType w:val="hybridMultilevel"/>
    <w:tmpl w:val="7320F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6F"/>
    <w:rsid w:val="00004ED4"/>
    <w:rsid w:val="000054E2"/>
    <w:rsid w:val="000122BB"/>
    <w:rsid w:val="00015825"/>
    <w:rsid w:val="00040223"/>
    <w:rsid w:val="00042289"/>
    <w:rsid w:val="00066599"/>
    <w:rsid w:val="000679A3"/>
    <w:rsid w:val="00072E63"/>
    <w:rsid w:val="0009120F"/>
    <w:rsid w:val="0009476D"/>
    <w:rsid w:val="00095958"/>
    <w:rsid w:val="000A652F"/>
    <w:rsid w:val="000A6A6F"/>
    <w:rsid w:val="000B0844"/>
    <w:rsid w:val="000B5D3D"/>
    <w:rsid w:val="000C3EF7"/>
    <w:rsid w:val="000D2CAC"/>
    <w:rsid w:val="000E0469"/>
    <w:rsid w:val="00112222"/>
    <w:rsid w:val="0011527A"/>
    <w:rsid w:val="001525D2"/>
    <w:rsid w:val="00153989"/>
    <w:rsid w:val="0015662E"/>
    <w:rsid w:val="0016006D"/>
    <w:rsid w:val="00171E88"/>
    <w:rsid w:val="00172278"/>
    <w:rsid w:val="00175FC6"/>
    <w:rsid w:val="001859CE"/>
    <w:rsid w:val="00191A47"/>
    <w:rsid w:val="001A00B7"/>
    <w:rsid w:val="001B1D22"/>
    <w:rsid w:val="001B4C90"/>
    <w:rsid w:val="001B4D0B"/>
    <w:rsid w:val="001C693A"/>
    <w:rsid w:val="001C6987"/>
    <w:rsid w:val="001C6BA3"/>
    <w:rsid w:val="001D3017"/>
    <w:rsid w:val="00205C7D"/>
    <w:rsid w:val="00214A35"/>
    <w:rsid w:val="002268AA"/>
    <w:rsid w:val="00234633"/>
    <w:rsid w:val="00237147"/>
    <w:rsid w:val="0026447E"/>
    <w:rsid w:val="002760B3"/>
    <w:rsid w:val="0029798A"/>
    <w:rsid w:val="002A63F9"/>
    <w:rsid w:val="002B26E9"/>
    <w:rsid w:val="002C16AD"/>
    <w:rsid w:val="002D3ECB"/>
    <w:rsid w:val="002F1C7B"/>
    <w:rsid w:val="00322DFC"/>
    <w:rsid w:val="00330DAA"/>
    <w:rsid w:val="003339D3"/>
    <w:rsid w:val="00352235"/>
    <w:rsid w:val="003771BB"/>
    <w:rsid w:val="00381507"/>
    <w:rsid w:val="0038592D"/>
    <w:rsid w:val="003B6AB0"/>
    <w:rsid w:val="003F28BC"/>
    <w:rsid w:val="003F4389"/>
    <w:rsid w:val="003F6B6F"/>
    <w:rsid w:val="0040165A"/>
    <w:rsid w:val="00403692"/>
    <w:rsid w:val="00417522"/>
    <w:rsid w:val="0042769B"/>
    <w:rsid w:val="004313E4"/>
    <w:rsid w:val="00431F31"/>
    <w:rsid w:val="004438B8"/>
    <w:rsid w:val="00447D37"/>
    <w:rsid w:val="00455AEE"/>
    <w:rsid w:val="00455E02"/>
    <w:rsid w:val="00456A99"/>
    <w:rsid w:val="00464058"/>
    <w:rsid w:val="0046756E"/>
    <w:rsid w:val="0049150C"/>
    <w:rsid w:val="004A4AC7"/>
    <w:rsid w:val="004A6370"/>
    <w:rsid w:val="004B0E9F"/>
    <w:rsid w:val="004B3AB3"/>
    <w:rsid w:val="004C46AC"/>
    <w:rsid w:val="004F35B2"/>
    <w:rsid w:val="00501A76"/>
    <w:rsid w:val="00503886"/>
    <w:rsid w:val="00511688"/>
    <w:rsid w:val="0052298A"/>
    <w:rsid w:val="00526ECE"/>
    <w:rsid w:val="005323BC"/>
    <w:rsid w:val="00540C98"/>
    <w:rsid w:val="00552FF8"/>
    <w:rsid w:val="00561743"/>
    <w:rsid w:val="00567B5E"/>
    <w:rsid w:val="00572CC7"/>
    <w:rsid w:val="00593DB1"/>
    <w:rsid w:val="00594B9D"/>
    <w:rsid w:val="00596FED"/>
    <w:rsid w:val="005B3690"/>
    <w:rsid w:val="005C1BCF"/>
    <w:rsid w:val="005C4455"/>
    <w:rsid w:val="005D5378"/>
    <w:rsid w:val="005D5711"/>
    <w:rsid w:val="005F2594"/>
    <w:rsid w:val="005F6538"/>
    <w:rsid w:val="006214B9"/>
    <w:rsid w:val="006518C8"/>
    <w:rsid w:val="006903CD"/>
    <w:rsid w:val="006A24D2"/>
    <w:rsid w:val="006A613A"/>
    <w:rsid w:val="006B7BEF"/>
    <w:rsid w:val="006C1126"/>
    <w:rsid w:val="006C4C64"/>
    <w:rsid w:val="006D2F11"/>
    <w:rsid w:val="006E7BEA"/>
    <w:rsid w:val="007130FE"/>
    <w:rsid w:val="0072276E"/>
    <w:rsid w:val="00730DF8"/>
    <w:rsid w:val="007379EB"/>
    <w:rsid w:val="00750170"/>
    <w:rsid w:val="007532FE"/>
    <w:rsid w:val="00757A5F"/>
    <w:rsid w:val="0076006D"/>
    <w:rsid w:val="0076337F"/>
    <w:rsid w:val="007637EE"/>
    <w:rsid w:val="00772436"/>
    <w:rsid w:val="00792118"/>
    <w:rsid w:val="0079653B"/>
    <w:rsid w:val="007A6079"/>
    <w:rsid w:val="007C2189"/>
    <w:rsid w:val="007C399B"/>
    <w:rsid w:val="007D251C"/>
    <w:rsid w:val="007E08A2"/>
    <w:rsid w:val="007E157D"/>
    <w:rsid w:val="007E6526"/>
    <w:rsid w:val="007F1136"/>
    <w:rsid w:val="00802FE3"/>
    <w:rsid w:val="008208E8"/>
    <w:rsid w:val="0083567C"/>
    <w:rsid w:val="008469D6"/>
    <w:rsid w:val="00854DE8"/>
    <w:rsid w:val="00855B1F"/>
    <w:rsid w:val="00856D92"/>
    <w:rsid w:val="00867C40"/>
    <w:rsid w:val="008730BA"/>
    <w:rsid w:val="00877E56"/>
    <w:rsid w:val="00880568"/>
    <w:rsid w:val="008B07F0"/>
    <w:rsid w:val="008B5591"/>
    <w:rsid w:val="008C27E8"/>
    <w:rsid w:val="008C5491"/>
    <w:rsid w:val="008D385A"/>
    <w:rsid w:val="008E24AA"/>
    <w:rsid w:val="008E59E8"/>
    <w:rsid w:val="008F1C3A"/>
    <w:rsid w:val="00902773"/>
    <w:rsid w:val="00916D8C"/>
    <w:rsid w:val="00926837"/>
    <w:rsid w:val="00976912"/>
    <w:rsid w:val="009A1CF8"/>
    <w:rsid w:val="009A36E1"/>
    <w:rsid w:val="009A5EF9"/>
    <w:rsid w:val="009B29A8"/>
    <w:rsid w:val="009B4DD0"/>
    <w:rsid w:val="009E600B"/>
    <w:rsid w:val="009E7B99"/>
    <w:rsid w:val="009F7BC1"/>
    <w:rsid w:val="00A05609"/>
    <w:rsid w:val="00A0776D"/>
    <w:rsid w:val="00A31270"/>
    <w:rsid w:val="00A335FD"/>
    <w:rsid w:val="00A4014C"/>
    <w:rsid w:val="00A428EB"/>
    <w:rsid w:val="00A43377"/>
    <w:rsid w:val="00A65E38"/>
    <w:rsid w:val="00A87CD7"/>
    <w:rsid w:val="00A95033"/>
    <w:rsid w:val="00AA036E"/>
    <w:rsid w:val="00AA4EE0"/>
    <w:rsid w:val="00AA7FEF"/>
    <w:rsid w:val="00AB2569"/>
    <w:rsid w:val="00AB7029"/>
    <w:rsid w:val="00AC121D"/>
    <w:rsid w:val="00AD01BD"/>
    <w:rsid w:val="00AE2E95"/>
    <w:rsid w:val="00AF2A29"/>
    <w:rsid w:val="00AF324E"/>
    <w:rsid w:val="00B04E19"/>
    <w:rsid w:val="00B1329A"/>
    <w:rsid w:val="00B17780"/>
    <w:rsid w:val="00B315CB"/>
    <w:rsid w:val="00B45173"/>
    <w:rsid w:val="00B56CD9"/>
    <w:rsid w:val="00B7168F"/>
    <w:rsid w:val="00B7558F"/>
    <w:rsid w:val="00B80BEE"/>
    <w:rsid w:val="00B845DA"/>
    <w:rsid w:val="00BA41AD"/>
    <w:rsid w:val="00BB306F"/>
    <w:rsid w:val="00BB5E7F"/>
    <w:rsid w:val="00BB6764"/>
    <w:rsid w:val="00BE1D21"/>
    <w:rsid w:val="00BE2BA2"/>
    <w:rsid w:val="00C04E27"/>
    <w:rsid w:val="00C05DB3"/>
    <w:rsid w:val="00C21120"/>
    <w:rsid w:val="00C23142"/>
    <w:rsid w:val="00C2749E"/>
    <w:rsid w:val="00C3105E"/>
    <w:rsid w:val="00C3380E"/>
    <w:rsid w:val="00C52D6C"/>
    <w:rsid w:val="00C55428"/>
    <w:rsid w:val="00C66696"/>
    <w:rsid w:val="00C77E32"/>
    <w:rsid w:val="00C8359C"/>
    <w:rsid w:val="00C85444"/>
    <w:rsid w:val="00C85B63"/>
    <w:rsid w:val="00C95058"/>
    <w:rsid w:val="00CB6596"/>
    <w:rsid w:val="00CC5525"/>
    <w:rsid w:val="00CC57E8"/>
    <w:rsid w:val="00CE1226"/>
    <w:rsid w:val="00CF05CC"/>
    <w:rsid w:val="00D0655A"/>
    <w:rsid w:val="00D31BDC"/>
    <w:rsid w:val="00D44B00"/>
    <w:rsid w:val="00D512F8"/>
    <w:rsid w:val="00D66D2C"/>
    <w:rsid w:val="00D77C08"/>
    <w:rsid w:val="00D82D65"/>
    <w:rsid w:val="00D961C9"/>
    <w:rsid w:val="00DA44FF"/>
    <w:rsid w:val="00DB73EF"/>
    <w:rsid w:val="00DF2B49"/>
    <w:rsid w:val="00E21A26"/>
    <w:rsid w:val="00E21F77"/>
    <w:rsid w:val="00E25CD3"/>
    <w:rsid w:val="00E321CA"/>
    <w:rsid w:val="00E5040F"/>
    <w:rsid w:val="00E9629D"/>
    <w:rsid w:val="00EA3646"/>
    <w:rsid w:val="00EA6670"/>
    <w:rsid w:val="00EB67BA"/>
    <w:rsid w:val="00F2706A"/>
    <w:rsid w:val="00F334C8"/>
    <w:rsid w:val="00F37035"/>
    <w:rsid w:val="00F452D5"/>
    <w:rsid w:val="00F553CC"/>
    <w:rsid w:val="00F638FC"/>
    <w:rsid w:val="00F64E87"/>
    <w:rsid w:val="00F64FD4"/>
    <w:rsid w:val="00F66226"/>
    <w:rsid w:val="00F67CC9"/>
    <w:rsid w:val="00F71C89"/>
    <w:rsid w:val="00F73E5C"/>
    <w:rsid w:val="00F76DC1"/>
    <w:rsid w:val="00F9568F"/>
    <w:rsid w:val="00FB4331"/>
    <w:rsid w:val="00FB7DC3"/>
    <w:rsid w:val="00FD62AC"/>
    <w:rsid w:val="00FE7FA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C26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6B6F"/>
  </w:style>
  <w:style w:type="paragraph" w:styleId="Heading1">
    <w:name w:val="heading 1"/>
    <w:basedOn w:val="Normal"/>
    <w:link w:val="Heading1Char"/>
    <w:uiPriority w:val="9"/>
    <w:qFormat/>
    <w:rsid w:val="00AF324E"/>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B6F"/>
    <w:rPr>
      <w:color w:val="0000FF" w:themeColor="hyperlink"/>
      <w:u w:val="single"/>
    </w:rPr>
  </w:style>
  <w:style w:type="paragraph" w:styleId="ListParagraph">
    <w:name w:val="List Paragraph"/>
    <w:basedOn w:val="Normal"/>
    <w:uiPriority w:val="34"/>
    <w:qFormat/>
    <w:rsid w:val="003F6B6F"/>
    <w:pPr>
      <w:ind w:left="720"/>
      <w:contextualSpacing/>
    </w:pPr>
  </w:style>
  <w:style w:type="paragraph" w:styleId="FootnoteText">
    <w:name w:val="footnote text"/>
    <w:aliases w:val="RSC_WP (footnotes),fn,Footnote ak,Footnotes,ft,Footnote Text Char1,Footnote Text Char Char,fn Char Char,footnote text Char Char,Footnotes Char Char,Footnote ak Char Char,fn Char1,footnote text Char1,Footnotes Char1,fn ca,Footnote ak Char1"/>
    <w:basedOn w:val="Normal"/>
    <w:link w:val="FootnoteTextChar"/>
    <w:uiPriority w:val="99"/>
    <w:qFormat/>
    <w:rsid w:val="003F6B6F"/>
    <w:rPr>
      <w:rFonts w:ascii="Times New Roman" w:eastAsiaTheme="minorHAnsi" w:hAnsi="Times New Roman"/>
    </w:rPr>
  </w:style>
  <w:style w:type="character" w:customStyle="1" w:styleId="FootnoteTextChar">
    <w:name w:val="Footnote Text Char"/>
    <w:aliases w:val="RSC_WP (footnotes) Char,fn Char,Footnote ak Char,Footnotes Char,ft Char,Footnote Text Char1 Char,Footnote Text Char Char Char,fn Char Char Char,footnote text Char Char Char,Footnotes Char Char Char,Footnote ak Char Char Char"/>
    <w:basedOn w:val="DefaultParagraphFont"/>
    <w:link w:val="FootnoteText"/>
    <w:uiPriority w:val="99"/>
    <w:rsid w:val="003F6B6F"/>
    <w:rPr>
      <w:rFonts w:ascii="Times New Roman" w:eastAsiaTheme="minorHAnsi" w:hAnsi="Times New Roman"/>
    </w:rPr>
  </w:style>
  <w:style w:type="character" w:styleId="FootnoteReference">
    <w:name w:val="footnote reference"/>
    <w:aliases w:val="RSC_WP (footnote reference),Ref,de nota al pie,註腳內容,de nota al pie + (Asian) MS Mincho,11 pt,Footnote Reference1,Ref1,de nota al pie1,ftref,Footnote Reference Superscript,BVI fnr,Footnote symbol,Footnote,richiamo note eggsi,footnote"/>
    <w:basedOn w:val="DefaultParagraphFont"/>
    <w:link w:val="FootnotesymbolCarZchn"/>
    <w:qFormat/>
    <w:rsid w:val="003F6B6F"/>
    <w:rPr>
      <w:vertAlign w:val="superscript"/>
    </w:rPr>
  </w:style>
  <w:style w:type="paragraph" w:styleId="Footer">
    <w:name w:val="footer"/>
    <w:basedOn w:val="Normal"/>
    <w:link w:val="FooterChar"/>
    <w:uiPriority w:val="99"/>
    <w:unhideWhenUsed/>
    <w:rsid w:val="003F6B6F"/>
    <w:pPr>
      <w:tabs>
        <w:tab w:val="center" w:pos="4320"/>
        <w:tab w:val="right" w:pos="8640"/>
      </w:tabs>
    </w:pPr>
  </w:style>
  <w:style w:type="character" w:customStyle="1" w:styleId="FooterChar">
    <w:name w:val="Footer Char"/>
    <w:basedOn w:val="DefaultParagraphFont"/>
    <w:link w:val="Footer"/>
    <w:uiPriority w:val="99"/>
    <w:rsid w:val="003F6B6F"/>
  </w:style>
  <w:style w:type="character" w:styleId="PageNumber">
    <w:name w:val="page number"/>
    <w:basedOn w:val="DefaultParagraphFont"/>
    <w:uiPriority w:val="99"/>
    <w:semiHidden/>
    <w:unhideWhenUsed/>
    <w:rsid w:val="003F6B6F"/>
  </w:style>
  <w:style w:type="paragraph" w:styleId="Header">
    <w:name w:val="header"/>
    <w:basedOn w:val="Normal"/>
    <w:link w:val="HeaderChar"/>
    <w:uiPriority w:val="99"/>
    <w:unhideWhenUsed/>
    <w:rsid w:val="003F6B6F"/>
    <w:pPr>
      <w:tabs>
        <w:tab w:val="center" w:pos="4320"/>
        <w:tab w:val="right" w:pos="8640"/>
      </w:tabs>
    </w:pPr>
  </w:style>
  <w:style w:type="character" w:customStyle="1" w:styleId="HeaderChar">
    <w:name w:val="Header Char"/>
    <w:basedOn w:val="DefaultParagraphFont"/>
    <w:link w:val="Header"/>
    <w:uiPriority w:val="99"/>
    <w:rsid w:val="003F6B6F"/>
  </w:style>
  <w:style w:type="paragraph" w:customStyle="1" w:styleId="Laurent">
    <w:name w:val="Laurent"/>
    <w:basedOn w:val="ListParagraph"/>
    <w:qFormat/>
    <w:rsid w:val="003F6B6F"/>
    <w:pPr>
      <w:numPr>
        <w:numId w:val="1"/>
      </w:numPr>
      <w:jc w:val="both"/>
    </w:pPr>
    <w:rPr>
      <w:rFonts w:ascii="Times New Roman" w:hAnsi="Times New Roman"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095958"/>
    <w:pPr>
      <w:spacing w:after="160" w:line="240" w:lineRule="exact"/>
      <w:jc w:val="both"/>
    </w:pPr>
    <w:rPr>
      <w:vertAlign w:val="superscript"/>
    </w:rPr>
  </w:style>
  <w:style w:type="character" w:customStyle="1" w:styleId="5NormalChar">
    <w:name w:val="5 Normal Char"/>
    <w:link w:val="5Normal"/>
    <w:rsid w:val="000D2CAC"/>
    <w:rPr>
      <w:rFonts w:ascii="Verdana" w:hAnsi="Verdana"/>
      <w:lang w:val="en-IE" w:eastAsia="en-GB"/>
    </w:rPr>
  </w:style>
  <w:style w:type="paragraph" w:customStyle="1" w:styleId="5Normal">
    <w:name w:val="5 Normal"/>
    <w:basedOn w:val="Normal"/>
    <w:link w:val="5NormalChar"/>
    <w:rsid w:val="000D2CAC"/>
    <w:pPr>
      <w:spacing w:after="120"/>
      <w:ind w:right="57"/>
      <w:jc w:val="both"/>
    </w:pPr>
    <w:rPr>
      <w:rFonts w:ascii="Verdana" w:hAnsi="Verdana"/>
      <w:lang w:val="en-IE" w:eastAsia="en-GB"/>
    </w:rPr>
  </w:style>
  <w:style w:type="paragraph" w:styleId="NormalWeb">
    <w:name w:val="Normal (Web)"/>
    <w:aliases w:val=" webb"/>
    <w:basedOn w:val="Normal"/>
    <w:uiPriority w:val="99"/>
    <w:rsid w:val="000D2CAC"/>
    <w:pPr>
      <w:spacing w:beforeLines="1" w:afterLines="1"/>
    </w:pPr>
    <w:rPr>
      <w:rFonts w:ascii="Times" w:eastAsiaTheme="minorHAnsi" w:hAnsi="Times" w:cs="Times New Roman"/>
      <w:sz w:val="20"/>
      <w:szCs w:val="20"/>
      <w:lang w:val="en-US"/>
    </w:rPr>
  </w:style>
  <w:style w:type="character" w:styleId="Strong">
    <w:name w:val="Strong"/>
    <w:basedOn w:val="DefaultParagraphFont"/>
    <w:qFormat/>
    <w:rsid w:val="00066599"/>
    <w:rPr>
      <w:b/>
      <w:bCs/>
    </w:rPr>
  </w:style>
  <w:style w:type="paragraph" w:customStyle="1" w:styleId="BOX1-text">
    <w:name w:val="BOX1-text"/>
    <w:basedOn w:val="Normal"/>
    <w:qFormat/>
    <w:rsid w:val="00D44B00"/>
    <w:pPr>
      <w:numPr>
        <w:numId w:val="5"/>
      </w:numPr>
      <w:spacing w:before="120"/>
    </w:pPr>
    <w:rPr>
      <w:rFonts w:ascii="Book Antiqua" w:eastAsia="Times New Roman" w:hAnsi="Book Antiqua" w:cs="Times New Roman"/>
      <w:sz w:val="20"/>
      <w:szCs w:val="20"/>
      <w:lang w:val="fi-FI" w:eastAsia="fi-FI"/>
    </w:rPr>
  </w:style>
  <w:style w:type="character" w:customStyle="1" w:styleId="Hyperlink1">
    <w:name w:val="Hyperlink1"/>
    <w:uiPriority w:val="99"/>
    <w:unhideWhenUsed/>
    <w:rsid w:val="00D44B00"/>
    <w:rPr>
      <w:color w:val="0000FF"/>
      <w:u w:val="single"/>
    </w:rPr>
  </w:style>
  <w:style w:type="paragraph" w:customStyle="1" w:styleId="Default">
    <w:name w:val="Default"/>
    <w:rsid w:val="00447D37"/>
    <w:pPr>
      <w:widowControl w:val="0"/>
      <w:autoSpaceDE w:val="0"/>
      <w:autoSpaceDN w:val="0"/>
      <w:adjustRightInd w:val="0"/>
    </w:pPr>
    <w:rPr>
      <w:rFonts w:ascii="Times New Roman" w:hAnsi="Times New Roman" w:cs="Times New Roman"/>
      <w:color w:val="000000"/>
      <w:lang w:val="en-US"/>
    </w:rPr>
  </w:style>
  <w:style w:type="character" w:styleId="Emphasis">
    <w:name w:val="Emphasis"/>
    <w:basedOn w:val="DefaultParagraphFont"/>
    <w:uiPriority w:val="20"/>
    <w:qFormat/>
    <w:rsid w:val="00C77E32"/>
    <w:rPr>
      <w:i/>
      <w:iCs/>
    </w:rPr>
  </w:style>
  <w:style w:type="character" w:customStyle="1" w:styleId="Heading1Char">
    <w:name w:val="Heading 1 Char"/>
    <w:basedOn w:val="DefaultParagraphFont"/>
    <w:link w:val="Heading1"/>
    <w:uiPriority w:val="9"/>
    <w:rsid w:val="00AF324E"/>
    <w:rPr>
      <w:rFonts w:ascii="Times New Roman" w:eastAsia="Times New Roman" w:hAnsi="Times New Roman" w:cs="Times New Roman"/>
      <w:b/>
      <w:bCs/>
      <w:kern w:val="36"/>
      <w:sz w:val="48"/>
      <w:szCs w:val="48"/>
      <w:lang w:eastAsia="zh-CN"/>
    </w:rPr>
  </w:style>
  <w:style w:type="paragraph" w:styleId="BalloonText">
    <w:name w:val="Balloon Text"/>
    <w:basedOn w:val="Normal"/>
    <w:link w:val="BalloonTextChar"/>
    <w:uiPriority w:val="99"/>
    <w:semiHidden/>
    <w:unhideWhenUsed/>
    <w:rsid w:val="004A63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6370"/>
    <w:rPr>
      <w:rFonts w:ascii="Times New Roman" w:hAnsi="Times New Roman" w:cs="Times New Roman"/>
      <w:sz w:val="18"/>
      <w:szCs w:val="18"/>
    </w:rPr>
  </w:style>
  <w:style w:type="paragraph" w:customStyle="1" w:styleId="p1">
    <w:name w:val="p1"/>
    <w:basedOn w:val="Normal"/>
    <w:rsid w:val="00A65E38"/>
    <w:rPr>
      <w:rFonts w:ascii="Times" w:hAnsi="Times" w:cs="Times New Roman"/>
      <w:sz w:val="17"/>
      <w:szCs w:val="17"/>
      <w:lang w:eastAsia="en-GB"/>
    </w:rPr>
  </w:style>
  <w:style w:type="paragraph" w:customStyle="1" w:styleId="p2">
    <w:name w:val="p2"/>
    <w:basedOn w:val="Normal"/>
    <w:rsid w:val="00175FC6"/>
    <w:rPr>
      <w:rFonts w:ascii="Helvetica" w:hAnsi="Helvetica" w:cs="Times New Roman"/>
      <w:sz w:val="18"/>
      <w:szCs w:val="18"/>
      <w:lang w:eastAsia="en-GB"/>
    </w:rPr>
  </w:style>
  <w:style w:type="character" w:customStyle="1" w:styleId="apple-converted-space">
    <w:name w:val="apple-converted-space"/>
    <w:basedOn w:val="DefaultParagraphFont"/>
    <w:rsid w:val="00175FC6"/>
  </w:style>
  <w:style w:type="paragraph" w:customStyle="1" w:styleId="Paragraphestandard">
    <w:name w:val="[Paragraphe standard]"/>
    <w:basedOn w:val="Normal"/>
    <w:uiPriority w:val="99"/>
    <w:rsid w:val="00855B1F"/>
    <w:pPr>
      <w:widowControl w:val="0"/>
      <w:suppressAutoHyphens/>
      <w:autoSpaceDE w:val="0"/>
      <w:autoSpaceDN w:val="0"/>
      <w:adjustRightInd w:val="0"/>
      <w:spacing w:line="320" w:lineRule="atLeast"/>
      <w:textAlignment w:val="center"/>
    </w:pPr>
    <w:rPr>
      <w:rFonts w:ascii="Arial" w:eastAsia="Cambria" w:hAnsi="Arial" w:cs="Arial"/>
      <w:sz w:val="22"/>
      <w:szCs w:val="22"/>
    </w:rPr>
  </w:style>
  <w:style w:type="paragraph" w:styleId="NoSpacing">
    <w:name w:val="No Spacing"/>
    <w:uiPriority w:val="1"/>
    <w:qFormat/>
    <w:rsid w:val="00880568"/>
  </w:style>
  <w:style w:type="character" w:customStyle="1" w:styleId="s1">
    <w:name w:val="s1"/>
    <w:basedOn w:val="DefaultParagraphFont"/>
    <w:rsid w:val="00792118"/>
    <w:rPr>
      <w:rFonts w:ascii="Helvetica" w:hAnsi="Helvetica" w:hint="default"/>
      <w:sz w:val="17"/>
      <w:szCs w:val="17"/>
    </w:rPr>
  </w:style>
  <w:style w:type="character" w:styleId="FollowedHyperlink">
    <w:name w:val="FollowedHyperlink"/>
    <w:basedOn w:val="DefaultParagraphFont"/>
    <w:uiPriority w:val="99"/>
    <w:semiHidden/>
    <w:unhideWhenUsed/>
    <w:rsid w:val="005C4455"/>
    <w:rPr>
      <w:color w:val="800080" w:themeColor="followedHyperlink"/>
      <w:u w:val="single"/>
    </w:rPr>
  </w:style>
  <w:style w:type="character" w:styleId="CommentReference">
    <w:name w:val="annotation reference"/>
    <w:basedOn w:val="DefaultParagraphFont"/>
    <w:uiPriority w:val="99"/>
    <w:semiHidden/>
    <w:unhideWhenUsed/>
    <w:rsid w:val="00464058"/>
    <w:rPr>
      <w:sz w:val="16"/>
      <w:szCs w:val="16"/>
    </w:rPr>
  </w:style>
  <w:style w:type="paragraph" w:styleId="CommentText">
    <w:name w:val="annotation text"/>
    <w:basedOn w:val="Normal"/>
    <w:link w:val="CommentTextChar"/>
    <w:uiPriority w:val="99"/>
    <w:semiHidden/>
    <w:unhideWhenUsed/>
    <w:rsid w:val="00464058"/>
    <w:rPr>
      <w:sz w:val="20"/>
      <w:szCs w:val="20"/>
    </w:rPr>
  </w:style>
  <w:style w:type="character" w:customStyle="1" w:styleId="CommentTextChar">
    <w:name w:val="Comment Text Char"/>
    <w:basedOn w:val="DefaultParagraphFont"/>
    <w:link w:val="CommentText"/>
    <w:uiPriority w:val="99"/>
    <w:semiHidden/>
    <w:rsid w:val="00464058"/>
    <w:rPr>
      <w:sz w:val="20"/>
      <w:szCs w:val="20"/>
    </w:rPr>
  </w:style>
  <w:style w:type="paragraph" w:styleId="CommentSubject">
    <w:name w:val="annotation subject"/>
    <w:basedOn w:val="CommentText"/>
    <w:next w:val="CommentText"/>
    <w:link w:val="CommentSubjectChar"/>
    <w:uiPriority w:val="99"/>
    <w:semiHidden/>
    <w:unhideWhenUsed/>
    <w:rsid w:val="00464058"/>
    <w:rPr>
      <w:b/>
      <w:bCs/>
    </w:rPr>
  </w:style>
  <w:style w:type="character" w:customStyle="1" w:styleId="CommentSubjectChar">
    <w:name w:val="Comment Subject Char"/>
    <w:basedOn w:val="CommentTextChar"/>
    <w:link w:val="CommentSubject"/>
    <w:uiPriority w:val="99"/>
    <w:semiHidden/>
    <w:rsid w:val="00464058"/>
    <w:rPr>
      <w:b/>
      <w:bCs/>
      <w:sz w:val="20"/>
      <w:szCs w:val="20"/>
    </w:rPr>
  </w:style>
  <w:style w:type="character" w:customStyle="1" w:styleId="st">
    <w:name w:val="st"/>
    <w:basedOn w:val="DefaultParagraphFont"/>
    <w:rsid w:val="008E59E8"/>
  </w:style>
  <w:style w:type="paragraph" w:customStyle="1" w:styleId="xmsonormal">
    <w:name w:val="x_msonormal"/>
    <w:basedOn w:val="Normal"/>
    <w:rsid w:val="0015662E"/>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4673">
      <w:bodyDiv w:val="1"/>
      <w:marLeft w:val="0"/>
      <w:marRight w:val="0"/>
      <w:marTop w:val="0"/>
      <w:marBottom w:val="0"/>
      <w:divBdr>
        <w:top w:val="none" w:sz="0" w:space="0" w:color="auto"/>
        <w:left w:val="none" w:sz="0" w:space="0" w:color="auto"/>
        <w:bottom w:val="none" w:sz="0" w:space="0" w:color="auto"/>
        <w:right w:val="none" w:sz="0" w:space="0" w:color="auto"/>
      </w:divBdr>
    </w:div>
    <w:div w:id="210966617">
      <w:bodyDiv w:val="1"/>
      <w:marLeft w:val="0"/>
      <w:marRight w:val="0"/>
      <w:marTop w:val="0"/>
      <w:marBottom w:val="0"/>
      <w:divBdr>
        <w:top w:val="none" w:sz="0" w:space="0" w:color="auto"/>
        <w:left w:val="none" w:sz="0" w:space="0" w:color="auto"/>
        <w:bottom w:val="none" w:sz="0" w:space="0" w:color="auto"/>
        <w:right w:val="none" w:sz="0" w:space="0" w:color="auto"/>
      </w:divBdr>
    </w:div>
    <w:div w:id="227501157">
      <w:bodyDiv w:val="1"/>
      <w:marLeft w:val="0"/>
      <w:marRight w:val="0"/>
      <w:marTop w:val="0"/>
      <w:marBottom w:val="0"/>
      <w:divBdr>
        <w:top w:val="none" w:sz="0" w:space="0" w:color="auto"/>
        <w:left w:val="none" w:sz="0" w:space="0" w:color="auto"/>
        <w:bottom w:val="none" w:sz="0" w:space="0" w:color="auto"/>
        <w:right w:val="none" w:sz="0" w:space="0" w:color="auto"/>
      </w:divBdr>
    </w:div>
    <w:div w:id="395974718">
      <w:bodyDiv w:val="1"/>
      <w:marLeft w:val="0"/>
      <w:marRight w:val="0"/>
      <w:marTop w:val="0"/>
      <w:marBottom w:val="0"/>
      <w:divBdr>
        <w:top w:val="none" w:sz="0" w:space="0" w:color="auto"/>
        <w:left w:val="none" w:sz="0" w:space="0" w:color="auto"/>
        <w:bottom w:val="none" w:sz="0" w:space="0" w:color="auto"/>
        <w:right w:val="none" w:sz="0" w:space="0" w:color="auto"/>
      </w:divBdr>
    </w:div>
    <w:div w:id="550070364">
      <w:bodyDiv w:val="1"/>
      <w:marLeft w:val="0"/>
      <w:marRight w:val="0"/>
      <w:marTop w:val="0"/>
      <w:marBottom w:val="0"/>
      <w:divBdr>
        <w:top w:val="none" w:sz="0" w:space="0" w:color="auto"/>
        <w:left w:val="none" w:sz="0" w:space="0" w:color="auto"/>
        <w:bottom w:val="none" w:sz="0" w:space="0" w:color="auto"/>
        <w:right w:val="none" w:sz="0" w:space="0" w:color="auto"/>
      </w:divBdr>
    </w:div>
    <w:div w:id="595291824">
      <w:bodyDiv w:val="1"/>
      <w:marLeft w:val="0"/>
      <w:marRight w:val="0"/>
      <w:marTop w:val="0"/>
      <w:marBottom w:val="0"/>
      <w:divBdr>
        <w:top w:val="none" w:sz="0" w:space="0" w:color="auto"/>
        <w:left w:val="none" w:sz="0" w:space="0" w:color="auto"/>
        <w:bottom w:val="none" w:sz="0" w:space="0" w:color="auto"/>
        <w:right w:val="none" w:sz="0" w:space="0" w:color="auto"/>
      </w:divBdr>
    </w:div>
    <w:div w:id="923225379">
      <w:bodyDiv w:val="1"/>
      <w:marLeft w:val="0"/>
      <w:marRight w:val="0"/>
      <w:marTop w:val="0"/>
      <w:marBottom w:val="0"/>
      <w:divBdr>
        <w:top w:val="none" w:sz="0" w:space="0" w:color="auto"/>
        <w:left w:val="none" w:sz="0" w:space="0" w:color="auto"/>
        <w:bottom w:val="none" w:sz="0" w:space="0" w:color="auto"/>
        <w:right w:val="none" w:sz="0" w:space="0" w:color="auto"/>
      </w:divBdr>
    </w:div>
    <w:div w:id="991640415">
      <w:bodyDiv w:val="1"/>
      <w:marLeft w:val="0"/>
      <w:marRight w:val="0"/>
      <w:marTop w:val="0"/>
      <w:marBottom w:val="0"/>
      <w:divBdr>
        <w:top w:val="none" w:sz="0" w:space="0" w:color="auto"/>
        <w:left w:val="none" w:sz="0" w:space="0" w:color="auto"/>
        <w:bottom w:val="none" w:sz="0" w:space="0" w:color="auto"/>
        <w:right w:val="none" w:sz="0" w:space="0" w:color="auto"/>
      </w:divBdr>
    </w:div>
    <w:div w:id="1305810772">
      <w:bodyDiv w:val="1"/>
      <w:marLeft w:val="0"/>
      <w:marRight w:val="0"/>
      <w:marTop w:val="0"/>
      <w:marBottom w:val="0"/>
      <w:divBdr>
        <w:top w:val="none" w:sz="0" w:space="0" w:color="auto"/>
        <w:left w:val="none" w:sz="0" w:space="0" w:color="auto"/>
        <w:bottom w:val="none" w:sz="0" w:space="0" w:color="auto"/>
        <w:right w:val="none" w:sz="0" w:space="0" w:color="auto"/>
      </w:divBdr>
    </w:div>
    <w:div w:id="1323702601">
      <w:bodyDiv w:val="1"/>
      <w:marLeft w:val="0"/>
      <w:marRight w:val="0"/>
      <w:marTop w:val="0"/>
      <w:marBottom w:val="0"/>
      <w:divBdr>
        <w:top w:val="none" w:sz="0" w:space="0" w:color="auto"/>
        <w:left w:val="none" w:sz="0" w:space="0" w:color="auto"/>
        <w:bottom w:val="none" w:sz="0" w:space="0" w:color="auto"/>
        <w:right w:val="none" w:sz="0" w:space="0" w:color="auto"/>
      </w:divBdr>
    </w:div>
    <w:div w:id="1351833600">
      <w:bodyDiv w:val="1"/>
      <w:marLeft w:val="0"/>
      <w:marRight w:val="0"/>
      <w:marTop w:val="0"/>
      <w:marBottom w:val="0"/>
      <w:divBdr>
        <w:top w:val="none" w:sz="0" w:space="0" w:color="auto"/>
        <w:left w:val="none" w:sz="0" w:space="0" w:color="auto"/>
        <w:bottom w:val="none" w:sz="0" w:space="0" w:color="auto"/>
        <w:right w:val="none" w:sz="0" w:space="0" w:color="auto"/>
      </w:divBdr>
    </w:div>
    <w:div w:id="1393310638">
      <w:bodyDiv w:val="1"/>
      <w:marLeft w:val="0"/>
      <w:marRight w:val="0"/>
      <w:marTop w:val="0"/>
      <w:marBottom w:val="0"/>
      <w:divBdr>
        <w:top w:val="none" w:sz="0" w:space="0" w:color="auto"/>
        <w:left w:val="none" w:sz="0" w:space="0" w:color="auto"/>
        <w:bottom w:val="none" w:sz="0" w:space="0" w:color="auto"/>
        <w:right w:val="none" w:sz="0" w:space="0" w:color="auto"/>
      </w:divBdr>
    </w:div>
    <w:div w:id="1539003367">
      <w:bodyDiv w:val="1"/>
      <w:marLeft w:val="0"/>
      <w:marRight w:val="0"/>
      <w:marTop w:val="0"/>
      <w:marBottom w:val="0"/>
      <w:divBdr>
        <w:top w:val="none" w:sz="0" w:space="0" w:color="auto"/>
        <w:left w:val="none" w:sz="0" w:space="0" w:color="auto"/>
        <w:bottom w:val="none" w:sz="0" w:space="0" w:color="auto"/>
        <w:right w:val="none" w:sz="0" w:space="0" w:color="auto"/>
      </w:divBdr>
    </w:div>
    <w:div w:id="1542858612">
      <w:bodyDiv w:val="1"/>
      <w:marLeft w:val="0"/>
      <w:marRight w:val="0"/>
      <w:marTop w:val="0"/>
      <w:marBottom w:val="0"/>
      <w:divBdr>
        <w:top w:val="none" w:sz="0" w:space="0" w:color="auto"/>
        <w:left w:val="none" w:sz="0" w:space="0" w:color="auto"/>
        <w:bottom w:val="none" w:sz="0" w:space="0" w:color="auto"/>
        <w:right w:val="none" w:sz="0" w:space="0" w:color="auto"/>
      </w:divBdr>
    </w:div>
    <w:div w:id="20769750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mea01.safelinks.protection.outlook.com/?url=https%3A%2F%2Fwww.reconnect-europe.eu%2F&amp;data=02%7C01%7CL.Pech%40mdx.ac.uk%7C58c5b2451282423d155808d655ea5ba5%7C38e37b88a3a148cf9f056537427fed24%7C0%7C0%7C636790862389342873&amp;sdata=f%2FyegBO7tka9i8JqgOZpr18z9h2hfIz3PxLfAsRUjEs%3D&amp;reserved=0" TargetMode="External"/><Relationship Id="rId8" Type="http://schemas.openxmlformats.org/officeDocument/2006/relationships/hyperlink" Target="https://emea01.safelinks.protection.outlook.com/?url=https%3A%2F%2Fverfassungsblog.de%2Fauthor%2Flaurent-pech%2F&amp;data=02%7C01%7CL.Pech%40mdx.ac.uk%7C58c5b2451282423d155808d655ea5ba5%7C38e37b88a3a148cf9f056537427fed24%7C0%7C0%7C636790862389342873&amp;sdata=BNv6AEeIlqUciLbHhxxCkTZQyrzgRh6fiFigAu1KkCk%3D&amp;reserved=0" TargetMode="External"/><Relationship Id="rId9" Type="http://schemas.openxmlformats.org/officeDocument/2006/relationships/image" Target="media/image1.png"/><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1" Type="http://schemas.openxmlformats.org/officeDocument/2006/relationships/hyperlink" Target="http://fra.europa.eu/en/speech/2015/fundamental-values-and-rule-law" TargetMode="External"/><Relationship Id="rId12" Type="http://schemas.openxmlformats.org/officeDocument/2006/relationships/hyperlink" Target="https://verfassungsblog.de/why-poland-and-not-hungary/" TargetMode="External"/><Relationship Id="rId1" Type="http://schemas.openxmlformats.org/officeDocument/2006/relationships/hyperlink" Target="http://eulawanalysis.blogspot.co.uk/2017/12/the-european-commissions-activation-of.html" TargetMode="External"/><Relationship Id="rId2" Type="http://schemas.openxmlformats.org/officeDocument/2006/relationships/hyperlink" Target="https://jeanmonnetprogram.org/paper/the-rule-of-law-as-a-constitutional-principle-of-the-european-union/" TargetMode="External"/><Relationship Id="rId3" Type="http://schemas.openxmlformats.org/officeDocument/2006/relationships/hyperlink" Target="http://cadmus.eui.eu/handle/1814/28658" TargetMode="External"/><Relationship Id="rId4" Type="http://schemas.openxmlformats.org/officeDocument/2006/relationships/hyperlink" Target="http://fra.europa.eu/en/publication/2016/handbook-european-law-relating-access-justice" TargetMode="External"/><Relationship Id="rId5" Type="http://schemas.openxmlformats.org/officeDocument/2006/relationships/hyperlink" Target="http://fra.europa.eu/en/event/2013/fra-symposium-promoting-rule-law-eu" TargetMode="External"/><Relationship Id="rId6" Type="http://schemas.openxmlformats.org/officeDocument/2006/relationships/hyperlink" Target="http://fra.europa.eu/en/speech/2013/opening-speech-morten-kjaerum-fra-symposium-promoting-rule-law-eu" TargetMode="External"/><Relationship Id="rId7" Type="http://schemas.openxmlformats.org/officeDocument/2006/relationships/hyperlink" Target="http://fra.europa.eu/en/publication/2014/fundamental-rights-challenges-and-achievements-2013-annual-report-2013" TargetMode="External"/><Relationship Id="rId8" Type="http://schemas.openxmlformats.org/officeDocument/2006/relationships/hyperlink" Target="http://fra.europa.eu/en/opinion/2016/fra-opinion-eu-shared-values-tool" TargetMode="External"/><Relationship Id="rId9" Type="http://schemas.openxmlformats.org/officeDocument/2006/relationships/hyperlink" Target="https://www.liberties.eu/en/news/european-parliament-protect-eu-values/6831" TargetMode="External"/><Relationship Id="rId10" Type="http://schemas.openxmlformats.org/officeDocument/2006/relationships/hyperlink" Target="http://fra.europa.eu/en/speech/2015/fra-director-speaks-fundamental-rights-achievements-and-challenges-european-parlia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15</Pages>
  <Words>5499</Words>
  <Characters>31350</Characters>
  <Application>Microsoft Macintosh Word</Application>
  <DocSecurity>0</DocSecurity>
  <Lines>261</Lines>
  <Paragraphs>73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This has not however prevented the FRA from producing reports on issues which co</vt:lpstr>
      <vt:lpstr/>
      <vt:lpstr>Linked to this, the FRA 2013 Annual Report directly commented upon the Commissio</vt:lpstr>
      <vt:lpstr/>
    </vt:vector>
  </TitlesOfParts>
  <Company>middlesex university</Company>
  <LinksUpToDate>false</LinksUpToDate>
  <CharactersWithSpaces>36776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Pech</dc:creator>
  <cp:keywords/>
  <dc:description/>
  <cp:lastModifiedBy>Laurent Pech</cp:lastModifiedBy>
  <cp:revision>11</cp:revision>
  <dcterms:created xsi:type="dcterms:W3CDTF">2018-05-28T08:10:00Z</dcterms:created>
  <dcterms:modified xsi:type="dcterms:W3CDTF">2019-11-28T15:36:00Z</dcterms:modified>
</cp:coreProperties>
</file>