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2F431" w14:textId="77777777" w:rsidR="000405C1" w:rsidRPr="00877BDE" w:rsidRDefault="000405C1" w:rsidP="000405C1">
      <w:pPr>
        <w:pStyle w:val="BodyText"/>
        <w:spacing w:line="360" w:lineRule="auto"/>
        <w:jc w:val="center"/>
        <w:rPr>
          <w:rFonts w:eastAsia="Arial Unicode MS"/>
          <w:b/>
          <w:lang w:val="en-US"/>
        </w:rPr>
      </w:pPr>
      <w:r w:rsidRPr="00877BDE">
        <w:rPr>
          <w:rFonts w:eastAsia="Arial Unicode MS"/>
          <w:b/>
          <w:lang w:val="en-US"/>
        </w:rPr>
        <w:t xml:space="preserve">The Architectural Patronage of the Fāṭimid Queen-Mother Durzān (d. 385/995): an interdisciplinary analysis of literary sources, material evidence and historical context </w:t>
      </w:r>
    </w:p>
    <w:p w14:paraId="095EC742" w14:textId="77777777" w:rsidR="000405C1" w:rsidRPr="00877BDE" w:rsidRDefault="000405C1" w:rsidP="000405C1">
      <w:pPr>
        <w:pStyle w:val="BodyText"/>
        <w:spacing w:line="360" w:lineRule="auto"/>
        <w:jc w:val="center"/>
        <w:rPr>
          <w:rFonts w:eastAsia="Arial Unicode MS"/>
          <w:b/>
          <w:bCs/>
          <w:lang w:val="en-US"/>
        </w:rPr>
      </w:pPr>
      <w:r w:rsidRPr="00877BDE">
        <w:rPr>
          <w:rFonts w:eastAsia="Arial Unicode MS"/>
          <w:lang w:val="en-US"/>
        </w:rPr>
        <w:t>Simonetta Calderini (Roehampton University, London) and Delia Cortese (Middlesex University, London)</w:t>
      </w:r>
    </w:p>
    <w:p w14:paraId="140EDF15" w14:textId="77777777" w:rsidR="000405C1" w:rsidRPr="00877BDE" w:rsidRDefault="000405C1" w:rsidP="000405C1">
      <w:pPr>
        <w:pStyle w:val="BodyText"/>
        <w:spacing w:line="360" w:lineRule="auto"/>
        <w:jc w:val="both"/>
        <w:rPr>
          <w:rFonts w:eastAsia="Arial Unicode MS"/>
          <w:lang w:val="en-US"/>
        </w:rPr>
      </w:pPr>
    </w:p>
    <w:p w14:paraId="1990F3A3" w14:textId="77777777" w:rsidR="000405C1" w:rsidRPr="00877BDE" w:rsidRDefault="000405C1" w:rsidP="000405C1">
      <w:pPr>
        <w:pStyle w:val="BodyText"/>
        <w:spacing w:line="360" w:lineRule="auto"/>
        <w:jc w:val="both"/>
        <w:rPr>
          <w:rFonts w:eastAsia="Arial Unicode MS"/>
          <w:b/>
          <w:bCs/>
          <w:sz w:val="22"/>
          <w:szCs w:val="22"/>
          <w:lang w:val="en-US"/>
        </w:rPr>
      </w:pPr>
      <w:r w:rsidRPr="00877BDE">
        <w:rPr>
          <w:rFonts w:eastAsia="Arial Unicode MS"/>
          <w:sz w:val="22"/>
          <w:szCs w:val="22"/>
          <w:lang w:val="en-US"/>
        </w:rPr>
        <w:t>The mother of the fifth Fāṭimid imām-caliph al-‘Azīz (r. 365-386/975-996) is described by most writers as an Arab slave named Durzān (d.385/995),</w:t>
      </w:r>
      <w:r w:rsidRPr="00877BDE">
        <w:rPr>
          <w:rStyle w:val="FootnoteReference"/>
          <w:rFonts w:eastAsia="Arial Unicode MS"/>
          <w:sz w:val="22"/>
          <w:szCs w:val="22"/>
          <w:lang w:val="en-US"/>
        </w:rPr>
        <w:footnoteReference w:id="1"/>
      </w:r>
      <w:r w:rsidRPr="00877BDE">
        <w:rPr>
          <w:rFonts w:eastAsia="Arial Unicode MS"/>
          <w:sz w:val="22"/>
          <w:szCs w:val="22"/>
          <w:lang w:val="en-US"/>
        </w:rPr>
        <w:t xml:space="preserve"> known as </w:t>
      </w:r>
      <w:r w:rsidRPr="00877BDE">
        <w:rPr>
          <w:rFonts w:eastAsia="Arial Unicode MS"/>
          <w:i/>
          <w:sz w:val="22"/>
          <w:szCs w:val="22"/>
          <w:lang w:val="en-US"/>
        </w:rPr>
        <w:t>taghrīd</w:t>
      </w:r>
      <w:r w:rsidRPr="00877BDE">
        <w:rPr>
          <w:rFonts w:eastAsia="Arial Unicode MS"/>
          <w:sz w:val="22"/>
          <w:szCs w:val="22"/>
          <w:lang w:val="en-US"/>
        </w:rPr>
        <w:t xml:space="preserve"> (lit. twittering) because of her beautiful voice.</w:t>
      </w:r>
      <w:r w:rsidRPr="00877BDE">
        <w:rPr>
          <w:rStyle w:val="FootnoteReference"/>
          <w:rFonts w:eastAsia="Arial Unicode MS"/>
          <w:sz w:val="22"/>
          <w:szCs w:val="22"/>
          <w:lang w:val="en-US"/>
        </w:rPr>
        <w:footnoteReference w:id="2"/>
      </w:r>
      <w:r w:rsidRPr="00877BDE">
        <w:rPr>
          <w:rFonts w:eastAsia="Arial Unicode MS"/>
          <w:sz w:val="22"/>
          <w:szCs w:val="22"/>
          <w:lang w:val="en-US"/>
        </w:rPr>
        <w:t xml:space="preserve"> Rather than as a singer, Durzān’s legacy is primarily that of an architectural patroness.  Her patronage spans a period of more than twenty years, at first marked by significant dates in her role as mother of the heir apparent al-‘Azīz, and flourishing as queen mother after the death in 365/975 of her consort, the imam-caliph al-Mu‘izz. She was to be the first of a number of high-ranking women during the Fāṭimid era, whose architectural patronage, recorded mainly by literary sources, but also by a few material ones, served varied dynastic purposes: genealogical, political and economical.</w:t>
      </w:r>
      <w:r w:rsidRPr="00877BDE">
        <w:rPr>
          <w:rStyle w:val="FootnoteReference"/>
          <w:rFonts w:eastAsia="Arial Unicode MS"/>
          <w:sz w:val="22"/>
          <w:szCs w:val="22"/>
          <w:lang w:val="en-US"/>
        </w:rPr>
        <w:footnoteReference w:id="3"/>
      </w:r>
    </w:p>
    <w:p w14:paraId="68DF60DF" w14:textId="77777777" w:rsidR="000405C1" w:rsidRPr="00877BDE" w:rsidRDefault="000405C1" w:rsidP="000405C1">
      <w:pPr>
        <w:pStyle w:val="BodyText"/>
        <w:spacing w:line="360" w:lineRule="auto"/>
        <w:ind w:firstLine="720"/>
        <w:jc w:val="both"/>
        <w:rPr>
          <w:rFonts w:eastAsia="Arial Unicode MS"/>
          <w:b/>
          <w:bCs/>
          <w:sz w:val="22"/>
          <w:szCs w:val="22"/>
          <w:lang w:val="en-US"/>
        </w:rPr>
      </w:pPr>
      <w:r w:rsidRPr="00877BDE">
        <w:rPr>
          <w:rFonts w:eastAsia="Arial Unicode MS"/>
          <w:sz w:val="22"/>
          <w:szCs w:val="22"/>
          <w:lang w:val="en-US"/>
        </w:rPr>
        <w:t xml:space="preserve">The first part of this paper will focus on the significance and meanings of the literary and material evidence relating to the buildings whose sponsorship has been ascribed to Durzān. Two buildings in particular will be discussed, typically dated as the first and the last to be commissioned by her. The first is the pavilion known as Manāzil al-‘Izz, no longer extant but the existence of which is attested in literary sources. The second is a building that has been presumed to be a mausoleum on the basis of a sole piece of evidence, consisting of a slab discovered in an area in the vicinity of Fusṭāṭ </w:t>
      </w:r>
      <w:r w:rsidRPr="00877BDE">
        <w:rPr>
          <w:rFonts w:eastAsia="Arial Unicode MS"/>
          <w:sz w:val="22"/>
          <w:szCs w:val="22"/>
          <w:lang w:val="en-US"/>
        </w:rPr>
        <w:lastRenderedPageBreak/>
        <w:t xml:space="preserve">called Isṭabl ‘Antar. So far this artefact constitutes the only surviving epigraphic and material evidence of her sponsorship. The second part of this paper will be devoted to two of Durzān’s major architectural works: the mosque of al-Qarāfa and the </w:t>
      </w:r>
      <w:r w:rsidRPr="00877BDE">
        <w:rPr>
          <w:rFonts w:eastAsia="Arial Unicode MS"/>
          <w:i/>
          <w:sz w:val="22"/>
          <w:szCs w:val="22"/>
          <w:lang w:val="en-US"/>
        </w:rPr>
        <w:t>qaṣr</w:t>
      </w:r>
      <w:r w:rsidRPr="00877BDE">
        <w:rPr>
          <w:rFonts w:eastAsia="Arial Unicode MS"/>
          <w:sz w:val="22"/>
          <w:szCs w:val="22"/>
          <w:lang w:val="en-US"/>
        </w:rPr>
        <w:t xml:space="preserve"> (fortress, citadel). Durzān’s contribution to the landscaping of Fusṭāṭ will be appraised in light of a contextualised analysis of the political, social and economic climates that prevailed in Egypt at the time of her building activity. In sum, the overall aim of this study is to assess the contribution and limitations of the sources at our disposal with reference to Durzān’s architectural patronage and to critically evaluate, through the use of interdisciplinary interpretative tools, the varied purposes her buildings might have served. </w:t>
      </w:r>
    </w:p>
    <w:p w14:paraId="5C942EBD" w14:textId="77777777" w:rsidR="000405C1" w:rsidRPr="00877BDE" w:rsidRDefault="000405C1" w:rsidP="000405C1">
      <w:pPr>
        <w:pStyle w:val="BodyText"/>
        <w:spacing w:line="360" w:lineRule="auto"/>
        <w:jc w:val="both"/>
        <w:rPr>
          <w:rFonts w:eastAsia="Arial Unicode MS"/>
          <w:b/>
          <w:sz w:val="22"/>
          <w:szCs w:val="22"/>
          <w:lang w:val="en-US"/>
        </w:rPr>
      </w:pPr>
    </w:p>
    <w:p w14:paraId="3BD1FFCC" w14:textId="77777777" w:rsidR="000405C1" w:rsidRPr="00877BDE" w:rsidRDefault="000405C1" w:rsidP="000405C1">
      <w:pPr>
        <w:pStyle w:val="BodyText"/>
        <w:spacing w:line="360" w:lineRule="auto"/>
        <w:jc w:val="both"/>
        <w:rPr>
          <w:rFonts w:eastAsia="Arial Unicode MS"/>
          <w:b/>
          <w:bCs/>
          <w:sz w:val="22"/>
          <w:szCs w:val="22"/>
          <w:lang w:val="en-US"/>
        </w:rPr>
      </w:pPr>
      <w:r w:rsidRPr="00877BDE">
        <w:rPr>
          <w:rFonts w:eastAsia="Arial Unicode MS"/>
          <w:b/>
          <w:sz w:val="22"/>
          <w:szCs w:val="22"/>
          <w:lang w:val="en-US"/>
        </w:rPr>
        <w:t>The buildings ascribed to Durzān</w:t>
      </w:r>
    </w:p>
    <w:p w14:paraId="024F079C" w14:textId="77777777" w:rsidR="000405C1" w:rsidRPr="00877BDE" w:rsidRDefault="000405C1" w:rsidP="000405C1">
      <w:pPr>
        <w:pStyle w:val="BodyText"/>
        <w:spacing w:line="360" w:lineRule="auto"/>
        <w:jc w:val="both"/>
        <w:rPr>
          <w:rFonts w:eastAsia="Arial Unicode MS"/>
          <w:sz w:val="22"/>
          <w:szCs w:val="22"/>
          <w:lang w:val="en-US"/>
        </w:rPr>
      </w:pPr>
      <w:r w:rsidRPr="00877BDE">
        <w:rPr>
          <w:rFonts w:eastAsia="Arial Unicode MS"/>
          <w:sz w:val="22"/>
          <w:szCs w:val="22"/>
          <w:lang w:val="en-US"/>
        </w:rPr>
        <w:t>A list of buildings attributed to Durzān, arranged according to location, was first compiled in 1974 by the historian of Egypt Yūsuf Rāghib.</w:t>
      </w:r>
      <w:r w:rsidRPr="00877BDE">
        <w:rPr>
          <w:rStyle w:val="FootnoteReference"/>
          <w:rFonts w:eastAsia="Arial Unicode MS"/>
          <w:sz w:val="22"/>
          <w:szCs w:val="22"/>
          <w:lang w:val="en-US"/>
        </w:rPr>
        <w:footnoteReference w:id="4"/>
      </w:r>
      <w:r w:rsidRPr="00877BDE">
        <w:rPr>
          <w:rFonts w:eastAsia="Arial Unicode MS"/>
          <w:sz w:val="22"/>
          <w:szCs w:val="22"/>
          <w:lang w:val="en-US"/>
        </w:rPr>
        <w:t xml:space="preserve"> Below is a tentative chronological list of the architectural works she sponsored, based on data provided primarily by </w:t>
      </w:r>
      <w:r w:rsidRPr="00877BDE">
        <w:rPr>
          <w:rFonts w:eastAsia="Arial Unicode MS"/>
          <w:iCs/>
          <w:sz w:val="22"/>
          <w:szCs w:val="22"/>
          <w:lang w:val="en-US"/>
        </w:rPr>
        <w:t xml:space="preserve">the Mamlūk historian al-Maqrīzī </w:t>
      </w:r>
      <w:r w:rsidRPr="00877BDE">
        <w:rPr>
          <w:rFonts w:eastAsia="Arial Unicode MS"/>
          <w:sz w:val="22"/>
          <w:szCs w:val="22"/>
          <w:lang w:val="en-US"/>
        </w:rPr>
        <w:t xml:space="preserve">(d. 845/1442) </w:t>
      </w:r>
      <w:r w:rsidRPr="00877BDE">
        <w:rPr>
          <w:rFonts w:eastAsia="Arial Unicode MS"/>
          <w:iCs/>
          <w:sz w:val="22"/>
          <w:szCs w:val="22"/>
          <w:lang w:val="en-US"/>
        </w:rPr>
        <w:t>but also by earlier historians such as Ibn Muyassar (d. 677/1278), Ibn Duqmāq (</w:t>
      </w:r>
      <w:r w:rsidRPr="00877BDE">
        <w:rPr>
          <w:rFonts w:eastAsia="Arial Unicode MS"/>
          <w:sz w:val="22"/>
          <w:szCs w:val="22"/>
          <w:lang w:val="en-US"/>
        </w:rPr>
        <w:t>d. 809/1407)</w:t>
      </w:r>
      <w:r w:rsidRPr="00877BDE">
        <w:rPr>
          <w:rFonts w:eastAsia="Arial Unicode MS"/>
          <w:iCs/>
          <w:sz w:val="22"/>
          <w:szCs w:val="22"/>
          <w:lang w:val="en-US"/>
        </w:rPr>
        <w:t>, and al-Qalqashandī  (d. 821/1418), to name only a few</w:t>
      </w:r>
      <w:r w:rsidRPr="00877BDE">
        <w:rPr>
          <w:rFonts w:eastAsia="Arial Unicode MS"/>
          <w:sz w:val="22"/>
          <w:szCs w:val="22"/>
          <w:lang w:val="en-US"/>
        </w:rPr>
        <w:t xml:space="preserve">.   </w:t>
      </w:r>
    </w:p>
    <w:p w14:paraId="2CE39EA0" w14:textId="77777777" w:rsidR="000405C1" w:rsidRPr="00877BDE" w:rsidRDefault="000405C1" w:rsidP="000405C1">
      <w:pPr>
        <w:widowControl w:val="0"/>
        <w:autoSpaceDE w:val="0"/>
        <w:autoSpaceDN w:val="0"/>
        <w:adjustRightInd w:val="0"/>
        <w:spacing w:line="360" w:lineRule="auto"/>
        <w:ind w:left="1440" w:hanging="1440"/>
        <w:rPr>
          <w:rFonts w:eastAsia="Arial Unicode MS"/>
          <w:sz w:val="22"/>
          <w:szCs w:val="22"/>
          <w:lang w:val="en-US"/>
        </w:rPr>
      </w:pPr>
      <w:r w:rsidRPr="00877BDE">
        <w:rPr>
          <w:rFonts w:eastAsia="Arial Unicode MS"/>
          <w:sz w:val="22"/>
          <w:szCs w:val="22"/>
          <w:lang w:val="en-US"/>
        </w:rPr>
        <w:t>363-5/ 973-5</w:t>
      </w:r>
      <w:r w:rsidRPr="00877BDE" w:rsidDel="0081132F">
        <w:rPr>
          <w:rFonts w:eastAsia="Arial Unicode MS"/>
          <w:sz w:val="22"/>
          <w:szCs w:val="22"/>
          <w:lang w:val="en-US"/>
        </w:rPr>
        <w:tab/>
      </w:r>
      <w:r w:rsidRPr="00877BDE">
        <w:rPr>
          <w:rFonts w:eastAsia="Arial Unicode MS"/>
          <w:sz w:val="22"/>
          <w:szCs w:val="22"/>
          <w:lang w:val="en-US"/>
        </w:rPr>
        <w:t>Manāzil al-‘Izz in Fusṭāṭ.</w:t>
      </w:r>
      <w:r w:rsidRPr="00877BDE">
        <w:rPr>
          <w:rStyle w:val="FootnoteReference"/>
          <w:rFonts w:eastAsia="Arial Unicode MS"/>
          <w:sz w:val="22"/>
          <w:szCs w:val="22"/>
          <w:lang w:val="en-US"/>
        </w:rPr>
        <w:footnoteReference w:id="5"/>
      </w:r>
    </w:p>
    <w:p w14:paraId="33492763" w14:textId="77777777" w:rsidR="000405C1" w:rsidRPr="00877BDE" w:rsidRDefault="000405C1" w:rsidP="000405C1">
      <w:pPr>
        <w:widowControl w:val="0"/>
        <w:autoSpaceDE w:val="0"/>
        <w:autoSpaceDN w:val="0"/>
        <w:adjustRightInd w:val="0"/>
        <w:spacing w:line="360" w:lineRule="auto"/>
        <w:ind w:left="1440" w:hanging="1440"/>
        <w:rPr>
          <w:rFonts w:eastAsia="Arial Unicode MS"/>
          <w:b/>
          <w:bCs/>
          <w:sz w:val="22"/>
          <w:szCs w:val="22"/>
          <w:lang w:val="en-US"/>
        </w:rPr>
      </w:pPr>
      <w:r w:rsidRPr="00877BDE">
        <w:rPr>
          <w:rFonts w:eastAsia="Arial Unicode MS"/>
          <w:sz w:val="22"/>
          <w:szCs w:val="22"/>
          <w:lang w:val="en-US"/>
        </w:rPr>
        <w:t>365-6/976 -7</w:t>
      </w:r>
      <w:r w:rsidRPr="00877BDE">
        <w:rPr>
          <w:rFonts w:eastAsia="Arial Unicode MS"/>
          <w:sz w:val="22"/>
          <w:szCs w:val="22"/>
          <w:lang w:val="en-US"/>
        </w:rPr>
        <w:tab/>
        <w:t>Jāmi‘ al-Qarāfa</w:t>
      </w:r>
      <w:r w:rsidRPr="00877BDE">
        <w:rPr>
          <w:rFonts w:eastAsia="Arial Unicode MS"/>
          <w:b/>
          <w:bCs/>
          <w:sz w:val="22"/>
          <w:szCs w:val="22"/>
          <w:lang w:val="en-US"/>
        </w:rPr>
        <w:t xml:space="preserve"> </w:t>
      </w:r>
      <w:r w:rsidRPr="00877BDE">
        <w:rPr>
          <w:rFonts w:eastAsia="Arial Unicode MS"/>
          <w:sz w:val="22"/>
          <w:szCs w:val="22"/>
          <w:lang w:val="en-US"/>
        </w:rPr>
        <w:t>during Ramaḍān.</w:t>
      </w:r>
      <w:r w:rsidRPr="00877BDE">
        <w:rPr>
          <w:rStyle w:val="FootnoteReference"/>
          <w:rFonts w:eastAsia="Arial Unicode MS"/>
          <w:sz w:val="22"/>
          <w:szCs w:val="22"/>
          <w:lang w:val="en-US"/>
        </w:rPr>
        <w:footnoteReference w:id="6"/>
      </w:r>
    </w:p>
    <w:p w14:paraId="1878C17B" w14:textId="77777777" w:rsidR="000405C1" w:rsidRPr="00877BDE" w:rsidRDefault="000405C1" w:rsidP="000405C1">
      <w:pPr>
        <w:widowControl w:val="0"/>
        <w:autoSpaceDE w:val="0"/>
        <w:autoSpaceDN w:val="0"/>
        <w:adjustRightInd w:val="0"/>
        <w:spacing w:line="360" w:lineRule="auto"/>
        <w:ind w:left="1440"/>
        <w:rPr>
          <w:rFonts w:eastAsia="Arial Unicode MS"/>
          <w:b/>
          <w:bCs/>
          <w:sz w:val="22"/>
          <w:szCs w:val="22"/>
          <w:lang w:val="en-US"/>
        </w:rPr>
      </w:pPr>
      <w:r w:rsidRPr="00877BDE">
        <w:rPr>
          <w:rFonts w:eastAsia="Arial Unicode MS"/>
          <w:sz w:val="22"/>
          <w:szCs w:val="22"/>
          <w:lang w:val="en-US"/>
        </w:rPr>
        <w:t>Qaṣr al-Qarāfa</w:t>
      </w:r>
      <w:r w:rsidRPr="00877BDE">
        <w:rPr>
          <w:rFonts w:eastAsia="Arial Unicode MS"/>
          <w:b/>
          <w:bCs/>
          <w:sz w:val="22"/>
          <w:szCs w:val="22"/>
          <w:lang w:val="en-US"/>
        </w:rPr>
        <w:t xml:space="preserve"> </w:t>
      </w:r>
      <w:r w:rsidRPr="00877BDE">
        <w:rPr>
          <w:rFonts w:eastAsia="Arial Unicode MS"/>
          <w:bCs/>
          <w:sz w:val="22"/>
          <w:szCs w:val="22"/>
          <w:lang w:val="en-US"/>
        </w:rPr>
        <w:t xml:space="preserve">(or </w:t>
      </w:r>
      <w:r w:rsidRPr="00877BDE">
        <w:rPr>
          <w:rFonts w:eastAsia="Arial Unicode MS"/>
          <w:bCs/>
          <w:i/>
          <w:sz w:val="22"/>
          <w:szCs w:val="22"/>
          <w:lang w:val="en-US"/>
        </w:rPr>
        <w:t>qaṣr al-Andalus bi’l-Qarāfa</w:t>
      </w:r>
      <w:r w:rsidRPr="00877BDE">
        <w:rPr>
          <w:rFonts w:eastAsia="Arial Unicode MS"/>
          <w:bCs/>
          <w:sz w:val="22"/>
          <w:szCs w:val="22"/>
          <w:lang w:val="en-US"/>
        </w:rPr>
        <w:t>).</w:t>
      </w:r>
      <w:r w:rsidRPr="00877BDE">
        <w:rPr>
          <w:rStyle w:val="FootnoteReference"/>
          <w:rFonts w:eastAsia="Arial Unicode MS"/>
          <w:bCs/>
          <w:sz w:val="22"/>
          <w:szCs w:val="22"/>
          <w:lang w:val="en-US"/>
        </w:rPr>
        <w:footnoteReference w:id="7"/>
      </w:r>
    </w:p>
    <w:p w14:paraId="6BA34E38" w14:textId="77777777" w:rsidR="000405C1" w:rsidRPr="00877BDE" w:rsidRDefault="000405C1" w:rsidP="000405C1">
      <w:pPr>
        <w:widowControl w:val="0"/>
        <w:autoSpaceDE w:val="0"/>
        <w:autoSpaceDN w:val="0"/>
        <w:adjustRightInd w:val="0"/>
        <w:spacing w:line="360" w:lineRule="auto"/>
        <w:rPr>
          <w:rFonts w:eastAsia="Arial Unicode MS"/>
          <w:b/>
          <w:bCs/>
          <w:sz w:val="22"/>
          <w:szCs w:val="22"/>
          <w:lang w:val="en-US"/>
        </w:rPr>
      </w:pPr>
      <w:r w:rsidRPr="00877BDE">
        <w:rPr>
          <w:rFonts w:eastAsia="Arial Unicode MS"/>
          <w:sz w:val="22"/>
          <w:szCs w:val="22"/>
          <w:lang w:val="en-US"/>
        </w:rPr>
        <w:t>n.d</w:t>
      </w:r>
      <w:r w:rsidRPr="00877BDE">
        <w:rPr>
          <w:rFonts w:eastAsia="Arial Unicode MS"/>
          <w:b/>
          <w:bCs/>
          <w:sz w:val="22"/>
          <w:szCs w:val="22"/>
          <w:lang w:val="en-US"/>
        </w:rPr>
        <w:t xml:space="preserve"> </w:t>
      </w:r>
      <w:r w:rsidRPr="00877BDE">
        <w:rPr>
          <w:rFonts w:eastAsia="Arial Unicode MS"/>
          <w:b/>
          <w:bCs/>
          <w:sz w:val="22"/>
          <w:szCs w:val="22"/>
          <w:lang w:val="en-US"/>
        </w:rPr>
        <w:tab/>
      </w:r>
      <w:r w:rsidRPr="00877BDE">
        <w:rPr>
          <w:rFonts w:eastAsia="Arial Unicode MS"/>
          <w:b/>
          <w:bCs/>
          <w:sz w:val="22"/>
          <w:szCs w:val="22"/>
          <w:lang w:val="en-US"/>
        </w:rPr>
        <w:tab/>
      </w:r>
      <w:r w:rsidRPr="00877BDE">
        <w:rPr>
          <w:rFonts w:eastAsia="Arial Unicode MS"/>
          <w:i/>
          <w:sz w:val="22"/>
          <w:szCs w:val="22"/>
          <w:lang w:val="en-US"/>
        </w:rPr>
        <w:t>Bi’r</w:t>
      </w:r>
      <w:r w:rsidRPr="00877BDE">
        <w:rPr>
          <w:rFonts w:eastAsia="Arial Unicode MS"/>
          <w:sz w:val="22"/>
          <w:szCs w:val="22"/>
          <w:lang w:val="en-US"/>
        </w:rPr>
        <w:t xml:space="preserve"> (well) and </w:t>
      </w:r>
      <w:r w:rsidRPr="00877BDE">
        <w:rPr>
          <w:rFonts w:eastAsia="Arial Unicode MS"/>
          <w:i/>
          <w:iCs/>
          <w:sz w:val="22"/>
          <w:szCs w:val="22"/>
          <w:lang w:val="en-US"/>
        </w:rPr>
        <w:t>ḥammām</w:t>
      </w:r>
      <w:r w:rsidRPr="00877BDE">
        <w:rPr>
          <w:rFonts w:eastAsia="Arial Unicode MS"/>
          <w:sz w:val="22"/>
          <w:szCs w:val="22"/>
          <w:lang w:val="en-US"/>
        </w:rPr>
        <w:t>,</w:t>
      </w:r>
      <w:r w:rsidRPr="00877BDE">
        <w:rPr>
          <w:rFonts w:eastAsia="Arial Unicode MS"/>
          <w:b/>
          <w:bCs/>
          <w:sz w:val="22"/>
          <w:szCs w:val="22"/>
          <w:lang w:val="en-US"/>
        </w:rPr>
        <w:t xml:space="preserve"> </w:t>
      </w:r>
      <w:r w:rsidRPr="00877BDE">
        <w:rPr>
          <w:rFonts w:eastAsia="Arial Unicode MS"/>
          <w:sz w:val="22"/>
          <w:szCs w:val="22"/>
          <w:lang w:val="en-US"/>
        </w:rPr>
        <w:t xml:space="preserve">west of the </w:t>
      </w:r>
      <w:r w:rsidRPr="00877BDE">
        <w:rPr>
          <w:rFonts w:eastAsia="Arial Unicode MS"/>
          <w:i/>
          <w:sz w:val="22"/>
          <w:szCs w:val="22"/>
          <w:lang w:val="en-US"/>
        </w:rPr>
        <w:t>qaṣr.</w:t>
      </w:r>
      <w:r w:rsidRPr="00877BDE">
        <w:rPr>
          <w:rStyle w:val="FootnoteReference"/>
          <w:rFonts w:eastAsia="Arial Unicode MS"/>
          <w:sz w:val="22"/>
          <w:szCs w:val="22"/>
          <w:lang w:val="en-US"/>
        </w:rPr>
        <w:footnoteReference w:id="8"/>
      </w:r>
    </w:p>
    <w:p w14:paraId="72FC9F92" w14:textId="77777777" w:rsidR="000405C1" w:rsidRPr="00877BDE" w:rsidRDefault="000405C1" w:rsidP="000405C1">
      <w:pPr>
        <w:widowControl w:val="0"/>
        <w:autoSpaceDE w:val="0"/>
        <w:autoSpaceDN w:val="0"/>
        <w:adjustRightInd w:val="0"/>
        <w:spacing w:line="360" w:lineRule="auto"/>
        <w:ind w:left="1440"/>
        <w:rPr>
          <w:rFonts w:eastAsia="Arial Unicode MS"/>
          <w:i/>
          <w:sz w:val="22"/>
          <w:szCs w:val="22"/>
          <w:lang w:val="en-US"/>
        </w:rPr>
      </w:pPr>
      <w:r w:rsidRPr="00877BDE">
        <w:rPr>
          <w:rFonts w:eastAsia="Arial Unicode MS"/>
          <w:i/>
          <w:iCs/>
          <w:sz w:val="22"/>
          <w:szCs w:val="22"/>
          <w:lang w:val="en-US"/>
        </w:rPr>
        <w:t xml:space="preserve">Bustān </w:t>
      </w:r>
      <w:r w:rsidRPr="00877BDE">
        <w:rPr>
          <w:rFonts w:eastAsia="Arial Unicode MS"/>
          <w:iCs/>
          <w:sz w:val="22"/>
          <w:szCs w:val="22"/>
          <w:lang w:val="en-US"/>
        </w:rPr>
        <w:t>(garden)</w:t>
      </w:r>
      <w:r w:rsidRPr="00877BDE">
        <w:rPr>
          <w:rFonts w:eastAsia="Arial Unicode MS"/>
          <w:b/>
          <w:bCs/>
          <w:sz w:val="22"/>
          <w:szCs w:val="22"/>
          <w:lang w:val="en-US"/>
        </w:rPr>
        <w:t xml:space="preserve"> </w:t>
      </w:r>
      <w:r w:rsidRPr="00877BDE">
        <w:rPr>
          <w:rFonts w:eastAsia="Arial Unicode MS"/>
          <w:bCs/>
          <w:sz w:val="22"/>
          <w:szCs w:val="22"/>
          <w:lang w:val="en-US"/>
        </w:rPr>
        <w:t>in al-Qarāfa</w:t>
      </w:r>
      <w:r w:rsidRPr="00877BDE">
        <w:rPr>
          <w:rFonts w:eastAsia="Arial Unicode MS"/>
          <w:sz w:val="22"/>
          <w:szCs w:val="22"/>
          <w:lang w:val="en-US"/>
        </w:rPr>
        <w:t xml:space="preserve">; </w:t>
      </w:r>
      <w:r w:rsidRPr="00877BDE">
        <w:rPr>
          <w:rFonts w:eastAsia="Arial Unicode MS"/>
          <w:iCs/>
          <w:sz w:val="22"/>
          <w:szCs w:val="22"/>
          <w:lang w:val="en-US"/>
        </w:rPr>
        <w:t>al-Tāj garden</w:t>
      </w:r>
      <w:r w:rsidRPr="00877BDE">
        <w:rPr>
          <w:rFonts w:eastAsia="Arial Unicode MS"/>
          <w:sz w:val="22"/>
          <w:szCs w:val="22"/>
          <w:lang w:val="en-US"/>
        </w:rPr>
        <w:t>, known as</w:t>
      </w:r>
      <w:r w:rsidRPr="00877BDE">
        <w:rPr>
          <w:rFonts w:eastAsia="Arial Unicode MS"/>
          <w:b/>
          <w:bCs/>
          <w:sz w:val="22"/>
          <w:szCs w:val="22"/>
          <w:lang w:val="en-US"/>
        </w:rPr>
        <w:t xml:space="preserve"> </w:t>
      </w:r>
      <w:r w:rsidRPr="00877BDE">
        <w:rPr>
          <w:rFonts w:eastAsia="Arial Unicode MS"/>
          <w:i/>
          <w:iCs/>
          <w:sz w:val="22"/>
          <w:szCs w:val="22"/>
          <w:lang w:val="en-US"/>
        </w:rPr>
        <w:t>ḥiṣn</w:t>
      </w:r>
      <w:r w:rsidRPr="00877BDE">
        <w:rPr>
          <w:rFonts w:eastAsia="Arial Unicode MS"/>
          <w:sz w:val="22"/>
          <w:szCs w:val="22"/>
          <w:lang w:val="en-US"/>
        </w:rPr>
        <w:t xml:space="preserve"> Abu’l-Ma‘lūm</w:t>
      </w:r>
      <w:r w:rsidRPr="00877BDE">
        <w:rPr>
          <w:rFonts w:eastAsia="Arial Unicode MS"/>
          <w:i/>
          <w:iCs/>
          <w:sz w:val="22"/>
          <w:szCs w:val="22"/>
          <w:lang w:val="en-US"/>
        </w:rPr>
        <w:t>.</w:t>
      </w:r>
      <w:r w:rsidRPr="00877BDE">
        <w:rPr>
          <w:rStyle w:val="FootnoteReference"/>
          <w:rFonts w:eastAsia="Arial Unicode MS"/>
          <w:iCs/>
          <w:sz w:val="22"/>
          <w:szCs w:val="22"/>
          <w:lang w:val="en-US"/>
        </w:rPr>
        <w:footnoteReference w:id="9"/>
      </w:r>
    </w:p>
    <w:p w14:paraId="60828D29" w14:textId="0C8A9257" w:rsidR="000405C1" w:rsidRPr="00877BDE" w:rsidRDefault="000405C1" w:rsidP="000405C1">
      <w:pPr>
        <w:widowControl w:val="0"/>
        <w:autoSpaceDE w:val="0"/>
        <w:autoSpaceDN w:val="0"/>
        <w:adjustRightInd w:val="0"/>
        <w:spacing w:line="360" w:lineRule="auto"/>
        <w:ind w:left="1440"/>
        <w:rPr>
          <w:rFonts w:eastAsia="Arial Unicode MS"/>
          <w:b/>
          <w:bCs/>
          <w:sz w:val="22"/>
          <w:szCs w:val="22"/>
          <w:lang w:val="en-US"/>
        </w:rPr>
      </w:pPr>
      <w:r w:rsidRPr="00877BDE">
        <w:rPr>
          <w:rFonts w:eastAsia="Arial Unicode MS"/>
          <w:i/>
          <w:iCs/>
          <w:sz w:val="22"/>
          <w:szCs w:val="22"/>
          <w:lang w:val="en-US"/>
        </w:rPr>
        <w:t>Ḥawḍ (cistern), mī‘a</w:t>
      </w:r>
      <w:r w:rsidR="005E2175">
        <w:rPr>
          <w:rFonts w:eastAsia="Arial Unicode MS"/>
          <w:i/>
          <w:iCs/>
          <w:sz w:val="22"/>
          <w:szCs w:val="22"/>
          <w:lang w:val="en-US"/>
        </w:rPr>
        <w:t xml:space="preserve">’ </w:t>
      </w:r>
      <w:r w:rsidR="005E2175">
        <w:rPr>
          <w:rFonts w:eastAsia="Arial Unicode MS"/>
          <w:iCs/>
          <w:sz w:val="22"/>
          <w:szCs w:val="22"/>
          <w:lang w:val="en-US"/>
        </w:rPr>
        <w:t>(b</w:t>
      </w:r>
      <w:r w:rsidRPr="00877BDE">
        <w:rPr>
          <w:rFonts w:eastAsia="Arial Unicode MS"/>
          <w:bCs/>
          <w:sz w:val="22"/>
          <w:szCs w:val="22"/>
          <w:lang w:val="en-US"/>
        </w:rPr>
        <w:t>asin for the ritual ablutions)</w:t>
      </w:r>
      <w:r w:rsidRPr="00877BDE">
        <w:rPr>
          <w:rFonts w:eastAsia="Arial Unicode MS"/>
          <w:i/>
          <w:iCs/>
          <w:sz w:val="22"/>
          <w:szCs w:val="22"/>
          <w:lang w:val="en-US"/>
        </w:rPr>
        <w:t>, bi’r</w:t>
      </w:r>
      <w:r w:rsidRPr="00877BDE">
        <w:rPr>
          <w:rFonts w:eastAsia="Arial Unicode MS"/>
          <w:b/>
          <w:bCs/>
          <w:sz w:val="22"/>
          <w:szCs w:val="22"/>
          <w:lang w:val="en-US"/>
        </w:rPr>
        <w:t xml:space="preserve"> </w:t>
      </w:r>
      <w:r w:rsidRPr="00877BDE">
        <w:rPr>
          <w:rFonts w:eastAsia="Arial Unicode MS"/>
          <w:bCs/>
          <w:sz w:val="22"/>
          <w:szCs w:val="22"/>
          <w:lang w:val="en-US"/>
        </w:rPr>
        <w:t>(well)</w:t>
      </w:r>
      <w:r w:rsidRPr="00877BDE">
        <w:rPr>
          <w:rFonts w:eastAsia="Arial Unicode MS"/>
          <w:b/>
          <w:bCs/>
          <w:sz w:val="22"/>
          <w:szCs w:val="22"/>
          <w:lang w:val="en-US"/>
        </w:rPr>
        <w:t xml:space="preserve"> </w:t>
      </w:r>
      <w:r w:rsidRPr="00877BDE">
        <w:rPr>
          <w:rFonts w:eastAsia="Arial Unicode MS"/>
          <w:sz w:val="22"/>
          <w:szCs w:val="22"/>
          <w:lang w:val="en-US"/>
        </w:rPr>
        <w:t>with</w:t>
      </w:r>
      <w:r w:rsidRPr="00877BDE">
        <w:rPr>
          <w:rFonts w:eastAsia="Arial Unicode MS"/>
          <w:b/>
          <w:bCs/>
          <w:sz w:val="22"/>
          <w:szCs w:val="22"/>
          <w:lang w:val="en-US"/>
        </w:rPr>
        <w:t xml:space="preserve"> </w:t>
      </w:r>
      <w:r w:rsidRPr="00877BDE">
        <w:rPr>
          <w:rFonts w:eastAsia="Arial Unicode MS"/>
          <w:i/>
          <w:iCs/>
          <w:sz w:val="22"/>
          <w:szCs w:val="22"/>
          <w:lang w:val="en-US"/>
        </w:rPr>
        <w:t>dawālīb</w:t>
      </w:r>
      <w:r w:rsidRPr="00877BDE">
        <w:rPr>
          <w:rFonts w:eastAsia="Arial Unicode MS"/>
          <w:sz w:val="22"/>
          <w:szCs w:val="22"/>
          <w:lang w:val="en-US"/>
        </w:rPr>
        <w:t xml:space="preserve"> (hydraulic pump/wheels) inside the Abū’l Ma‘lūm fortress in al-Qarāfa, renewed by the aunt of al-Ḥākim [Sitt al-Malik].</w:t>
      </w:r>
      <w:r w:rsidRPr="00877BDE">
        <w:rPr>
          <w:rStyle w:val="FootnoteReference"/>
          <w:rFonts w:eastAsia="Arial Unicode MS"/>
          <w:sz w:val="22"/>
          <w:szCs w:val="22"/>
          <w:lang w:val="en-US"/>
        </w:rPr>
        <w:footnoteReference w:id="10"/>
      </w:r>
      <w:r w:rsidRPr="00877BDE">
        <w:rPr>
          <w:rFonts w:eastAsia="Arial Unicode MS"/>
          <w:sz w:val="22"/>
          <w:szCs w:val="22"/>
          <w:lang w:val="en-US"/>
        </w:rPr>
        <w:t xml:space="preserve"> </w:t>
      </w:r>
    </w:p>
    <w:p w14:paraId="0B6E581B" w14:textId="77777777" w:rsidR="000405C1" w:rsidRPr="00877BDE" w:rsidRDefault="000405C1" w:rsidP="000405C1">
      <w:pPr>
        <w:widowControl w:val="0"/>
        <w:autoSpaceDE w:val="0"/>
        <w:autoSpaceDN w:val="0"/>
        <w:adjustRightInd w:val="0"/>
        <w:spacing w:line="360" w:lineRule="auto"/>
        <w:ind w:left="1440" w:hanging="1440"/>
        <w:rPr>
          <w:rFonts w:eastAsia="Arial Unicode MS"/>
          <w:sz w:val="22"/>
          <w:szCs w:val="22"/>
          <w:lang w:val="en-US"/>
        </w:rPr>
      </w:pPr>
      <w:r w:rsidRPr="00877BDE">
        <w:rPr>
          <w:rFonts w:eastAsia="Arial Unicode MS"/>
          <w:iCs/>
          <w:sz w:val="22"/>
          <w:szCs w:val="22"/>
          <w:lang w:val="en-US"/>
        </w:rPr>
        <w:lastRenderedPageBreak/>
        <w:t>385/995</w:t>
      </w:r>
      <w:r w:rsidRPr="00877BDE">
        <w:rPr>
          <w:rFonts w:eastAsia="Arial Unicode MS"/>
          <w:i/>
          <w:iCs/>
          <w:sz w:val="22"/>
          <w:szCs w:val="22"/>
          <w:lang w:val="en-US"/>
        </w:rPr>
        <w:tab/>
        <w:t>Fawwāra (basin or fountain)</w:t>
      </w:r>
      <w:r w:rsidRPr="00877BDE">
        <w:rPr>
          <w:rFonts w:eastAsia="Arial Unicode MS"/>
          <w:b/>
          <w:bCs/>
          <w:sz w:val="22"/>
          <w:szCs w:val="22"/>
          <w:lang w:val="en-US"/>
        </w:rPr>
        <w:t xml:space="preserve"> </w:t>
      </w:r>
      <w:r w:rsidRPr="00877BDE">
        <w:rPr>
          <w:rFonts w:eastAsia="Arial Unicode MS"/>
          <w:sz w:val="22"/>
          <w:szCs w:val="22"/>
          <w:lang w:val="en-US"/>
        </w:rPr>
        <w:t>built in the centre of the courtyard of the Ibn Ṭūlūn mosque.</w:t>
      </w:r>
      <w:r w:rsidRPr="00877BDE">
        <w:rPr>
          <w:rStyle w:val="FootnoteReference"/>
          <w:rFonts w:eastAsia="Arial Unicode MS"/>
          <w:sz w:val="22"/>
          <w:szCs w:val="22"/>
          <w:lang w:val="en-US"/>
        </w:rPr>
        <w:footnoteReference w:id="11"/>
      </w:r>
    </w:p>
    <w:p w14:paraId="2336C11A" w14:textId="77777777" w:rsidR="000405C1" w:rsidRPr="00877BDE" w:rsidRDefault="000405C1" w:rsidP="000405C1">
      <w:pPr>
        <w:widowControl w:val="0"/>
        <w:autoSpaceDE w:val="0"/>
        <w:autoSpaceDN w:val="0"/>
        <w:adjustRightInd w:val="0"/>
        <w:spacing w:line="360" w:lineRule="auto"/>
        <w:ind w:left="1440" w:hanging="1440"/>
        <w:rPr>
          <w:rFonts w:eastAsia="Arial Unicode MS"/>
          <w:b/>
          <w:bCs/>
          <w:sz w:val="22"/>
          <w:szCs w:val="22"/>
          <w:lang w:val="en-US"/>
        </w:rPr>
      </w:pPr>
      <w:r w:rsidRPr="00877BDE">
        <w:rPr>
          <w:rFonts w:eastAsia="Arial Unicode MS"/>
          <w:sz w:val="22"/>
          <w:szCs w:val="22"/>
          <w:lang w:val="en-US"/>
        </w:rPr>
        <w:t>n.d.</w:t>
      </w:r>
      <w:r w:rsidRPr="00877BDE">
        <w:rPr>
          <w:rFonts w:eastAsia="Arial Unicode MS"/>
          <w:sz w:val="22"/>
          <w:szCs w:val="22"/>
          <w:lang w:val="en-US"/>
        </w:rPr>
        <w:tab/>
        <w:t xml:space="preserve">[Tomb or mausoleum ?] </w:t>
      </w:r>
      <w:r w:rsidRPr="00877BDE">
        <w:rPr>
          <w:rFonts w:eastAsia="Arial Unicode MS"/>
          <w:bCs/>
          <w:sz w:val="22"/>
          <w:szCs w:val="22"/>
          <w:lang w:val="en-US"/>
        </w:rPr>
        <w:t>in Is</w:t>
      </w:r>
      <w:r w:rsidRPr="00877BDE">
        <w:rPr>
          <w:rFonts w:eastAsia="Arial Unicode MS"/>
          <w:sz w:val="22"/>
          <w:szCs w:val="22"/>
          <w:lang w:val="en-US"/>
        </w:rPr>
        <w:t>ṭ</w:t>
      </w:r>
      <w:r w:rsidRPr="00877BDE">
        <w:rPr>
          <w:rFonts w:eastAsia="Arial Unicode MS"/>
          <w:bCs/>
          <w:sz w:val="22"/>
          <w:szCs w:val="22"/>
          <w:lang w:val="en-US"/>
        </w:rPr>
        <w:t>abl ‘Antar</w:t>
      </w:r>
      <w:r w:rsidRPr="00877BDE">
        <w:rPr>
          <w:rFonts w:eastAsia="Arial Unicode MS"/>
          <w:b/>
          <w:bCs/>
          <w:sz w:val="22"/>
          <w:szCs w:val="22"/>
          <w:lang w:val="en-US"/>
        </w:rPr>
        <w:t>.</w:t>
      </w:r>
    </w:p>
    <w:p w14:paraId="069ACC41" w14:textId="77777777" w:rsidR="000405C1" w:rsidRPr="00877BDE" w:rsidRDefault="000405C1" w:rsidP="000405C1">
      <w:pPr>
        <w:widowControl w:val="0"/>
        <w:autoSpaceDE w:val="0"/>
        <w:autoSpaceDN w:val="0"/>
        <w:adjustRightInd w:val="0"/>
        <w:spacing w:line="360" w:lineRule="auto"/>
        <w:ind w:left="1440" w:hanging="1440"/>
        <w:rPr>
          <w:rFonts w:eastAsia="Arial Unicode MS"/>
          <w:sz w:val="22"/>
          <w:szCs w:val="22"/>
          <w:lang w:val="en-US"/>
        </w:rPr>
      </w:pPr>
      <w:r w:rsidRPr="00877BDE">
        <w:rPr>
          <w:rFonts w:eastAsia="Arial Unicode MS"/>
          <w:sz w:val="22"/>
          <w:szCs w:val="22"/>
          <w:lang w:val="en-US"/>
        </w:rPr>
        <w:t xml:space="preserve">385/995 </w:t>
      </w:r>
      <w:r w:rsidRPr="00877BDE">
        <w:rPr>
          <w:rFonts w:eastAsia="Arial Unicode MS"/>
          <w:sz w:val="22"/>
          <w:szCs w:val="22"/>
          <w:lang w:val="en-US"/>
        </w:rPr>
        <w:tab/>
        <w:t>Durzān dies</w:t>
      </w:r>
    </w:p>
    <w:p w14:paraId="7B9A89DD" w14:textId="77777777" w:rsidR="000405C1" w:rsidRPr="00877BDE" w:rsidRDefault="000405C1" w:rsidP="000405C1">
      <w:pPr>
        <w:widowControl w:val="0"/>
        <w:autoSpaceDE w:val="0"/>
        <w:autoSpaceDN w:val="0"/>
        <w:adjustRightInd w:val="0"/>
        <w:spacing w:line="360" w:lineRule="auto"/>
        <w:ind w:left="1440" w:hanging="1440"/>
        <w:rPr>
          <w:rFonts w:eastAsia="Arial Unicode MS"/>
          <w:sz w:val="22"/>
          <w:szCs w:val="22"/>
          <w:lang w:val="en-US"/>
        </w:rPr>
      </w:pPr>
    </w:p>
    <w:p w14:paraId="72A7E296" w14:textId="77777777" w:rsidR="000405C1" w:rsidRPr="00877BDE" w:rsidRDefault="000405C1" w:rsidP="000405C1">
      <w:pPr>
        <w:pStyle w:val="BodyText"/>
        <w:spacing w:line="360" w:lineRule="auto"/>
        <w:jc w:val="both"/>
        <w:rPr>
          <w:rFonts w:eastAsia="Arial Unicode MS"/>
          <w:bCs/>
          <w:sz w:val="22"/>
          <w:szCs w:val="22"/>
          <w:lang w:val="en-US"/>
        </w:rPr>
      </w:pPr>
      <w:r w:rsidRPr="00877BDE">
        <w:rPr>
          <w:rFonts w:eastAsia="Arial Unicode MS"/>
          <w:b/>
          <w:bCs/>
          <w:sz w:val="22"/>
          <w:szCs w:val="22"/>
          <w:lang w:val="en-US"/>
        </w:rPr>
        <w:t>The Manāzil al-‘Izz</w:t>
      </w:r>
    </w:p>
    <w:p w14:paraId="2DAC85B6" w14:textId="77777777" w:rsidR="000405C1" w:rsidRPr="00877BDE" w:rsidRDefault="000405C1" w:rsidP="000405C1">
      <w:pPr>
        <w:pStyle w:val="BodyText"/>
        <w:spacing w:line="360" w:lineRule="auto"/>
        <w:jc w:val="both"/>
        <w:rPr>
          <w:rFonts w:eastAsia="Arial Unicode MS"/>
          <w:b/>
          <w:bCs/>
          <w:sz w:val="22"/>
          <w:szCs w:val="22"/>
          <w:lang w:val="en-US"/>
        </w:rPr>
      </w:pPr>
      <w:r w:rsidRPr="00877BDE">
        <w:rPr>
          <w:rFonts w:eastAsia="Arial Unicode MS"/>
          <w:sz w:val="22"/>
          <w:szCs w:val="22"/>
          <w:lang w:val="en-US"/>
        </w:rPr>
        <w:t xml:space="preserve">The first building Durzān is reported to have sponsored is the pavilion called </w:t>
      </w:r>
      <w:r w:rsidRPr="00877BDE">
        <w:rPr>
          <w:rFonts w:eastAsia="Arial Unicode MS"/>
          <w:iCs/>
          <w:sz w:val="22"/>
          <w:szCs w:val="22"/>
          <w:lang w:val="en-US"/>
        </w:rPr>
        <w:t>Manāzil al-‘Izz</w:t>
      </w:r>
      <w:r w:rsidRPr="00877BDE">
        <w:rPr>
          <w:rFonts w:eastAsia="Arial Unicode MS"/>
          <w:sz w:val="22"/>
          <w:szCs w:val="22"/>
          <w:lang w:val="en-US"/>
        </w:rPr>
        <w:t xml:space="preserve">. This structure was first studied by Paul Casanova in his 1913 </w:t>
      </w:r>
      <w:r w:rsidRPr="00877BDE">
        <w:rPr>
          <w:rFonts w:eastAsia="Arial Unicode MS"/>
          <w:i/>
          <w:iCs/>
          <w:sz w:val="22"/>
          <w:szCs w:val="22"/>
          <w:lang w:val="en-US"/>
        </w:rPr>
        <w:t>Essai</w:t>
      </w:r>
      <w:r w:rsidRPr="00877BDE">
        <w:rPr>
          <w:rFonts w:eastAsia="Arial Unicode MS"/>
          <w:sz w:val="22"/>
          <w:szCs w:val="22"/>
          <w:lang w:val="en-US"/>
        </w:rPr>
        <w:t xml:space="preserve"> on Fusṭāṭ, and he located it at the end of al-Sūq al-Kabīr Road. According to his findings, the pavilion overlooked the Nile, facing the south-east end of the island of al-Rawdā, almost opposite the north-west wall of the Qaṣr al-Sham‘ and a short distance from the renowned mosque of ‘Amr.</w:t>
      </w:r>
      <w:r w:rsidRPr="00877BDE">
        <w:rPr>
          <w:rStyle w:val="FootnoteReference"/>
          <w:rFonts w:eastAsia="Arial Unicode MS"/>
          <w:sz w:val="22"/>
          <w:szCs w:val="22"/>
          <w:lang w:val="en-US"/>
        </w:rPr>
        <w:footnoteReference w:id="12"/>
      </w:r>
      <w:r w:rsidRPr="00877BDE">
        <w:rPr>
          <w:rFonts w:eastAsia="Arial Unicode MS"/>
          <w:sz w:val="22"/>
          <w:szCs w:val="22"/>
          <w:lang w:val="en-US"/>
        </w:rPr>
        <w:t xml:space="preserve"> </w:t>
      </w:r>
    </w:p>
    <w:p w14:paraId="4E925C47" w14:textId="77777777" w:rsidR="000405C1" w:rsidRPr="00877BDE" w:rsidRDefault="000405C1" w:rsidP="000405C1">
      <w:pPr>
        <w:pStyle w:val="BodyText"/>
        <w:spacing w:line="360" w:lineRule="auto"/>
        <w:ind w:firstLine="720"/>
        <w:jc w:val="both"/>
        <w:rPr>
          <w:rFonts w:eastAsia="Arial Unicode MS"/>
          <w:sz w:val="22"/>
          <w:szCs w:val="22"/>
          <w:lang w:val="en-US"/>
        </w:rPr>
      </w:pPr>
      <w:r w:rsidRPr="00877BDE">
        <w:rPr>
          <w:rFonts w:eastAsia="Arial Unicode MS"/>
          <w:sz w:val="22"/>
          <w:szCs w:val="22"/>
          <w:lang w:val="en-US"/>
        </w:rPr>
        <w:t xml:space="preserve">In his </w:t>
      </w:r>
      <w:r w:rsidRPr="00877BDE">
        <w:rPr>
          <w:rFonts w:eastAsia="Arial Unicode MS"/>
          <w:i/>
          <w:iCs/>
          <w:sz w:val="22"/>
          <w:szCs w:val="22"/>
          <w:lang w:val="en-US"/>
        </w:rPr>
        <w:t>Khiṭaṭ</w:t>
      </w:r>
      <w:r w:rsidRPr="00877BDE">
        <w:rPr>
          <w:rFonts w:eastAsia="Arial Unicode MS"/>
          <w:sz w:val="22"/>
          <w:szCs w:val="22"/>
          <w:lang w:val="en-US"/>
        </w:rPr>
        <w:t xml:space="preserve">, al-Maqrīzī states in this regard: “the Lady Taghrīd, mother of al-‘Azīz, built it, there was no better building in Fusṭāṭ, it was used for promenades, a </w:t>
      </w:r>
      <w:r w:rsidRPr="00877BDE">
        <w:rPr>
          <w:rFonts w:eastAsia="Arial Unicode MS"/>
          <w:i/>
          <w:sz w:val="22"/>
          <w:szCs w:val="22"/>
          <w:lang w:val="en-US"/>
        </w:rPr>
        <w:t>ḥammām</w:t>
      </w:r>
      <w:r w:rsidRPr="00877BDE">
        <w:rPr>
          <w:rFonts w:eastAsia="Arial Unicode MS"/>
          <w:sz w:val="22"/>
          <w:szCs w:val="22"/>
          <w:lang w:val="en-US"/>
        </w:rPr>
        <w:t xml:space="preserve"> was located nearby and the pavilion had a gate.” Al-Maqrīzī further informs us that “the caliphs after al-Mu‘izz continued to make frequent use of it”</w:t>
      </w:r>
      <w:r w:rsidRPr="00877BDE">
        <w:rPr>
          <w:rStyle w:val="FootnoteReference"/>
          <w:rFonts w:eastAsia="Arial Unicode MS"/>
          <w:sz w:val="22"/>
          <w:szCs w:val="22"/>
          <w:lang w:val="en-US"/>
        </w:rPr>
        <w:footnoteReference w:id="13"/>
      </w:r>
      <w:r w:rsidRPr="00877BDE">
        <w:rPr>
          <w:rFonts w:eastAsia="Arial Unicode MS"/>
          <w:sz w:val="22"/>
          <w:szCs w:val="22"/>
          <w:lang w:val="en-US"/>
        </w:rPr>
        <w:t xml:space="preserve">; from this we can infer that the </w:t>
      </w:r>
      <w:r w:rsidRPr="00877BDE">
        <w:rPr>
          <w:rFonts w:eastAsia="Arial Unicode MS"/>
          <w:iCs/>
          <w:sz w:val="22"/>
          <w:szCs w:val="22"/>
          <w:lang w:val="en-US"/>
        </w:rPr>
        <w:t>Manāzil</w:t>
      </w:r>
      <w:r w:rsidRPr="00877BDE">
        <w:rPr>
          <w:rFonts w:eastAsia="Arial Unicode MS"/>
          <w:sz w:val="22"/>
          <w:szCs w:val="22"/>
          <w:lang w:val="en-US"/>
        </w:rPr>
        <w:t xml:space="preserve"> was built during al-Mu‘izz’s lifetime, which would make 363/973, when the imām-caliph is reported to have settled in al-Qāhira, the </w:t>
      </w:r>
      <w:r w:rsidRPr="00877BDE">
        <w:rPr>
          <w:rFonts w:eastAsia="Arial Unicode MS"/>
          <w:i/>
          <w:sz w:val="22"/>
          <w:szCs w:val="22"/>
          <w:lang w:val="en-US"/>
        </w:rPr>
        <w:t>terminus post quem</w:t>
      </w:r>
      <w:r w:rsidRPr="00877BDE">
        <w:rPr>
          <w:rFonts w:eastAsia="Arial Unicode MS"/>
          <w:sz w:val="22"/>
          <w:szCs w:val="22"/>
          <w:lang w:val="en-US"/>
        </w:rPr>
        <w:t xml:space="preserve"> and 365/975, the year of his death, the </w:t>
      </w:r>
      <w:r w:rsidRPr="00877BDE">
        <w:rPr>
          <w:rFonts w:eastAsia="Arial Unicode MS"/>
          <w:i/>
          <w:sz w:val="22"/>
          <w:szCs w:val="22"/>
          <w:lang w:val="en-US"/>
        </w:rPr>
        <w:t>terminus ad quem</w:t>
      </w:r>
      <w:r w:rsidRPr="00877BDE">
        <w:rPr>
          <w:rFonts w:eastAsia="Arial Unicode MS"/>
          <w:sz w:val="22"/>
          <w:szCs w:val="22"/>
          <w:lang w:val="en-US"/>
        </w:rPr>
        <w:t xml:space="preserve">. </w:t>
      </w:r>
    </w:p>
    <w:p w14:paraId="5FEADC5E" w14:textId="77777777" w:rsidR="000405C1" w:rsidRPr="00877BDE" w:rsidRDefault="000405C1" w:rsidP="000405C1">
      <w:pPr>
        <w:widowControl w:val="0"/>
        <w:autoSpaceDE w:val="0"/>
        <w:autoSpaceDN w:val="0"/>
        <w:adjustRightInd w:val="0"/>
        <w:spacing w:line="360" w:lineRule="auto"/>
        <w:ind w:firstLine="720"/>
        <w:jc w:val="both"/>
        <w:rPr>
          <w:rFonts w:eastAsia="Arial Unicode MS"/>
          <w:sz w:val="22"/>
          <w:szCs w:val="22"/>
          <w:lang w:val="en-US"/>
        </w:rPr>
      </w:pPr>
      <w:r w:rsidRPr="00877BDE">
        <w:rPr>
          <w:rFonts w:eastAsia="Arial Unicode MS"/>
          <w:sz w:val="22"/>
          <w:szCs w:val="22"/>
          <w:lang w:val="en-US"/>
        </w:rPr>
        <w:t xml:space="preserve">A similar chronology for the construction of the </w:t>
      </w:r>
      <w:r w:rsidRPr="00877BDE">
        <w:rPr>
          <w:rFonts w:eastAsia="Arial Unicode MS"/>
          <w:iCs/>
          <w:sz w:val="22"/>
          <w:szCs w:val="22"/>
          <w:lang w:val="en-US"/>
        </w:rPr>
        <w:t>Manāzil</w:t>
      </w:r>
      <w:r w:rsidRPr="00877BDE">
        <w:rPr>
          <w:rFonts w:eastAsia="Arial Unicode MS"/>
          <w:sz w:val="22"/>
          <w:szCs w:val="22"/>
          <w:lang w:val="en-US"/>
        </w:rPr>
        <w:t xml:space="preserve">, with a more detailed account of its location, can be inferred from another source, Ibn Duqmāq, a colleague and neighbour of al-Maqrīzī. In the part of his </w:t>
      </w:r>
      <w:r w:rsidRPr="00877BDE">
        <w:rPr>
          <w:rFonts w:eastAsia="Arial Unicode MS"/>
          <w:i/>
          <w:iCs/>
          <w:sz w:val="22"/>
          <w:szCs w:val="22"/>
          <w:lang w:val="en-US"/>
        </w:rPr>
        <w:t xml:space="preserve">Kitāb al-Intiṣār </w:t>
      </w:r>
      <w:r w:rsidRPr="00877BDE">
        <w:rPr>
          <w:rFonts w:eastAsia="Arial Unicode MS"/>
          <w:iCs/>
          <w:sz w:val="22"/>
          <w:szCs w:val="22"/>
          <w:lang w:val="en-US"/>
        </w:rPr>
        <w:t>dealing with</w:t>
      </w:r>
      <w:r w:rsidRPr="00877BDE">
        <w:rPr>
          <w:rFonts w:eastAsia="Arial Unicode MS"/>
          <w:sz w:val="22"/>
          <w:szCs w:val="22"/>
          <w:lang w:val="en-US"/>
        </w:rPr>
        <w:t xml:space="preserve"> Fusṭāṭ, Ibn Duqmāq states that it was the imam-caliph al-Mu‘izz who built this pavilion for his sister when she arrived from the Maghrib.</w:t>
      </w:r>
      <w:r w:rsidRPr="00877BDE">
        <w:rPr>
          <w:rStyle w:val="FootnoteReference"/>
          <w:rFonts w:eastAsia="Arial Unicode MS"/>
          <w:sz w:val="22"/>
          <w:szCs w:val="22"/>
          <w:lang w:val="en-US"/>
        </w:rPr>
        <w:footnoteReference w:id="14"/>
      </w:r>
      <w:r w:rsidRPr="00877BDE">
        <w:rPr>
          <w:rFonts w:eastAsia="Arial Unicode MS"/>
          <w:sz w:val="22"/>
          <w:szCs w:val="22"/>
          <w:lang w:val="en-US"/>
        </w:rPr>
        <w:t xml:space="preserve"> Ibn Duqmāq continues with the description of the view from the pavilion of the crucial landmarks of the area: the Nile, the fertile strips of land and the Miqy</w:t>
      </w:r>
      <w:r w:rsidRPr="00877BDE">
        <w:rPr>
          <w:rFonts w:eastAsia="Arial Unicode MS"/>
          <w:b/>
          <w:bCs/>
          <w:sz w:val="22"/>
          <w:szCs w:val="22"/>
          <w:lang w:val="en-US"/>
        </w:rPr>
        <w:t>ā</w:t>
      </w:r>
      <w:r w:rsidRPr="00877BDE">
        <w:rPr>
          <w:rFonts w:eastAsia="Arial Unicode MS"/>
          <w:sz w:val="22"/>
          <w:szCs w:val="22"/>
          <w:lang w:val="en-US"/>
        </w:rPr>
        <w:t xml:space="preserve">s, the Nilometer. </w:t>
      </w:r>
    </w:p>
    <w:p w14:paraId="5014F46A" w14:textId="77777777" w:rsidR="000405C1" w:rsidRPr="00877BDE" w:rsidRDefault="000405C1" w:rsidP="000405C1">
      <w:pPr>
        <w:widowControl w:val="0"/>
        <w:autoSpaceDE w:val="0"/>
        <w:autoSpaceDN w:val="0"/>
        <w:adjustRightInd w:val="0"/>
        <w:spacing w:line="360" w:lineRule="auto"/>
        <w:ind w:firstLine="720"/>
        <w:jc w:val="both"/>
        <w:rPr>
          <w:rFonts w:eastAsia="Arial Unicode MS"/>
          <w:sz w:val="22"/>
          <w:szCs w:val="22"/>
          <w:lang w:val="en-US"/>
        </w:rPr>
      </w:pPr>
      <w:r w:rsidRPr="00877BDE">
        <w:rPr>
          <w:rFonts w:eastAsia="Arial Unicode MS"/>
          <w:sz w:val="22"/>
          <w:szCs w:val="22"/>
          <w:lang w:val="en-US"/>
        </w:rPr>
        <w:t xml:space="preserve">During 363/973, when the caliphal family settled in Egypt (or the year after, according to some sources) the heir apparent ‘Abd Allāh died in Egypt. al-Mu‘izz’s formal appointment of his new successor did not take place until two years later, that is shortly before his own  death, or on his death-bed according to some accounts. Even though there is an </w:t>
      </w:r>
      <w:r w:rsidRPr="00877BDE">
        <w:rPr>
          <w:rFonts w:eastAsia="Arial Unicode MS"/>
          <w:i/>
          <w:sz w:val="22"/>
          <w:szCs w:val="22"/>
          <w:lang w:val="en-US"/>
        </w:rPr>
        <w:t>a posteriori</w:t>
      </w:r>
      <w:r w:rsidRPr="00877BDE">
        <w:rPr>
          <w:rFonts w:eastAsia="Arial Unicode MS"/>
          <w:sz w:val="22"/>
          <w:szCs w:val="22"/>
          <w:lang w:val="en-US"/>
        </w:rPr>
        <w:t xml:space="preserve"> claim that al-Mu‘izz had already indicated that his successor would be his son Nizār from his consort Durzān, we can assume that by </w:t>
      </w:r>
      <w:r w:rsidRPr="00877BDE">
        <w:rPr>
          <w:rFonts w:eastAsia="Arial Unicode MS"/>
          <w:sz w:val="22"/>
          <w:szCs w:val="22"/>
          <w:lang w:val="en-US"/>
        </w:rPr>
        <w:lastRenderedPageBreak/>
        <w:t xml:space="preserve">363-364/973-974 it is improbable that the name of the heir apparent would be commonly known. How likely is it then that Durzān, an </w:t>
      </w:r>
      <w:r w:rsidRPr="00877BDE">
        <w:rPr>
          <w:rFonts w:eastAsia="Arial Unicode MS"/>
          <w:i/>
          <w:iCs/>
          <w:sz w:val="22"/>
          <w:szCs w:val="22"/>
          <w:lang w:val="en-US"/>
        </w:rPr>
        <w:t>umm walad</w:t>
      </w:r>
      <w:r w:rsidRPr="00877BDE">
        <w:rPr>
          <w:rFonts w:eastAsia="Arial Unicode MS"/>
          <w:sz w:val="22"/>
          <w:szCs w:val="22"/>
          <w:lang w:val="en-US"/>
        </w:rPr>
        <w:t xml:space="preserve">, </w:t>
      </w:r>
      <w:r w:rsidRPr="00877BDE" w:rsidDel="00DB120E">
        <w:rPr>
          <w:rFonts w:eastAsia="Arial Unicode MS"/>
          <w:sz w:val="22"/>
          <w:szCs w:val="22"/>
          <w:lang w:val="en-US"/>
        </w:rPr>
        <w:t xml:space="preserve">and </w:t>
      </w:r>
      <w:r w:rsidRPr="00877BDE">
        <w:rPr>
          <w:rFonts w:eastAsia="Arial Unicode MS"/>
          <w:sz w:val="22"/>
          <w:szCs w:val="22"/>
          <w:lang w:val="en-US"/>
        </w:rPr>
        <w:t xml:space="preserve">mother of a not yet formally appointed heir apparent, would commission and build al-Manāzil? If she did, that was indeed a swift response to ‘Abd Allāh’s death and assumes it could have been possible only if she already had the funds, the status and the palace backing to sponsor such a building.  </w:t>
      </w:r>
    </w:p>
    <w:p w14:paraId="4EF1606C" w14:textId="77777777" w:rsidR="000405C1" w:rsidRPr="00877BDE" w:rsidRDefault="000405C1" w:rsidP="000405C1">
      <w:pPr>
        <w:widowControl w:val="0"/>
        <w:autoSpaceDE w:val="0"/>
        <w:autoSpaceDN w:val="0"/>
        <w:adjustRightInd w:val="0"/>
        <w:spacing w:line="360" w:lineRule="auto"/>
        <w:ind w:firstLine="720"/>
        <w:jc w:val="both"/>
        <w:rPr>
          <w:rFonts w:eastAsia="Arial Unicode MS"/>
          <w:sz w:val="22"/>
          <w:szCs w:val="22"/>
          <w:lang w:val="en-US"/>
        </w:rPr>
      </w:pPr>
      <w:r w:rsidRPr="00877BDE">
        <w:rPr>
          <w:rFonts w:eastAsia="Arial Unicode MS"/>
          <w:sz w:val="22"/>
          <w:szCs w:val="22"/>
          <w:lang w:val="en-US"/>
        </w:rPr>
        <w:t>On the other hand, if it was al-Mu‘izz who built it for a sister, who could this sister be? The sources do mention at least five sisters or step-sisters of al-Mu‘izz, four of whom are reported to have died in Egypt, while the fifth, Manṣūra, died in North Africa.</w:t>
      </w:r>
      <w:r w:rsidRPr="00877BDE">
        <w:rPr>
          <w:rStyle w:val="FootnoteReference"/>
          <w:rFonts w:eastAsia="Arial Unicode MS"/>
          <w:sz w:val="22"/>
          <w:szCs w:val="22"/>
          <w:lang w:val="en-US"/>
        </w:rPr>
        <w:footnoteReference w:id="15"/>
      </w:r>
      <w:r w:rsidRPr="00877BDE">
        <w:rPr>
          <w:rFonts w:eastAsia="Arial Unicode MS"/>
          <w:sz w:val="22"/>
          <w:szCs w:val="22"/>
          <w:lang w:val="en-US"/>
        </w:rPr>
        <w:t xml:space="preserve">  So, with the exclusion of Manṣūra, any of the other four sisters could have been the beneficiary of such a superb gift. </w:t>
      </w:r>
    </w:p>
    <w:p w14:paraId="1D0CE7E1" w14:textId="77777777" w:rsidR="000405C1" w:rsidRPr="00877BDE" w:rsidRDefault="000405C1" w:rsidP="000405C1">
      <w:pPr>
        <w:widowControl w:val="0"/>
        <w:autoSpaceDE w:val="0"/>
        <w:autoSpaceDN w:val="0"/>
        <w:adjustRightInd w:val="0"/>
        <w:spacing w:line="360" w:lineRule="auto"/>
        <w:ind w:firstLine="720"/>
        <w:jc w:val="both"/>
        <w:rPr>
          <w:rFonts w:eastAsia="Arial Unicode MS"/>
          <w:sz w:val="22"/>
          <w:szCs w:val="22"/>
          <w:lang w:val="en-US"/>
        </w:rPr>
      </w:pPr>
      <w:r w:rsidRPr="00877BDE">
        <w:rPr>
          <w:rFonts w:eastAsia="Arial Unicode MS"/>
          <w:sz w:val="22"/>
          <w:szCs w:val="22"/>
          <w:lang w:val="en-US"/>
        </w:rPr>
        <w:t>The pavilion’s location and date acquire significance when considered within the context of the first years of Fāṭimid rule in Egypt, with the newly built al-Qāhira serving as the administrative capital and the residence of the caliphal family and some élite officials, while Fusṭāṭ continued to be the main commercial and industrial centre of Egypt.  In this light, it is relevant to note that the new “Maghribī” dynasty, with a new northward capital, built a pavilion in Fusṭāṭ, which was strategically placed between the two main symbols of Egyptian identity at the time of their take-over. These symbols were the original fortification of the city and the vital hub of religious and commercial activities, the ‘Amr b. al-‘Āṣ mosque (and in the vicinity of the ritually and economically focal Miqyās, the Nilometer, as mentioned by Ibn Duqmāq). The landmark was probably intended to be a sign of continuity with the past as well as a statement about the caliphal presence near the main residential and commercial city. Moreover, the location of the pavilion near the Christian cemetery around Qaṣr al-Sham‘ and the Jewish cemetery further south might have been chosen to make the dynasty visible to the whole population of Fusṭāṭ, Sunni Muslim as well as non-Muslim.</w:t>
      </w:r>
    </w:p>
    <w:p w14:paraId="132851A5" w14:textId="77777777" w:rsidR="000405C1" w:rsidRPr="00877BDE" w:rsidRDefault="000405C1" w:rsidP="000405C1">
      <w:pPr>
        <w:widowControl w:val="0"/>
        <w:autoSpaceDE w:val="0"/>
        <w:autoSpaceDN w:val="0"/>
        <w:adjustRightInd w:val="0"/>
        <w:spacing w:line="360" w:lineRule="auto"/>
        <w:ind w:firstLine="720"/>
        <w:jc w:val="both"/>
        <w:rPr>
          <w:rFonts w:eastAsia="Arial Unicode MS"/>
          <w:sz w:val="22"/>
          <w:szCs w:val="22"/>
          <w:lang w:val="en-US"/>
        </w:rPr>
      </w:pPr>
      <w:r w:rsidRPr="00877BDE">
        <w:rPr>
          <w:rFonts w:eastAsia="Arial Unicode MS"/>
          <w:sz w:val="22"/>
          <w:szCs w:val="22"/>
          <w:lang w:val="en-US"/>
        </w:rPr>
        <w:t xml:space="preserve">Irrespective of the different attribution of sponsors for the Manāzil building and the longer narrative in Ibn Duqmāq, both Ibn Duqmāq and al-Maqrīzī include, </w:t>
      </w:r>
      <w:r w:rsidRPr="00877BDE">
        <w:rPr>
          <w:rFonts w:eastAsia="Arial Unicode MS"/>
          <w:i/>
          <w:sz w:val="22"/>
          <w:szCs w:val="22"/>
          <w:lang w:val="en-US"/>
        </w:rPr>
        <w:t>verbatim</w:t>
      </w:r>
      <w:r w:rsidRPr="00877BDE">
        <w:rPr>
          <w:rFonts w:eastAsia="Arial Unicode MS"/>
          <w:sz w:val="22"/>
          <w:szCs w:val="22"/>
          <w:lang w:val="en-US"/>
        </w:rPr>
        <w:t>, the same expression “...</w:t>
      </w:r>
      <w:r w:rsidRPr="00877BDE">
        <w:rPr>
          <w:rFonts w:eastAsia="Arial Unicode MS"/>
          <w:i/>
          <w:sz w:val="22"/>
          <w:szCs w:val="22"/>
          <w:lang w:val="en-US"/>
        </w:rPr>
        <w:t>wa mā zāla</w:t>
      </w:r>
      <w:r w:rsidRPr="00877BDE">
        <w:rPr>
          <w:rFonts w:eastAsia="Arial Unicode MS"/>
          <w:sz w:val="22"/>
          <w:szCs w:val="22"/>
          <w:lang w:val="en-US"/>
        </w:rPr>
        <w:t xml:space="preserve">...” (...and it did not cease...) about the use the caliphs made of the pavilion after al-Mu‘izz’s time. This raises questions about the authors’ informants, the sources they had access to (and that they could be quoting), or whether one of them made use of the work of the other without acknowledging it. Frédéric Bauden in his exhaustively argued and, in many respects, foundational study of al-Maqrīzī’s </w:t>
      </w:r>
      <w:r w:rsidRPr="00877BDE">
        <w:rPr>
          <w:rFonts w:eastAsia="Arial Unicode MS"/>
          <w:i/>
          <w:sz w:val="22"/>
          <w:szCs w:val="22"/>
          <w:lang w:val="en-US"/>
        </w:rPr>
        <w:t>Khiṭaṭ</w:t>
      </w:r>
      <w:r w:rsidRPr="00877BDE">
        <w:rPr>
          <w:rFonts w:eastAsia="Arial Unicode MS"/>
          <w:sz w:val="22"/>
          <w:szCs w:val="22"/>
          <w:lang w:val="en-US"/>
        </w:rPr>
        <w:t>, has convincingly shown the complexity and nuances of the concepts and practices of plagiarism and inter-textuality among some pre-modern Muslim scholars.</w:t>
      </w:r>
      <w:r w:rsidRPr="00877BDE">
        <w:rPr>
          <w:rStyle w:val="FootnoteReference"/>
          <w:rFonts w:eastAsia="Arial Unicode MS"/>
          <w:sz w:val="22"/>
          <w:szCs w:val="22"/>
          <w:lang w:val="en-US"/>
        </w:rPr>
        <w:footnoteReference w:id="16"/>
      </w:r>
      <w:r w:rsidRPr="00877BDE">
        <w:rPr>
          <w:rFonts w:eastAsia="Arial Unicode MS"/>
          <w:sz w:val="22"/>
          <w:szCs w:val="22"/>
          <w:lang w:val="en-US"/>
        </w:rPr>
        <w:t xml:space="preserve">  With reference to the no longer extant </w:t>
      </w:r>
      <w:r w:rsidRPr="00877BDE">
        <w:rPr>
          <w:rFonts w:eastAsia="Arial Unicode MS"/>
          <w:i/>
          <w:sz w:val="22"/>
          <w:szCs w:val="22"/>
          <w:lang w:val="en-US"/>
        </w:rPr>
        <w:t>Khiṭaṭ</w:t>
      </w:r>
      <w:r w:rsidRPr="00877BDE">
        <w:rPr>
          <w:rFonts w:eastAsia="Arial Unicode MS"/>
          <w:sz w:val="22"/>
          <w:szCs w:val="22"/>
          <w:lang w:val="en-US"/>
        </w:rPr>
        <w:t xml:space="preserve"> of Shihāb al-Dīn Aḥmad b. ‘Abd Allāh al-Awḥadī (d. 811/1408), who, </w:t>
      </w:r>
      <w:r w:rsidRPr="00877BDE">
        <w:rPr>
          <w:rFonts w:eastAsia="Arial Unicode MS"/>
          <w:sz w:val="22"/>
          <w:szCs w:val="22"/>
          <w:lang w:val="en-US"/>
        </w:rPr>
        <w:lastRenderedPageBreak/>
        <w:t xml:space="preserve">like Ibn Duqmāq, predeceased al-Maqrīzī by at least thirty years, Bauden concludes that al-Maqrīzī in his own </w:t>
      </w:r>
      <w:r w:rsidRPr="00877BDE">
        <w:rPr>
          <w:rFonts w:eastAsia="Arial Unicode MS"/>
          <w:i/>
          <w:sz w:val="22"/>
          <w:szCs w:val="22"/>
          <w:lang w:val="en-US"/>
        </w:rPr>
        <w:t>Khiṭaṭ</w:t>
      </w:r>
      <w:r w:rsidRPr="00877BDE">
        <w:rPr>
          <w:rFonts w:eastAsia="Arial Unicode MS"/>
          <w:sz w:val="22"/>
          <w:szCs w:val="22"/>
          <w:lang w:val="en-US"/>
        </w:rPr>
        <w:t xml:space="preserve"> did plagiarise al-Awḥadī, as some scholars have accused him of doing.</w:t>
      </w:r>
      <w:r w:rsidRPr="00877BDE">
        <w:rPr>
          <w:rStyle w:val="FootnoteReference"/>
          <w:rFonts w:eastAsia="Arial Unicode MS"/>
          <w:sz w:val="22"/>
          <w:szCs w:val="22"/>
          <w:lang w:val="en-US"/>
        </w:rPr>
        <w:footnoteReference w:id="17"/>
      </w:r>
      <w:r w:rsidRPr="00877BDE">
        <w:rPr>
          <w:rFonts w:eastAsia="Arial Unicode MS"/>
          <w:sz w:val="22"/>
          <w:szCs w:val="22"/>
          <w:lang w:val="en-US"/>
        </w:rPr>
        <w:t xml:space="preserve"> Was this the case for some of the work of Ibn Duqmāq too? </w:t>
      </w:r>
    </w:p>
    <w:p w14:paraId="0CD0F58B" w14:textId="77777777" w:rsidR="000405C1" w:rsidRPr="00877BDE" w:rsidRDefault="000405C1" w:rsidP="000405C1">
      <w:pPr>
        <w:widowControl w:val="0"/>
        <w:autoSpaceDE w:val="0"/>
        <w:autoSpaceDN w:val="0"/>
        <w:adjustRightInd w:val="0"/>
        <w:spacing w:line="360" w:lineRule="auto"/>
        <w:ind w:firstLine="720"/>
        <w:jc w:val="both"/>
        <w:rPr>
          <w:rFonts w:eastAsia="Arial Unicode MS"/>
          <w:sz w:val="22"/>
          <w:szCs w:val="22"/>
          <w:lang w:val="en-US"/>
        </w:rPr>
      </w:pPr>
      <w:r w:rsidRPr="00877BDE">
        <w:rPr>
          <w:rFonts w:eastAsia="Arial Unicode MS"/>
          <w:sz w:val="22"/>
          <w:szCs w:val="22"/>
          <w:lang w:val="en-US"/>
        </w:rPr>
        <w:t>On his part, al-Maqrīzī does not shy away from accusing others of borrowing from him without his permission; after Ibn Duqmāq’s death, al-Maqrīzī states that he came to the realization that Ibn Duqmāq himself had used the notes he had lent him and had copied them without acknowledging their origin; al-Maqrīzī called such a reprehensible behaviour “negligence”.</w:t>
      </w:r>
      <w:r w:rsidRPr="00877BDE">
        <w:rPr>
          <w:rStyle w:val="FootnoteReference"/>
          <w:rFonts w:eastAsia="Arial Unicode MS"/>
          <w:sz w:val="22"/>
          <w:szCs w:val="22"/>
          <w:lang w:val="en-US"/>
        </w:rPr>
        <w:footnoteReference w:id="18"/>
      </w:r>
      <w:r w:rsidRPr="00877BDE">
        <w:rPr>
          <w:rFonts w:eastAsia="Arial Unicode MS"/>
          <w:sz w:val="22"/>
          <w:szCs w:val="22"/>
          <w:lang w:val="en-US"/>
        </w:rPr>
        <w:t xml:space="preserve"> It is well known, and at times expressly documented, that scholars borrowed books, notes and drafts from one another and that, upon a colleague’s death, would acquire the deceased’s notes and drafts and use them for their own works without acknowledging their authors.  </w:t>
      </w:r>
    </w:p>
    <w:p w14:paraId="47689DBA" w14:textId="77777777" w:rsidR="000405C1" w:rsidRPr="00877BDE" w:rsidRDefault="000405C1" w:rsidP="000405C1">
      <w:pPr>
        <w:widowControl w:val="0"/>
        <w:autoSpaceDE w:val="0"/>
        <w:autoSpaceDN w:val="0"/>
        <w:adjustRightInd w:val="0"/>
        <w:spacing w:line="360" w:lineRule="auto"/>
        <w:ind w:firstLine="720"/>
        <w:jc w:val="both"/>
        <w:rPr>
          <w:rFonts w:eastAsia="Arial Unicode MS"/>
          <w:i/>
          <w:iCs/>
          <w:sz w:val="22"/>
          <w:szCs w:val="22"/>
          <w:lang w:val="en-US"/>
        </w:rPr>
      </w:pPr>
      <w:r w:rsidRPr="00877BDE">
        <w:rPr>
          <w:rFonts w:eastAsia="Arial Unicode MS"/>
          <w:sz w:val="22"/>
          <w:szCs w:val="22"/>
          <w:lang w:val="en-US"/>
        </w:rPr>
        <w:t>In the case of the accounts of al-Maqrīzī and Ibn Duqmāq regarding the sponsorship of the Manāzil, the similarities are more relevant than their differences. On the basis of the details provided, one could concur with K. Vollers, Ibn Duqmāq’s editor, that the sources at his disposal, especially referring to Fusṭāṭ, were more accurate than al-Maqrīzī’s, even though other scholars such as Ayman Fu'ād Sayyid would disagree and praise the more detailed, yet at times confusing, description of Fusṭāṭ provided by al-Maqrīzī.</w:t>
      </w:r>
      <w:r w:rsidRPr="00877BDE">
        <w:rPr>
          <w:rStyle w:val="FootnoteReference"/>
          <w:rFonts w:eastAsia="Arial Unicode MS"/>
          <w:sz w:val="22"/>
          <w:szCs w:val="22"/>
          <w:lang w:val="en-US"/>
        </w:rPr>
        <w:footnoteReference w:id="19"/>
      </w:r>
    </w:p>
    <w:p w14:paraId="1377C64F" w14:textId="77777777" w:rsidR="000405C1" w:rsidRPr="00877BDE" w:rsidRDefault="000405C1" w:rsidP="000405C1">
      <w:pPr>
        <w:widowControl w:val="0"/>
        <w:autoSpaceDE w:val="0"/>
        <w:autoSpaceDN w:val="0"/>
        <w:adjustRightInd w:val="0"/>
        <w:spacing w:line="360" w:lineRule="auto"/>
        <w:ind w:firstLine="720"/>
        <w:jc w:val="both"/>
        <w:rPr>
          <w:rFonts w:eastAsia="Arial Unicode MS"/>
          <w:sz w:val="22"/>
          <w:szCs w:val="22"/>
          <w:lang w:val="en-US"/>
        </w:rPr>
      </w:pPr>
      <w:r w:rsidRPr="00877BDE">
        <w:rPr>
          <w:rFonts w:eastAsia="Arial Unicode MS"/>
          <w:sz w:val="22"/>
          <w:szCs w:val="22"/>
          <w:lang w:val="en-US"/>
        </w:rPr>
        <w:t>Whether they relied on different sources, or they selected specific versions of accounts from common sources such as al-Quḍā‘ī and al-Kindī, the differences between al-Maqrīzī’s and Ibn Duqmāq’s narratives about the sponsorship of the Manāzil reveal the writer’s individual perspective and interpretation of past history. Indeed, to select a main source or a main narrative can in itself be an indication of meaning, of expressing the writer’s approach or agenda. It is in the reworking, processing or selecting of shared material that the original and edifying contribution of a writer can be identified. In her comparison of the retrospective descriptions of al-Qāhira and Fusṭāṭ by Ibn Duqmāq and al-Maqrīzī, Sylvie Denoix has identified a common nostalgic literary genre, a shared theme of a golden age, the Fāṭimid era, which had in itself the seeds of its own decline but which is used implicitly to refer to (or to critique) the decline and crisis of the writers’ own times. However, from the differences in their narrative details and in emphasis, Denoix was also able to identify to some extent the writers’ specific approaches and worldviews.</w:t>
      </w:r>
      <w:r w:rsidRPr="00877BDE">
        <w:rPr>
          <w:rStyle w:val="FootnoteReference"/>
          <w:rFonts w:eastAsia="Arial Unicode MS"/>
          <w:sz w:val="22"/>
          <w:szCs w:val="22"/>
          <w:lang w:val="en-US"/>
        </w:rPr>
        <w:footnoteReference w:id="20"/>
      </w:r>
      <w:r w:rsidRPr="00877BDE">
        <w:rPr>
          <w:rFonts w:eastAsia="Arial Unicode MS"/>
          <w:sz w:val="22"/>
          <w:szCs w:val="22"/>
          <w:lang w:val="en-US"/>
        </w:rPr>
        <w:t xml:space="preserve">   </w:t>
      </w:r>
    </w:p>
    <w:p w14:paraId="74FF8117" w14:textId="77777777" w:rsidR="000405C1" w:rsidRPr="00877BDE" w:rsidRDefault="000405C1" w:rsidP="000405C1">
      <w:pPr>
        <w:pStyle w:val="BodyText"/>
        <w:spacing w:line="360" w:lineRule="auto"/>
        <w:ind w:firstLine="720"/>
        <w:jc w:val="both"/>
        <w:rPr>
          <w:rFonts w:eastAsia="Arial Unicode MS"/>
          <w:b/>
          <w:bCs/>
          <w:sz w:val="22"/>
          <w:szCs w:val="22"/>
          <w:lang w:val="en-US"/>
        </w:rPr>
      </w:pPr>
      <w:r w:rsidRPr="00877BDE">
        <w:rPr>
          <w:rFonts w:eastAsia="Arial Unicode MS"/>
          <w:sz w:val="22"/>
          <w:szCs w:val="22"/>
          <w:lang w:val="en-US"/>
        </w:rPr>
        <w:t xml:space="preserve">The example of the different attribution of </w:t>
      </w:r>
      <w:r w:rsidRPr="00877BDE">
        <w:rPr>
          <w:rFonts w:eastAsia="Arial Unicode MS"/>
          <w:iCs/>
          <w:sz w:val="22"/>
          <w:szCs w:val="22"/>
          <w:lang w:val="en-US"/>
        </w:rPr>
        <w:t>al-Manāzil</w:t>
      </w:r>
      <w:r w:rsidRPr="00877BDE">
        <w:rPr>
          <w:rFonts w:eastAsia="Arial Unicode MS"/>
          <w:sz w:val="22"/>
          <w:szCs w:val="22"/>
          <w:lang w:val="en-US"/>
        </w:rPr>
        <w:t xml:space="preserve"> is an indication of how reliant we are on our choice of sources to reconstruct a historical period or event. Depending on whether we take Ibn </w:t>
      </w:r>
      <w:r w:rsidRPr="00877BDE">
        <w:rPr>
          <w:rFonts w:eastAsia="Arial Unicode MS"/>
          <w:sz w:val="22"/>
          <w:szCs w:val="22"/>
          <w:lang w:val="en-US"/>
        </w:rPr>
        <w:lastRenderedPageBreak/>
        <w:t xml:space="preserve">Duqmāq or al-Maqrīzī as our principal informant, we can reconstruct two different scenarios relating to the significance of the building of the </w:t>
      </w:r>
      <w:r w:rsidRPr="00877BDE">
        <w:rPr>
          <w:rFonts w:eastAsia="Arial Unicode MS"/>
          <w:iCs/>
          <w:sz w:val="22"/>
          <w:szCs w:val="22"/>
          <w:lang w:val="en-US"/>
        </w:rPr>
        <w:t>Manāzil</w:t>
      </w:r>
      <w:r w:rsidRPr="00877BDE">
        <w:rPr>
          <w:rFonts w:eastAsia="Arial Unicode MS"/>
          <w:sz w:val="22"/>
          <w:szCs w:val="22"/>
          <w:lang w:val="en-US"/>
        </w:rPr>
        <w:t xml:space="preserve">. On the basis of Ibn Duqmāq, the </w:t>
      </w:r>
      <w:r w:rsidRPr="00877BDE">
        <w:rPr>
          <w:rFonts w:eastAsia="Arial Unicode MS"/>
          <w:iCs/>
          <w:sz w:val="22"/>
          <w:szCs w:val="22"/>
          <w:lang w:val="en-US"/>
        </w:rPr>
        <w:t>Manāzil</w:t>
      </w:r>
      <w:r w:rsidRPr="00877BDE">
        <w:rPr>
          <w:rFonts w:eastAsia="Arial Unicode MS"/>
          <w:sz w:val="22"/>
          <w:szCs w:val="22"/>
          <w:lang w:val="en-US"/>
        </w:rPr>
        <w:t xml:space="preserve"> was a gift on the part of the imam-caliph al-Mu‘izz for the newly arrived extended caliphal family with a significant strategic location - commercially, religiously and politically - for the newly installed dynasty. On the basis of al-Maqrīzī, in addition to the above, the significance of the </w:t>
      </w:r>
      <w:r w:rsidRPr="00877BDE">
        <w:rPr>
          <w:rFonts w:eastAsia="Arial Unicode MS"/>
          <w:iCs/>
          <w:sz w:val="22"/>
          <w:szCs w:val="22"/>
          <w:lang w:val="en-US"/>
        </w:rPr>
        <w:t>Manāzil</w:t>
      </w:r>
      <w:r w:rsidRPr="00877BDE">
        <w:rPr>
          <w:rFonts w:eastAsia="Arial Unicode MS"/>
          <w:sz w:val="22"/>
          <w:szCs w:val="22"/>
          <w:lang w:val="en-US"/>
        </w:rPr>
        <w:t xml:space="preserve"> becomes mainly genealogical, a tool for the palace entourage to flag Durzān's new status as the mother of the “informally designated” imām-caliph to be, to mark the continuity and success of a new dynasty in Egypt. </w:t>
      </w:r>
    </w:p>
    <w:p w14:paraId="090838A2" w14:textId="77777777" w:rsidR="000405C1" w:rsidRPr="00877BDE" w:rsidRDefault="000405C1" w:rsidP="000405C1">
      <w:pPr>
        <w:pStyle w:val="BodyText"/>
        <w:spacing w:line="360" w:lineRule="auto"/>
        <w:jc w:val="both"/>
        <w:rPr>
          <w:rFonts w:eastAsia="Arial Unicode MS"/>
          <w:b/>
          <w:sz w:val="22"/>
          <w:szCs w:val="22"/>
          <w:lang w:val="en-US"/>
        </w:rPr>
      </w:pPr>
    </w:p>
    <w:p w14:paraId="1B715A46" w14:textId="77777777" w:rsidR="000405C1" w:rsidRPr="00877BDE" w:rsidRDefault="000405C1" w:rsidP="000405C1">
      <w:pPr>
        <w:pStyle w:val="BodyText"/>
        <w:spacing w:line="360" w:lineRule="auto"/>
        <w:jc w:val="both"/>
        <w:rPr>
          <w:rFonts w:eastAsia="Arial Unicode MS"/>
          <w:b/>
          <w:bCs/>
          <w:sz w:val="22"/>
          <w:szCs w:val="22"/>
          <w:lang w:val="en-US"/>
        </w:rPr>
      </w:pPr>
      <w:r w:rsidRPr="00877BDE">
        <w:rPr>
          <w:rFonts w:eastAsia="Arial Unicode MS"/>
          <w:b/>
          <w:sz w:val="22"/>
          <w:szCs w:val="22"/>
          <w:lang w:val="en-US"/>
        </w:rPr>
        <w:t>The “Mausoleum” (?)</w:t>
      </w:r>
    </w:p>
    <w:p w14:paraId="66A0E47A" w14:textId="77777777" w:rsidR="000405C1" w:rsidRPr="00877BDE" w:rsidRDefault="000405C1" w:rsidP="000405C1">
      <w:pPr>
        <w:pStyle w:val="BodyText"/>
        <w:spacing w:line="360" w:lineRule="auto"/>
        <w:jc w:val="both"/>
        <w:rPr>
          <w:rFonts w:eastAsia="Arial Unicode MS"/>
          <w:b/>
          <w:bCs/>
          <w:sz w:val="22"/>
          <w:szCs w:val="22"/>
          <w:lang w:val="en-US"/>
        </w:rPr>
      </w:pPr>
      <w:r w:rsidRPr="00877BDE">
        <w:rPr>
          <w:rFonts w:eastAsia="Arial Unicode MS"/>
          <w:sz w:val="22"/>
          <w:szCs w:val="22"/>
          <w:lang w:val="en-US"/>
        </w:rPr>
        <w:t xml:space="preserve">It was after al-Mu‘izz’s death that Durzān’s sponsoring activity came to the fore and, this time, there is little disagreement among literary sources as regards to the identity of the sponsor. The sheer number and variety of the buildings she commissioned in the Qarāfa is evidence of their significance. According to Ibn Duqmāq, Durzān even extended her sponsoring activity further north, inside the mosque of Ibn Ṭūlūn, though al-Maqrīzī suggests another sponsor for that project. The buildings attributed to her mark the landscape as symbols of her piety, her status and, above all, mark the visible presence of the Fāṭimid dynasty through the consort of the first Fāṭimid caliph to reside in Egypt, and the mother of his rightful successor. </w:t>
      </w:r>
    </w:p>
    <w:p w14:paraId="456A0D3D" w14:textId="77777777" w:rsidR="000405C1" w:rsidRPr="00877BDE" w:rsidRDefault="000405C1" w:rsidP="000405C1">
      <w:pPr>
        <w:pStyle w:val="BodyText"/>
        <w:spacing w:line="360" w:lineRule="auto"/>
        <w:ind w:firstLine="720"/>
        <w:jc w:val="both"/>
        <w:rPr>
          <w:rFonts w:eastAsia="Arial Unicode MS"/>
          <w:sz w:val="22"/>
          <w:szCs w:val="22"/>
          <w:lang w:val="en-US"/>
        </w:rPr>
      </w:pPr>
      <w:r w:rsidRPr="00877BDE">
        <w:rPr>
          <w:rFonts w:eastAsia="Arial Unicode MS"/>
          <w:sz w:val="22"/>
          <w:szCs w:val="22"/>
          <w:lang w:val="en-US"/>
        </w:rPr>
        <w:t>The thus-far unique and uncontested material evidence of Durzān’s sponsoring activity amounts to a single inscription-bearing fragmentary limestone slab, which was unearthed during excavations in the 1930s. It was found south of Fusṭāṭ, near the northern “shore” of the Pond of the Abyssinians (</w:t>
      </w:r>
      <w:r w:rsidRPr="00877BDE">
        <w:rPr>
          <w:rFonts w:eastAsia="Arial Unicode MS"/>
          <w:i/>
          <w:sz w:val="22"/>
          <w:szCs w:val="22"/>
          <w:lang w:val="en-US"/>
        </w:rPr>
        <w:t>birkat al-Ḥabash</w:t>
      </w:r>
      <w:r w:rsidRPr="00877BDE">
        <w:rPr>
          <w:rFonts w:eastAsia="Arial Unicode MS"/>
          <w:sz w:val="22"/>
          <w:szCs w:val="22"/>
          <w:lang w:val="en-US"/>
        </w:rPr>
        <w:t xml:space="preserve">), an area locally known today as Isṭabl ‘Antar but which - for instance in al-Maqrīzī - is named as either al-Rasad or the Rāshida quarter. In the 1970s, the Durzān slab and its inscription were analyzed by </w:t>
      </w:r>
      <w:r w:rsidRPr="00877BDE">
        <w:rPr>
          <w:rFonts w:eastAsia="Arial Unicode MS"/>
          <w:bCs/>
          <w:sz w:val="22"/>
          <w:szCs w:val="22"/>
          <w:lang w:val="en-US"/>
        </w:rPr>
        <w:t>Gaston Wiet and, subsequently, by Yūsuf Rāghib.</w:t>
      </w:r>
      <w:r w:rsidRPr="00877BDE">
        <w:rPr>
          <w:rStyle w:val="FootnoteReference"/>
          <w:rFonts w:eastAsia="Arial Unicode MS"/>
          <w:bCs/>
          <w:sz w:val="22"/>
          <w:szCs w:val="22"/>
          <w:lang w:val="en-US"/>
        </w:rPr>
        <w:footnoteReference w:id="21"/>
      </w:r>
      <w:r w:rsidRPr="00877BDE">
        <w:rPr>
          <w:rFonts w:eastAsia="Arial Unicode MS"/>
          <w:bCs/>
          <w:sz w:val="22"/>
          <w:szCs w:val="22"/>
          <w:lang w:val="en-US"/>
        </w:rPr>
        <w:t xml:space="preserve"> The two scholars provide different information about the piece, regarding its material (</w:t>
      </w:r>
      <w:r w:rsidRPr="00877BDE">
        <w:rPr>
          <w:rFonts w:eastAsia="Arial Unicode MS"/>
          <w:bCs/>
          <w:iCs/>
          <w:sz w:val="22"/>
          <w:szCs w:val="22"/>
          <w:lang w:val="en-US"/>
        </w:rPr>
        <w:t>marble according to Wiet and limestone according to Rāghib</w:t>
      </w:r>
      <w:r w:rsidRPr="00877BDE">
        <w:rPr>
          <w:rFonts w:eastAsia="Arial Unicode MS"/>
          <w:bCs/>
          <w:sz w:val="22"/>
          <w:szCs w:val="22"/>
          <w:lang w:val="en-US"/>
        </w:rPr>
        <w:t xml:space="preserve">), the location of the finding (Fusṭāṭ according to Wiet and specifically al-Qarāfa according to Rāghib), and the date of its unearthing (1951 according to Wiet - in fact the year in which it was registered - and 1930 according to Rāghib).   </w:t>
      </w:r>
    </w:p>
    <w:p w14:paraId="108AACBD" w14:textId="77777777" w:rsidR="000405C1" w:rsidRPr="00877BDE" w:rsidRDefault="000405C1" w:rsidP="000405C1">
      <w:pPr>
        <w:pStyle w:val="BodyText"/>
        <w:spacing w:line="360" w:lineRule="auto"/>
        <w:ind w:firstLine="720"/>
        <w:jc w:val="both"/>
        <w:rPr>
          <w:rFonts w:eastAsia="Arial Unicode MS"/>
          <w:b/>
          <w:sz w:val="22"/>
          <w:szCs w:val="22"/>
          <w:lang w:val="en-US"/>
        </w:rPr>
      </w:pPr>
      <w:r w:rsidRPr="00877BDE">
        <w:rPr>
          <w:rFonts w:eastAsia="Arial Unicode MS"/>
          <w:sz w:val="22"/>
          <w:szCs w:val="22"/>
          <w:lang w:val="en-US"/>
        </w:rPr>
        <w:t>These discrepancies can be partially solved thanks to further information about the slab provided by another scholar of Islamic architecture, Roland-Pierre Gayraud, in a number of contributions since 1987.</w:t>
      </w:r>
      <w:r w:rsidRPr="00877BDE">
        <w:rPr>
          <w:rStyle w:val="FootnoteReference"/>
          <w:rFonts w:eastAsia="Arial Unicode MS"/>
          <w:sz w:val="22"/>
          <w:szCs w:val="22"/>
          <w:lang w:val="en-US"/>
        </w:rPr>
        <w:footnoteReference w:id="22"/>
      </w:r>
      <w:r w:rsidRPr="00877BDE">
        <w:rPr>
          <w:rFonts w:eastAsia="Arial Unicode MS"/>
          <w:sz w:val="22"/>
          <w:szCs w:val="22"/>
          <w:lang w:val="en-US"/>
        </w:rPr>
        <w:t xml:space="preserve"> The articles contain the publication of the some of the findings resulting </w:t>
      </w:r>
      <w:r w:rsidRPr="00877BDE">
        <w:rPr>
          <w:rFonts w:eastAsia="Arial Unicode MS"/>
          <w:sz w:val="22"/>
          <w:szCs w:val="22"/>
          <w:lang w:val="en-US"/>
        </w:rPr>
        <w:lastRenderedPageBreak/>
        <w:t xml:space="preserve">from excavations that have been conducted at Isṭabl ‘Antar since 1985. Gayraud informs us that the area was used as a necropolis from the ‘Abbāsid period down to 1952, and contains edifices such as mosques, </w:t>
      </w:r>
      <w:r w:rsidRPr="00877BDE">
        <w:rPr>
          <w:rFonts w:eastAsia="Arial Unicode MS"/>
          <w:i/>
          <w:sz w:val="22"/>
          <w:szCs w:val="22"/>
          <w:lang w:val="en-US"/>
        </w:rPr>
        <w:t>ḥammām</w:t>
      </w:r>
      <w:r w:rsidRPr="00877BDE">
        <w:rPr>
          <w:rFonts w:eastAsia="Arial Unicode MS"/>
          <w:sz w:val="22"/>
          <w:szCs w:val="22"/>
          <w:lang w:val="en-US"/>
        </w:rPr>
        <w:t>s and funerary buildings. Among the latter, the one marked as B7 is where the slab in question had been found in what, according to Gayraud, might have well been its original location: i.e. the small basin/cistern of the complex.</w:t>
      </w:r>
      <w:r w:rsidRPr="00877BDE">
        <w:rPr>
          <w:rStyle w:val="FootnoteReference"/>
          <w:rFonts w:eastAsia="Arial Unicode MS"/>
          <w:sz w:val="22"/>
          <w:szCs w:val="22"/>
          <w:lang w:val="en-US"/>
        </w:rPr>
        <w:footnoteReference w:id="23"/>
      </w:r>
      <w:r w:rsidRPr="00877BDE">
        <w:rPr>
          <w:rFonts w:eastAsia="Arial Unicode MS"/>
          <w:sz w:val="22"/>
          <w:szCs w:val="22"/>
          <w:lang w:val="en-US"/>
        </w:rPr>
        <w:t xml:space="preserve"> </w:t>
      </w:r>
    </w:p>
    <w:p w14:paraId="33117E64" w14:textId="77777777" w:rsidR="000405C1" w:rsidRPr="00877BDE" w:rsidRDefault="000405C1" w:rsidP="000405C1">
      <w:pPr>
        <w:pStyle w:val="BodyText"/>
        <w:spacing w:line="360" w:lineRule="auto"/>
        <w:ind w:firstLine="720"/>
        <w:jc w:val="both"/>
        <w:rPr>
          <w:rFonts w:eastAsia="Arial Unicode MS"/>
          <w:b/>
          <w:bCs/>
          <w:sz w:val="22"/>
          <w:szCs w:val="22"/>
          <w:u w:val="single"/>
          <w:lang w:val="en-US"/>
        </w:rPr>
      </w:pPr>
      <w:r w:rsidRPr="00877BDE">
        <w:rPr>
          <w:rFonts w:eastAsia="Arial Unicode MS"/>
          <w:sz w:val="22"/>
          <w:szCs w:val="22"/>
          <w:lang w:val="en-US"/>
        </w:rPr>
        <w:t>Gayraud calls B7 the “Grand Fāṭimid mausoleum,” on account of its huge dimensions (1500 m</w:t>
      </w:r>
      <w:r w:rsidRPr="00877BDE">
        <w:rPr>
          <w:rFonts w:eastAsia="Arial Unicode MS"/>
          <w:sz w:val="22"/>
          <w:szCs w:val="22"/>
          <w:vertAlign w:val="superscript"/>
          <w:lang w:val="en-US"/>
        </w:rPr>
        <w:t>2</w:t>
      </w:r>
      <w:r w:rsidRPr="00877BDE">
        <w:rPr>
          <w:rFonts w:eastAsia="Arial Unicode MS"/>
          <w:sz w:val="22"/>
          <w:szCs w:val="22"/>
          <w:lang w:val="en-US"/>
        </w:rPr>
        <w:t xml:space="preserve">), and he identifies ‘Abbāsid foundations for this building, which he believes was restored towards the end of the fourth/tenth century. Gayraud suggests the dates of this Fāṭimid necropolis as 370/980-463/1070, with the latter date coinciding with the </w:t>
      </w:r>
      <w:r w:rsidRPr="00877BDE">
        <w:rPr>
          <w:rFonts w:eastAsia="Arial Unicode MS"/>
          <w:i/>
          <w:iCs/>
          <w:sz w:val="22"/>
          <w:szCs w:val="22"/>
          <w:lang w:val="en-US"/>
        </w:rPr>
        <w:t>shidda</w:t>
      </w:r>
      <w:r w:rsidRPr="00877BDE">
        <w:rPr>
          <w:rFonts w:eastAsia="Arial Unicode MS"/>
          <w:sz w:val="22"/>
          <w:szCs w:val="22"/>
          <w:lang w:val="en-US"/>
        </w:rPr>
        <w:t>, the massive economic and social collapse that hit Egypt during the reign of the imām-caliph al-Mustanṣir (d. 487/1094),</w:t>
      </w:r>
      <w:r w:rsidRPr="00877BDE">
        <w:rPr>
          <w:rStyle w:val="FootnoteReference"/>
          <w:rFonts w:eastAsia="Arial Unicode MS"/>
          <w:sz w:val="22"/>
          <w:szCs w:val="22"/>
          <w:lang w:val="en-US"/>
        </w:rPr>
        <w:footnoteReference w:id="24"/>
      </w:r>
      <w:r w:rsidRPr="00877BDE">
        <w:rPr>
          <w:rFonts w:eastAsia="Arial Unicode MS"/>
          <w:sz w:val="22"/>
          <w:szCs w:val="22"/>
          <w:lang w:val="en-US"/>
        </w:rPr>
        <w:t xml:space="preserve"> when the necropolis was destroyed and its best quality stones re-used elsewhere. The slab featuring the inscribed title “</w:t>
      </w:r>
      <w:r w:rsidRPr="00877BDE">
        <w:rPr>
          <w:rFonts w:eastAsia="Arial Unicode MS"/>
          <w:i/>
          <w:sz w:val="22"/>
          <w:szCs w:val="22"/>
          <w:lang w:val="en-US"/>
        </w:rPr>
        <w:t>al-sayyida [al-mu‘izziyya]”</w:t>
      </w:r>
      <w:r w:rsidRPr="00877BDE">
        <w:rPr>
          <w:rFonts w:eastAsia="Arial Unicode MS"/>
          <w:sz w:val="22"/>
          <w:szCs w:val="22"/>
          <w:lang w:val="en-US"/>
        </w:rPr>
        <w:t>, i.e. Durzān, gave Gayraud the impetus for identifying B7 as a Fāṭimid mausoleum, where - he claims - Durzān might have been buried. However, none of the literary sources consulted thus far mentions a mausoleum among Durzān’s sponsored buildings. Gayraud bases his claim that the slab belongs to a mausoleum on the location in which it was found and on his interpretation of the text (and of a lacuna) of the inscription. Gayraud argues his point forcefully, but in my opinion, far from conclusively.</w:t>
      </w:r>
      <w:r w:rsidRPr="00877BDE">
        <w:rPr>
          <w:rFonts w:eastAsia="Arial Unicode MS"/>
          <w:sz w:val="22"/>
          <w:szCs w:val="22"/>
          <w:u w:val="single"/>
          <w:lang w:val="en-US"/>
        </w:rPr>
        <w:t xml:space="preserve"> </w:t>
      </w:r>
    </w:p>
    <w:p w14:paraId="412A90DA" w14:textId="77777777" w:rsidR="000405C1" w:rsidRPr="00877BDE" w:rsidRDefault="000405C1" w:rsidP="000405C1">
      <w:pPr>
        <w:pStyle w:val="BodyText3"/>
        <w:ind w:firstLine="720"/>
        <w:jc w:val="both"/>
        <w:rPr>
          <w:rFonts w:eastAsia="Arial Unicode MS"/>
          <w:sz w:val="22"/>
          <w:szCs w:val="22"/>
        </w:rPr>
      </w:pPr>
      <w:r w:rsidRPr="00877BDE">
        <w:rPr>
          <w:rFonts w:eastAsia="Arial Unicode MS"/>
          <w:sz w:val="22"/>
          <w:szCs w:val="22"/>
        </w:rPr>
        <w:t>To go back to the hard evidence, the slab, truncated and burnt, was reproduced by Yūsuf Rāghib.</w:t>
      </w:r>
      <w:r w:rsidRPr="00877BDE">
        <w:rPr>
          <w:rStyle w:val="FootnoteReference"/>
          <w:rFonts w:eastAsia="Arial Unicode MS"/>
          <w:sz w:val="22"/>
          <w:szCs w:val="22"/>
        </w:rPr>
        <w:footnoteReference w:id="25"/>
      </w:r>
      <w:r w:rsidRPr="00877BDE">
        <w:rPr>
          <w:rFonts w:eastAsia="Arial Unicode MS"/>
          <w:sz w:val="22"/>
          <w:szCs w:val="22"/>
        </w:rPr>
        <w:t xml:space="preserve"> Its inscription reads:  </w:t>
      </w:r>
    </w:p>
    <w:p w14:paraId="1903E2D3" w14:textId="77777777" w:rsidR="000405C1" w:rsidRPr="00877BDE" w:rsidRDefault="000405C1" w:rsidP="000405C1">
      <w:pPr>
        <w:pStyle w:val="BodyText3"/>
        <w:ind w:firstLine="720"/>
        <w:jc w:val="both"/>
        <w:rPr>
          <w:rFonts w:eastAsia="Arial Unicode MS"/>
          <w:sz w:val="22"/>
          <w:szCs w:val="22"/>
        </w:rPr>
      </w:pPr>
    </w:p>
    <w:p w14:paraId="45217425" w14:textId="77777777" w:rsidR="000405C1" w:rsidRPr="00877BDE" w:rsidRDefault="000405C1" w:rsidP="000405C1">
      <w:pPr>
        <w:pStyle w:val="BodyText3"/>
        <w:jc w:val="both"/>
        <w:rPr>
          <w:rFonts w:eastAsia="Arial Unicode MS"/>
          <w:bCs/>
          <w:sz w:val="22"/>
          <w:szCs w:val="22"/>
        </w:rPr>
      </w:pPr>
      <w:r w:rsidRPr="00877BDE">
        <w:rPr>
          <w:rFonts w:eastAsia="Arial Unicode MS"/>
          <w:bCs/>
          <w:sz w:val="22"/>
          <w:szCs w:val="22"/>
        </w:rPr>
        <w:t>She ordered [the construction of …..] the blessed, [she] the Lady (</w:t>
      </w:r>
      <w:r w:rsidRPr="00877BDE">
        <w:rPr>
          <w:rFonts w:eastAsia="Arial Unicode MS"/>
          <w:bCs/>
          <w:i/>
          <w:iCs/>
          <w:sz w:val="22"/>
          <w:szCs w:val="22"/>
        </w:rPr>
        <w:t>sayyida</w:t>
      </w:r>
      <w:r w:rsidRPr="00877BDE">
        <w:rPr>
          <w:rFonts w:eastAsia="Arial Unicode MS"/>
          <w:bCs/>
          <w:sz w:val="22"/>
          <w:szCs w:val="22"/>
        </w:rPr>
        <w:t>) [al-Mu‘izziyya], may God prolong her permanence in this world, the mother of Abū al-[Manṣūr] the imām al-‘Azīz bi’llāh, our master and our lord, the prince of believers, the blessings of God be upon him and upon his excellent, noble and righteous ancestors … God stated in its noble Book: “The day on which neither wealth will be of any use, nor children [when only he/she be happy who comes before God with a heart free of evil (Qur. 26:88-89].”</w:t>
      </w:r>
      <w:r w:rsidRPr="00877BDE">
        <w:rPr>
          <w:rStyle w:val="FootnoteReference"/>
          <w:rFonts w:eastAsia="Arial Unicode MS"/>
          <w:bCs/>
          <w:sz w:val="22"/>
          <w:szCs w:val="22"/>
        </w:rPr>
        <w:footnoteReference w:id="26"/>
      </w:r>
      <w:r w:rsidRPr="00877BDE">
        <w:rPr>
          <w:rFonts w:eastAsia="Arial Unicode MS"/>
          <w:bCs/>
          <w:sz w:val="22"/>
          <w:szCs w:val="22"/>
        </w:rPr>
        <w:t xml:space="preserve"> </w:t>
      </w:r>
    </w:p>
    <w:p w14:paraId="2F7191D3" w14:textId="77777777" w:rsidR="000405C1" w:rsidRPr="00877BDE" w:rsidRDefault="000405C1" w:rsidP="000405C1">
      <w:pPr>
        <w:pStyle w:val="BodyText3"/>
        <w:jc w:val="both"/>
        <w:rPr>
          <w:rFonts w:eastAsia="Arial Unicode MS"/>
          <w:b/>
          <w:bCs/>
          <w:sz w:val="22"/>
          <w:szCs w:val="22"/>
        </w:rPr>
      </w:pPr>
    </w:p>
    <w:p w14:paraId="32F41216" w14:textId="77777777" w:rsidR="000405C1" w:rsidRPr="00877BDE" w:rsidRDefault="000405C1" w:rsidP="000405C1">
      <w:pPr>
        <w:pStyle w:val="BodyText3"/>
        <w:jc w:val="both"/>
        <w:rPr>
          <w:rFonts w:eastAsia="Arial Unicode MS"/>
          <w:b/>
          <w:bCs/>
          <w:sz w:val="22"/>
          <w:szCs w:val="22"/>
        </w:rPr>
      </w:pPr>
      <w:r w:rsidRPr="00877BDE">
        <w:rPr>
          <w:rFonts w:eastAsia="Arial Unicode MS"/>
          <w:b/>
          <w:bCs/>
          <w:sz w:val="22"/>
          <w:szCs w:val="22"/>
        </w:rPr>
        <w:t>Interpretations of material evidence</w:t>
      </w:r>
    </w:p>
    <w:p w14:paraId="5866A5F1" w14:textId="77777777" w:rsidR="000405C1" w:rsidRPr="00877BDE" w:rsidRDefault="000405C1" w:rsidP="000405C1">
      <w:pPr>
        <w:pStyle w:val="BodyText3"/>
        <w:jc w:val="both"/>
        <w:rPr>
          <w:rFonts w:eastAsia="Arial Unicode MS"/>
          <w:bCs/>
          <w:sz w:val="22"/>
          <w:szCs w:val="22"/>
        </w:rPr>
      </w:pPr>
      <w:r w:rsidRPr="00877BDE">
        <w:rPr>
          <w:rFonts w:eastAsia="Arial Unicode MS"/>
          <w:bCs/>
          <w:sz w:val="22"/>
          <w:szCs w:val="22"/>
        </w:rPr>
        <w:lastRenderedPageBreak/>
        <w:t>Though the reference to Durzān is brief (and incomplete), it is manifest that her standing is attributable to her being the mother of the im</w:t>
      </w:r>
      <w:r w:rsidRPr="00877BDE">
        <w:rPr>
          <w:rFonts w:eastAsia="Arial Unicode MS"/>
          <w:sz w:val="22"/>
          <w:szCs w:val="22"/>
        </w:rPr>
        <w:t>ā</w:t>
      </w:r>
      <w:r w:rsidRPr="00877BDE">
        <w:rPr>
          <w:rFonts w:eastAsia="Arial Unicode MS"/>
          <w:bCs/>
          <w:sz w:val="22"/>
          <w:szCs w:val="22"/>
        </w:rPr>
        <w:t xml:space="preserve">m-caliph of the time, al-‘Azīz, who, understandably, receives the longest mention in this fragmentary piece. Her role as consort of the late imam-caliph al-Mu‘izz is not explicitly mentioned, even though the missing reference after </w:t>
      </w:r>
      <w:r w:rsidRPr="00877BDE">
        <w:rPr>
          <w:rFonts w:eastAsia="Arial Unicode MS"/>
          <w:bCs/>
          <w:i/>
          <w:sz w:val="22"/>
          <w:szCs w:val="22"/>
        </w:rPr>
        <w:t>al-sayyida</w:t>
      </w:r>
      <w:r w:rsidRPr="00877BDE">
        <w:rPr>
          <w:rFonts w:eastAsia="Arial Unicode MS"/>
          <w:bCs/>
          <w:sz w:val="22"/>
          <w:szCs w:val="22"/>
        </w:rPr>
        <w:t xml:space="preserve"> is most likely her title “</w:t>
      </w:r>
      <w:r w:rsidRPr="00877BDE">
        <w:rPr>
          <w:rFonts w:eastAsia="Arial Unicode MS"/>
          <w:bCs/>
          <w:i/>
          <w:sz w:val="22"/>
          <w:szCs w:val="22"/>
        </w:rPr>
        <w:t>al-sayyida al-mu‘izziya</w:t>
      </w:r>
      <w:r w:rsidRPr="00877BDE">
        <w:rPr>
          <w:rFonts w:eastAsia="Arial Unicode MS"/>
          <w:bCs/>
          <w:sz w:val="22"/>
          <w:szCs w:val="22"/>
        </w:rPr>
        <w:t xml:space="preserve">”, which is the customary way she is consistently referred to in the literary sources. Her son, on the other hand, is referred to by his agnomen (Abū al-Manṣūr), his dynastic name (al-‘Azīz) and his titles. </w:t>
      </w:r>
    </w:p>
    <w:p w14:paraId="74F8E11E" w14:textId="77777777" w:rsidR="000405C1" w:rsidRPr="00877BDE" w:rsidRDefault="000405C1" w:rsidP="000405C1">
      <w:pPr>
        <w:pStyle w:val="BodyText3"/>
        <w:ind w:firstLine="720"/>
        <w:jc w:val="both"/>
        <w:rPr>
          <w:rFonts w:eastAsia="Arial Unicode MS"/>
          <w:bCs/>
          <w:sz w:val="22"/>
          <w:szCs w:val="22"/>
        </w:rPr>
      </w:pPr>
      <w:r w:rsidRPr="00877BDE">
        <w:rPr>
          <w:rFonts w:eastAsia="Arial Unicode MS"/>
          <w:bCs/>
          <w:sz w:val="22"/>
          <w:szCs w:val="22"/>
        </w:rPr>
        <w:t>The extant inscription does not explicitly state what type of building Durzān commissioned. Wiet and Rāghib propose two different suggestions. Wiet tentatively states that it would be “tempting to attribute this inscription to the well-known mosque of Qarāfa, founded by this princess”</w:t>
      </w:r>
      <w:r w:rsidRPr="00877BDE">
        <w:rPr>
          <w:rStyle w:val="FootnoteReference"/>
          <w:rFonts w:eastAsia="Arial Unicode MS"/>
          <w:bCs/>
          <w:sz w:val="22"/>
          <w:szCs w:val="22"/>
        </w:rPr>
        <w:footnoteReference w:id="27"/>
      </w:r>
      <w:r w:rsidRPr="00877BDE">
        <w:rPr>
          <w:rFonts w:eastAsia="Arial Unicode MS"/>
          <w:bCs/>
          <w:sz w:val="22"/>
          <w:szCs w:val="22"/>
        </w:rPr>
        <w:t xml:space="preserve"> but does not take his suggestion any further.  Rāghib, on the other hand, commits to a firmer, more explicit, argument. On the basis of the location of the recovery of the slab in the Qarāfa, as well as the verses toward the end of the inscription that are known to have been used in a few funerary inscriptions, Rāghib deduced that this slab must have belonged to a funerary building.</w:t>
      </w:r>
      <w:r w:rsidRPr="00877BDE">
        <w:rPr>
          <w:rStyle w:val="FootnoteReference"/>
          <w:rFonts w:eastAsia="Arial Unicode MS"/>
          <w:bCs/>
          <w:sz w:val="22"/>
          <w:szCs w:val="22"/>
        </w:rPr>
        <w:footnoteReference w:id="28"/>
      </w:r>
      <w:r w:rsidRPr="00877BDE">
        <w:rPr>
          <w:rFonts w:eastAsia="Arial Unicode MS"/>
          <w:bCs/>
          <w:sz w:val="22"/>
          <w:szCs w:val="22"/>
        </w:rPr>
        <w:t xml:space="preserve"> Having commented earlier on in his paper that Durzān showed a taste for grand buildings - and presumably in view of her status - Rāghib concludes that such a funerary building is nothing less than a mausoleum where she could have been buried.</w:t>
      </w:r>
      <w:r w:rsidRPr="00877BDE">
        <w:rPr>
          <w:rStyle w:val="FootnoteReference"/>
          <w:rFonts w:eastAsia="Arial Unicode MS"/>
          <w:bCs/>
          <w:sz w:val="22"/>
          <w:szCs w:val="22"/>
        </w:rPr>
        <w:footnoteReference w:id="29"/>
      </w:r>
      <w:r w:rsidRPr="00877BDE">
        <w:rPr>
          <w:rFonts w:eastAsia="Arial Unicode MS"/>
          <w:bCs/>
          <w:sz w:val="22"/>
          <w:szCs w:val="22"/>
        </w:rPr>
        <w:t xml:space="preserve">  As we saw earlier, this is the hypothesis that Gayraud fully endorses. </w:t>
      </w:r>
    </w:p>
    <w:p w14:paraId="0AE1428C" w14:textId="77777777" w:rsidR="000405C1" w:rsidRPr="00877BDE" w:rsidRDefault="000405C1" w:rsidP="000405C1">
      <w:pPr>
        <w:pStyle w:val="BodyText3"/>
        <w:ind w:firstLine="720"/>
        <w:jc w:val="both"/>
        <w:rPr>
          <w:rFonts w:eastAsia="Arial Unicode MS"/>
          <w:bCs/>
          <w:sz w:val="22"/>
          <w:szCs w:val="22"/>
        </w:rPr>
      </w:pPr>
      <w:r w:rsidRPr="00877BDE">
        <w:rPr>
          <w:rFonts w:eastAsia="Arial Unicode MS"/>
          <w:bCs/>
          <w:sz w:val="22"/>
          <w:szCs w:val="22"/>
        </w:rPr>
        <w:t>These last two statements raise some further questions. While it is reasonable to assume that this fragment comes from a funerary building, given the context of the site, it is more difficult to justify the opinion that the building was a mausoleum, let alone the one where Durzān was to be buried. Presumably, had it been such a grand building, there would be some mention of it in the literary sources. However, lack of mention or inclusion is not in itself a sufficient reason to dismiss the existence of a given building.</w:t>
      </w:r>
      <w:r w:rsidRPr="00877BDE">
        <w:rPr>
          <w:rStyle w:val="FootnoteReference"/>
          <w:rFonts w:eastAsia="Arial Unicode MS"/>
          <w:bCs/>
          <w:sz w:val="22"/>
          <w:szCs w:val="22"/>
        </w:rPr>
        <w:footnoteReference w:id="30"/>
      </w:r>
      <w:r w:rsidRPr="00877BDE">
        <w:rPr>
          <w:rFonts w:eastAsia="Arial Unicode MS"/>
          <w:bCs/>
          <w:sz w:val="22"/>
          <w:szCs w:val="22"/>
        </w:rPr>
        <w:t xml:space="preserve"> Moreover, the material of this “foundation” slab (limestone rather than marble) could point to a building of more modest nature than a mausoleum.</w:t>
      </w:r>
      <w:r w:rsidRPr="00877BDE">
        <w:rPr>
          <w:rStyle w:val="FootnoteReference"/>
          <w:rFonts w:eastAsia="Arial Unicode MS"/>
          <w:bCs/>
          <w:sz w:val="22"/>
          <w:szCs w:val="22"/>
        </w:rPr>
        <w:footnoteReference w:id="31"/>
      </w:r>
      <w:r w:rsidRPr="00877BDE">
        <w:rPr>
          <w:rFonts w:eastAsia="Arial Unicode MS"/>
          <w:bCs/>
          <w:sz w:val="22"/>
          <w:szCs w:val="22"/>
        </w:rPr>
        <w:t xml:space="preserve"> </w:t>
      </w:r>
    </w:p>
    <w:p w14:paraId="7EC2B811" w14:textId="77777777" w:rsidR="000405C1" w:rsidRPr="00877BDE" w:rsidRDefault="000405C1" w:rsidP="000405C1">
      <w:pPr>
        <w:pStyle w:val="BodyText3"/>
        <w:ind w:firstLine="720"/>
        <w:jc w:val="both"/>
        <w:rPr>
          <w:rFonts w:eastAsia="Arial Unicode MS"/>
          <w:bCs/>
          <w:sz w:val="22"/>
          <w:szCs w:val="22"/>
        </w:rPr>
      </w:pPr>
      <w:r w:rsidRPr="00877BDE">
        <w:rPr>
          <w:rFonts w:eastAsia="Arial Unicode MS"/>
          <w:bCs/>
          <w:sz w:val="22"/>
          <w:szCs w:val="22"/>
        </w:rPr>
        <w:t>How likely is it that the resting place of the mother of the imam-caliph of the time and consort of the former imam-caliph was a rather remote area so far away from the caliphal palace and its own burial chamber (</w:t>
      </w:r>
      <w:r w:rsidRPr="00877BDE">
        <w:rPr>
          <w:rFonts w:eastAsia="Arial Unicode MS"/>
          <w:bCs/>
          <w:i/>
          <w:sz w:val="22"/>
          <w:szCs w:val="22"/>
        </w:rPr>
        <w:t>turbat al-za‘farān, turbat al-qaṣr</w:t>
      </w:r>
      <w:r w:rsidRPr="00877BDE">
        <w:rPr>
          <w:rFonts w:eastAsia="Arial Unicode MS"/>
          <w:bCs/>
          <w:sz w:val="22"/>
          <w:szCs w:val="22"/>
        </w:rPr>
        <w:t xml:space="preserve">)? In his very concise entry on the death of Durzān, al-Maqrīzī specifies that upon hearing of his mother’s death, al-‘Azīz went back to al-Qāhira (i.e. the </w:t>
      </w:r>
      <w:r w:rsidRPr="00877BDE">
        <w:rPr>
          <w:rFonts w:eastAsia="Arial Unicode MS"/>
          <w:bCs/>
          <w:sz w:val="22"/>
          <w:szCs w:val="22"/>
        </w:rPr>
        <w:lastRenderedPageBreak/>
        <w:t xml:space="preserve">palace) from his encampment in Munā Ja‘far </w:t>
      </w:r>
      <w:r w:rsidRPr="00877BDE" w:rsidDel="00250C16">
        <w:rPr>
          <w:rFonts w:eastAsia="Arial Unicode MS"/>
          <w:bCs/>
          <w:sz w:val="22"/>
          <w:szCs w:val="22"/>
        </w:rPr>
        <w:t xml:space="preserve">, </w:t>
      </w:r>
      <w:r w:rsidRPr="00877BDE">
        <w:rPr>
          <w:rFonts w:eastAsia="Arial Unicode MS"/>
          <w:bCs/>
          <w:sz w:val="22"/>
          <w:szCs w:val="22"/>
        </w:rPr>
        <w:t>where he performed prayer for her.</w:t>
      </w:r>
      <w:r w:rsidRPr="00877BDE">
        <w:rPr>
          <w:rStyle w:val="FootnoteReference"/>
          <w:rFonts w:eastAsia="Arial Unicode MS"/>
          <w:bCs/>
          <w:sz w:val="22"/>
          <w:szCs w:val="22"/>
        </w:rPr>
        <w:footnoteReference w:id="32"/>
      </w:r>
      <w:r w:rsidRPr="00877BDE">
        <w:rPr>
          <w:rFonts w:eastAsia="Arial Unicode MS"/>
          <w:bCs/>
          <w:sz w:val="22"/>
          <w:szCs w:val="22"/>
        </w:rPr>
        <w:t xml:space="preserve"> Al-Maqrīzī provides no further details about her death and the location of her burial. However, on reading al-Maqrīzī one could be justified in thinking that Durzān’s resting place was the same as the place where she died and where her daughter-in-law, deceased a  few weeks earlier, had - on the basis of al-Maqrīzī’s detailed account – been laid to rest.   </w:t>
      </w:r>
    </w:p>
    <w:p w14:paraId="0F1C61C2" w14:textId="77777777" w:rsidR="000405C1" w:rsidRPr="00877BDE" w:rsidRDefault="000405C1" w:rsidP="000405C1">
      <w:pPr>
        <w:pStyle w:val="BodyText3"/>
        <w:ind w:firstLine="720"/>
        <w:jc w:val="both"/>
        <w:rPr>
          <w:rFonts w:eastAsia="Arial Unicode MS"/>
          <w:bCs/>
          <w:i/>
          <w:iCs/>
          <w:sz w:val="22"/>
          <w:szCs w:val="22"/>
        </w:rPr>
      </w:pPr>
      <w:r w:rsidRPr="00877BDE">
        <w:rPr>
          <w:rFonts w:eastAsia="Arial Unicode MS"/>
          <w:bCs/>
          <w:sz w:val="22"/>
          <w:szCs w:val="22"/>
        </w:rPr>
        <w:t xml:space="preserve">Unfortunately, the evidence from the historical sources regarding the place where female consorts of members of the caliphal family were buried is not conclusive. On the basis of the fifth/eleventh century Fāṭimid chronicler al-Musabbiḥī, it appears that the wife of al-‘Azīz, the </w:t>
      </w:r>
      <w:r w:rsidRPr="00877BDE">
        <w:rPr>
          <w:rFonts w:eastAsia="Arial Unicode MS"/>
          <w:bCs/>
          <w:i/>
          <w:sz w:val="22"/>
          <w:szCs w:val="22"/>
        </w:rPr>
        <w:t>Sayyida ‘Aziziyya,</w:t>
      </w:r>
      <w:r w:rsidRPr="00877BDE">
        <w:rPr>
          <w:rFonts w:eastAsia="Arial Unicode MS"/>
          <w:bCs/>
          <w:sz w:val="22"/>
          <w:szCs w:val="22"/>
        </w:rPr>
        <w:t xml:space="preserve"> was buried in the palace burial chamber (</w:t>
      </w:r>
      <w:r w:rsidRPr="00877BDE">
        <w:rPr>
          <w:rFonts w:eastAsia="Arial Unicode MS"/>
          <w:bCs/>
          <w:i/>
          <w:sz w:val="22"/>
          <w:szCs w:val="22"/>
        </w:rPr>
        <w:t>turbat al-qaṣr</w:t>
      </w:r>
      <w:r w:rsidRPr="00877BDE">
        <w:rPr>
          <w:rFonts w:eastAsia="Arial Unicode MS"/>
          <w:bCs/>
          <w:sz w:val="22"/>
          <w:szCs w:val="22"/>
        </w:rPr>
        <w:t>)</w:t>
      </w:r>
      <w:r w:rsidRPr="00877BDE">
        <w:rPr>
          <w:rStyle w:val="FootnoteReference"/>
          <w:rFonts w:eastAsia="Arial Unicode MS"/>
          <w:bCs/>
          <w:sz w:val="22"/>
          <w:szCs w:val="22"/>
        </w:rPr>
        <w:footnoteReference w:id="33"/>
      </w:r>
      <w:r w:rsidRPr="00877BDE">
        <w:rPr>
          <w:rFonts w:eastAsia="Arial Unicode MS"/>
          <w:bCs/>
          <w:sz w:val="22"/>
          <w:szCs w:val="22"/>
        </w:rPr>
        <w:t xml:space="preserve">; similarly the concubine of al-Mu‘izz’s son ‘Abd Allāh was buried in the palace. Al-Musabbiḥī, however, also reports that other women of the palace, albeit not royal or consorts, like Taqarrub, the maid of </w:t>
      </w:r>
      <w:r w:rsidRPr="00877BDE">
        <w:rPr>
          <w:rFonts w:eastAsia="Arial Unicode MS"/>
          <w:bCs/>
          <w:i/>
          <w:sz w:val="22"/>
          <w:szCs w:val="22"/>
        </w:rPr>
        <w:t>al-Sayyida al-‘Azīziyya</w:t>
      </w:r>
      <w:r w:rsidRPr="00877BDE">
        <w:rPr>
          <w:rFonts w:eastAsia="Arial Unicode MS"/>
          <w:bCs/>
          <w:sz w:val="22"/>
          <w:szCs w:val="22"/>
        </w:rPr>
        <w:t>, were instead buried in the Qarāfa.</w:t>
      </w:r>
      <w:r w:rsidRPr="00877BDE">
        <w:rPr>
          <w:rStyle w:val="FootnoteReference"/>
          <w:rFonts w:eastAsia="Arial Unicode MS"/>
          <w:bCs/>
          <w:sz w:val="22"/>
          <w:szCs w:val="22"/>
        </w:rPr>
        <w:footnoteReference w:id="34"/>
      </w:r>
      <w:r w:rsidRPr="00877BDE">
        <w:rPr>
          <w:rFonts w:eastAsia="Arial Unicode MS"/>
          <w:bCs/>
          <w:sz w:val="22"/>
          <w:szCs w:val="22"/>
        </w:rPr>
        <w:t xml:space="preserve">   </w:t>
      </w:r>
    </w:p>
    <w:p w14:paraId="4EDF1370" w14:textId="77777777" w:rsidR="000405C1" w:rsidRPr="00877BDE" w:rsidRDefault="000405C1" w:rsidP="000405C1">
      <w:pPr>
        <w:pStyle w:val="BodyText3"/>
        <w:ind w:firstLine="720"/>
        <w:jc w:val="both"/>
        <w:rPr>
          <w:rFonts w:eastAsia="Arial Unicode MS"/>
          <w:sz w:val="22"/>
          <w:szCs w:val="22"/>
        </w:rPr>
      </w:pPr>
      <w:r w:rsidRPr="00877BDE">
        <w:rPr>
          <w:rFonts w:eastAsia="Arial Unicode MS"/>
          <w:bCs/>
          <w:sz w:val="22"/>
          <w:szCs w:val="22"/>
        </w:rPr>
        <w:t xml:space="preserve">The missing part of the puzzle in the inscription, the building itself, is defined with the term  “blessed” in the feminine. This adjective could, of course, refer to a </w:t>
      </w:r>
      <w:r w:rsidRPr="00877BDE">
        <w:rPr>
          <w:rFonts w:eastAsia="Arial Unicode MS"/>
          <w:bCs/>
          <w:i/>
          <w:iCs/>
          <w:sz w:val="22"/>
          <w:szCs w:val="22"/>
        </w:rPr>
        <w:t>turba</w:t>
      </w:r>
      <w:r w:rsidRPr="00877BDE">
        <w:rPr>
          <w:rFonts w:eastAsia="Arial Unicode MS"/>
          <w:bCs/>
          <w:sz w:val="22"/>
          <w:szCs w:val="22"/>
        </w:rPr>
        <w:t xml:space="preserve"> (a tomb, burial ground, cemetery but not necessarily a mausoleum), to a </w:t>
      </w:r>
      <w:r w:rsidRPr="00877BDE">
        <w:rPr>
          <w:rFonts w:eastAsia="Arial Unicode MS"/>
          <w:bCs/>
          <w:i/>
          <w:iCs/>
          <w:sz w:val="22"/>
          <w:szCs w:val="22"/>
        </w:rPr>
        <w:t>qubba</w:t>
      </w:r>
      <w:r w:rsidRPr="00877BDE">
        <w:rPr>
          <w:rFonts w:eastAsia="Arial Unicode MS"/>
          <w:bCs/>
          <w:sz w:val="22"/>
          <w:szCs w:val="22"/>
        </w:rPr>
        <w:t xml:space="preserve"> (a domed shrine, cupola), but also to a </w:t>
      </w:r>
      <w:r w:rsidRPr="00877BDE">
        <w:rPr>
          <w:rFonts w:eastAsia="Arial Unicode MS"/>
          <w:bCs/>
          <w:i/>
          <w:iCs/>
          <w:sz w:val="22"/>
          <w:szCs w:val="22"/>
        </w:rPr>
        <w:t>bi’r</w:t>
      </w:r>
      <w:r w:rsidRPr="00877BDE">
        <w:rPr>
          <w:rFonts w:eastAsia="Arial Unicode MS"/>
          <w:bCs/>
          <w:sz w:val="22"/>
          <w:szCs w:val="22"/>
        </w:rPr>
        <w:t xml:space="preserve">  (well, water pit) or a </w:t>
      </w:r>
      <w:r w:rsidRPr="00877BDE">
        <w:rPr>
          <w:rFonts w:eastAsia="Arial Unicode MS"/>
          <w:bCs/>
          <w:i/>
          <w:sz w:val="22"/>
          <w:szCs w:val="22"/>
        </w:rPr>
        <w:t>fawwāra</w:t>
      </w:r>
      <w:r w:rsidRPr="00877BDE">
        <w:rPr>
          <w:rFonts w:eastAsia="Arial Unicode MS"/>
          <w:bCs/>
          <w:sz w:val="22"/>
          <w:szCs w:val="22"/>
        </w:rPr>
        <w:t xml:space="preserve"> (</w:t>
      </w:r>
      <w:r w:rsidRPr="00877BDE">
        <w:rPr>
          <w:rFonts w:eastAsia="Arial Unicode MS"/>
          <w:bCs/>
          <w:iCs/>
          <w:sz w:val="22"/>
          <w:szCs w:val="22"/>
        </w:rPr>
        <w:t>basin or fountain)</w:t>
      </w:r>
      <w:r w:rsidRPr="00877BDE">
        <w:rPr>
          <w:rFonts w:eastAsia="Arial Unicode MS"/>
          <w:bCs/>
          <w:sz w:val="22"/>
          <w:szCs w:val="22"/>
        </w:rPr>
        <w:t xml:space="preserve">; after all, the slab was found in the small basin or cistern of the complex. The last two options, however, would not tally with </w:t>
      </w:r>
      <w:r w:rsidRPr="00877BDE">
        <w:rPr>
          <w:rFonts w:eastAsia="Arial Unicode MS"/>
          <w:sz w:val="22"/>
          <w:szCs w:val="22"/>
        </w:rPr>
        <w:t xml:space="preserve">the Qur’ānic verse with its possible funerary connotation (26: 88-9), unless we consider the context for which they were built, that is a funerary complex or area.  All in all, the questions regarding the type of building Durzān commissioned and even whether B7 was indeed the original site for the slab remain unanswered. </w:t>
      </w:r>
    </w:p>
    <w:p w14:paraId="5EF97FDC" w14:textId="23CBA03D" w:rsidR="000405C1" w:rsidRPr="00877BDE" w:rsidRDefault="000405C1" w:rsidP="000405C1">
      <w:pPr>
        <w:pStyle w:val="BodyText3"/>
        <w:ind w:firstLine="720"/>
        <w:jc w:val="both"/>
        <w:rPr>
          <w:rFonts w:eastAsia="Arial Unicode MS"/>
          <w:bCs/>
          <w:sz w:val="22"/>
          <w:szCs w:val="22"/>
        </w:rPr>
      </w:pPr>
      <w:r w:rsidRPr="00877BDE">
        <w:rPr>
          <w:rFonts w:eastAsia="Arial Unicode MS"/>
          <w:bCs/>
          <w:sz w:val="22"/>
          <w:szCs w:val="22"/>
        </w:rPr>
        <w:t>Whatever the building this slab belonged to, it is of primary importance as material evidence of Durzān’s architectural patronage in the area broadly defined as al-Qarāfa, of her prominent role as queen mother and the function of her patronage as a material</w:t>
      </w:r>
      <w:r w:rsidR="005E2175">
        <w:rPr>
          <w:rStyle w:val="CommentReference"/>
          <w:rFonts w:eastAsia="Arial Unicode MS"/>
          <w:sz w:val="22"/>
          <w:szCs w:val="22"/>
        </w:rPr>
        <w:t xml:space="preserve"> ad</w:t>
      </w:r>
      <w:r w:rsidR="005E2175">
        <w:rPr>
          <w:rFonts w:eastAsia="Arial Unicode MS"/>
          <w:bCs/>
          <w:sz w:val="22"/>
          <w:szCs w:val="22"/>
        </w:rPr>
        <w:t>vertise</w:t>
      </w:r>
      <w:r w:rsidRPr="00877BDE">
        <w:rPr>
          <w:rFonts w:eastAsia="Arial Unicode MS"/>
          <w:bCs/>
          <w:sz w:val="22"/>
          <w:szCs w:val="22"/>
        </w:rPr>
        <w:t xml:space="preserve">ment for the authority and legitimacy of her son, the imām-caliph, and through his “pure ancestors,” for the Fāṭimid dynasty as a whole.  </w:t>
      </w:r>
    </w:p>
    <w:p w14:paraId="24AB0266" w14:textId="77777777" w:rsidR="000405C1" w:rsidRPr="00877BDE" w:rsidRDefault="000405C1" w:rsidP="000405C1">
      <w:pPr>
        <w:pStyle w:val="BodyText"/>
        <w:spacing w:line="360" w:lineRule="auto"/>
        <w:ind w:firstLine="720"/>
        <w:jc w:val="both"/>
        <w:rPr>
          <w:rFonts w:eastAsia="Arial Unicode MS"/>
          <w:b/>
          <w:bCs/>
          <w:sz w:val="22"/>
          <w:szCs w:val="22"/>
          <w:lang w:val="en-US"/>
        </w:rPr>
      </w:pPr>
      <w:r w:rsidRPr="00877BDE">
        <w:rPr>
          <w:rFonts w:eastAsia="Arial Unicode MS"/>
          <w:sz w:val="22"/>
          <w:szCs w:val="22"/>
          <w:lang w:val="en-US"/>
        </w:rPr>
        <w:t xml:space="preserve">All in all, the findings set out in the first section of this paper attempt to show that -for instance in the case of the attribution of the Manāzil - literary sources can be contradictory and the differences in their narratives can lead to the reconstruction of slightly diverging  contexts and aims of building and sponsoring activity. Moreover, historians such as Ibn Duqmāq and al-Maqrīzī, who wrote centuries after the building work took place, relied on other sources closer to, or contemporary with, the Fāṭimid era. By selecting one version of a narrative over another (assuming they both had access to the same primary Fāṭimid sources), or by emphasizing some details above others, they might have conveyed </w:t>
      </w:r>
      <w:r w:rsidRPr="00877BDE">
        <w:rPr>
          <w:rFonts w:eastAsia="Arial Unicode MS"/>
          <w:sz w:val="22"/>
          <w:szCs w:val="22"/>
          <w:lang w:val="en-US"/>
        </w:rPr>
        <w:lastRenderedPageBreak/>
        <w:t xml:space="preserve">meaning and illustrated their own reconstruction of the past, while possibly commenting upon their present. In more than one occasion, al-Maqrīzī states that some of the buildings he refers to are no longer extant, partially as a result of the </w:t>
      </w:r>
      <w:r w:rsidRPr="00877BDE">
        <w:rPr>
          <w:rFonts w:eastAsia="Arial Unicode MS"/>
          <w:i/>
          <w:sz w:val="22"/>
          <w:szCs w:val="22"/>
          <w:lang w:val="en-US"/>
        </w:rPr>
        <w:t>shidda Mustanṣiriyya</w:t>
      </w:r>
      <w:r w:rsidRPr="00877BDE">
        <w:rPr>
          <w:rFonts w:eastAsia="Arial Unicode MS"/>
          <w:sz w:val="22"/>
          <w:szCs w:val="22"/>
          <w:lang w:val="en-US"/>
        </w:rPr>
        <w:t xml:space="preserve">, which prompted the dislocation and reuse of building material. It is also unclear whether any of the Fāṭimid or later writers ever saw the inscription on the slab in Isṭabl ‘Antar, or rather, mostly relied on local knowledge when attributing a building to a specific sponsor. Finally, it was shown that material evidence, such as the slab under investigation, can open up more questions than it answers and that even when it is possible to identify a sponsor for a building clearly, the motives, extent of agency and meaning of that sponsorship can only be conjectured through a thorough analysis of historical, genealogical, geographical and economic contexts. </w:t>
      </w:r>
    </w:p>
    <w:p w14:paraId="4F87D6F9" w14:textId="77777777" w:rsidR="000405C1" w:rsidRPr="00877BDE" w:rsidRDefault="000405C1" w:rsidP="000405C1">
      <w:pPr>
        <w:pStyle w:val="FootnoteText"/>
        <w:spacing w:line="360" w:lineRule="auto"/>
        <w:rPr>
          <w:rFonts w:eastAsia="Arial Unicode MS"/>
          <w:b/>
          <w:bCs/>
          <w:sz w:val="22"/>
          <w:szCs w:val="22"/>
        </w:rPr>
      </w:pPr>
    </w:p>
    <w:p w14:paraId="294EF915" w14:textId="77777777" w:rsidR="000405C1" w:rsidRPr="00877BDE" w:rsidRDefault="000405C1" w:rsidP="000405C1">
      <w:pPr>
        <w:pStyle w:val="FootnoteText"/>
        <w:spacing w:line="360" w:lineRule="auto"/>
        <w:rPr>
          <w:rFonts w:eastAsia="Arial Unicode MS"/>
          <w:b/>
          <w:sz w:val="22"/>
          <w:szCs w:val="22"/>
        </w:rPr>
      </w:pPr>
      <w:r w:rsidRPr="00877BDE">
        <w:rPr>
          <w:rFonts w:eastAsia="Arial Unicode MS"/>
          <w:b/>
          <w:bCs/>
          <w:sz w:val="22"/>
          <w:szCs w:val="22"/>
        </w:rPr>
        <w:t>The Great Mosque (</w:t>
      </w:r>
      <w:r w:rsidRPr="00877BDE">
        <w:rPr>
          <w:rFonts w:eastAsia="Arial Unicode MS"/>
          <w:b/>
          <w:bCs/>
          <w:i/>
          <w:iCs/>
          <w:sz w:val="22"/>
          <w:szCs w:val="22"/>
        </w:rPr>
        <w:t>jāmi‘</w:t>
      </w:r>
      <w:r w:rsidRPr="00877BDE">
        <w:rPr>
          <w:rFonts w:eastAsia="Arial Unicode MS"/>
          <w:b/>
          <w:bCs/>
          <w:sz w:val="22"/>
          <w:szCs w:val="22"/>
        </w:rPr>
        <w:t>) of al-Qarāfa and the (</w:t>
      </w:r>
      <w:r w:rsidRPr="00877BDE">
        <w:rPr>
          <w:rFonts w:eastAsia="Arial Unicode MS"/>
          <w:b/>
          <w:bCs/>
          <w:i/>
          <w:iCs/>
          <w:sz w:val="22"/>
          <w:szCs w:val="22"/>
        </w:rPr>
        <w:t>qaṣr</w:t>
      </w:r>
      <w:r w:rsidRPr="00877BDE">
        <w:rPr>
          <w:rFonts w:eastAsia="Arial Unicode MS"/>
          <w:b/>
          <w:bCs/>
          <w:sz w:val="22"/>
          <w:szCs w:val="22"/>
        </w:rPr>
        <w:t xml:space="preserve">):  </w:t>
      </w:r>
      <w:r w:rsidRPr="00877BDE">
        <w:rPr>
          <w:rFonts w:eastAsia="Arial Unicode MS"/>
          <w:b/>
          <w:sz w:val="22"/>
          <w:szCs w:val="22"/>
        </w:rPr>
        <w:t>Durzān’s patronage in its political, social and economic contexts</w:t>
      </w:r>
    </w:p>
    <w:p w14:paraId="55B66050" w14:textId="77777777" w:rsidR="000405C1" w:rsidRPr="00877BDE" w:rsidRDefault="000405C1" w:rsidP="000405C1">
      <w:pPr>
        <w:spacing w:line="360" w:lineRule="auto"/>
        <w:rPr>
          <w:rFonts w:eastAsia="Arial Unicode MS"/>
          <w:sz w:val="22"/>
          <w:szCs w:val="22"/>
          <w:lang w:val="en-US"/>
        </w:rPr>
      </w:pPr>
      <w:r w:rsidRPr="00877BDE">
        <w:rPr>
          <w:rFonts w:eastAsia="Arial Unicode MS"/>
          <w:sz w:val="22"/>
          <w:szCs w:val="22"/>
          <w:lang w:val="en-US"/>
        </w:rPr>
        <w:t xml:space="preserve">To what extent were the Fāṭimid royal women directly involved in the financing, commissioning, and choosing the location and nature of the buildings that carried their names? What does it mean when chroniclers ascribe the construction of buildings to women of the Fāṭimid dynasty? In al-Maqrīzī’s </w:t>
      </w:r>
      <w:r w:rsidRPr="00877BDE">
        <w:rPr>
          <w:rFonts w:eastAsia="Arial Unicode MS"/>
          <w:i/>
          <w:sz w:val="22"/>
          <w:szCs w:val="22"/>
          <w:lang w:val="en-US"/>
        </w:rPr>
        <w:t>Khiṭaṭ</w:t>
      </w:r>
      <w:r w:rsidRPr="00877BDE">
        <w:rPr>
          <w:rFonts w:eastAsia="Arial Unicode MS"/>
          <w:sz w:val="22"/>
          <w:szCs w:val="22"/>
          <w:lang w:val="en-US"/>
        </w:rPr>
        <w:t xml:space="preserve"> we can identify several levels of a patron’s personal involvement in the process of commissioning a building, ranging from the </w:t>
      </w:r>
      <w:r w:rsidRPr="00877BDE">
        <w:rPr>
          <w:rFonts w:eastAsia="Arial Unicode MS"/>
          <w:bCs/>
          <w:sz w:val="22"/>
          <w:szCs w:val="22"/>
          <w:lang w:val="en-US"/>
        </w:rPr>
        <w:t>choice of a site and allocation of funds to contributing physical labour.</w:t>
      </w:r>
      <w:r w:rsidRPr="00877BDE">
        <w:rPr>
          <w:rStyle w:val="FootnoteReference"/>
          <w:rFonts w:eastAsia="Arial Unicode MS"/>
          <w:bCs/>
          <w:sz w:val="22"/>
          <w:szCs w:val="22"/>
          <w:lang w:val="en-US"/>
        </w:rPr>
        <w:footnoteReference w:id="35"/>
      </w:r>
      <w:r w:rsidRPr="00877BDE">
        <w:rPr>
          <w:rFonts w:eastAsia="Arial Unicode MS"/>
          <w:bCs/>
          <w:sz w:val="22"/>
          <w:szCs w:val="22"/>
          <w:lang w:val="en-US"/>
        </w:rPr>
        <w:t xml:space="preserve"> Such degrees of participation, however, mostly relate to male patrons of the Mamlūk period. As for</w:t>
      </w:r>
      <w:r w:rsidRPr="00877BDE">
        <w:rPr>
          <w:rFonts w:eastAsia="Arial Unicode MS"/>
          <w:sz w:val="22"/>
          <w:szCs w:val="22"/>
          <w:lang w:val="en-US"/>
        </w:rPr>
        <w:t xml:space="preserve"> the reasons behind architectural patronage by Fāṭimid (and other) men of power, they range from public display of personal or dynastic authority to financial status and investment, piety and self-promotion. In contrast, the motivations behind female patronage are rarely so manifest. </w:t>
      </w:r>
    </w:p>
    <w:p w14:paraId="5099B40E" w14:textId="77777777" w:rsidR="000405C1" w:rsidRPr="00877BDE" w:rsidRDefault="000405C1" w:rsidP="000405C1">
      <w:pPr>
        <w:spacing w:line="360" w:lineRule="auto"/>
        <w:ind w:firstLine="720"/>
        <w:rPr>
          <w:rFonts w:eastAsia="Arial Unicode MS"/>
          <w:sz w:val="22"/>
          <w:szCs w:val="22"/>
          <w:lang w:val="en-US"/>
        </w:rPr>
      </w:pPr>
      <w:r w:rsidRPr="00877BDE">
        <w:rPr>
          <w:rFonts w:eastAsia="Arial Unicode MS"/>
          <w:sz w:val="22"/>
          <w:szCs w:val="22"/>
          <w:lang w:val="en-US"/>
        </w:rPr>
        <w:t xml:space="preserve">It has been suggested </w:t>
      </w:r>
      <w:r w:rsidRPr="00877BDE">
        <w:rPr>
          <w:rFonts w:eastAsia="Arial Unicode MS"/>
          <w:bCs/>
          <w:sz w:val="22"/>
          <w:szCs w:val="22"/>
          <w:lang w:val="en-US"/>
        </w:rPr>
        <w:t>that Durzān and her daughter Sitt al-Malik (or al-Mulk) resorted to the construction of important buildings in al-Qarāfa as a way to express their exercise of power.</w:t>
      </w:r>
      <w:r w:rsidRPr="00877BDE">
        <w:rPr>
          <w:rFonts w:eastAsia="Arial Unicode MS"/>
          <w:sz w:val="22"/>
          <w:szCs w:val="22"/>
          <w:vertAlign w:val="superscript"/>
          <w:lang w:val="en-US"/>
        </w:rPr>
        <w:footnoteReference w:id="36"/>
      </w:r>
      <w:r w:rsidRPr="00877BDE">
        <w:rPr>
          <w:rFonts w:eastAsia="Arial Unicode MS"/>
          <w:bCs/>
          <w:sz w:val="22"/>
          <w:szCs w:val="22"/>
          <w:lang w:val="en-US"/>
        </w:rPr>
        <w:t xml:space="preserve"> While a clear link between females’ exercise of power and building activity is visible in the case of royal women of dynasties like the Ottomans, such a nexus is problematic when considering</w:t>
      </w:r>
      <w:r w:rsidRPr="00877BDE">
        <w:rPr>
          <w:rFonts w:eastAsia="Arial Unicode MS"/>
          <w:sz w:val="22"/>
          <w:szCs w:val="22"/>
          <w:lang w:val="en-US"/>
        </w:rPr>
        <w:t xml:space="preserve"> Fāṭimid female patronage and Durzān’s case in particular. In the very limited sources referring to her, Durzān is never portrayed as a ‘career’ woman; there is no evidence that she had any overt influence on court politics, or, that she openly exercised power of any sort. It was not Durzān but one of her contemporaries, ‘Ā’isha, a concubine of ‘Abd Allāh, who was singled out by medieval chroniclers and historians as one of the most powerful women of the court. </w:t>
      </w:r>
    </w:p>
    <w:p w14:paraId="339D5281" w14:textId="77777777" w:rsidR="000405C1" w:rsidRPr="00877BDE" w:rsidRDefault="000405C1" w:rsidP="000405C1">
      <w:pPr>
        <w:spacing w:line="360" w:lineRule="auto"/>
        <w:rPr>
          <w:rFonts w:eastAsia="Arial Unicode MS"/>
          <w:b/>
          <w:sz w:val="22"/>
          <w:szCs w:val="22"/>
          <w:lang w:val="en-US"/>
        </w:rPr>
      </w:pPr>
    </w:p>
    <w:p w14:paraId="3572FB67" w14:textId="77777777" w:rsidR="000405C1" w:rsidRPr="00877BDE" w:rsidRDefault="000405C1" w:rsidP="000405C1">
      <w:pPr>
        <w:spacing w:line="360" w:lineRule="auto"/>
        <w:rPr>
          <w:rFonts w:eastAsia="Arial Unicode MS"/>
          <w:b/>
          <w:sz w:val="22"/>
          <w:szCs w:val="22"/>
          <w:lang w:val="en-US"/>
        </w:rPr>
      </w:pPr>
      <w:r w:rsidRPr="00877BDE">
        <w:rPr>
          <w:rFonts w:eastAsia="Arial Unicode MS"/>
          <w:b/>
          <w:sz w:val="22"/>
          <w:szCs w:val="22"/>
          <w:lang w:val="en-US"/>
        </w:rPr>
        <w:t>The political context</w:t>
      </w:r>
    </w:p>
    <w:tbl>
      <w:tblPr>
        <w:tblW w:w="5000" w:type="pct"/>
        <w:tblCellSpacing w:w="22" w:type="dxa"/>
        <w:tblCellMar>
          <w:left w:w="0" w:type="dxa"/>
          <w:right w:w="0" w:type="dxa"/>
        </w:tblCellMar>
        <w:tblLook w:val="04A0" w:firstRow="1" w:lastRow="0" w:firstColumn="1" w:lastColumn="0" w:noHBand="0" w:noVBand="1"/>
      </w:tblPr>
      <w:tblGrid>
        <w:gridCol w:w="9026"/>
      </w:tblGrid>
      <w:tr w:rsidR="000405C1" w:rsidRPr="00877BDE" w14:paraId="16CFFE6B" w14:textId="77777777" w:rsidTr="008A7BAE">
        <w:trPr>
          <w:tblCellSpacing w:w="22" w:type="dxa"/>
        </w:trPr>
        <w:tc>
          <w:tcPr>
            <w:tcW w:w="0" w:type="auto"/>
            <w:vAlign w:val="center"/>
          </w:tcPr>
          <w:p w14:paraId="17235E69" w14:textId="77777777" w:rsidR="000405C1" w:rsidRPr="00877BDE" w:rsidRDefault="000405C1" w:rsidP="008A7BAE">
            <w:pPr>
              <w:spacing w:line="360" w:lineRule="auto"/>
              <w:rPr>
                <w:rFonts w:eastAsia="Arial Unicode MS"/>
                <w:sz w:val="22"/>
                <w:szCs w:val="22"/>
                <w:lang w:val="en-US"/>
              </w:rPr>
            </w:pPr>
            <w:r w:rsidRPr="00877BDE">
              <w:rPr>
                <w:rFonts w:eastAsia="Arial Unicode MS"/>
                <w:sz w:val="22"/>
                <w:szCs w:val="22"/>
                <w:lang w:val="en-US"/>
              </w:rPr>
              <w:t>Accepting that architectural patronage is a typical expression of exercise of power, with whose power are we dealing in Durzān’s case? The  building activity ascribed to Durzān coincided with a major upward shift in her status from ‘mere’ consort of al-Mu‘izz to queen mother of the reigning al-‘Azīz, a change that occurred at a particularly significant time in the history of the Fāṭimid dynasty. Durzān became a widow and queen mother in 365/975, that is, just two years after the Fāṭimid imām-caliph al-Mu‘izz had moved to his new capital, al-Qāhira. Al-Mu‘izz’s death took place during a phase of transition for the Fāṭimids, from being a North African ‘provincial’ dynasty to becoming, once in al-Qāhira, a dynasty with imperial</w:t>
            </w:r>
            <w:r w:rsidRPr="00877BDE">
              <w:rPr>
                <w:rFonts w:eastAsia="Arial Unicode MS"/>
                <w:bCs/>
                <w:sz w:val="22"/>
                <w:szCs w:val="22"/>
                <w:lang w:val="en-US"/>
              </w:rPr>
              <w:t>istic</w:t>
            </w:r>
            <w:r w:rsidRPr="00877BDE">
              <w:rPr>
                <w:rFonts w:eastAsia="Arial Unicode MS"/>
                <w:sz w:val="22"/>
                <w:szCs w:val="22"/>
                <w:lang w:val="en-US"/>
              </w:rPr>
              <w:t xml:space="preserve"> ambitions. This transformation manifested itself in the upgrading of the court to ‘royal court’, displayed through an increasingly elaborate court ceremonial; in the rapid urban expansion of al-Qāhira, reflecting its status as a capital city with imperial pretensions; and in a growing degree of complexity in the management of the regime. This transformation culminated in the adoption of the institution of the vizirate and the formal appointment of the Iraqī Ya‘ḳūb b. Killis to the post of vizier in 368/978-9.</w:t>
            </w:r>
            <w:r w:rsidRPr="00877BDE">
              <w:rPr>
                <w:rStyle w:val="FootnoteReference"/>
                <w:rFonts w:eastAsia="Arial Unicode MS"/>
                <w:sz w:val="22"/>
                <w:szCs w:val="22"/>
                <w:lang w:val="en-US"/>
              </w:rPr>
              <w:footnoteReference w:id="37"/>
            </w:r>
            <w:r w:rsidRPr="00877BDE">
              <w:rPr>
                <w:rFonts w:eastAsia="Arial Unicode MS"/>
                <w:sz w:val="22"/>
                <w:szCs w:val="22"/>
                <w:lang w:val="en-US"/>
              </w:rPr>
              <w:t xml:space="preserve"> At this juncture, Durzān found herself to be the very first Fāṭimid queen mother within a newly established ‘royal’ court, the organization and functioning of which was overseen by Ibn Killis (d.</w:t>
            </w:r>
            <w:r w:rsidRPr="00877BDE">
              <w:rPr>
                <w:rFonts w:eastAsia="Arial Unicode MS"/>
                <w:i/>
                <w:sz w:val="22"/>
                <w:szCs w:val="22"/>
                <w:lang w:val="en-US"/>
              </w:rPr>
              <w:t xml:space="preserve"> </w:t>
            </w:r>
            <w:r w:rsidRPr="00877BDE">
              <w:rPr>
                <w:rFonts w:eastAsia="Arial Unicode MS"/>
                <w:sz w:val="22"/>
                <w:szCs w:val="22"/>
                <w:lang w:val="en-US"/>
              </w:rPr>
              <w:t>378/989 or 380/991).</w:t>
            </w:r>
          </w:p>
          <w:p w14:paraId="42E99A44" w14:textId="77777777" w:rsidR="000405C1" w:rsidRPr="00877BDE" w:rsidRDefault="000405C1" w:rsidP="008A7BAE">
            <w:pPr>
              <w:spacing w:line="360" w:lineRule="auto"/>
              <w:rPr>
                <w:rFonts w:eastAsia="Arial Unicode MS"/>
                <w:sz w:val="22"/>
                <w:szCs w:val="22"/>
                <w:lang w:val="en-US"/>
              </w:rPr>
            </w:pPr>
            <w:r w:rsidRPr="00877BDE">
              <w:rPr>
                <w:rFonts w:eastAsia="Arial Unicode MS"/>
                <w:sz w:val="22"/>
                <w:szCs w:val="22"/>
                <w:lang w:val="en-US"/>
              </w:rPr>
              <w:t>After al-Mu‘izz’s arrival in al-Qāhira, Ibn Killis was initially placed in charge of the Fāṭimid treasury, of revenues and all the state financial affairs. In time, his portfolio of offices expanded further, but we are told by al-Maqrīzī that in 365/975 he relinquished</w:t>
            </w:r>
            <w:r w:rsidRPr="00877BDE">
              <w:rPr>
                <w:rFonts w:eastAsia="Arial Unicode MS"/>
                <w:i/>
                <w:sz w:val="22"/>
                <w:szCs w:val="22"/>
                <w:lang w:val="en-US"/>
              </w:rPr>
              <w:t xml:space="preserve"> </w:t>
            </w:r>
            <w:r w:rsidRPr="00877BDE">
              <w:rPr>
                <w:rFonts w:eastAsia="Arial Unicode MS"/>
                <w:sz w:val="22"/>
                <w:szCs w:val="22"/>
                <w:lang w:val="en-US"/>
              </w:rPr>
              <w:t xml:space="preserve">his duties in the </w:t>
            </w:r>
            <w:r w:rsidRPr="00877BDE">
              <w:rPr>
                <w:rFonts w:eastAsia="Arial Unicode MS"/>
                <w:i/>
                <w:sz w:val="22"/>
                <w:szCs w:val="22"/>
                <w:lang w:val="en-US"/>
              </w:rPr>
              <w:t>dīwān</w:t>
            </w:r>
            <w:r w:rsidRPr="00877BDE">
              <w:rPr>
                <w:rFonts w:eastAsia="Arial Unicode MS"/>
                <w:sz w:val="22"/>
                <w:szCs w:val="22"/>
                <w:lang w:val="en-US"/>
              </w:rPr>
              <w:t xml:space="preserve">  in order to dedicate himself completely to overseeing al-Mu‘izz’s affairs in his palace.</w:t>
            </w:r>
            <w:r w:rsidRPr="00877BDE">
              <w:rPr>
                <w:rStyle w:val="FootnoteReference"/>
                <w:rFonts w:eastAsia="Arial Unicode MS"/>
                <w:sz w:val="22"/>
                <w:szCs w:val="22"/>
                <w:lang w:val="en-US"/>
              </w:rPr>
              <w:t xml:space="preserve"> </w:t>
            </w:r>
            <w:r w:rsidRPr="00877BDE">
              <w:rPr>
                <w:rStyle w:val="FootnoteReference"/>
                <w:rFonts w:eastAsia="Arial Unicode MS"/>
                <w:sz w:val="22"/>
                <w:szCs w:val="22"/>
                <w:lang w:val="en-US"/>
              </w:rPr>
              <w:footnoteReference w:id="38"/>
            </w:r>
            <w:r w:rsidRPr="00877BDE">
              <w:rPr>
                <w:rFonts w:eastAsia="Arial Unicode MS"/>
                <w:sz w:val="22"/>
                <w:szCs w:val="22"/>
                <w:lang w:val="en-US"/>
              </w:rPr>
              <w:t xml:space="preserve">  A sign of the formalization of Durzān’s ensuing status as queen mother is reflected in her being the first Fāṭimid royal consort and mother of an imam recorded as being addressed with the title of ‘Sayyida’.  Her new royal status became formally sanctioned two days before al-Mu‘izz’s death when, as</w:t>
            </w:r>
            <w:r w:rsidRPr="00877BDE">
              <w:rPr>
                <w:rFonts w:eastAsia="Arial Unicode MS"/>
                <w:bCs/>
                <w:sz w:val="22"/>
                <w:szCs w:val="22"/>
                <w:lang w:val="en-US"/>
              </w:rPr>
              <w:t xml:space="preserve"> the ‘Sayyida’, she is reported to have summoned the high dignitaries of the regime, including Ibn Killis, to the bed of the dying imam-caliph.</w:t>
            </w:r>
            <w:r w:rsidRPr="00877BDE">
              <w:rPr>
                <w:rStyle w:val="FootnoteReference"/>
                <w:rFonts w:eastAsia="Arial Unicode MS"/>
                <w:bCs/>
                <w:sz w:val="22"/>
                <w:szCs w:val="22"/>
                <w:lang w:val="en-US"/>
              </w:rPr>
              <w:footnoteReference w:id="39"/>
            </w:r>
            <w:r w:rsidRPr="00877BDE">
              <w:rPr>
                <w:rFonts w:eastAsia="Arial Unicode MS"/>
                <w:bCs/>
                <w:sz w:val="22"/>
                <w:szCs w:val="22"/>
                <w:lang w:val="en-US"/>
              </w:rPr>
              <w:t xml:space="preserve"> </w:t>
            </w:r>
            <w:r w:rsidRPr="00877BDE">
              <w:rPr>
                <w:rFonts w:eastAsia="Arial Unicode MS"/>
                <w:sz w:val="22"/>
                <w:szCs w:val="22"/>
                <w:lang w:val="en-US"/>
              </w:rPr>
              <w:t xml:space="preserve">The creation of a fully-fledged royal court meant devising hierarchies and diversifying the allocation of political, executive and symbolic powers among royal family members, personnel and holders of offices. In this context, Durzān, as the first ‘proper’ Fāṭimid queen mother, can be regarded as a locus of symbolic power of the first order that would, in turn, empower those (men) who might have operated in her orbit. </w:t>
            </w:r>
          </w:p>
        </w:tc>
      </w:tr>
    </w:tbl>
    <w:p w14:paraId="44600EEF" w14:textId="51305364" w:rsidR="000405C1" w:rsidRPr="00877BDE" w:rsidRDefault="000405C1" w:rsidP="000405C1">
      <w:pPr>
        <w:spacing w:line="360" w:lineRule="auto"/>
        <w:rPr>
          <w:rFonts w:eastAsia="Arial Unicode MS"/>
          <w:sz w:val="22"/>
          <w:szCs w:val="22"/>
          <w:lang w:val="en-US"/>
        </w:rPr>
      </w:pPr>
      <w:r w:rsidRPr="00877BDE">
        <w:rPr>
          <w:rFonts w:eastAsia="Arial Unicode MS"/>
          <w:sz w:val="22"/>
          <w:szCs w:val="22"/>
          <w:lang w:val="en-US"/>
        </w:rPr>
        <w:lastRenderedPageBreak/>
        <w:t xml:space="preserve"> </w:t>
      </w:r>
      <w:r w:rsidRPr="00877BDE">
        <w:rPr>
          <w:rFonts w:eastAsia="Arial Unicode MS"/>
          <w:sz w:val="22"/>
          <w:szCs w:val="22"/>
          <w:lang w:val="en-US"/>
        </w:rPr>
        <w:tab/>
      </w:r>
      <w:r w:rsidRPr="00877BDE">
        <w:rPr>
          <w:rFonts w:eastAsia="Arial Unicode MS"/>
          <w:bCs/>
          <w:sz w:val="22"/>
          <w:szCs w:val="22"/>
          <w:lang w:val="en-US"/>
        </w:rPr>
        <w:t>Al-Maqrīzī reports that</w:t>
      </w:r>
      <w:r w:rsidRPr="00877BDE">
        <w:rPr>
          <w:rFonts w:eastAsia="Arial Unicode MS"/>
          <w:sz w:val="22"/>
          <w:szCs w:val="22"/>
          <w:lang w:val="en-US"/>
        </w:rPr>
        <w:t xml:space="preserve"> Durzān built the mosque and the </w:t>
      </w:r>
      <w:r w:rsidRPr="00877BDE">
        <w:rPr>
          <w:rFonts w:eastAsia="Arial Unicode MS"/>
          <w:i/>
          <w:sz w:val="22"/>
          <w:szCs w:val="22"/>
          <w:lang w:val="en-US"/>
        </w:rPr>
        <w:t>qaṣr</w:t>
      </w:r>
      <w:r w:rsidRPr="00877BDE">
        <w:rPr>
          <w:rFonts w:eastAsia="Arial Unicode MS"/>
          <w:sz w:val="22"/>
          <w:szCs w:val="22"/>
          <w:lang w:val="en-US"/>
        </w:rPr>
        <w:t xml:space="preserve"> in al-Qarāfa in 366/977, through al-Ḥasan (or al-Ḥusayn) b. ‘Abd al-‘Azīz al-Fārisī, mentioned as a </w:t>
      </w:r>
      <w:r w:rsidRPr="00877BDE">
        <w:rPr>
          <w:rFonts w:eastAsia="Arial Unicode MS"/>
          <w:i/>
          <w:sz w:val="22"/>
          <w:szCs w:val="22"/>
          <w:lang w:val="en-US"/>
        </w:rPr>
        <w:t>muḥtasib,</w:t>
      </w:r>
      <w:r w:rsidRPr="00877BDE">
        <w:rPr>
          <w:rStyle w:val="FootnoteReference"/>
          <w:rFonts w:eastAsia="Arial Unicode MS"/>
          <w:bCs/>
          <w:sz w:val="22"/>
          <w:szCs w:val="22"/>
          <w:lang w:val="en-US"/>
        </w:rPr>
        <w:t xml:space="preserve"> </w:t>
      </w:r>
      <w:r w:rsidRPr="00877BDE">
        <w:rPr>
          <w:rStyle w:val="FootnoteReference"/>
          <w:rFonts w:eastAsia="Arial Unicode MS"/>
          <w:bCs/>
          <w:sz w:val="22"/>
          <w:szCs w:val="22"/>
          <w:lang w:val="en-US"/>
        </w:rPr>
        <w:footnoteReference w:id="40"/>
      </w:r>
      <w:r w:rsidRPr="00877BDE">
        <w:rPr>
          <w:rFonts w:eastAsia="Arial Unicode MS"/>
          <w:sz w:val="22"/>
          <w:szCs w:val="22"/>
          <w:lang w:val="en-US"/>
        </w:rPr>
        <w:t xml:space="preserve"> an inspect</w:t>
      </w:r>
      <w:r w:rsidR="005E2175">
        <w:rPr>
          <w:rFonts w:eastAsia="Arial Unicode MS"/>
          <w:sz w:val="22"/>
          <w:szCs w:val="22"/>
          <w:lang w:val="en-US"/>
        </w:rPr>
        <w:t xml:space="preserve">or </w:t>
      </w:r>
      <w:bookmarkStart w:id="0" w:name="_GoBack"/>
      <w:bookmarkEnd w:id="0"/>
      <w:r w:rsidR="005E2175">
        <w:rPr>
          <w:rStyle w:val="CommentReference"/>
          <w:rFonts w:eastAsia="Arial Unicode MS"/>
          <w:sz w:val="22"/>
          <w:szCs w:val="22"/>
          <w:lang w:val="en-US"/>
        </w:rPr>
        <w:t>o</w:t>
      </w:r>
      <w:r w:rsidRPr="00877BDE">
        <w:rPr>
          <w:rFonts w:eastAsia="Arial Unicode MS"/>
          <w:sz w:val="22"/>
          <w:szCs w:val="22"/>
          <w:lang w:val="en-US"/>
        </w:rPr>
        <w:t xml:space="preserve">f Persian origins as his </w:t>
      </w:r>
      <w:r w:rsidRPr="00877BDE">
        <w:rPr>
          <w:rFonts w:eastAsia="Arial Unicode MS"/>
          <w:i/>
          <w:sz w:val="22"/>
          <w:szCs w:val="22"/>
          <w:lang w:val="en-US"/>
        </w:rPr>
        <w:t>nisba</w:t>
      </w:r>
      <w:r w:rsidRPr="00877BDE">
        <w:rPr>
          <w:rFonts w:eastAsia="Arial Unicode MS"/>
          <w:sz w:val="22"/>
          <w:szCs w:val="22"/>
          <w:lang w:val="en-US"/>
        </w:rPr>
        <w:t xml:space="preserve"> clearly indicates. The appointment – in the early stage of Fāṭimid rule in Egypt - of </w:t>
      </w:r>
      <w:r w:rsidRPr="00877BDE">
        <w:rPr>
          <w:rFonts w:eastAsia="Arial Unicode MS"/>
          <w:i/>
          <w:sz w:val="22"/>
          <w:szCs w:val="22"/>
          <w:lang w:val="en-US"/>
        </w:rPr>
        <w:t>mashriqīs</w:t>
      </w:r>
      <w:r w:rsidRPr="00877BDE">
        <w:rPr>
          <w:rFonts w:eastAsia="Arial Unicode MS"/>
          <w:sz w:val="22"/>
          <w:szCs w:val="22"/>
          <w:lang w:val="en-US"/>
        </w:rPr>
        <w:t xml:space="preserve"> (‘Easterners’) to key offices, coinciding with Ibn Killis’s (himself an ‘Easterner’) take-over of the regime’s administration, could be interpreted as part of Ibn Killis’ plan gradually to marginalise or limit the hold that the </w:t>
      </w:r>
      <w:r w:rsidRPr="00877BDE">
        <w:rPr>
          <w:rFonts w:eastAsia="Arial Unicode MS"/>
          <w:i/>
          <w:sz w:val="22"/>
          <w:szCs w:val="22"/>
          <w:lang w:val="en-US"/>
        </w:rPr>
        <w:t>maghribī</w:t>
      </w:r>
      <w:r w:rsidRPr="00877BDE">
        <w:rPr>
          <w:rFonts w:eastAsia="Arial Unicode MS"/>
          <w:sz w:val="22"/>
          <w:szCs w:val="22"/>
          <w:lang w:val="en-US"/>
        </w:rPr>
        <w:t xml:space="preserve"> (North African) contingent had on the Fāṭimid royals and their court.</w:t>
      </w:r>
      <w:r w:rsidRPr="00877BDE">
        <w:rPr>
          <w:rStyle w:val="FootnoteReference"/>
          <w:rFonts w:eastAsia="Arial Unicode MS"/>
          <w:sz w:val="22"/>
          <w:szCs w:val="22"/>
          <w:lang w:val="en-US"/>
        </w:rPr>
        <w:footnoteReference w:id="41"/>
      </w:r>
      <w:r w:rsidRPr="00877BDE">
        <w:rPr>
          <w:rFonts w:eastAsia="Arial Unicode MS"/>
          <w:sz w:val="22"/>
          <w:szCs w:val="22"/>
          <w:lang w:val="en-US"/>
        </w:rPr>
        <w:t xml:space="preserve"> At the time under discussion, Ibn Killis had not only taken charge of the private affairs of the court but had also the </w:t>
      </w:r>
      <w:r w:rsidRPr="00877BDE">
        <w:rPr>
          <w:rFonts w:eastAsia="Arial Unicode MS"/>
          <w:i/>
          <w:sz w:val="22"/>
          <w:szCs w:val="22"/>
          <w:lang w:val="en-US"/>
        </w:rPr>
        <w:t>ḥisba</w:t>
      </w:r>
      <w:r w:rsidRPr="00877BDE">
        <w:rPr>
          <w:rFonts w:eastAsia="Arial Unicode MS"/>
          <w:sz w:val="22"/>
          <w:szCs w:val="22"/>
          <w:lang w:val="en-US"/>
        </w:rPr>
        <w:t xml:space="preserve">, among other offices, under his control. The fact that the administration of finance, inheritance matters, </w:t>
      </w:r>
      <w:r w:rsidRPr="00877BDE">
        <w:rPr>
          <w:rFonts w:eastAsia="Arial Unicode MS"/>
          <w:i/>
          <w:sz w:val="22"/>
          <w:szCs w:val="22"/>
          <w:lang w:val="en-US"/>
        </w:rPr>
        <w:t>ḥisba</w:t>
      </w:r>
      <w:r w:rsidRPr="00877BDE">
        <w:rPr>
          <w:rFonts w:eastAsia="Arial Unicode MS"/>
          <w:sz w:val="22"/>
          <w:szCs w:val="22"/>
          <w:lang w:val="en-US"/>
        </w:rPr>
        <w:t xml:space="preserve"> and the internal affairs of the court converged in one person just prior to Durzān’s sudden emergence as ‘builder’, suggests that Ibn Killis, either directly or through his team of dignitaries, was most likely the effective agent behind her nominal activities. </w:t>
      </w:r>
    </w:p>
    <w:p w14:paraId="3429CC47" w14:textId="77777777" w:rsidR="000405C1" w:rsidRPr="00877BDE" w:rsidRDefault="000405C1" w:rsidP="000405C1">
      <w:pPr>
        <w:pStyle w:val="BodyTextIndent2"/>
        <w:spacing w:line="360" w:lineRule="auto"/>
        <w:ind w:left="0" w:firstLine="720"/>
        <w:rPr>
          <w:rFonts w:eastAsia="Arial Unicode MS"/>
          <w:sz w:val="22"/>
          <w:szCs w:val="22"/>
          <w:lang w:val="en-US"/>
        </w:rPr>
      </w:pPr>
      <w:r w:rsidRPr="00877BDE">
        <w:rPr>
          <w:rFonts w:eastAsia="Arial Unicode MS"/>
          <w:sz w:val="22"/>
          <w:szCs w:val="22"/>
          <w:lang w:val="en-US"/>
        </w:rPr>
        <w:t>Further supporting the view that points to Ibn Killis and his team of officers as the shadow agents behind Durzān’s architectural patronage are the circumstances surrounding a mysterious cover up. This occurred during the seventeen-month period between the death of al-Mu‘izz in Rabī‘ II 365/Dec. 975 and Durzān’s constructions in al-Qarāfa, the mosque in particular, completed in Ramaḍān 366/May 977. Al-Maqrīzī reports, on the authority of the Fāṭimid historian Ibn Zūlāq (d. 386/996), that al-Mu‘izz’s death was kept hidden for eight months thus effectively moving forward, as far as the general public was concerned, the date of al-‘Azīz’s succession to Dhū’l Ḥijjah 366/August 976.</w:t>
      </w:r>
      <w:r w:rsidRPr="00877BDE">
        <w:rPr>
          <w:rStyle w:val="FootnoteReference"/>
          <w:rFonts w:eastAsia="Arial Unicode MS"/>
          <w:sz w:val="22"/>
          <w:szCs w:val="22"/>
          <w:lang w:val="en-US"/>
        </w:rPr>
        <w:footnoteReference w:id="42"/>
      </w:r>
      <w:r w:rsidRPr="00877BDE">
        <w:rPr>
          <w:rFonts w:eastAsia="Arial Unicode MS"/>
          <w:sz w:val="22"/>
          <w:szCs w:val="22"/>
          <w:lang w:val="en-US"/>
        </w:rPr>
        <w:t xml:space="preserve"> Because of their complexity and size, we can assume that Durzān’s building projects, in particular the mosque and the </w:t>
      </w:r>
      <w:r w:rsidRPr="00877BDE">
        <w:rPr>
          <w:rFonts w:eastAsia="Arial Unicode MS"/>
          <w:i/>
          <w:sz w:val="22"/>
          <w:szCs w:val="22"/>
          <w:lang w:val="en-US"/>
        </w:rPr>
        <w:t>qaṣr</w:t>
      </w:r>
      <w:r w:rsidRPr="00877BDE">
        <w:rPr>
          <w:rFonts w:eastAsia="Arial Unicode MS"/>
          <w:sz w:val="22"/>
          <w:szCs w:val="22"/>
          <w:lang w:val="en-US"/>
        </w:rPr>
        <w:t>, took longer than nine months from inception to completion.</w:t>
      </w:r>
      <w:r w:rsidRPr="00877BDE">
        <w:rPr>
          <w:rStyle w:val="FootnoteReference"/>
          <w:rFonts w:eastAsia="Arial Unicode MS"/>
          <w:sz w:val="22"/>
          <w:szCs w:val="22"/>
          <w:lang w:val="en-US"/>
        </w:rPr>
        <w:footnoteReference w:id="43"/>
      </w:r>
      <w:r w:rsidRPr="00877BDE">
        <w:rPr>
          <w:rFonts w:eastAsia="Arial Unicode MS"/>
          <w:sz w:val="22"/>
          <w:szCs w:val="22"/>
          <w:lang w:val="en-US"/>
        </w:rPr>
        <w:t xml:space="preserve"> This would mean that at the very least the initial plans for such buildings were made at a time when al-Mu‘izz was dead but not ‘officially’ so and al-‘Azīz was ruler, but only </w:t>
      </w:r>
      <w:r w:rsidRPr="00877BDE">
        <w:rPr>
          <w:rFonts w:eastAsia="Arial Unicode MS"/>
          <w:i/>
          <w:sz w:val="22"/>
          <w:szCs w:val="22"/>
          <w:lang w:val="en-US"/>
        </w:rPr>
        <w:t>in pectore</w:t>
      </w:r>
      <w:r w:rsidRPr="00877BDE">
        <w:rPr>
          <w:rFonts w:eastAsia="Arial Unicode MS"/>
          <w:sz w:val="22"/>
          <w:szCs w:val="22"/>
          <w:lang w:val="en-US"/>
        </w:rPr>
        <w:t xml:space="preserve"> of the high dignitaries around him. Again, Ibn Killis emerges as the best placed person to oversee and manage the affairs of the court throughout this power vacuum, which would include building plans promoted by the royals. </w:t>
      </w:r>
    </w:p>
    <w:p w14:paraId="428E9762" w14:textId="77777777" w:rsidR="000405C1" w:rsidRPr="00877BDE" w:rsidRDefault="000405C1" w:rsidP="000405C1">
      <w:pPr>
        <w:spacing w:line="360" w:lineRule="auto"/>
        <w:ind w:firstLine="720"/>
        <w:rPr>
          <w:rFonts w:eastAsia="Arial Unicode MS"/>
          <w:iCs/>
          <w:sz w:val="22"/>
          <w:szCs w:val="22"/>
          <w:lang w:val="en-US"/>
        </w:rPr>
      </w:pPr>
      <w:r w:rsidRPr="00877BDE">
        <w:rPr>
          <w:rFonts w:eastAsia="Arial Unicode MS"/>
          <w:sz w:val="22"/>
          <w:szCs w:val="22"/>
          <w:lang w:val="en-US"/>
        </w:rPr>
        <w:t xml:space="preserve">It is perhaps no coincidence that, in the immediate aftermath of Ibn Killis’ death, with the institution of the vizirate falling into total turmoil, limited royal female architectural patronage </w:t>
      </w:r>
      <w:r w:rsidRPr="00877BDE">
        <w:rPr>
          <w:rFonts w:eastAsia="Arial Unicode MS"/>
          <w:bCs/>
          <w:sz w:val="22"/>
          <w:szCs w:val="22"/>
          <w:lang w:val="en-US"/>
        </w:rPr>
        <w:t xml:space="preserve">is </w:t>
      </w:r>
      <w:r w:rsidRPr="00877BDE">
        <w:rPr>
          <w:rFonts w:eastAsia="Arial Unicode MS"/>
          <w:bCs/>
          <w:sz w:val="22"/>
          <w:szCs w:val="22"/>
          <w:lang w:val="en-US"/>
        </w:rPr>
        <w:lastRenderedPageBreak/>
        <w:t xml:space="preserve">recorded to have taken </w:t>
      </w:r>
      <w:r w:rsidRPr="00877BDE">
        <w:rPr>
          <w:rFonts w:eastAsia="Arial Unicode MS"/>
          <w:sz w:val="22"/>
          <w:szCs w:val="22"/>
          <w:lang w:val="en-US"/>
        </w:rPr>
        <w:t xml:space="preserve">place. </w:t>
      </w:r>
      <w:r w:rsidRPr="00877BDE">
        <w:rPr>
          <w:rFonts w:eastAsia="Arial Unicode MS"/>
          <w:iCs/>
          <w:sz w:val="22"/>
          <w:szCs w:val="22"/>
          <w:lang w:val="en-US"/>
        </w:rPr>
        <w:t>This would be the state of affairs until the full ‘resurgence’ of the institution of the Fāṭimid vizirate under the Armenian general Badr al-Jamālī (d. 487/1094). His arrival at the Fāṭimid court during the reign of the imam-caliph al-Mustanṣir marked the beginning of a major shift in the imam-vizier power relationship, with the power of the imam-caliph becoming predominantly nominal and effective rule resting mostly in the hands of the vizier.</w:t>
      </w:r>
      <w:r w:rsidRPr="00877BDE">
        <w:rPr>
          <w:rStyle w:val="FootnoteReference"/>
          <w:rFonts w:eastAsia="Arial Unicode MS"/>
          <w:iCs/>
          <w:sz w:val="22"/>
          <w:szCs w:val="22"/>
          <w:lang w:val="en-US"/>
        </w:rPr>
        <w:footnoteReference w:id="44"/>
      </w:r>
      <w:r w:rsidRPr="00877BDE">
        <w:rPr>
          <w:rFonts w:eastAsia="Arial Unicode MS"/>
          <w:iCs/>
          <w:sz w:val="22"/>
          <w:szCs w:val="22"/>
          <w:lang w:val="en-US"/>
        </w:rPr>
        <w:t xml:space="preserve"> This role reversal meant, among other things, that the vizier no longer had an interest in promoting the power of an already existing queen mother. Instead, he saw her as a potentially dangerous figure that needed to be sidelined. The fraught relationship between Badr al-Jamālī and Rasad, mother of the imam-caliph al-Mustanṣir, is testimony to this. It indeed projected on the landscape: Badr al-Jamālī was the big builder of his time while no architectural activity is ascribed to Rasad with certainty.</w:t>
      </w:r>
      <w:r w:rsidRPr="00877BDE">
        <w:rPr>
          <w:rStyle w:val="FootnoteReference"/>
          <w:rFonts w:eastAsia="Arial Unicode MS"/>
          <w:iCs/>
          <w:sz w:val="22"/>
          <w:szCs w:val="22"/>
          <w:lang w:val="en-US"/>
        </w:rPr>
        <w:footnoteReference w:id="45"/>
      </w:r>
      <w:r w:rsidRPr="00877BDE">
        <w:rPr>
          <w:rFonts w:eastAsia="Arial Unicode MS"/>
          <w:iCs/>
          <w:sz w:val="22"/>
          <w:szCs w:val="22"/>
          <w:lang w:val="en-US"/>
        </w:rPr>
        <w:t xml:space="preserve">  With the viziers now poised to play dynastic politics to their advantage by - among other means - seeking to marry their daughters to the caliphs’ sons</w:t>
      </w:r>
      <w:r w:rsidRPr="00877BDE">
        <w:rPr>
          <w:rStyle w:val="FootnoteReference"/>
          <w:rFonts w:eastAsia="Arial Unicode MS"/>
          <w:iCs/>
          <w:sz w:val="22"/>
          <w:szCs w:val="22"/>
          <w:lang w:val="en-US"/>
        </w:rPr>
        <w:footnoteReference w:id="46"/>
      </w:r>
      <w:r w:rsidRPr="00877BDE">
        <w:rPr>
          <w:rFonts w:eastAsia="Arial Unicode MS"/>
          <w:iCs/>
          <w:sz w:val="22"/>
          <w:szCs w:val="22"/>
          <w:lang w:val="en-US"/>
        </w:rPr>
        <w:t xml:space="preserve"> we see, in the context of court women, the locus of power being transferred from the queen mother to the consorts of the caliph and ‘establishment’, yet non-royal, women.</w:t>
      </w:r>
      <w:r w:rsidRPr="00877BDE">
        <w:rPr>
          <w:rStyle w:val="FootnoteReference"/>
          <w:rFonts w:eastAsia="Arial Unicode MS"/>
          <w:iCs/>
          <w:sz w:val="22"/>
          <w:szCs w:val="22"/>
          <w:lang w:val="en-US"/>
        </w:rPr>
        <w:footnoteReference w:id="47"/>
      </w:r>
      <w:r w:rsidRPr="00877BDE">
        <w:rPr>
          <w:rFonts w:eastAsia="Arial Unicode MS"/>
          <w:iCs/>
          <w:sz w:val="22"/>
          <w:szCs w:val="22"/>
          <w:lang w:val="en-US"/>
        </w:rPr>
        <w:t xml:space="preserve"> The fact that the mixed fortunes of Fāṭimid female architectural patronage appear to coincide with significant phases in the history of the Fāṭimid vizirate, suggests a correlation between the extent of Fāṭimid female patronage and court politics as orchestrated by the vizier in charge. </w:t>
      </w:r>
    </w:p>
    <w:p w14:paraId="73527166" w14:textId="77777777" w:rsidR="000405C1" w:rsidRPr="00877BDE" w:rsidRDefault="000405C1" w:rsidP="000405C1">
      <w:pPr>
        <w:spacing w:line="360" w:lineRule="auto"/>
        <w:rPr>
          <w:rFonts w:eastAsia="Arial Unicode MS"/>
          <w:b/>
          <w:iCs/>
          <w:sz w:val="22"/>
          <w:szCs w:val="22"/>
          <w:lang w:val="en-US"/>
        </w:rPr>
      </w:pPr>
    </w:p>
    <w:p w14:paraId="3CD55E5A" w14:textId="77777777" w:rsidR="000405C1" w:rsidRPr="00877BDE" w:rsidRDefault="000405C1" w:rsidP="000405C1">
      <w:pPr>
        <w:spacing w:line="360" w:lineRule="auto"/>
        <w:rPr>
          <w:rFonts w:eastAsia="Arial Unicode MS"/>
          <w:b/>
          <w:iCs/>
          <w:sz w:val="22"/>
          <w:szCs w:val="22"/>
          <w:lang w:val="en-US"/>
        </w:rPr>
      </w:pPr>
      <w:r w:rsidRPr="00877BDE">
        <w:rPr>
          <w:rFonts w:eastAsia="Arial Unicode MS"/>
          <w:b/>
          <w:iCs/>
          <w:sz w:val="22"/>
          <w:szCs w:val="22"/>
          <w:lang w:val="en-US"/>
        </w:rPr>
        <w:t>The social context</w:t>
      </w:r>
    </w:p>
    <w:p w14:paraId="609165C1" w14:textId="77777777" w:rsidR="000405C1" w:rsidRPr="00877BDE" w:rsidRDefault="000405C1" w:rsidP="000405C1">
      <w:pPr>
        <w:spacing w:line="360" w:lineRule="auto"/>
        <w:rPr>
          <w:rFonts w:eastAsia="Arial Unicode MS"/>
          <w:sz w:val="22"/>
          <w:szCs w:val="22"/>
          <w:lang w:val="en-US"/>
        </w:rPr>
      </w:pPr>
      <w:r w:rsidRPr="00877BDE">
        <w:rPr>
          <w:rFonts w:eastAsia="Arial Unicode MS"/>
          <w:sz w:val="22"/>
          <w:szCs w:val="22"/>
          <w:lang w:val="en-US"/>
        </w:rPr>
        <w:t xml:space="preserve">If the planning of Durzān’s buildings fell under the control of the powerful men of the Fāṭimid Ismā‘īlī court in the heart of al-Qāhira, the location of most of her constructions in Fusṭāṭ situates her activities in a context that was, on the whole, religiously, juridically and intellectually Sunnī. The implementation of Durzān’s building projects can therefore be seen as the outcome of an interaction that must have taken place between two realms and power structures: the politically/economically-oriented al-Qāhira and the juridically/socially-oriented Fusṭāṭ. </w:t>
      </w:r>
    </w:p>
    <w:p w14:paraId="44F98CC2" w14:textId="77777777" w:rsidR="000405C1" w:rsidRPr="00877BDE" w:rsidRDefault="000405C1" w:rsidP="000405C1">
      <w:pPr>
        <w:spacing w:line="360" w:lineRule="auto"/>
        <w:ind w:firstLine="720"/>
        <w:rPr>
          <w:rFonts w:eastAsia="Arial Unicode MS"/>
          <w:sz w:val="22"/>
          <w:szCs w:val="22"/>
          <w:lang w:val="en-US"/>
        </w:rPr>
      </w:pPr>
      <w:r w:rsidRPr="00877BDE">
        <w:rPr>
          <w:rFonts w:eastAsia="Arial Unicode MS"/>
          <w:sz w:val="22"/>
          <w:szCs w:val="22"/>
          <w:lang w:val="en-US"/>
        </w:rPr>
        <w:t xml:space="preserve">Upon arriving in al-Qāhira, al-Mu‘izz followed a policy already adopted by his father al-Manṣūr in Ifrīqiya and kept Sunnīs in charge of religious offices. He merely imposed the application of Ismā‘īlī ritual and law in specific matters. Al-Mu‘izz retained the services of the famous Mālikī jurist Abū Ṭāhir al-Ḏuhlī (d. 368/978) from the previous Ikhshīdid regime to head the judiciary in Egypt. If on the one hand, al-Mu‘izz had instructed Ibn Killis (with ‘Uslūj b. al-Ḥasan) to take responsibility over Fusṭāṭ in matters of revenues, pious endowments, taxation, inheritance matters and policing, on the other, at least until the very end of al-Mu‘izz’s reign, Ibn Killis had to have the witness of the </w:t>
      </w:r>
      <w:r w:rsidRPr="00877BDE">
        <w:rPr>
          <w:rFonts w:eastAsia="Arial Unicode MS"/>
          <w:i/>
          <w:sz w:val="22"/>
          <w:szCs w:val="22"/>
          <w:lang w:val="en-US"/>
        </w:rPr>
        <w:t>qāḍī</w:t>
      </w:r>
      <w:r w:rsidRPr="00877BDE">
        <w:rPr>
          <w:rFonts w:eastAsia="Arial Unicode MS"/>
          <w:sz w:val="22"/>
          <w:szCs w:val="22"/>
          <w:lang w:val="en-US"/>
        </w:rPr>
        <w:t xml:space="preserve"> Abū Ṭāhir to certify the authenticity of the orders that the imam-caliph had </w:t>
      </w:r>
      <w:r w:rsidRPr="00877BDE">
        <w:rPr>
          <w:rFonts w:eastAsia="Arial Unicode MS"/>
          <w:sz w:val="22"/>
          <w:szCs w:val="22"/>
          <w:lang w:val="en-US"/>
        </w:rPr>
        <w:lastRenderedPageBreak/>
        <w:t xml:space="preserve">instructed him to carry out. </w:t>
      </w:r>
      <w:r w:rsidRPr="00877BDE">
        <w:rPr>
          <w:rStyle w:val="FootnoteReference"/>
          <w:rFonts w:eastAsia="Arial Unicode MS"/>
          <w:sz w:val="22"/>
          <w:szCs w:val="22"/>
          <w:lang w:val="en-US"/>
        </w:rPr>
        <w:footnoteReference w:id="48"/>
      </w:r>
      <w:r w:rsidRPr="00877BDE">
        <w:rPr>
          <w:rFonts w:eastAsia="Arial Unicode MS"/>
          <w:sz w:val="22"/>
          <w:szCs w:val="22"/>
          <w:lang w:val="en-US"/>
        </w:rPr>
        <w:t xml:space="preserve"> Under al-‘Azīz, Abū Ṭāhir co-shared some of his duties with ‘Alī (d. 363/974), the son of the famous al-Qāḍī al-Nu‘mān, but continued to enjoy the overwhelming support of all the jurists, the merchants and the population at large who consistently attended his sermons and publicly prayed for him.</w:t>
      </w:r>
      <w:r w:rsidRPr="00877BDE">
        <w:rPr>
          <w:rStyle w:val="FootnoteReference"/>
          <w:rFonts w:eastAsia="Arial Unicode MS"/>
          <w:sz w:val="22"/>
          <w:szCs w:val="22"/>
          <w:lang w:val="en-US"/>
        </w:rPr>
        <w:footnoteReference w:id="49"/>
      </w:r>
      <w:r w:rsidRPr="00877BDE">
        <w:rPr>
          <w:rFonts w:eastAsia="Arial Unicode MS"/>
          <w:sz w:val="22"/>
          <w:szCs w:val="22"/>
          <w:lang w:val="en-US"/>
        </w:rPr>
        <w:t xml:space="preserve"> According to the eye-witness account of the fourth/tenth century Arab geographer al-Muqaddasī, although most of the jurists were Mālikī, all the other schools were openly represented in Fusṭāṭ.</w:t>
      </w:r>
      <w:r w:rsidRPr="00877BDE">
        <w:rPr>
          <w:rStyle w:val="FootnoteReference"/>
          <w:rFonts w:eastAsia="Arial Unicode MS"/>
          <w:sz w:val="22"/>
          <w:szCs w:val="22"/>
          <w:lang w:val="en-US"/>
        </w:rPr>
        <w:footnoteReference w:id="50"/>
      </w:r>
      <w:r w:rsidRPr="00877BDE">
        <w:rPr>
          <w:rFonts w:eastAsia="Arial Unicode MS"/>
          <w:sz w:val="22"/>
          <w:szCs w:val="22"/>
          <w:lang w:val="en-US"/>
        </w:rPr>
        <w:t xml:space="preserve"> During Durzān’s time and beyond, Fusṭāṭ was and remained a thriving centre of Sunnī learning and </w:t>
      </w:r>
      <w:r w:rsidRPr="00877BDE">
        <w:rPr>
          <w:rFonts w:eastAsia="Arial Unicode MS"/>
          <w:i/>
          <w:sz w:val="22"/>
          <w:szCs w:val="22"/>
          <w:lang w:val="en-US"/>
        </w:rPr>
        <w:t xml:space="preserve">ḥadīth </w:t>
      </w:r>
      <w:r w:rsidRPr="00877BDE">
        <w:rPr>
          <w:rFonts w:eastAsia="Arial Unicode MS"/>
          <w:sz w:val="22"/>
          <w:szCs w:val="22"/>
          <w:lang w:val="en-US"/>
        </w:rPr>
        <w:t>transmission. Prominent scholars included Abū Bakr al-Qatālī (d. 380/990) and Abū Bakr al-Udfuwī (d. 388/998)</w:t>
      </w:r>
      <w:r w:rsidRPr="00877BDE">
        <w:rPr>
          <w:rStyle w:val="FootnoteReference"/>
          <w:rFonts w:eastAsia="Arial Unicode MS"/>
          <w:sz w:val="22"/>
          <w:szCs w:val="22"/>
          <w:lang w:val="en-US"/>
        </w:rPr>
        <w:t xml:space="preserve"> </w:t>
      </w:r>
      <w:r w:rsidRPr="00877BDE">
        <w:rPr>
          <w:rFonts w:eastAsia="Arial Unicode MS"/>
          <w:sz w:val="22"/>
          <w:szCs w:val="22"/>
          <w:lang w:val="en-US"/>
        </w:rPr>
        <w:t xml:space="preserve">, the </w:t>
      </w:r>
      <w:r w:rsidRPr="00877BDE">
        <w:rPr>
          <w:rFonts w:eastAsia="Arial Unicode MS"/>
          <w:i/>
          <w:sz w:val="22"/>
          <w:szCs w:val="22"/>
          <w:lang w:val="en-US"/>
        </w:rPr>
        <w:t>qāḍī</w:t>
      </w:r>
      <w:r w:rsidRPr="00877BDE">
        <w:rPr>
          <w:rFonts w:eastAsia="Arial Unicode MS"/>
          <w:sz w:val="22"/>
          <w:szCs w:val="22"/>
          <w:lang w:val="en-US"/>
        </w:rPr>
        <w:t xml:space="preserve"> al-Daqqāq (d. 382/992)</w:t>
      </w:r>
      <w:r w:rsidRPr="00877BDE">
        <w:rPr>
          <w:rStyle w:val="FootnoteReference"/>
          <w:rFonts w:eastAsia="Arial Unicode MS"/>
          <w:sz w:val="22"/>
          <w:szCs w:val="22"/>
          <w:lang w:val="en-US"/>
        </w:rPr>
        <w:footnoteReference w:id="51"/>
      </w:r>
      <w:r w:rsidRPr="00877BDE">
        <w:rPr>
          <w:rFonts w:eastAsia="Arial Unicode MS"/>
          <w:sz w:val="22"/>
          <w:szCs w:val="22"/>
          <w:lang w:val="en-US"/>
        </w:rPr>
        <w:t xml:space="preserve"> as well as Qur’ān reciters like </w:t>
      </w:r>
      <w:r w:rsidRPr="00877BDE">
        <w:rPr>
          <w:rFonts w:eastAsia="Arial Unicode MS"/>
          <w:sz w:val="22"/>
          <w:szCs w:val="22"/>
          <w:lang w:val="en-US" w:eastAsia="en-GB"/>
        </w:rPr>
        <w:t xml:space="preserve">Muḥammad b. Aḥmad b. Ibrāhīm b. Quraysh al-Ḥalīmī and </w:t>
      </w:r>
      <w:r w:rsidRPr="00877BDE">
        <w:rPr>
          <w:rFonts w:eastAsia="Arial Unicode MS"/>
          <w:sz w:val="22"/>
          <w:szCs w:val="22"/>
          <w:lang w:val="en-US"/>
        </w:rPr>
        <w:t>Abū’l-Ṭayyib b. Ghalbūn, who both met with al-Muqaddasī while he was in the city.</w:t>
      </w:r>
    </w:p>
    <w:p w14:paraId="3499BAAE" w14:textId="77777777" w:rsidR="000405C1" w:rsidRPr="00877BDE" w:rsidRDefault="000405C1" w:rsidP="000405C1">
      <w:pPr>
        <w:spacing w:line="360" w:lineRule="auto"/>
        <w:ind w:firstLine="720"/>
        <w:rPr>
          <w:rFonts w:eastAsia="Arial Unicode MS"/>
          <w:sz w:val="22"/>
          <w:szCs w:val="22"/>
          <w:lang w:val="en-US"/>
        </w:rPr>
      </w:pPr>
      <w:r w:rsidRPr="00877BDE">
        <w:rPr>
          <w:rFonts w:eastAsia="Arial Unicode MS"/>
          <w:sz w:val="22"/>
          <w:szCs w:val="22"/>
          <w:lang w:val="en-US"/>
        </w:rPr>
        <w:t>Bearing this background in mind, it is important to note that the architectural works ascribed to Durzān constitute the first known set of major public constructions erected by the Fāṭimids outside al-Qāhira’s walls. Durzān’s buildings can therefore be regarded as the earliest known major attempt by the Fāṭimids at projecting themselves on a broader landscape. Given the nature of this imposing venture, loaded as it was with symbolic, political and doctrinal implications, one could legitimately question why - with so many powerful men at the Fāṭimid court – did the choice fall on Durzān as the most appropriate court figure through whom the dynasty could initially advertise itself in Fusṭāṭ?</w:t>
      </w:r>
      <w:r w:rsidRPr="00877BDE">
        <w:rPr>
          <w:rFonts w:eastAsia="Arial Unicode MS"/>
          <w:b/>
          <w:sz w:val="22"/>
          <w:szCs w:val="22"/>
          <w:lang w:val="en-US"/>
        </w:rPr>
        <w:t xml:space="preserve"> </w:t>
      </w:r>
      <w:r w:rsidRPr="00877BDE">
        <w:rPr>
          <w:rFonts w:eastAsia="Arial Unicode MS"/>
          <w:sz w:val="22"/>
          <w:szCs w:val="22"/>
          <w:lang w:val="en-US"/>
        </w:rPr>
        <w:t xml:space="preserve">And why the choice of building in al-Qarāfa in particular? </w:t>
      </w:r>
    </w:p>
    <w:p w14:paraId="089B74A3" w14:textId="77777777" w:rsidR="000405C1" w:rsidRPr="00877BDE" w:rsidRDefault="000405C1" w:rsidP="000405C1">
      <w:pPr>
        <w:spacing w:line="360" w:lineRule="auto"/>
        <w:ind w:firstLine="720"/>
        <w:rPr>
          <w:rFonts w:eastAsia="Arial Unicode MS"/>
          <w:sz w:val="22"/>
          <w:szCs w:val="22"/>
          <w:lang w:val="en-US"/>
        </w:rPr>
      </w:pPr>
      <w:r w:rsidRPr="00877BDE">
        <w:rPr>
          <w:rFonts w:eastAsia="Arial Unicode MS"/>
          <w:sz w:val="22"/>
          <w:szCs w:val="22"/>
          <w:lang w:val="en-US"/>
        </w:rPr>
        <w:t>Although the al-Qarāfa area is typically associated with its famous cemetery, the nature of Durzān’s buildings and the urban context in which they are reported to have appeared show that they were primarily intended to serve al-Qarāfa’s living residents. There is indeed sufficient evidence pointing to al-Qarāfa as an urban, inhabited space for the living between the 4</w:t>
      </w:r>
      <w:r w:rsidRPr="00877BDE">
        <w:rPr>
          <w:rFonts w:eastAsia="Arial Unicode MS"/>
          <w:sz w:val="22"/>
          <w:szCs w:val="22"/>
          <w:vertAlign w:val="superscript"/>
          <w:lang w:val="en-US"/>
        </w:rPr>
        <w:t>th</w:t>
      </w:r>
      <w:r w:rsidRPr="00877BDE">
        <w:rPr>
          <w:rFonts w:eastAsia="Arial Unicode MS"/>
          <w:sz w:val="22"/>
          <w:szCs w:val="22"/>
          <w:lang w:val="en-US"/>
        </w:rPr>
        <w:t>/10</w:t>
      </w:r>
      <w:r w:rsidRPr="00877BDE">
        <w:rPr>
          <w:rFonts w:eastAsia="Arial Unicode MS"/>
          <w:sz w:val="22"/>
          <w:szCs w:val="22"/>
          <w:vertAlign w:val="superscript"/>
          <w:lang w:val="en-US"/>
        </w:rPr>
        <w:t>th</w:t>
      </w:r>
      <w:r w:rsidRPr="00877BDE">
        <w:rPr>
          <w:rFonts w:eastAsia="Arial Unicode MS"/>
          <w:sz w:val="22"/>
          <w:szCs w:val="22"/>
          <w:lang w:val="en-US"/>
        </w:rPr>
        <w:t xml:space="preserve"> and the 5</w:t>
      </w:r>
      <w:r w:rsidRPr="00877BDE">
        <w:rPr>
          <w:rFonts w:eastAsia="Arial Unicode MS"/>
          <w:sz w:val="22"/>
          <w:szCs w:val="22"/>
          <w:vertAlign w:val="superscript"/>
          <w:lang w:val="en-US"/>
        </w:rPr>
        <w:t>th</w:t>
      </w:r>
      <w:r w:rsidRPr="00877BDE">
        <w:rPr>
          <w:rFonts w:eastAsia="Arial Unicode MS"/>
          <w:sz w:val="22"/>
          <w:szCs w:val="22"/>
          <w:lang w:val="en-US"/>
        </w:rPr>
        <w:t>/11</w:t>
      </w:r>
      <w:r w:rsidRPr="00877BDE">
        <w:rPr>
          <w:rFonts w:eastAsia="Arial Unicode MS"/>
          <w:sz w:val="22"/>
          <w:szCs w:val="22"/>
          <w:vertAlign w:val="superscript"/>
          <w:lang w:val="en-US"/>
        </w:rPr>
        <w:t>th</w:t>
      </w:r>
      <w:r w:rsidRPr="00877BDE">
        <w:rPr>
          <w:rFonts w:eastAsia="Arial Unicode MS"/>
          <w:sz w:val="22"/>
          <w:szCs w:val="22"/>
          <w:lang w:val="en-US"/>
        </w:rPr>
        <w:t xml:space="preserve"> centuries. For example, the population of al-Qarāfa was served by a congregational mosque whose </w:t>
      </w:r>
      <w:r w:rsidRPr="00877BDE">
        <w:rPr>
          <w:rFonts w:eastAsia="Arial Unicode MS"/>
          <w:i/>
          <w:iCs/>
          <w:sz w:val="22"/>
          <w:szCs w:val="22"/>
          <w:lang w:val="en-US"/>
        </w:rPr>
        <w:t>imām</w:t>
      </w:r>
      <w:r w:rsidRPr="00877BDE">
        <w:rPr>
          <w:rFonts w:eastAsia="Arial Unicode MS"/>
          <w:sz w:val="22"/>
          <w:szCs w:val="22"/>
          <w:lang w:val="en-US"/>
        </w:rPr>
        <w:t>, in 362/973, was Muḥammad b. ‘Abd al-Samī‘.</w:t>
      </w:r>
      <w:r w:rsidRPr="00877BDE">
        <w:rPr>
          <w:rStyle w:val="FootnoteReference"/>
          <w:rFonts w:eastAsia="Arial Unicode MS"/>
          <w:sz w:val="22"/>
          <w:szCs w:val="22"/>
          <w:lang w:val="en-US"/>
        </w:rPr>
        <w:footnoteReference w:id="52"/>
      </w:r>
      <w:r w:rsidRPr="00877BDE">
        <w:rPr>
          <w:rFonts w:eastAsia="Arial Unicode MS"/>
          <w:sz w:val="22"/>
          <w:szCs w:val="22"/>
          <w:lang w:val="en-US"/>
        </w:rPr>
        <w:t xml:space="preserve"> The area suffered the incursion of </w:t>
      </w:r>
      <w:r w:rsidRPr="00877BDE">
        <w:rPr>
          <w:rFonts w:eastAsia="Arial Unicode MS"/>
          <w:i/>
          <w:sz w:val="22"/>
          <w:szCs w:val="22"/>
          <w:lang w:val="en-US"/>
        </w:rPr>
        <w:t xml:space="preserve">maghāriba </w:t>
      </w:r>
      <w:r w:rsidRPr="00877BDE">
        <w:rPr>
          <w:rFonts w:eastAsia="Arial Unicode MS"/>
          <w:sz w:val="22"/>
          <w:szCs w:val="22"/>
          <w:lang w:val="en-US"/>
        </w:rPr>
        <w:t>soldiers</w:t>
      </w:r>
      <w:r w:rsidRPr="00877BDE">
        <w:rPr>
          <w:rFonts w:eastAsia="Arial Unicode MS"/>
          <w:i/>
          <w:sz w:val="22"/>
          <w:szCs w:val="22"/>
          <w:lang w:val="en-US"/>
        </w:rPr>
        <w:t xml:space="preserve"> </w:t>
      </w:r>
      <w:r w:rsidRPr="00877BDE">
        <w:rPr>
          <w:rFonts w:eastAsia="Arial Unicode MS"/>
          <w:sz w:val="22"/>
          <w:szCs w:val="22"/>
          <w:lang w:val="en-US"/>
        </w:rPr>
        <w:t>in search of housing, an incident clearly pointing to al-Qarāfa as a well-established living quarter. The account of al-Muqaddasī who, beside mentioning Durzān’s mosque in the context of the rapid urban expansion he saw taking place in the area between al-Qāhira and Fusṭāṭ, describes the town as characterized by a dusty colour, contrasted by the whiteness of its cemeteries.</w:t>
      </w:r>
      <w:r w:rsidRPr="00877BDE">
        <w:rPr>
          <w:rStyle w:val="FootnoteReference"/>
          <w:rFonts w:eastAsia="Arial Unicode MS"/>
          <w:sz w:val="22"/>
          <w:szCs w:val="22"/>
          <w:lang w:val="en-US"/>
        </w:rPr>
        <w:footnoteReference w:id="53"/>
      </w:r>
      <w:r w:rsidRPr="00877BDE">
        <w:rPr>
          <w:rFonts w:eastAsia="Arial Unicode MS"/>
          <w:sz w:val="22"/>
          <w:szCs w:val="22"/>
          <w:lang w:val="en-US"/>
        </w:rPr>
        <w:t xml:space="preserve"> We have references to mundane services supplied for its residents ranging from various water supplies, gardens </w:t>
      </w:r>
      <w:r w:rsidRPr="00877BDE">
        <w:rPr>
          <w:rFonts w:eastAsia="Arial Unicode MS"/>
          <w:sz w:val="22"/>
          <w:szCs w:val="22"/>
          <w:lang w:val="en-US"/>
        </w:rPr>
        <w:lastRenderedPageBreak/>
        <w:t xml:space="preserve">and mills to </w:t>
      </w:r>
      <w:r w:rsidRPr="00877BDE">
        <w:rPr>
          <w:rFonts w:eastAsia="Arial Unicode MS"/>
          <w:i/>
          <w:sz w:val="22"/>
          <w:szCs w:val="22"/>
          <w:lang w:val="en-US"/>
        </w:rPr>
        <w:t xml:space="preserve">ḥammāms </w:t>
      </w:r>
      <w:r w:rsidRPr="00877BDE">
        <w:rPr>
          <w:rFonts w:eastAsia="Arial Unicode MS"/>
          <w:sz w:val="22"/>
          <w:szCs w:val="22"/>
          <w:lang w:val="en-US"/>
        </w:rPr>
        <w:t xml:space="preserve">and ovens, some built near the Qaṣr - ostensibly by Durzān herself </w:t>
      </w:r>
      <w:r w:rsidRPr="00877BDE" w:rsidDel="0081132F">
        <w:rPr>
          <w:rFonts w:eastAsia="Arial Unicode MS"/>
          <w:sz w:val="22"/>
          <w:szCs w:val="22"/>
          <w:lang w:val="en-US"/>
        </w:rPr>
        <w:t xml:space="preserve"> - </w:t>
      </w:r>
      <w:r w:rsidRPr="00877BDE">
        <w:rPr>
          <w:rFonts w:eastAsia="Arial Unicode MS"/>
          <w:sz w:val="22"/>
          <w:szCs w:val="22"/>
          <w:lang w:val="en-US"/>
        </w:rPr>
        <w:t xml:space="preserve">during the reign of al-‘Azīz. Al-Musabbiḥī refers to the </w:t>
      </w:r>
      <w:r w:rsidRPr="00877BDE">
        <w:rPr>
          <w:rFonts w:eastAsia="Arial Unicode MS"/>
          <w:i/>
          <w:sz w:val="22"/>
          <w:szCs w:val="22"/>
          <w:lang w:val="en-US"/>
        </w:rPr>
        <w:t>qarāfiyya</w:t>
      </w:r>
      <w:r w:rsidRPr="00877BDE">
        <w:rPr>
          <w:rFonts w:eastAsia="Arial Unicode MS"/>
          <w:sz w:val="22"/>
          <w:szCs w:val="22"/>
          <w:lang w:val="en-US"/>
        </w:rPr>
        <w:t xml:space="preserve"> as the inhabitants of the area and records one episode involving dwellers, houses and shops in that quarter.</w:t>
      </w:r>
      <w:r w:rsidRPr="00877BDE">
        <w:rPr>
          <w:rStyle w:val="FootnoteReference"/>
          <w:rFonts w:eastAsia="Arial Unicode MS"/>
          <w:sz w:val="22"/>
          <w:szCs w:val="22"/>
          <w:lang w:val="en-US"/>
        </w:rPr>
        <w:footnoteReference w:id="54"/>
      </w:r>
      <w:r w:rsidRPr="00877BDE">
        <w:rPr>
          <w:rFonts w:eastAsia="Arial Unicode MS"/>
          <w:sz w:val="22"/>
          <w:szCs w:val="22"/>
          <w:lang w:val="en-US"/>
        </w:rPr>
        <w:t xml:space="preserve"> The Ḥanafī jurist Ibn Abi’l-‘Awwām, chief judge during al-Ḥākim’s reign, lived in al-Qarāfa in a house that was his own property.</w:t>
      </w:r>
      <w:r w:rsidRPr="00877BDE">
        <w:rPr>
          <w:rStyle w:val="FootnoteReference"/>
          <w:rFonts w:eastAsia="Arial Unicode MS"/>
          <w:sz w:val="22"/>
          <w:szCs w:val="22"/>
          <w:lang w:val="en-US"/>
        </w:rPr>
        <w:footnoteReference w:id="55"/>
      </w:r>
      <w:r w:rsidRPr="00877BDE">
        <w:rPr>
          <w:rFonts w:eastAsia="Arial Unicode MS"/>
          <w:sz w:val="22"/>
          <w:szCs w:val="22"/>
          <w:lang w:val="en-US"/>
        </w:rPr>
        <w:t xml:space="preserve"> In the 5</w:t>
      </w:r>
      <w:r w:rsidRPr="00877BDE">
        <w:rPr>
          <w:rFonts w:eastAsia="Arial Unicode MS"/>
          <w:sz w:val="22"/>
          <w:szCs w:val="22"/>
          <w:vertAlign w:val="superscript"/>
          <w:lang w:val="en-US"/>
        </w:rPr>
        <w:t>th</w:t>
      </w:r>
      <w:r w:rsidRPr="00877BDE">
        <w:rPr>
          <w:rFonts w:eastAsia="Arial Unicode MS"/>
          <w:sz w:val="22"/>
          <w:szCs w:val="22"/>
          <w:lang w:val="en-US"/>
        </w:rPr>
        <w:t>/11</w:t>
      </w:r>
      <w:r w:rsidRPr="00877BDE">
        <w:rPr>
          <w:rFonts w:eastAsia="Arial Unicode MS"/>
          <w:sz w:val="22"/>
          <w:szCs w:val="22"/>
          <w:vertAlign w:val="superscript"/>
          <w:lang w:val="en-US"/>
        </w:rPr>
        <w:t>th</w:t>
      </w:r>
      <w:r w:rsidRPr="00877BDE">
        <w:rPr>
          <w:rFonts w:eastAsia="Arial Unicode MS"/>
          <w:sz w:val="22"/>
          <w:szCs w:val="22"/>
          <w:lang w:val="en-US"/>
        </w:rPr>
        <w:t xml:space="preserve"> century the famous Fāṭimid physician Ibn Riḍwān proclaimed al-Qarāfa to be one of the best residential areas of the capital</w:t>
      </w:r>
      <w:r w:rsidRPr="00877BDE">
        <w:rPr>
          <w:rStyle w:val="FootnoteReference"/>
          <w:rFonts w:eastAsia="Arial Unicode MS"/>
          <w:sz w:val="22"/>
          <w:szCs w:val="22"/>
          <w:lang w:val="en-US"/>
        </w:rPr>
        <w:footnoteReference w:id="56"/>
      </w:r>
      <w:r w:rsidRPr="00877BDE">
        <w:rPr>
          <w:rFonts w:eastAsia="Arial Unicode MS"/>
          <w:sz w:val="22"/>
          <w:szCs w:val="22"/>
          <w:lang w:val="en-US"/>
        </w:rPr>
        <w:t xml:space="preserve"> and its streets became noted as the stage of scholarly encounters.</w:t>
      </w:r>
      <w:r w:rsidRPr="00877BDE">
        <w:rPr>
          <w:rStyle w:val="FootnoteReference"/>
          <w:rFonts w:eastAsia="Arial Unicode MS"/>
          <w:sz w:val="22"/>
          <w:szCs w:val="22"/>
          <w:lang w:val="en-US"/>
        </w:rPr>
        <w:footnoteReference w:id="57"/>
      </w:r>
    </w:p>
    <w:p w14:paraId="4ED6595F" w14:textId="77777777" w:rsidR="000405C1" w:rsidRPr="00877BDE" w:rsidRDefault="000405C1" w:rsidP="000405C1">
      <w:pPr>
        <w:pStyle w:val="BodyText3"/>
        <w:ind w:firstLine="720"/>
        <w:rPr>
          <w:rFonts w:eastAsia="Arial Unicode MS"/>
          <w:sz w:val="22"/>
          <w:szCs w:val="22"/>
        </w:rPr>
      </w:pPr>
      <w:r w:rsidRPr="00877BDE">
        <w:rPr>
          <w:rFonts w:eastAsia="Arial Unicode MS"/>
          <w:bCs/>
          <w:sz w:val="22"/>
          <w:szCs w:val="22"/>
        </w:rPr>
        <w:t xml:space="preserve">The building of Durzān’s mosque and her Qaṣr will be examined here within the broader context of the urban and demographic turmoil that affected </w:t>
      </w:r>
      <w:r w:rsidRPr="00877BDE">
        <w:rPr>
          <w:rFonts w:eastAsia="Arial Unicode MS"/>
          <w:sz w:val="22"/>
          <w:szCs w:val="22"/>
        </w:rPr>
        <w:t>al-Qāhira and</w:t>
      </w:r>
      <w:r w:rsidRPr="00877BDE">
        <w:rPr>
          <w:rFonts w:eastAsia="Arial Unicode MS"/>
          <w:bCs/>
          <w:sz w:val="22"/>
          <w:szCs w:val="22"/>
        </w:rPr>
        <w:t xml:space="preserve"> Fusṭāṭ after al-Mu‘izz’s arrival. In reporting the events concerning the Fāṭimids for the year 363/973, al-Maqrīzī tells us that a group of people had ravaged the Qarāfa area and that al-Mu‘izz had the troublemakers beheaded. In the same year </w:t>
      </w:r>
      <w:r w:rsidRPr="00877BDE">
        <w:rPr>
          <w:rFonts w:eastAsia="Arial Unicode MS"/>
          <w:sz w:val="22"/>
          <w:szCs w:val="22"/>
        </w:rPr>
        <w:t xml:space="preserve">the </w:t>
      </w:r>
      <w:r w:rsidRPr="00877BDE">
        <w:rPr>
          <w:rFonts w:eastAsia="Arial Unicode MS"/>
          <w:i/>
          <w:sz w:val="22"/>
          <w:szCs w:val="22"/>
        </w:rPr>
        <w:t>maghāriba</w:t>
      </w:r>
      <w:r w:rsidRPr="00877BDE">
        <w:rPr>
          <w:rFonts w:eastAsia="Arial Unicode MS"/>
          <w:sz w:val="22"/>
          <w:szCs w:val="22"/>
        </w:rPr>
        <w:t xml:space="preserve"> ‘swarmed’ in the areas of al-Qarāfa and al-Ma‘āfir and settled there by expropriating the houses of the local residents and deporting them elsewhere. They began inhabiting the city even though al-Mu‘izz had ordered them to live in the outskirts.</w:t>
      </w:r>
      <w:r w:rsidRPr="00877BDE">
        <w:rPr>
          <w:rStyle w:val="FootnoteReference"/>
          <w:rFonts w:eastAsia="Arial Unicode MS"/>
          <w:sz w:val="22"/>
          <w:szCs w:val="22"/>
        </w:rPr>
        <w:footnoteReference w:id="58"/>
      </w:r>
      <w:r w:rsidRPr="00877BDE">
        <w:rPr>
          <w:rFonts w:eastAsia="Arial Unicode MS"/>
          <w:sz w:val="22"/>
          <w:szCs w:val="22"/>
        </w:rPr>
        <w:t xml:space="preserve"> In time, the </w:t>
      </w:r>
      <w:r w:rsidRPr="00877BDE">
        <w:rPr>
          <w:rFonts w:eastAsia="Arial Unicode MS"/>
          <w:i/>
          <w:sz w:val="22"/>
          <w:szCs w:val="22"/>
        </w:rPr>
        <w:t>maghāriba</w:t>
      </w:r>
      <w:r w:rsidRPr="00877BDE">
        <w:rPr>
          <w:rFonts w:eastAsia="Arial Unicode MS"/>
          <w:sz w:val="22"/>
          <w:szCs w:val="22"/>
        </w:rPr>
        <w:t xml:space="preserve"> were further displaced and were eventually recalled by order of al-Mu‘izz to settle in al-Qāhira. </w:t>
      </w:r>
    </w:p>
    <w:p w14:paraId="102F6848" w14:textId="77777777" w:rsidR="000405C1" w:rsidRPr="00877BDE" w:rsidRDefault="000405C1" w:rsidP="000405C1">
      <w:pPr>
        <w:pStyle w:val="BodyText3"/>
        <w:ind w:firstLine="720"/>
        <w:rPr>
          <w:rFonts w:eastAsia="Arial Unicode MS"/>
          <w:sz w:val="22"/>
          <w:szCs w:val="22"/>
        </w:rPr>
      </w:pPr>
      <w:r w:rsidRPr="00877BDE">
        <w:rPr>
          <w:rFonts w:eastAsia="Arial Unicode MS"/>
          <w:sz w:val="22"/>
          <w:szCs w:val="22"/>
        </w:rPr>
        <w:t xml:space="preserve">The fact that, less than three years after these events, </w:t>
      </w:r>
      <w:r w:rsidRPr="00877BDE">
        <w:rPr>
          <w:rFonts w:eastAsia="Arial Unicode MS"/>
          <w:bCs/>
          <w:sz w:val="22"/>
          <w:szCs w:val="22"/>
        </w:rPr>
        <w:t>Durzān’s Qaṣr was erected in al-Qarāfa and</w:t>
      </w:r>
      <w:r w:rsidRPr="00877BDE">
        <w:rPr>
          <w:rFonts w:eastAsia="Arial Unicode MS"/>
          <w:sz w:val="22"/>
          <w:szCs w:val="22"/>
        </w:rPr>
        <w:t xml:space="preserve"> her mosque was built in the </w:t>
      </w:r>
      <w:r w:rsidRPr="00877BDE">
        <w:rPr>
          <w:rFonts w:eastAsia="Arial Unicode MS"/>
          <w:bCs/>
          <w:sz w:val="22"/>
          <w:szCs w:val="22"/>
        </w:rPr>
        <w:t xml:space="preserve">quarter of al-Ma‘āfir, on the site of a pre-existing mosque called Masjid al-Qubba, points to a policy of regeneration and ‘claiming’ of the area. Several purposes guided this policy:  to provide new facilities for the residents; to accommodate the religious and commercial needs of a demographically expanding area as a growing number of people moved from further afield closer to </w:t>
      </w:r>
      <w:r w:rsidRPr="00877BDE">
        <w:rPr>
          <w:rFonts w:eastAsia="Arial Unicode MS"/>
          <w:sz w:val="22"/>
          <w:szCs w:val="22"/>
        </w:rPr>
        <w:t>al-Qāhira</w:t>
      </w:r>
      <w:r w:rsidRPr="00877BDE">
        <w:rPr>
          <w:rFonts w:eastAsia="Arial Unicode MS"/>
          <w:bCs/>
          <w:sz w:val="22"/>
          <w:szCs w:val="22"/>
        </w:rPr>
        <w:t xml:space="preserve"> to serve the court;</w:t>
      </w:r>
      <w:r w:rsidRPr="00877BDE">
        <w:rPr>
          <w:rStyle w:val="FootnoteReference"/>
          <w:rFonts w:eastAsia="Arial Unicode MS"/>
          <w:bCs/>
          <w:sz w:val="22"/>
          <w:szCs w:val="22"/>
        </w:rPr>
        <w:footnoteReference w:id="59"/>
      </w:r>
      <w:r w:rsidRPr="00877BDE">
        <w:rPr>
          <w:rFonts w:eastAsia="Arial Unicode MS"/>
          <w:bCs/>
          <w:sz w:val="22"/>
          <w:szCs w:val="22"/>
        </w:rPr>
        <w:t xml:space="preserve"> to ‘Fāṭimidise’ the landscape. Indeed, the erection of large scale structures meant the razing to the ground of vast built spaces as well as land purchase or confiscation.  Additionally, the claiming of this area served to secure a strategic route between ‘establishment’ </w:t>
      </w:r>
      <w:r w:rsidRPr="00877BDE">
        <w:rPr>
          <w:rFonts w:eastAsia="Arial Unicode MS"/>
          <w:sz w:val="22"/>
          <w:szCs w:val="22"/>
        </w:rPr>
        <w:t>al-Qāhira</w:t>
      </w:r>
      <w:r w:rsidRPr="00877BDE">
        <w:rPr>
          <w:rFonts w:eastAsia="Arial Unicode MS"/>
          <w:bCs/>
          <w:sz w:val="22"/>
          <w:szCs w:val="22"/>
        </w:rPr>
        <w:t xml:space="preserve"> and commercial Fusṭāṭ.  A number of factors point to the pursuing of a ‘regenerative’ policy underlying Durzān’s building activity in that particular area: in 365/</w:t>
      </w:r>
      <w:r w:rsidRPr="00877BDE">
        <w:rPr>
          <w:rFonts w:eastAsia="Arial Unicode MS"/>
          <w:sz w:val="22"/>
          <w:szCs w:val="22"/>
        </w:rPr>
        <w:t>975, the Fusṭāṭ bridge had already been repaired, allowing the transit of people after years of disruption. In the same year, it was announced in the Jāmi‘ al-‘At</w:t>
      </w:r>
      <w:r w:rsidRPr="00877BDE">
        <w:rPr>
          <w:rFonts w:eastAsia="Arial Unicode MS"/>
          <w:bCs/>
          <w:sz w:val="22"/>
          <w:szCs w:val="22"/>
        </w:rPr>
        <w:t>ī</w:t>
      </w:r>
      <w:r w:rsidRPr="00877BDE">
        <w:rPr>
          <w:rFonts w:eastAsia="Arial Unicode MS"/>
          <w:sz w:val="22"/>
          <w:szCs w:val="22"/>
        </w:rPr>
        <w:t xml:space="preserve">q of Fusṭāṭ that the pilgrimage was to proceed on land </w:t>
      </w:r>
      <w:r w:rsidRPr="00877BDE">
        <w:rPr>
          <w:rFonts w:eastAsia="Arial Unicode MS"/>
          <w:sz w:val="22"/>
          <w:szCs w:val="22"/>
        </w:rPr>
        <w:lastRenderedPageBreak/>
        <w:t>after it had been suspended for some years</w:t>
      </w:r>
      <w:r w:rsidRPr="00877BDE">
        <w:rPr>
          <w:rStyle w:val="FootnoteReference"/>
          <w:rFonts w:eastAsia="Arial Unicode MS"/>
          <w:sz w:val="22"/>
          <w:szCs w:val="22"/>
        </w:rPr>
        <w:footnoteReference w:id="60"/>
      </w:r>
      <w:r w:rsidRPr="00877BDE">
        <w:rPr>
          <w:rFonts w:eastAsia="Arial Unicode MS"/>
          <w:sz w:val="22"/>
          <w:szCs w:val="22"/>
        </w:rPr>
        <w:t xml:space="preserve">; </w:t>
      </w:r>
      <w:r w:rsidRPr="00877BDE">
        <w:rPr>
          <w:rFonts w:eastAsia="Arial Unicode MS"/>
          <w:bCs/>
          <w:sz w:val="22"/>
          <w:szCs w:val="22"/>
        </w:rPr>
        <w:t xml:space="preserve">the mostly ‘muscular’ quality of Durzān’s constructions (a mosque, a fortress, various hydraulic services) and the appointment of the </w:t>
      </w:r>
      <w:r w:rsidRPr="00877BDE">
        <w:rPr>
          <w:rFonts w:eastAsia="Arial Unicode MS"/>
          <w:bCs/>
          <w:i/>
          <w:sz w:val="22"/>
          <w:szCs w:val="22"/>
        </w:rPr>
        <w:t>muḥtasib</w:t>
      </w:r>
      <w:r w:rsidRPr="00877BDE">
        <w:rPr>
          <w:rFonts w:eastAsia="Arial Unicode MS"/>
          <w:bCs/>
          <w:sz w:val="22"/>
          <w:szCs w:val="22"/>
        </w:rPr>
        <w:t xml:space="preserve"> as the person in charge of carrying out the works.</w:t>
      </w:r>
      <w:r w:rsidRPr="00877BDE">
        <w:rPr>
          <w:rStyle w:val="FootnoteReference"/>
          <w:rFonts w:eastAsia="Arial Unicode MS"/>
          <w:bCs/>
          <w:sz w:val="22"/>
          <w:szCs w:val="22"/>
        </w:rPr>
        <w:footnoteReference w:id="61"/>
      </w:r>
      <w:r w:rsidRPr="00877BDE">
        <w:rPr>
          <w:rFonts w:eastAsia="Arial Unicode MS"/>
          <w:bCs/>
          <w:sz w:val="22"/>
          <w:szCs w:val="22"/>
        </w:rPr>
        <w:t xml:space="preserve"> On the whole, he could be described as a municipal officer, responsible for –among other things- the repairing of houses and erection of shops, public safety, cleaning the streets, repairing of the city walls and ensuring water supplies.</w:t>
      </w:r>
      <w:r w:rsidRPr="00877BDE">
        <w:rPr>
          <w:rStyle w:val="FootnoteReference"/>
          <w:rFonts w:eastAsia="Arial Unicode MS"/>
          <w:bCs/>
          <w:sz w:val="22"/>
          <w:szCs w:val="22"/>
        </w:rPr>
        <w:footnoteReference w:id="62"/>
      </w:r>
      <w:r w:rsidRPr="00877BDE">
        <w:rPr>
          <w:rFonts w:eastAsia="Arial Unicode MS"/>
          <w:bCs/>
          <w:sz w:val="22"/>
          <w:szCs w:val="22"/>
        </w:rPr>
        <w:t xml:space="preserve"> As for the ‘Fāṭimidisation’ of the landscape outside al-Qāhira, at an ideological level, that took the shape of advertising the dynasty by ‘marking’ the land with ‘Fāṭimid’ buildings such as Durzān’s mosque, which was ostensibly built in the style of the more famous al-Azhar in al-Qāhira.</w:t>
      </w:r>
      <w:r w:rsidRPr="00877BDE">
        <w:rPr>
          <w:rStyle w:val="FootnoteReference"/>
          <w:rFonts w:eastAsia="Arial Unicode MS"/>
          <w:bCs/>
          <w:sz w:val="22"/>
          <w:szCs w:val="22"/>
        </w:rPr>
        <w:footnoteReference w:id="63"/>
      </w:r>
      <w:r w:rsidRPr="00877BDE">
        <w:rPr>
          <w:rFonts w:eastAsia="Arial Unicode MS"/>
          <w:bCs/>
          <w:sz w:val="22"/>
          <w:szCs w:val="22"/>
        </w:rPr>
        <w:t xml:space="preserve"> However, although Durzān’s mosque might have been ‘Fāṭimid’ in looks, this does not necessarily mean that it was Ismā‘īlī in </w:t>
      </w:r>
      <w:r w:rsidRPr="00877BDE">
        <w:rPr>
          <w:rFonts w:eastAsia="Arial Unicode MS"/>
          <w:bCs/>
          <w:i/>
          <w:sz w:val="22"/>
          <w:szCs w:val="22"/>
        </w:rPr>
        <w:t>madhhab</w:t>
      </w:r>
      <w:r w:rsidRPr="00877BDE">
        <w:rPr>
          <w:rFonts w:eastAsia="Arial Unicode MS"/>
          <w:bCs/>
          <w:sz w:val="22"/>
          <w:szCs w:val="22"/>
        </w:rPr>
        <w:t xml:space="preserve">. In this master plan, Durzān, as </w:t>
      </w:r>
      <w:r w:rsidRPr="00877BDE">
        <w:rPr>
          <w:rFonts w:eastAsia="Arial Unicode MS"/>
          <w:bCs/>
          <w:sz w:val="22"/>
          <w:szCs w:val="22"/>
        </w:rPr>
        <w:softHyphen/>
        <w:t xml:space="preserve"> queen mother, </w:t>
      </w:r>
      <w:r w:rsidRPr="00877BDE">
        <w:rPr>
          <w:rFonts w:eastAsia="Arial Unicode MS"/>
          <w:sz w:val="22"/>
          <w:szCs w:val="22"/>
        </w:rPr>
        <w:t>was elevated to become a symbolic locus of power to serve political and economic dynastic agendas.</w:t>
      </w:r>
    </w:p>
    <w:p w14:paraId="05C052AC" w14:textId="77777777" w:rsidR="000405C1" w:rsidRPr="00877BDE" w:rsidRDefault="000405C1" w:rsidP="000405C1">
      <w:pPr>
        <w:pStyle w:val="BodyText3"/>
        <w:rPr>
          <w:rFonts w:eastAsia="Arial Unicode MS"/>
          <w:b/>
          <w:sz w:val="22"/>
          <w:szCs w:val="22"/>
        </w:rPr>
      </w:pPr>
    </w:p>
    <w:p w14:paraId="3E305305" w14:textId="77777777" w:rsidR="000405C1" w:rsidRPr="00877BDE" w:rsidRDefault="000405C1" w:rsidP="000405C1">
      <w:pPr>
        <w:pStyle w:val="BodyText3"/>
        <w:rPr>
          <w:rFonts w:eastAsia="Arial Unicode MS"/>
          <w:b/>
          <w:sz w:val="22"/>
          <w:szCs w:val="22"/>
        </w:rPr>
      </w:pPr>
      <w:r w:rsidRPr="00877BDE">
        <w:rPr>
          <w:rFonts w:eastAsia="Arial Unicode MS"/>
          <w:b/>
          <w:sz w:val="22"/>
          <w:szCs w:val="22"/>
        </w:rPr>
        <w:t>The economic context</w:t>
      </w:r>
    </w:p>
    <w:p w14:paraId="5EEDCC0B" w14:textId="77777777" w:rsidR="000405C1" w:rsidRPr="00877BDE" w:rsidRDefault="000405C1" w:rsidP="000405C1">
      <w:pPr>
        <w:pStyle w:val="BodyText3"/>
        <w:rPr>
          <w:rFonts w:eastAsia="Arial Unicode MS"/>
          <w:sz w:val="22"/>
          <w:szCs w:val="22"/>
        </w:rPr>
      </w:pPr>
      <w:r w:rsidRPr="00877BDE">
        <w:rPr>
          <w:rFonts w:eastAsia="Arial Unicode MS"/>
          <w:sz w:val="22"/>
          <w:szCs w:val="22"/>
        </w:rPr>
        <w:t xml:space="preserve">The Ismā‘īlī Persian missionary and poet Nāṣir-i Khusraw (d. after 465/1072-3) who visited Egypt in 439/1047 tells us that all the property in </w:t>
      </w:r>
      <w:r w:rsidRPr="00877BDE">
        <w:rPr>
          <w:rFonts w:eastAsia="Arial Unicode MS"/>
          <w:bCs/>
          <w:sz w:val="22"/>
          <w:szCs w:val="22"/>
        </w:rPr>
        <w:t>al-Qāhira</w:t>
      </w:r>
      <w:r w:rsidRPr="00877BDE">
        <w:rPr>
          <w:rFonts w:eastAsia="Arial Unicode MS"/>
          <w:sz w:val="22"/>
          <w:szCs w:val="22"/>
        </w:rPr>
        <w:t xml:space="preserve"> belonged to the imam-caliph as no one could own either houses or real estate there, except those the imam had commissioned to build.</w:t>
      </w:r>
      <w:r w:rsidRPr="00877BDE">
        <w:rPr>
          <w:rStyle w:val="FootnoteReference"/>
          <w:rFonts w:eastAsia="Arial Unicode MS"/>
          <w:sz w:val="22"/>
          <w:szCs w:val="22"/>
        </w:rPr>
        <w:footnoteReference w:id="64"/>
      </w:r>
      <w:r w:rsidRPr="00877BDE">
        <w:rPr>
          <w:rFonts w:eastAsia="Arial Unicode MS"/>
          <w:sz w:val="22"/>
          <w:szCs w:val="22"/>
        </w:rPr>
        <w:t xml:space="preserve"> This preserve of exclusive rights presented disadvantages and advantages. On the one hand it caused property stagnation, on the other however, exclusivity meant that any chance of competition in the property market, within </w:t>
      </w:r>
      <w:r w:rsidRPr="00877BDE">
        <w:rPr>
          <w:rFonts w:eastAsia="Arial Unicode MS"/>
          <w:bCs/>
          <w:sz w:val="22"/>
          <w:szCs w:val="22"/>
        </w:rPr>
        <w:t>al-Qāhira</w:t>
      </w:r>
      <w:r w:rsidRPr="00877BDE">
        <w:rPr>
          <w:rFonts w:eastAsia="Arial Unicode MS"/>
          <w:sz w:val="22"/>
          <w:szCs w:val="22"/>
        </w:rPr>
        <w:t xml:space="preserve">, was automatically removed. This meant that, if the imam was not able to gain revenues through buying and selling properties, he and the few other property owners in </w:t>
      </w:r>
      <w:r w:rsidRPr="00877BDE">
        <w:rPr>
          <w:rFonts w:eastAsia="Arial Unicode MS"/>
          <w:bCs/>
          <w:sz w:val="22"/>
          <w:szCs w:val="22"/>
        </w:rPr>
        <w:t>al-Qāhira retained the monopoly of</w:t>
      </w:r>
      <w:r w:rsidRPr="00877BDE">
        <w:rPr>
          <w:rFonts w:eastAsia="Arial Unicode MS"/>
          <w:sz w:val="22"/>
          <w:szCs w:val="22"/>
        </w:rPr>
        <w:t xml:space="preserve"> rentals.</w:t>
      </w:r>
      <w:r w:rsidRPr="00877BDE">
        <w:rPr>
          <w:rStyle w:val="FootnoteReference"/>
          <w:rFonts w:eastAsia="Arial Unicode MS"/>
          <w:sz w:val="22"/>
          <w:szCs w:val="22"/>
        </w:rPr>
        <w:footnoteReference w:id="65"/>
      </w:r>
      <w:r w:rsidRPr="00877BDE">
        <w:rPr>
          <w:rFonts w:eastAsia="Arial Unicode MS"/>
          <w:sz w:val="22"/>
          <w:szCs w:val="22"/>
        </w:rPr>
        <w:t xml:space="preserve">  It is difficult to estimate the number of income-generating properties existing in </w:t>
      </w:r>
      <w:r w:rsidRPr="00877BDE">
        <w:rPr>
          <w:rFonts w:eastAsia="Arial Unicode MS"/>
          <w:bCs/>
          <w:sz w:val="22"/>
          <w:szCs w:val="22"/>
        </w:rPr>
        <w:t>al-Qāhira</w:t>
      </w:r>
      <w:r w:rsidRPr="00877BDE">
        <w:rPr>
          <w:rFonts w:eastAsia="Arial Unicode MS"/>
          <w:sz w:val="22"/>
          <w:szCs w:val="22"/>
        </w:rPr>
        <w:t xml:space="preserve"> in the early years of al-‘Azīz’s reign. Al-Muqaddasī, on the basis of the </w:t>
      </w:r>
      <w:r w:rsidRPr="00877BDE">
        <w:rPr>
          <w:rFonts w:eastAsia="Arial Unicode MS"/>
          <w:i/>
          <w:sz w:val="22"/>
          <w:szCs w:val="22"/>
        </w:rPr>
        <w:t xml:space="preserve">Kitāb al-kharāj </w:t>
      </w:r>
      <w:r w:rsidRPr="00877BDE">
        <w:rPr>
          <w:rFonts w:eastAsia="Arial Unicode MS"/>
          <w:sz w:val="22"/>
          <w:szCs w:val="22"/>
        </w:rPr>
        <w:t xml:space="preserve">(the Book of Tribute) by Qudāma b. Ja‘far (d. ca. 337/948), claimed that a few decades before the arrival of the Fāṭimids, the revenue derived from property </w:t>
      </w:r>
      <w:r w:rsidRPr="00877BDE" w:rsidDel="0081132F">
        <w:rPr>
          <w:rFonts w:eastAsia="Arial Unicode MS"/>
          <w:sz w:val="22"/>
          <w:szCs w:val="22"/>
        </w:rPr>
        <w:t xml:space="preserve">in </w:t>
      </w:r>
      <w:r w:rsidRPr="00877BDE">
        <w:rPr>
          <w:rFonts w:eastAsia="Arial Unicode MS"/>
          <w:sz w:val="22"/>
          <w:szCs w:val="22"/>
        </w:rPr>
        <w:t xml:space="preserve">Egypt was two and a </w:t>
      </w:r>
      <w:r w:rsidRPr="00877BDE">
        <w:rPr>
          <w:rFonts w:eastAsia="Arial Unicode MS"/>
          <w:sz w:val="22"/>
          <w:szCs w:val="22"/>
        </w:rPr>
        <w:lastRenderedPageBreak/>
        <w:t xml:space="preserve">half million </w:t>
      </w:r>
      <w:r w:rsidRPr="00877BDE">
        <w:rPr>
          <w:rFonts w:eastAsia="Arial Unicode MS"/>
          <w:i/>
          <w:sz w:val="22"/>
          <w:szCs w:val="22"/>
        </w:rPr>
        <w:t>dīnār</w:t>
      </w:r>
      <w:r w:rsidRPr="00877BDE">
        <w:rPr>
          <w:rFonts w:eastAsia="Arial Unicode MS"/>
          <w:sz w:val="22"/>
          <w:szCs w:val="22"/>
        </w:rPr>
        <w:t xml:space="preserve">s. Within a year of the Fāṭimid commander Jawhar taking over the administration of Egypt, the annual revenues rose to three and a half million </w:t>
      </w:r>
      <w:r w:rsidRPr="00877BDE">
        <w:rPr>
          <w:rFonts w:eastAsia="Arial Unicode MS"/>
          <w:i/>
          <w:sz w:val="22"/>
          <w:szCs w:val="22"/>
        </w:rPr>
        <w:t>dīnār</w:t>
      </w:r>
      <w:r w:rsidRPr="00877BDE">
        <w:rPr>
          <w:rFonts w:eastAsia="Arial Unicode MS"/>
          <w:sz w:val="22"/>
          <w:szCs w:val="22"/>
        </w:rPr>
        <w:t>s.</w:t>
      </w:r>
      <w:r w:rsidRPr="00877BDE">
        <w:rPr>
          <w:rStyle w:val="FootnoteReference"/>
          <w:rFonts w:eastAsia="Arial Unicode MS"/>
          <w:sz w:val="22"/>
          <w:szCs w:val="22"/>
        </w:rPr>
        <w:footnoteReference w:id="66"/>
      </w:r>
    </w:p>
    <w:p w14:paraId="63B9AB0B" w14:textId="77777777" w:rsidR="000405C1" w:rsidRPr="00877BDE" w:rsidRDefault="000405C1" w:rsidP="000405C1">
      <w:pPr>
        <w:pStyle w:val="BodyText3"/>
        <w:ind w:firstLine="720"/>
        <w:rPr>
          <w:rFonts w:eastAsia="Arial Unicode MS"/>
          <w:sz w:val="22"/>
          <w:szCs w:val="22"/>
        </w:rPr>
      </w:pPr>
      <w:r w:rsidRPr="00877BDE">
        <w:rPr>
          <w:rFonts w:eastAsia="Arial Unicode MS"/>
          <w:sz w:val="22"/>
          <w:szCs w:val="22"/>
        </w:rPr>
        <w:t xml:space="preserve"> In Fusṭāṭ al-Muqaddasī saw buildings that were four or five storeys high and he heard that about two hundred people could live in one building.</w:t>
      </w:r>
      <w:r w:rsidRPr="00877BDE">
        <w:rPr>
          <w:rStyle w:val="FootnoteReference"/>
          <w:rFonts w:eastAsia="Arial Unicode MS"/>
          <w:sz w:val="22"/>
          <w:szCs w:val="22"/>
        </w:rPr>
        <w:footnoteReference w:id="67"/>
      </w:r>
      <w:r w:rsidRPr="00877BDE">
        <w:rPr>
          <w:rFonts w:eastAsia="Arial Unicode MS"/>
          <w:sz w:val="22"/>
          <w:szCs w:val="22"/>
        </w:rPr>
        <w:t xml:space="preserve"> Nāṣir-i Khusraw, who visited Egypt some seventy years after al-Muqaddasī, reports that in </w:t>
      </w:r>
      <w:r w:rsidRPr="00877BDE">
        <w:rPr>
          <w:rFonts w:eastAsia="Arial Unicode MS"/>
          <w:bCs/>
          <w:sz w:val="22"/>
          <w:szCs w:val="22"/>
        </w:rPr>
        <w:t>al-Qāhira</w:t>
      </w:r>
      <w:r w:rsidRPr="00877BDE">
        <w:rPr>
          <w:rFonts w:eastAsia="Arial Unicode MS"/>
          <w:sz w:val="22"/>
          <w:szCs w:val="22"/>
        </w:rPr>
        <w:t xml:space="preserve"> there were at least twenty thousand shops, which were all owned by the sultan (i.e. the imam-caliph), mostly let at ten </w:t>
      </w:r>
      <w:r w:rsidRPr="00877BDE">
        <w:rPr>
          <w:rFonts w:eastAsia="Arial Unicode MS"/>
          <w:i/>
          <w:sz w:val="22"/>
          <w:szCs w:val="22"/>
        </w:rPr>
        <w:t>maghribī</w:t>
      </w:r>
      <w:r w:rsidRPr="00877BDE">
        <w:rPr>
          <w:rFonts w:eastAsia="Arial Unicode MS"/>
          <w:sz w:val="22"/>
          <w:szCs w:val="22"/>
        </w:rPr>
        <w:t xml:space="preserve"> </w:t>
      </w:r>
      <w:r w:rsidRPr="00877BDE">
        <w:rPr>
          <w:rFonts w:eastAsia="Arial Unicode MS"/>
          <w:i/>
          <w:sz w:val="22"/>
          <w:szCs w:val="22"/>
        </w:rPr>
        <w:t>dīnār</w:t>
      </w:r>
      <w:r w:rsidRPr="00877BDE">
        <w:rPr>
          <w:rFonts w:eastAsia="Arial Unicode MS"/>
          <w:sz w:val="22"/>
          <w:szCs w:val="22"/>
        </w:rPr>
        <w:t xml:space="preserve">s per month and none for less than two </w:t>
      </w:r>
      <w:r w:rsidRPr="00877BDE">
        <w:rPr>
          <w:rFonts w:eastAsia="Arial Unicode MS"/>
          <w:i/>
          <w:sz w:val="22"/>
          <w:szCs w:val="22"/>
        </w:rPr>
        <w:t>dīnārs</w:t>
      </w:r>
      <w:r w:rsidRPr="00877BDE">
        <w:rPr>
          <w:rFonts w:eastAsia="Arial Unicode MS"/>
          <w:sz w:val="22"/>
          <w:szCs w:val="22"/>
        </w:rPr>
        <w:t xml:space="preserve">. Both in </w:t>
      </w:r>
      <w:r w:rsidRPr="00877BDE">
        <w:rPr>
          <w:rFonts w:eastAsia="Arial Unicode MS"/>
          <w:bCs/>
          <w:sz w:val="22"/>
          <w:szCs w:val="22"/>
        </w:rPr>
        <w:t>al-Qāhira</w:t>
      </w:r>
      <w:r w:rsidRPr="00877BDE">
        <w:rPr>
          <w:rFonts w:eastAsia="Arial Unicode MS"/>
          <w:sz w:val="22"/>
          <w:szCs w:val="22"/>
        </w:rPr>
        <w:t xml:space="preserve"> and Fusṭāṭ there were twenty thousand rented out houses that belonged to the imam. The rent was collected every month.  At his time of visiting, a four-storey house in </w:t>
      </w:r>
      <w:r w:rsidRPr="00877BDE">
        <w:rPr>
          <w:rFonts w:eastAsia="Arial Unicode MS"/>
          <w:bCs/>
          <w:sz w:val="22"/>
          <w:szCs w:val="22"/>
        </w:rPr>
        <w:t>al-Qāhira</w:t>
      </w:r>
      <w:r w:rsidRPr="00877BDE">
        <w:rPr>
          <w:rFonts w:eastAsia="Arial Unicode MS"/>
          <w:sz w:val="22"/>
          <w:szCs w:val="22"/>
        </w:rPr>
        <w:t xml:space="preserve"> was rented out at eleven </w:t>
      </w:r>
      <w:r w:rsidRPr="00877BDE">
        <w:rPr>
          <w:rFonts w:eastAsia="Arial Unicode MS"/>
          <w:i/>
          <w:sz w:val="22"/>
          <w:szCs w:val="22"/>
        </w:rPr>
        <w:t xml:space="preserve">maghribī dīnārs </w:t>
      </w:r>
      <w:r w:rsidRPr="00877BDE">
        <w:rPr>
          <w:rFonts w:eastAsia="Arial Unicode MS"/>
          <w:sz w:val="22"/>
          <w:szCs w:val="22"/>
        </w:rPr>
        <w:t xml:space="preserve">per month. Nāṣir-i Khusraw laments that in the one he rented only three floors were occupied. He tells us that he asked the owner if he could let the top floor to someone else for about five </w:t>
      </w:r>
      <w:r w:rsidRPr="00877BDE">
        <w:rPr>
          <w:rFonts w:eastAsia="Arial Unicode MS"/>
          <w:i/>
          <w:sz w:val="22"/>
          <w:szCs w:val="22"/>
        </w:rPr>
        <w:t>dīnārs</w:t>
      </w:r>
      <w:r w:rsidRPr="00877BDE">
        <w:rPr>
          <w:rFonts w:eastAsia="Arial Unicode MS"/>
          <w:sz w:val="22"/>
          <w:szCs w:val="22"/>
        </w:rPr>
        <w:t xml:space="preserve"> per month. The owner refused on account that he would rather leave that floor vacant as he would visit the city every now and then. As it turns out, Nāṣir comments, during a whole year the owner did not come more than twice. </w:t>
      </w:r>
      <w:r w:rsidRPr="00877BDE">
        <w:rPr>
          <w:rStyle w:val="FootnoteReference"/>
          <w:rFonts w:eastAsia="Arial Unicode MS"/>
          <w:sz w:val="22"/>
          <w:szCs w:val="22"/>
        </w:rPr>
        <w:footnoteReference w:id="68"/>
      </w:r>
      <w:r w:rsidRPr="00877BDE">
        <w:rPr>
          <w:rFonts w:eastAsia="Arial Unicode MS"/>
          <w:sz w:val="22"/>
          <w:szCs w:val="22"/>
        </w:rPr>
        <w:t xml:space="preserve"> Nāṣir-i Khusraw’s predicament clearly shows that the scarcity value of housing in al-Qāhira left him – as a lodger - with no bargaining power. </w:t>
      </w:r>
    </w:p>
    <w:p w14:paraId="64E3B829" w14:textId="77777777" w:rsidR="000405C1" w:rsidRPr="00877BDE" w:rsidRDefault="000405C1" w:rsidP="000405C1">
      <w:pPr>
        <w:pStyle w:val="BodyText3"/>
        <w:ind w:firstLine="720"/>
        <w:rPr>
          <w:rFonts w:eastAsia="Arial Unicode MS"/>
          <w:bCs/>
          <w:sz w:val="22"/>
          <w:szCs w:val="22"/>
        </w:rPr>
      </w:pPr>
      <w:r w:rsidRPr="00877BDE">
        <w:rPr>
          <w:rFonts w:eastAsia="Arial Unicode MS"/>
          <w:sz w:val="22"/>
          <w:szCs w:val="22"/>
        </w:rPr>
        <w:t xml:space="preserve">One problem with scarcity value is that the steady profitability that derives from it relies, amongst other factors, on the financial ability of the ‘demand’, to meet the high scarcity-determined rent expected by the ‘supply’. We can therefore assume that the growing number of court officials, staff, emerging merchant classes, and all those who sought the privilege of living and working in al-Qāhira, had also to be made able to meet high rents since there would be no point in charging rents that people could not afford to pay. Since, in turn, the revenues of existing </w:t>
      </w:r>
      <w:r w:rsidRPr="00877BDE">
        <w:rPr>
          <w:rFonts w:eastAsia="Arial Unicode MS"/>
          <w:bCs/>
          <w:sz w:val="22"/>
          <w:szCs w:val="22"/>
        </w:rPr>
        <w:t>al-Qāhira</w:t>
      </w:r>
      <w:r w:rsidRPr="00877BDE">
        <w:rPr>
          <w:rFonts w:eastAsia="Arial Unicode MS"/>
          <w:sz w:val="22"/>
          <w:szCs w:val="22"/>
        </w:rPr>
        <w:t xml:space="preserve"> tenants or aspiring ones came by and large from lands, properties and real estate outside al-Qāhira, it became imperative for the court administrators to find a way by which less desirable, lesser profit yielding lands and properties in neighboring areas outside </w:t>
      </w:r>
      <w:r w:rsidRPr="00877BDE">
        <w:rPr>
          <w:rFonts w:eastAsia="Arial Unicode MS"/>
          <w:bCs/>
          <w:sz w:val="22"/>
          <w:szCs w:val="22"/>
        </w:rPr>
        <w:t>al-Qāhira</w:t>
      </w:r>
      <w:r w:rsidRPr="00877BDE">
        <w:rPr>
          <w:rFonts w:eastAsia="Arial Unicode MS"/>
          <w:sz w:val="22"/>
          <w:szCs w:val="22"/>
        </w:rPr>
        <w:t xml:space="preserve"> could be turned into more sought-after, higher yielding ones.</w:t>
      </w:r>
      <w:r w:rsidRPr="00877BDE">
        <w:rPr>
          <w:rStyle w:val="FootnoteReference"/>
          <w:rFonts w:eastAsia="Arial Unicode MS"/>
          <w:sz w:val="22"/>
          <w:szCs w:val="22"/>
        </w:rPr>
        <w:footnoteReference w:id="69"/>
      </w:r>
    </w:p>
    <w:p w14:paraId="0F1CDDB5" w14:textId="77777777" w:rsidR="000405C1" w:rsidRPr="00877BDE" w:rsidRDefault="000405C1" w:rsidP="000405C1">
      <w:pPr>
        <w:spacing w:line="360" w:lineRule="auto"/>
        <w:ind w:firstLine="720"/>
        <w:rPr>
          <w:rFonts w:eastAsia="Arial Unicode MS"/>
          <w:sz w:val="22"/>
          <w:szCs w:val="22"/>
          <w:lang w:val="en-US"/>
        </w:rPr>
      </w:pPr>
      <w:r w:rsidRPr="00877BDE">
        <w:rPr>
          <w:rFonts w:eastAsia="Arial Unicode MS"/>
          <w:bCs/>
          <w:sz w:val="22"/>
          <w:szCs w:val="22"/>
          <w:lang w:val="en-US"/>
        </w:rPr>
        <w:t xml:space="preserve">Where does </w:t>
      </w:r>
      <w:r w:rsidRPr="00877BDE">
        <w:rPr>
          <w:rFonts w:eastAsia="Arial Unicode MS"/>
          <w:sz w:val="22"/>
          <w:szCs w:val="22"/>
          <w:lang w:val="en-US"/>
        </w:rPr>
        <w:t>Durzān, as locus of power and as the first Fāṭimid public patron to build outside al-Qāhira, fit with</w:t>
      </w:r>
      <w:r w:rsidRPr="00877BDE">
        <w:rPr>
          <w:rFonts w:eastAsia="Arial Unicode MS"/>
          <w:bCs/>
          <w:sz w:val="22"/>
          <w:szCs w:val="22"/>
          <w:lang w:val="en-US"/>
        </w:rPr>
        <w:t xml:space="preserve">in an analysis centered on economic discourse as a tool of interpretation? </w:t>
      </w:r>
      <w:r w:rsidRPr="00877BDE">
        <w:rPr>
          <w:rFonts w:eastAsia="Arial Unicode MS"/>
          <w:sz w:val="22"/>
          <w:szCs w:val="22"/>
          <w:lang w:val="en-US"/>
        </w:rPr>
        <w:t xml:space="preserve"> Durzān, as queen mother, was the only senior royal, beside the imam-caliph, whose status could be safely, visibly advertised. To ascribe buildings to royal brothers, thus potentially signalling their power, was </w:t>
      </w:r>
      <w:r w:rsidRPr="00877BDE">
        <w:rPr>
          <w:rFonts w:eastAsia="Arial Unicode MS"/>
          <w:sz w:val="22"/>
          <w:szCs w:val="22"/>
          <w:lang w:val="en-US"/>
        </w:rPr>
        <w:lastRenderedPageBreak/>
        <w:t xml:space="preserve">asking for genealogical trouble and possible factionalism; to promote the imam’s children as ‘powerful’ was ineffective since, until the actual moment of succession, the outcome of the succession lottery was effectively open. At this particular junction in the history of the dynasty, the queen mother was the only royal figure whose loyalty could not be questioned since her own status was sanctioned by the blood link with the reigning imam-caliph. For the high dignitaries at the Fāṭimid court to project the queen mother as a figure of prestige and distinction through imposing architectural patronage in al-Qarāfa meant providing services to people while safely advertising the dynasty in an additional way. More importantly - in economic terms – they were able to generate ‘positive externalities’ that would increase the value and desirability of properties and real estate in the neighborhoods graced by her landmarks. </w:t>
      </w:r>
    </w:p>
    <w:p w14:paraId="61720FF1" w14:textId="77777777" w:rsidR="000405C1" w:rsidRPr="00877BDE" w:rsidRDefault="000405C1" w:rsidP="000405C1">
      <w:pPr>
        <w:spacing w:line="360" w:lineRule="auto"/>
        <w:ind w:firstLine="720"/>
        <w:rPr>
          <w:rFonts w:eastAsia="Arial Unicode MS"/>
          <w:sz w:val="22"/>
          <w:szCs w:val="22"/>
          <w:lang w:val="en-US"/>
        </w:rPr>
      </w:pPr>
      <w:r w:rsidRPr="00877BDE">
        <w:rPr>
          <w:rFonts w:eastAsia="Arial Unicode MS"/>
          <w:sz w:val="22"/>
          <w:szCs w:val="22"/>
          <w:lang w:val="en-US"/>
        </w:rPr>
        <w:t>The lavishness of the al-Qarāfa mosque can be appreciated from the description of its interior provided by al-Quḍā‘ī (d.454/1062), quoted in al-Maqrīzī:</w:t>
      </w:r>
    </w:p>
    <w:p w14:paraId="6FDA6A50" w14:textId="77777777" w:rsidR="000405C1" w:rsidRPr="00877BDE" w:rsidRDefault="000405C1" w:rsidP="000405C1">
      <w:pPr>
        <w:spacing w:line="360" w:lineRule="auto"/>
        <w:ind w:firstLine="720"/>
        <w:rPr>
          <w:rFonts w:eastAsia="Arial Unicode MS"/>
          <w:sz w:val="22"/>
          <w:szCs w:val="22"/>
          <w:lang w:val="en-US"/>
        </w:rPr>
      </w:pPr>
    </w:p>
    <w:p w14:paraId="292D7022" w14:textId="77777777" w:rsidR="000405C1" w:rsidRPr="00877BDE" w:rsidRDefault="000405C1" w:rsidP="000405C1">
      <w:pPr>
        <w:spacing w:line="360" w:lineRule="auto"/>
        <w:rPr>
          <w:rFonts w:eastAsia="Arial Unicode MS"/>
          <w:sz w:val="22"/>
          <w:szCs w:val="22"/>
          <w:lang w:val="en-US"/>
        </w:rPr>
      </w:pPr>
      <w:r w:rsidRPr="00877BDE">
        <w:rPr>
          <w:rFonts w:eastAsia="Arial Unicode MS"/>
          <w:sz w:val="22"/>
          <w:szCs w:val="22"/>
          <w:lang w:val="en-US"/>
        </w:rPr>
        <w:t xml:space="preserve">the Mosque of the Qarāfa was decorated with paintings in blue, vermillion, verdigris and other colours and, in certain places, painted a uniform colour. The ceilings were entirely painted in polychrome and the intrados and the extrados of the arcades resting on the columns were covered with paintings of all colours. This decoration is the work of the painters of Baṣra and of the Banū Mu‘allim, of whom Kutāmī and Nazūk were the masters. Opposite the seventh door [of the mosque] one can see the intrados of one of the arches, a painting representing a </w:t>
      </w:r>
      <w:r w:rsidRPr="00877BDE">
        <w:rPr>
          <w:rFonts w:eastAsia="Arial Unicode MS"/>
          <w:i/>
          <w:sz w:val="22"/>
          <w:szCs w:val="22"/>
          <w:lang w:val="en-US"/>
        </w:rPr>
        <w:t>shadhirwān</w:t>
      </w:r>
      <w:r w:rsidRPr="00877BDE">
        <w:rPr>
          <w:rFonts w:eastAsia="Arial Unicode MS"/>
          <w:sz w:val="22"/>
          <w:szCs w:val="22"/>
          <w:lang w:val="en-US"/>
        </w:rPr>
        <w:t xml:space="preserve"> [stepped fountain], with decoration in black, white, red, green, blue and yellow. When one stands under the keystone of the arch and raises one’s head towards this decoration, one might imagine that the painted steps were like a </w:t>
      </w:r>
      <w:r w:rsidRPr="00877BDE">
        <w:rPr>
          <w:rFonts w:eastAsia="Arial Unicode MS"/>
          <w:i/>
          <w:sz w:val="22"/>
          <w:szCs w:val="22"/>
          <w:lang w:val="en-US"/>
        </w:rPr>
        <w:t>muqarnas</w:t>
      </w:r>
      <w:r w:rsidRPr="00877BDE">
        <w:rPr>
          <w:rFonts w:eastAsia="Arial Unicode MS"/>
          <w:sz w:val="22"/>
          <w:szCs w:val="22"/>
          <w:lang w:val="en-US"/>
        </w:rPr>
        <w:t xml:space="preserve"> made of wood. But if one stood under one of the flanks of the arch, where the semicircle ends and when, keeping to the beginning of the arch, one raises the head to look at it again, one sees that it was an optical illusion and that the surface was quite flat without any relief.</w:t>
      </w:r>
      <w:r w:rsidRPr="00877BDE">
        <w:rPr>
          <w:rStyle w:val="FootnoteReference"/>
          <w:rFonts w:eastAsia="Arial Unicode MS"/>
          <w:sz w:val="22"/>
          <w:szCs w:val="22"/>
          <w:lang w:val="en-US"/>
        </w:rPr>
        <w:footnoteReference w:id="70"/>
      </w:r>
      <w:r w:rsidRPr="00877BDE">
        <w:rPr>
          <w:rFonts w:eastAsia="Arial Unicode MS"/>
          <w:sz w:val="22"/>
          <w:szCs w:val="22"/>
          <w:lang w:val="en-US"/>
        </w:rPr>
        <w:t xml:space="preserve"> </w:t>
      </w:r>
    </w:p>
    <w:p w14:paraId="4F337F93" w14:textId="77777777" w:rsidR="000405C1" w:rsidRPr="00877BDE" w:rsidRDefault="000405C1" w:rsidP="000405C1">
      <w:pPr>
        <w:spacing w:line="360" w:lineRule="auto"/>
        <w:rPr>
          <w:rFonts w:eastAsia="Arial Unicode MS"/>
          <w:sz w:val="22"/>
          <w:szCs w:val="22"/>
          <w:lang w:val="en-US"/>
        </w:rPr>
      </w:pPr>
    </w:p>
    <w:p w14:paraId="05B1FF3A" w14:textId="77777777" w:rsidR="000405C1" w:rsidRPr="00877BDE" w:rsidRDefault="000405C1" w:rsidP="000405C1">
      <w:pPr>
        <w:spacing w:line="360" w:lineRule="auto"/>
        <w:ind w:firstLine="720"/>
        <w:rPr>
          <w:rFonts w:eastAsia="Arial Unicode MS"/>
          <w:sz w:val="22"/>
          <w:szCs w:val="22"/>
          <w:lang w:val="en-US"/>
        </w:rPr>
      </w:pPr>
      <w:r w:rsidRPr="00877BDE">
        <w:rPr>
          <w:rFonts w:eastAsia="Arial Unicode MS"/>
          <w:sz w:val="22"/>
          <w:szCs w:val="22"/>
          <w:lang w:val="en-US"/>
        </w:rPr>
        <w:t>The owners of estates</w:t>
      </w:r>
      <w:r w:rsidRPr="00877BDE">
        <w:rPr>
          <w:rFonts w:eastAsia="Arial Unicode MS"/>
          <w:bCs/>
          <w:sz w:val="22"/>
          <w:szCs w:val="22"/>
          <w:lang w:val="en-US"/>
        </w:rPr>
        <w:t xml:space="preserve"> in the area surrounding Durzān’s buildings would reap </w:t>
      </w:r>
      <w:r w:rsidRPr="00877BDE">
        <w:rPr>
          <w:rFonts w:eastAsia="Arial Unicode MS"/>
          <w:sz w:val="22"/>
          <w:szCs w:val="22"/>
          <w:lang w:val="en-US"/>
        </w:rPr>
        <w:t xml:space="preserve">financial benefits that </w:t>
      </w:r>
      <w:r w:rsidRPr="00877BDE">
        <w:rPr>
          <w:rFonts w:eastAsia="Arial Unicode MS"/>
          <w:bCs/>
          <w:sz w:val="22"/>
          <w:szCs w:val="22"/>
          <w:lang w:val="en-US"/>
        </w:rPr>
        <w:t>would, in turn, enable them to meet the higher expenditures in al-Qāhira.</w:t>
      </w:r>
      <w:r w:rsidRPr="00877BDE">
        <w:rPr>
          <w:rStyle w:val="FootnoteReference"/>
          <w:rFonts w:eastAsia="Arial Unicode MS"/>
          <w:sz w:val="22"/>
          <w:szCs w:val="22"/>
          <w:lang w:val="en-US"/>
        </w:rPr>
        <w:footnoteReference w:id="71"/>
      </w:r>
      <w:r w:rsidRPr="00877BDE">
        <w:rPr>
          <w:rFonts w:eastAsia="Arial Unicode MS"/>
          <w:sz w:val="22"/>
          <w:szCs w:val="22"/>
          <w:lang w:val="en-US"/>
        </w:rPr>
        <w:t xml:space="preserve"> That Durzān’s buildings played a significant role in transforming al-Qarāfa into an upmarket, sought- after area can be gathered from al-Maqrīzī’s remarks that in Fāṭimid times the nobility was known to gather at her mosque and the area around the Qaṣr</w:t>
      </w:r>
      <w:r w:rsidRPr="00877BDE">
        <w:rPr>
          <w:rFonts w:eastAsia="Arial Unicode MS"/>
          <w:i/>
          <w:sz w:val="22"/>
          <w:szCs w:val="22"/>
          <w:lang w:val="en-US"/>
        </w:rPr>
        <w:t xml:space="preserve"> </w:t>
      </w:r>
      <w:r w:rsidRPr="00877BDE">
        <w:rPr>
          <w:rFonts w:eastAsia="Arial Unicode MS"/>
          <w:sz w:val="22"/>
          <w:szCs w:val="22"/>
          <w:lang w:val="en-US"/>
        </w:rPr>
        <w:t xml:space="preserve">she built became a favorite meeting point during festivals and </w:t>
      </w:r>
      <w:r w:rsidRPr="00877BDE">
        <w:rPr>
          <w:rFonts w:eastAsia="Arial Unicode MS"/>
          <w:sz w:val="22"/>
          <w:szCs w:val="22"/>
          <w:lang w:val="en-US"/>
        </w:rPr>
        <w:lastRenderedPageBreak/>
        <w:t xml:space="preserve">celebrations for the caliphal palace entourage, and the owners of the houses of court employees who did not reside at the palace. </w:t>
      </w:r>
      <w:r w:rsidRPr="00877BDE">
        <w:rPr>
          <w:rStyle w:val="FootnoteReference"/>
          <w:rFonts w:eastAsia="Arial Unicode MS"/>
          <w:sz w:val="22"/>
          <w:szCs w:val="22"/>
          <w:lang w:val="en-US"/>
        </w:rPr>
        <w:footnoteReference w:id="72"/>
      </w:r>
      <w:r w:rsidRPr="00877BDE">
        <w:rPr>
          <w:rFonts w:eastAsia="Arial Unicode MS"/>
          <w:sz w:val="22"/>
          <w:szCs w:val="22"/>
          <w:lang w:val="en-US"/>
        </w:rPr>
        <w:t xml:space="preserve"> </w:t>
      </w:r>
    </w:p>
    <w:p w14:paraId="1898F8DD" w14:textId="77777777" w:rsidR="000405C1" w:rsidRPr="00877BDE" w:rsidRDefault="000405C1" w:rsidP="000405C1">
      <w:pPr>
        <w:spacing w:line="360" w:lineRule="auto"/>
        <w:rPr>
          <w:rFonts w:eastAsia="Arial Unicode MS"/>
          <w:b/>
          <w:sz w:val="22"/>
          <w:szCs w:val="22"/>
          <w:lang w:val="en-US"/>
        </w:rPr>
      </w:pPr>
    </w:p>
    <w:p w14:paraId="3F8FF0E1" w14:textId="77777777" w:rsidR="000405C1" w:rsidRPr="00877BDE" w:rsidRDefault="000405C1" w:rsidP="000405C1">
      <w:pPr>
        <w:spacing w:line="360" w:lineRule="auto"/>
        <w:rPr>
          <w:rFonts w:eastAsia="Arial Unicode MS"/>
          <w:b/>
          <w:sz w:val="22"/>
          <w:szCs w:val="22"/>
          <w:lang w:val="en-US"/>
        </w:rPr>
      </w:pPr>
      <w:r w:rsidRPr="00877BDE">
        <w:rPr>
          <w:rFonts w:eastAsia="Arial Unicode MS"/>
          <w:b/>
          <w:sz w:val="22"/>
          <w:szCs w:val="22"/>
          <w:lang w:val="en-US"/>
        </w:rPr>
        <w:t>Conclusions</w:t>
      </w:r>
    </w:p>
    <w:p w14:paraId="1018C33B" w14:textId="77777777" w:rsidR="000405C1" w:rsidRPr="00877BDE" w:rsidRDefault="000405C1" w:rsidP="000405C1">
      <w:pPr>
        <w:pStyle w:val="BodyText"/>
        <w:spacing w:line="360" w:lineRule="auto"/>
        <w:rPr>
          <w:rFonts w:eastAsia="Arial Unicode MS"/>
          <w:bCs/>
          <w:sz w:val="22"/>
          <w:szCs w:val="22"/>
          <w:lang w:val="en-US"/>
        </w:rPr>
      </w:pPr>
      <w:r w:rsidRPr="00877BDE">
        <w:rPr>
          <w:rFonts w:eastAsia="Arial Unicode MS"/>
          <w:sz w:val="22"/>
          <w:szCs w:val="22"/>
          <w:lang w:val="en-US"/>
        </w:rPr>
        <w:t xml:space="preserve">What, then, shall we make of Durzān’s patronage? In the course of our research we have analyzed primarily the literary, material and ‘circumstantial’ evidence relating to four of the buildings ascribed to her. In conducting our study we adopted two different methodologies. In the first part, inter-textual analysis and criticism of primary and secondary sources were used as the main guiding principle through which the attribution, role, function and nature of Durzān’s buildings could be appraised. Beyond the specific reference to Durzān’s patronage, such analysis leads to two considerations: one concerning the writer’s role in conveying and selecting specific narratives; the other concerning the political, genealogical or other contexts that can be inferred from such selective narratives and the impact that such contexts can have on the reader’s interpretation of the roles that specific buildings might have played. As for epigraphic sources, in view of the much more limited individual and personal role of the inscriber in choosing the text, the focus of analysis is on the interpretation of the material evidence (e.g. the type of building the slab might have belonged to) as a  means to convey dynastic, political or religious meanings.   </w:t>
      </w:r>
    </w:p>
    <w:p w14:paraId="21065998" w14:textId="77777777" w:rsidR="000405C1" w:rsidRPr="00877BDE" w:rsidRDefault="000405C1" w:rsidP="000405C1">
      <w:pPr>
        <w:spacing w:line="360" w:lineRule="auto"/>
        <w:ind w:firstLine="720"/>
        <w:rPr>
          <w:rFonts w:eastAsia="Arial Unicode MS"/>
          <w:sz w:val="22"/>
          <w:szCs w:val="22"/>
          <w:lang w:val="en-US"/>
        </w:rPr>
      </w:pPr>
      <w:r w:rsidRPr="00877BDE">
        <w:rPr>
          <w:rFonts w:eastAsia="Arial Unicode MS"/>
          <w:sz w:val="22"/>
          <w:szCs w:val="22"/>
          <w:lang w:val="en-US"/>
        </w:rPr>
        <w:t xml:space="preserve">In the second part of the paper, a “discourse” approach was adopted as a key to evaluating the role and function that Durzān’s constructions might have played in the early Egyptian political, social and economic history of the dynasty. The questions raised about the figure and role of Durzān as architectural patron have led us to a dynamic ‘reading’ of Fusṭāṭ’s political, economic and social landscape and the dynasty’s intervention in it. In the context of the crucial formative years of the newly established dynasty in Egypt, the seemingly unremarkable Durzān emerges as a woman situated in the fluid intersection between court affairs, religious organizations and the logistics of urban construction. By being named as patroness, Durzān found herself –willingly or by default- being transformed into a figure that could be symbolically flagged with safety as a mediating link between secular and religious arenas, between the private realm of the court and the public realities of Fusṭāṭ, between female and male domains. </w:t>
      </w:r>
    </w:p>
    <w:p w14:paraId="0BA7E7AD" w14:textId="77777777" w:rsidR="000405C1" w:rsidRPr="00877BDE" w:rsidRDefault="000405C1" w:rsidP="000405C1">
      <w:pPr>
        <w:spacing w:line="360" w:lineRule="auto"/>
        <w:ind w:firstLine="720"/>
        <w:rPr>
          <w:rFonts w:eastAsia="Arial Unicode MS"/>
          <w:sz w:val="22"/>
          <w:szCs w:val="22"/>
          <w:lang w:val="en-US"/>
        </w:rPr>
      </w:pPr>
      <w:r w:rsidRPr="00877BDE">
        <w:rPr>
          <w:rFonts w:eastAsia="Arial Unicode MS"/>
          <w:sz w:val="22"/>
          <w:szCs w:val="22"/>
          <w:lang w:val="en-US"/>
        </w:rPr>
        <w:t xml:space="preserve">The paper shows how, in the face of the obstacles imposed on the scholar by the limited availability of literary and material evidence directly pointing to Durzān and her buildings, resorting to varied methodologies informed by interdisciplinary lines of enquiry opens up the possibility of alternative interpretations. If we cannot claim to know more about Durzān’s buildings </w:t>
      </w:r>
      <w:r w:rsidRPr="00877BDE">
        <w:rPr>
          <w:rFonts w:eastAsia="Arial Unicode MS"/>
          <w:i/>
          <w:sz w:val="22"/>
          <w:szCs w:val="22"/>
          <w:lang w:val="en-US"/>
        </w:rPr>
        <w:t>per se</w:t>
      </w:r>
      <w:r w:rsidRPr="00877BDE">
        <w:rPr>
          <w:rFonts w:eastAsia="Arial Unicode MS"/>
          <w:sz w:val="22"/>
          <w:szCs w:val="22"/>
          <w:lang w:val="en-US"/>
        </w:rPr>
        <w:t>, the scanty references to their existence have –nevertheless- served as a focal point to question the perspectives and reliability of the sources that inform us and to alert us to the possibilities for enquiry that can derive from revisiting and contextualising such sources.</w:t>
      </w:r>
    </w:p>
    <w:p w14:paraId="436F87F4" w14:textId="77777777" w:rsidR="000405C1" w:rsidRPr="00877BDE" w:rsidRDefault="000405C1" w:rsidP="000405C1">
      <w:pPr>
        <w:spacing w:line="360" w:lineRule="auto"/>
        <w:ind w:firstLine="720"/>
        <w:rPr>
          <w:rFonts w:eastAsia="Arial Unicode MS"/>
          <w:sz w:val="22"/>
          <w:szCs w:val="22"/>
          <w:lang w:val="en-US"/>
        </w:rPr>
      </w:pPr>
    </w:p>
    <w:p w14:paraId="28BF66A5" w14:textId="77777777" w:rsidR="000405C1" w:rsidRPr="00877BDE" w:rsidRDefault="000405C1" w:rsidP="000405C1">
      <w:pPr>
        <w:spacing w:line="360" w:lineRule="auto"/>
        <w:ind w:firstLine="720"/>
        <w:rPr>
          <w:rFonts w:eastAsia="Arial Unicode MS"/>
          <w:sz w:val="22"/>
          <w:szCs w:val="22"/>
          <w:lang w:val="en-US"/>
        </w:rPr>
      </w:pPr>
    </w:p>
    <w:p w14:paraId="51D19AF6" w14:textId="77777777" w:rsidR="000405C1" w:rsidRPr="00877BDE" w:rsidRDefault="000405C1" w:rsidP="000405C1">
      <w:pPr>
        <w:spacing w:line="360" w:lineRule="auto"/>
        <w:rPr>
          <w:rFonts w:eastAsia="Arial Unicode MS"/>
          <w:sz w:val="22"/>
          <w:szCs w:val="22"/>
          <w:lang w:val="en-US"/>
        </w:rPr>
      </w:pPr>
    </w:p>
    <w:p w14:paraId="7132B318" w14:textId="77777777" w:rsidR="00320B7D" w:rsidRDefault="00320B7D"/>
    <w:sectPr w:rsidR="00320B7D" w:rsidSect="000D7A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42E88" w14:textId="77777777" w:rsidR="00D72B4B" w:rsidRDefault="00D72B4B" w:rsidP="000405C1">
      <w:r>
        <w:separator/>
      </w:r>
    </w:p>
  </w:endnote>
  <w:endnote w:type="continuationSeparator" w:id="0">
    <w:p w14:paraId="7A15438B" w14:textId="77777777" w:rsidR="00D72B4B" w:rsidRDefault="00D72B4B" w:rsidP="0004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is SIL">
    <w:charset w:val="59"/>
    <w:family w:val="auto"/>
    <w:pitch w:val="variable"/>
    <w:sig w:usb0="01020000"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ntium">
    <w:altName w:val="Courier Std"/>
    <w:charset w:val="00"/>
    <w:family w:val="auto"/>
    <w:pitch w:val="variable"/>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D54DC" w14:textId="77777777" w:rsidR="00D72B4B" w:rsidRDefault="00D72B4B" w:rsidP="000405C1">
      <w:r>
        <w:separator/>
      </w:r>
    </w:p>
  </w:footnote>
  <w:footnote w:type="continuationSeparator" w:id="0">
    <w:p w14:paraId="27FCCB54" w14:textId="77777777" w:rsidR="00D72B4B" w:rsidRDefault="00D72B4B" w:rsidP="000405C1">
      <w:r>
        <w:continuationSeparator/>
      </w:r>
    </w:p>
  </w:footnote>
  <w:footnote w:id="1">
    <w:p w14:paraId="7BCBD514" w14:textId="77777777" w:rsidR="000405C1" w:rsidRPr="00877BDE" w:rsidRDefault="000405C1" w:rsidP="000405C1">
      <w:pPr>
        <w:spacing w:line="276" w:lineRule="auto"/>
        <w:rPr>
          <w:rFonts w:eastAsia="Arial Unicode MS"/>
          <w:sz w:val="20"/>
          <w:szCs w:val="20"/>
          <w:lang w:val="en-US"/>
        </w:rPr>
      </w:pPr>
      <w:r w:rsidRPr="00877BDE">
        <w:rPr>
          <w:rFonts w:eastAsia="Arial Unicode MS"/>
          <w:sz w:val="20"/>
          <w:szCs w:val="20"/>
          <w:lang w:val="en-US"/>
        </w:rPr>
        <w:t>*Simonetta Calderini is the main author of the first part of this paper and Delia Cortese is the main author of the second. We are grateful to Dr Daniella Talmon-Heller and Dr Katia Cytryn-Silverman for inviting us to take part in the 14</w:t>
      </w:r>
      <w:r w:rsidRPr="00877BDE">
        <w:rPr>
          <w:rFonts w:eastAsia="Arial Unicode MS"/>
          <w:sz w:val="20"/>
          <w:szCs w:val="20"/>
          <w:vertAlign w:val="superscript"/>
          <w:lang w:val="en-US"/>
        </w:rPr>
        <w:t>th</w:t>
      </w:r>
      <w:r w:rsidRPr="00877BDE">
        <w:rPr>
          <w:rFonts w:eastAsia="Arial Unicode MS"/>
          <w:sz w:val="20"/>
          <w:szCs w:val="20"/>
          <w:lang w:val="en-US"/>
        </w:rPr>
        <w:t xml:space="preserve"> Annual Workshop of the Department of Middle East Studies at Ben-Gurion University of the Negev, 30 June  – 2 July 2009. Preliminary findings of the research that culminated in this article were presented at the biennial conference of the History of Islamic Art Association, Philadelphia, 16-18 October 2008 and the conference “I Fatimidi e il Mediterraneo”, Palermo, 3-6 December 2008. We are grateful to Prof. Jonathan M. Bloom, Prof. Heinz Halm and Prof. Yaacov Lev for their comments and suggestions while conducting this research.</w:t>
      </w:r>
    </w:p>
    <w:p w14:paraId="55BA57B3" w14:textId="77777777" w:rsidR="000405C1" w:rsidRPr="00877BDE" w:rsidRDefault="000405C1" w:rsidP="000405C1">
      <w:pPr>
        <w:pStyle w:val="FootnoteText"/>
        <w:spacing w:line="276" w:lineRule="auto"/>
        <w:rPr>
          <w:rFonts w:eastAsia="Arial Unicode MS"/>
        </w:rPr>
      </w:pPr>
    </w:p>
    <w:p w14:paraId="68C35C8B" w14:textId="77777777" w:rsidR="000405C1" w:rsidRPr="00877BDE" w:rsidRDefault="000405C1" w:rsidP="000405C1">
      <w:pPr>
        <w:pStyle w:val="FootnoteText"/>
        <w:spacing w:line="276" w:lineRule="auto"/>
        <w:rPr>
          <w:rFonts w:eastAsia="Arial Unicode MS"/>
          <w:b/>
        </w:rPr>
      </w:pPr>
      <w:r w:rsidRPr="00877BDE">
        <w:rPr>
          <w:rStyle w:val="FootnoteReference"/>
          <w:rFonts w:eastAsia="Arial Unicode MS"/>
        </w:rPr>
        <w:footnoteRef/>
      </w:r>
      <w:r w:rsidRPr="00877BDE">
        <w:rPr>
          <w:rFonts w:eastAsia="Arial Unicode MS"/>
        </w:rPr>
        <w:t xml:space="preserve"> The date of Durzān’s death is provided by Taqī al-Dīn al-Maqrīzī in his </w:t>
      </w:r>
      <w:r w:rsidRPr="00877BDE">
        <w:rPr>
          <w:rFonts w:eastAsia="Arial Unicode MS"/>
          <w:i/>
        </w:rPr>
        <w:t xml:space="preserve">Itti‘āẓ al-Ḥunafā’ bi-Akhbār al-A’imma al-Fāṭimiyyīn al-Khulafā’ </w:t>
      </w:r>
      <w:r w:rsidRPr="00877BDE">
        <w:rPr>
          <w:rFonts w:eastAsia="Arial Unicode MS"/>
        </w:rPr>
        <w:t xml:space="preserve">[henceforth </w:t>
      </w:r>
      <w:r w:rsidRPr="00877BDE">
        <w:rPr>
          <w:rFonts w:eastAsia="Arial Unicode MS"/>
          <w:i/>
        </w:rPr>
        <w:t>Itti‘āẓ</w:t>
      </w:r>
      <w:r w:rsidRPr="00877BDE">
        <w:rPr>
          <w:rFonts w:eastAsia="Arial Unicode MS"/>
        </w:rPr>
        <w:t xml:space="preserve">], ed. Jamāl al-Dīn al-Shayyāl (al-Qāhira: Lajnat Iḥyā’ al-Turāth al-Islāmiyya, 1967), 1:289; she died one or two months after al-‘Azīz’s wife, the </w:t>
      </w:r>
      <w:r w:rsidRPr="00877BDE">
        <w:rPr>
          <w:rFonts w:eastAsia="Arial Unicode MS"/>
          <w:i/>
        </w:rPr>
        <w:t>umm walad</w:t>
      </w:r>
      <w:r w:rsidRPr="00877BDE">
        <w:rPr>
          <w:rFonts w:eastAsia="Arial Unicode MS"/>
        </w:rPr>
        <w:t xml:space="preserve"> al-Sayyida al-‘Azīziyya, either during the second half of Dhū’l-Qa‘da or during Dhū’l-Ḥijja 385/December 995 or January 996.</w:t>
      </w:r>
    </w:p>
  </w:footnote>
  <w:footnote w:id="2">
    <w:p w14:paraId="29C23DA1"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According to Ibrāhīm al-Ḥāmidī, Durzān was not a slave but a cousin, see </w:t>
      </w:r>
      <w:r w:rsidRPr="00877BDE">
        <w:rPr>
          <w:rFonts w:eastAsia="Arial Unicode MS"/>
          <w:i/>
        </w:rPr>
        <w:t>majlis</w:t>
      </w:r>
      <w:r w:rsidRPr="00877BDE">
        <w:rPr>
          <w:rFonts w:eastAsia="Arial Unicode MS"/>
        </w:rPr>
        <w:t xml:space="preserve"> 117  in W. Ivanow, </w:t>
      </w:r>
      <w:r w:rsidRPr="00877BDE">
        <w:rPr>
          <w:rFonts w:eastAsia="Arial Unicode MS"/>
          <w:i/>
        </w:rPr>
        <w:t>Ismaili Tradition Concerning the Rise of the Fatimids</w:t>
      </w:r>
      <w:r w:rsidRPr="00877BDE">
        <w:rPr>
          <w:rFonts w:eastAsia="Arial Unicode MS"/>
        </w:rPr>
        <w:t xml:space="preserve"> (London: OUP, 1942), 309. Durzān is also mentioned by the chronicler Abū Ja‘far b. Zubayr (d.708/1308) as participating in her son’s party in the treasury hall at the Fāṭimid court. See D. Cortese and S. Calderini, </w:t>
      </w:r>
      <w:r w:rsidRPr="00877BDE">
        <w:rPr>
          <w:rFonts w:eastAsia="Arial Unicode MS"/>
          <w:i/>
        </w:rPr>
        <w:t>Women and the Fatimids in the World of Islam</w:t>
      </w:r>
      <w:r w:rsidRPr="00877BDE">
        <w:rPr>
          <w:rFonts w:eastAsia="Arial Unicode MS"/>
        </w:rPr>
        <w:t xml:space="preserve"> (Edinburgh: Edinburgh University Press, 2006), 88-9.</w:t>
      </w:r>
    </w:p>
  </w:footnote>
  <w:footnote w:id="3">
    <w:p w14:paraId="1BC30A01"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For other architectural patronesses under the Fāṭimids see D. Cortese, and S. Calderini, </w:t>
      </w:r>
      <w:r w:rsidRPr="00877BDE">
        <w:rPr>
          <w:rFonts w:eastAsia="Arial Unicode MS"/>
          <w:i/>
        </w:rPr>
        <w:t>Women,</w:t>
      </w:r>
      <w:r w:rsidRPr="00877BDE">
        <w:rPr>
          <w:rFonts w:eastAsia="Arial Unicode MS"/>
        </w:rPr>
        <w:t xml:space="preserve"> 163-179 and, additionally for Sitt al-Mulk, see M. Rustow, “A Petition to a Woman at the Fāṭimid Court,” </w:t>
      </w:r>
      <w:r w:rsidRPr="00877BDE">
        <w:rPr>
          <w:rFonts w:eastAsia="Arial Unicode MS"/>
          <w:i/>
        </w:rPr>
        <w:t xml:space="preserve">Bulletin of the School of Oriental and African Studies, </w:t>
      </w:r>
      <w:r w:rsidRPr="00877BDE">
        <w:rPr>
          <w:rFonts w:eastAsia="Arial Unicode MS"/>
        </w:rPr>
        <w:t xml:space="preserve">73, 1 (2010): 1-27, in particular 14-16.  </w:t>
      </w:r>
    </w:p>
  </w:footnote>
  <w:footnote w:id="4">
    <w:p w14:paraId="24638AE7" w14:textId="77777777" w:rsidR="000405C1" w:rsidRPr="00877BDE" w:rsidRDefault="000405C1" w:rsidP="000405C1">
      <w:pPr>
        <w:pStyle w:val="FootnoteText"/>
        <w:spacing w:line="276" w:lineRule="auto"/>
        <w:rPr>
          <w:rFonts w:eastAsia="Arial Unicode MS"/>
          <w:b/>
        </w:rPr>
      </w:pPr>
      <w:r w:rsidRPr="00877BDE">
        <w:rPr>
          <w:rStyle w:val="FootnoteReference"/>
          <w:rFonts w:eastAsia="Arial Unicode MS"/>
        </w:rPr>
        <w:footnoteRef/>
      </w:r>
      <w:r w:rsidRPr="00877BDE">
        <w:rPr>
          <w:rFonts w:eastAsia="Arial Unicode MS"/>
        </w:rPr>
        <w:t xml:space="preserve"> Y. </w:t>
      </w:r>
      <w:r w:rsidRPr="00877BDE">
        <w:rPr>
          <w:rFonts w:eastAsia="Arial Unicode MS"/>
          <w:bCs/>
        </w:rPr>
        <w:t xml:space="preserve">Rāghib, </w:t>
      </w:r>
      <w:r w:rsidRPr="00877BDE">
        <w:rPr>
          <w:rFonts w:eastAsia="Arial Unicode MS"/>
        </w:rPr>
        <w:t xml:space="preserve">“Sur Deux Monuments Funéraire du Cimetiére d’al-Qarāfa al-Kubrā au Caire,” </w:t>
      </w:r>
      <w:r w:rsidRPr="00877BDE">
        <w:rPr>
          <w:rFonts w:eastAsia="Arial Unicode MS"/>
          <w:i/>
        </w:rPr>
        <w:t>Annales Islamologiques</w:t>
      </w:r>
      <w:r w:rsidRPr="00877BDE">
        <w:rPr>
          <w:rFonts w:eastAsia="Arial Unicode MS"/>
        </w:rPr>
        <w:t xml:space="preserve">, 12 (1974): 67-83, seven plates.  </w:t>
      </w:r>
    </w:p>
  </w:footnote>
  <w:footnote w:id="5">
    <w:p w14:paraId="19D47EC9"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w:t>
      </w:r>
      <w:r w:rsidRPr="00877BDE">
        <w:rPr>
          <w:rFonts w:eastAsia="Arial Unicode MS"/>
          <w:iCs/>
        </w:rPr>
        <w:t>Built it the Lady Taghrīd, mother of al-‘Azīz bi’llāh b. al-Mu‘izz,” in:</w:t>
      </w:r>
      <w:r w:rsidRPr="00877BDE">
        <w:rPr>
          <w:rFonts w:eastAsia="Arial Unicode MS"/>
          <w:i/>
          <w:iCs/>
        </w:rPr>
        <w:t xml:space="preserve"> </w:t>
      </w:r>
      <w:r w:rsidRPr="00877BDE">
        <w:rPr>
          <w:rFonts w:eastAsia="Arial Unicode MS"/>
        </w:rPr>
        <w:t xml:space="preserve">Taqī al-Dīn al-Maqrīzī, </w:t>
      </w:r>
      <w:r w:rsidRPr="00877BDE">
        <w:rPr>
          <w:rFonts w:eastAsia="Arial Unicode MS"/>
          <w:i/>
        </w:rPr>
        <w:t>al-Mawā’iẓ wa’l-I‘tibār fī Dhikr al-Khiṭaṭ wa’l-Athār</w:t>
      </w:r>
      <w:r w:rsidRPr="00877BDE">
        <w:rPr>
          <w:rFonts w:eastAsia="Arial Unicode MS"/>
        </w:rPr>
        <w:t xml:space="preserve"> [henceforth </w:t>
      </w:r>
      <w:r w:rsidRPr="00877BDE">
        <w:rPr>
          <w:rFonts w:eastAsia="Arial Unicode MS"/>
          <w:i/>
        </w:rPr>
        <w:t>Khiṭaṭ</w:t>
      </w:r>
      <w:r w:rsidRPr="00877BDE">
        <w:rPr>
          <w:rFonts w:eastAsia="Arial Unicode MS"/>
        </w:rPr>
        <w:t>], ed. Ayman Fu’ād Sayyid (London: Mu’assasat al-Furqān li-l-turāth al-islāmī, 2002), 2:576; “</w:t>
      </w:r>
      <w:r w:rsidRPr="00877BDE">
        <w:rPr>
          <w:rFonts w:eastAsia="Arial Unicode MS"/>
          <w:iCs/>
        </w:rPr>
        <w:t>al-Mu‘izz built it for his sister when she came from the Maghrib</w:t>
      </w:r>
      <w:r w:rsidRPr="00877BDE">
        <w:rPr>
          <w:rFonts w:eastAsia="Arial Unicode MS"/>
        </w:rPr>
        <w:t xml:space="preserve">,” in: Sārim al-Dīn Ibn Duqmāq, </w:t>
      </w:r>
      <w:r w:rsidRPr="00877BDE">
        <w:rPr>
          <w:rFonts w:eastAsia="Arial Unicode MS"/>
          <w:i/>
          <w:iCs/>
        </w:rPr>
        <w:t>Kitāb al-Intiṣār li-Wāsiṭat ‘Iqd al-Amṣār</w:t>
      </w:r>
      <w:r w:rsidRPr="00877BDE">
        <w:rPr>
          <w:rFonts w:eastAsia="Arial Unicode MS"/>
        </w:rPr>
        <w:t xml:space="preserve">, ed. K. Vollers ( Beirut: al-Maktab al-Tijārī, 1310/1893), 1:93. </w:t>
      </w:r>
    </w:p>
  </w:footnote>
  <w:footnote w:id="6">
    <w:p w14:paraId="0810A7B6"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“Built it </w:t>
      </w:r>
      <w:r w:rsidRPr="00877BDE">
        <w:rPr>
          <w:rFonts w:eastAsia="Arial Unicode MS"/>
          <w:iCs/>
        </w:rPr>
        <w:t>al-Sayyida al-Mu‘izziya…</w:t>
      </w:r>
      <w:r w:rsidRPr="00877BDE">
        <w:rPr>
          <w:rFonts w:eastAsia="Arial Unicode MS"/>
          <w:i/>
        </w:rPr>
        <w:t>umm walad</w:t>
      </w:r>
      <w:r w:rsidRPr="00877BDE">
        <w:rPr>
          <w:rFonts w:eastAsia="Arial Unicode MS"/>
          <w:iCs/>
        </w:rPr>
        <w:t xml:space="preserve"> from the Maghrib,” </w:t>
      </w:r>
      <w:r w:rsidRPr="00877BDE">
        <w:rPr>
          <w:rFonts w:eastAsia="Arial Unicode MS"/>
        </w:rPr>
        <w:t xml:space="preserve">quoted from the Fāṭimid </w:t>
      </w:r>
      <w:r w:rsidRPr="00877BDE">
        <w:rPr>
          <w:rFonts w:eastAsia="Arial Unicode MS"/>
          <w:i/>
        </w:rPr>
        <w:t>qāḍī</w:t>
      </w:r>
      <w:r w:rsidRPr="00877BDE">
        <w:rPr>
          <w:rFonts w:eastAsia="Arial Unicode MS"/>
        </w:rPr>
        <w:t xml:space="preserve"> al-Quḍā‘ī in al-Maqrīzī, </w:t>
      </w:r>
      <w:r w:rsidRPr="00877BDE">
        <w:rPr>
          <w:rFonts w:eastAsia="Arial Unicode MS"/>
          <w:i/>
          <w:iCs/>
        </w:rPr>
        <w:t>Khiṭaṭ</w:t>
      </w:r>
      <w:r w:rsidRPr="00877BDE">
        <w:rPr>
          <w:rFonts w:eastAsia="Arial Unicode MS"/>
        </w:rPr>
        <w:t>,</w:t>
      </w:r>
      <w:r w:rsidRPr="00877BDE" w:rsidDel="00B24A6F">
        <w:rPr>
          <w:rFonts w:eastAsia="Arial Unicode MS"/>
        </w:rPr>
        <w:t xml:space="preserve"> </w:t>
      </w:r>
      <w:r w:rsidRPr="00877BDE">
        <w:rPr>
          <w:rFonts w:eastAsia="Arial Unicode MS"/>
        </w:rPr>
        <w:t>4,1: 288; “</w:t>
      </w:r>
      <w:r w:rsidRPr="00877BDE">
        <w:rPr>
          <w:rFonts w:eastAsia="Arial Unicode MS"/>
          <w:iCs/>
        </w:rPr>
        <w:t>Built by one of the Maghārib (Maghribi) women in al-Qarāfa, a place outside Fusṭāṭ</w:t>
      </w:r>
      <w:r w:rsidRPr="00877BDE">
        <w:rPr>
          <w:rFonts w:eastAsia="Arial Unicode MS"/>
        </w:rPr>
        <w:t xml:space="preserve">” in Muḥammad Ibn Ḥawqal, </w:t>
      </w:r>
      <w:r w:rsidRPr="00877BDE">
        <w:rPr>
          <w:rFonts w:eastAsia="Arial Unicode MS"/>
          <w:i/>
          <w:iCs/>
        </w:rPr>
        <w:t>Kitāb Ṣūrat al-Arḍ</w:t>
      </w:r>
      <w:r w:rsidRPr="00877BDE">
        <w:rPr>
          <w:rFonts w:eastAsia="Arial Unicode MS"/>
        </w:rPr>
        <w:t xml:space="preserve">, ed. J.H. Kramers (Leiden: E.J. Brill, 1938), 1:147-8. </w:t>
      </w:r>
    </w:p>
  </w:footnote>
  <w:footnote w:id="7">
    <w:p w14:paraId="01FE978F" w14:textId="77777777" w:rsidR="000405C1" w:rsidRPr="00877BDE" w:rsidRDefault="000405C1" w:rsidP="000405C1">
      <w:pPr>
        <w:widowControl w:val="0"/>
        <w:autoSpaceDE w:val="0"/>
        <w:autoSpaceDN w:val="0"/>
        <w:adjustRightInd w:val="0"/>
        <w:spacing w:line="276" w:lineRule="auto"/>
        <w:rPr>
          <w:rFonts w:eastAsia="Arial Unicode MS"/>
          <w:sz w:val="20"/>
          <w:szCs w:val="20"/>
          <w:lang w:val="en-US"/>
        </w:rPr>
      </w:pPr>
      <w:r w:rsidRPr="00877BDE">
        <w:rPr>
          <w:rStyle w:val="FootnoteReference"/>
          <w:rFonts w:eastAsia="Arial Unicode MS"/>
          <w:sz w:val="20"/>
          <w:szCs w:val="20"/>
          <w:lang w:val="en-US"/>
        </w:rPr>
        <w:footnoteRef/>
      </w:r>
      <w:r w:rsidRPr="00877BDE">
        <w:rPr>
          <w:rFonts w:eastAsia="Arial Unicode MS"/>
          <w:sz w:val="20"/>
          <w:szCs w:val="20"/>
          <w:lang w:val="en-US"/>
        </w:rPr>
        <w:t xml:space="preserve"> “Built it the Lady Taghrīd</w:t>
      </w:r>
      <w:r w:rsidRPr="00877BDE">
        <w:rPr>
          <w:rFonts w:eastAsia="Arial Unicode MS"/>
          <w:iCs/>
          <w:sz w:val="20"/>
          <w:szCs w:val="20"/>
          <w:lang w:val="en-US"/>
        </w:rPr>
        <w:t xml:space="preserve">, at the hands of </w:t>
      </w:r>
      <w:r w:rsidRPr="00877BDE">
        <w:rPr>
          <w:rFonts w:eastAsia="Arial Unicode MS"/>
          <w:i/>
          <w:iCs/>
          <w:sz w:val="20"/>
          <w:szCs w:val="20"/>
          <w:lang w:val="en-US"/>
        </w:rPr>
        <w:t>muḥtasib</w:t>
      </w:r>
      <w:r w:rsidRPr="00877BDE">
        <w:rPr>
          <w:rFonts w:eastAsia="Arial Unicode MS"/>
          <w:iCs/>
          <w:sz w:val="20"/>
          <w:szCs w:val="20"/>
          <w:lang w:val="en-US"/>
        </w:rPr>
        <w:t xml:space="preserve"> al-Ḥasan al-Fārisī,” in:</w:t>
      </w:r>
      <w:r w:rsidRPr="00877BDE">
        <w:rPr>
          <w:rFonts w:eastAsia="Arial Unicode MS"/>
          <w:sz w:val="20"/>
          <w:szCs w:val="20"/>
          <w:lang w:val="en-US"/>
        </w:rPr>
        <w:t xml:space="preserve"> al-Maqrīzī, </w:t>
      </w:r>
      <w:r w:rsidRPr="00877BDE">
        <w:rPr>
          <w:rFonts w:eastAsia="Arial Unicode MS"/>
          <w:i/>
          <w:iCs/>
          <w:sz w:val="20"/>
          <w:szCs w:val="20"/>
          <w:lang w:val="en-US"/>
        </w:rPr>
        <w:t>Khiṭaṭ</w:t>
      </w:r>
      <w:r w:rsidRPr="00877BDE">
        <w:rPr>
          <w:rFonts w:eastAsia="Arial Unicode MS"/>
          <w:sz w:val="20"/>
          <w:szCs w:val="20"/>
          <w:lang w:val="en-US"/>
        </w:rPr>
        <w:t xml:space="preserve">, 2: 580 and 4: 876. </w:t>
      </w:r>
    </w:p>
  </w:footnote>
  <w:footnote w:id="8">
    <w:p w14:paraId="1F090365"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al-Maqrīzī,</w:t>
      </w:r>
      <w:r w:rsidRPr="00877BDE">
        <w:rPr>
          <w:rFonts w:eastAsia="Arial Unicode MS"/>
          <w:b/>
          <w:bCs/>
        </w:rPr>
        <w:t xml:space="preserve"> </w:t>
      </w:r>
      <w:r w:rsidRPr="00877BDE">
        <w:rPr>
          <w:rFonts w:eastAsia="Arial Unicode MS"/>
          <w:i/>
          <w:iCs/>
        </w:rPr>
        <w:t>Khiṭaṭ</w:t>
      </w:r>
      <w:r w:rsidRPr="00877BDE">
        <w:rPr>
          <w:rFonts w:eastAsia="Arial Unicode MS"/>
        </w:rPr>
        <w:t>, 2: 580.</w:t>
      </w:r>
    </w:p>
  </w:footnote>
  <w:footnote w:id="9">
    <w:p w14:paraId="37D4073F"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“Built it the Lady </w:t>
      </w:r>
      <w:r w:rsidRPr="00877BDE">
        <w:rPr>
          <w:rFonts w:eastAsia="Arial Unicode MS"/>
          <w:iCs/>
        </w:rPr>
        <w:t>Taghrīd,</w:t>
      </w:r>
      <w:r w:rsidRPr="00877BDE">
        <w:rPr>
          <w:rFonts w:eastAsia="Arial Unicode MS"/>
        </w:rPr>
        <w:t xml:space="preserve"> mother of al-</w:t>
      </w:r>
      <w:r w:rsidRPr="00877BDE">
        <w:rPr>
          <w:rFonts w:eastAsia="Arial Unicode MS"/>
          <w:iCs/>
        </w:rPr>
        <w:t>‘Azīz,</w:t>
      </w:r>
      <w:r w:rsidRPr="00877BDE">
        <w:rPr>
          <w:rFonts w:eastAsia="Arial Unicode MS"/>
        </w:rPr>
        <w:t xml:space="preserve">” in: al-Maqrīzī, </w:t>
      </w:r>
      <w:r w:rsidRPr="00877BDE">
        <w:rPr>
          <w:rFonts w:eastAsia="Arial Unicode MS"/>
          <w:i/>
          <w:iCs/>
        </w:rPr>
        <w:t>Kh</w:t>
      </w:r>
      <w:r w:rsidRPr="00877BDE">
        <w:rPr>
          <w:rFonts w:eastAsia="Arial Unicode MS"/>
          <w:i/>
        </w:rPr>
        <w:t>iṭaṭ</w:t>
      </w:r>
      <w:r w:rsidRPr="00877BDE">
        <w:rPr>
          <w:rFonts w:eastAsia="Arial Unicode MS"/>
        </w:rPr>
        <w:t xml:space="preserve">, 4, 2: 876. See also al-Maqrīzī, </w:t>
      </w:r>
      <w:r w:rsidRPr="00877BDE">
        <w:rPr>
          <w:rFonts w:eastAsia="Arial Unicode MS"/>
          <w:i/>
          <w:iCs/>
        </w:rPr>
        <w:t>Kh</w:t>
      </w:r>
      <w:r w:rsidRPr="00877BDE">
        <w:rPr>
          <w:rFonts w:eastAsia="Arial Unicode MS"/>
          <w:i/>
        </w:rPr>
        <w:t>iṭaṭ</w:t>
      </w:r>
      <w:r w:rsidRPr="00877BDE">
        <w:rPr>
          <w:rFonts w:eastAsia="Arial Unicode MS"/>
        </w:rPr>
        <w:t>, 2:580.</w:t>
      </w:r>
      <w:r w:rsidRPr="00877BDE">
        <w:rPr>
          <w:rFonts w:eastAsia="Arial Unicode MS"/>
          <w:i/>
          <w:iCs/>
        </w:rPr>
        <w:t xml:space="preserve"> </w:t>
      </w:r>
      <w:r w:rsidRPr="00877BDE">
        <w:rPr>
          <w:rFonts w:eastAsia="Arial Unicode MS"/>
        </w:rPr>
        <w:t xml:space="preserve"> </w:t>
      </w:r>
    </w:p>
  </w:footnote>
  <w:footnote w:id="10">
    <w:p w14:paraId="5C26C64A" w14:textId="77777777" w:rsidR="000405C1" w:rsidRPr="00877BDE" w:rsidRDefault="000405C1" w:rsidP="000405C1">
      <w:pPr>
        <w:widowControl w:val="0"/>
        <w:autoSpaceDE w:val="0"/>
        <w:autoSpaceDN w:val="0"/>
        <w:adjustRightInd w:val="0"/>
        <w:spacing w:line="276" w:lineRule="auto"/>
        <w:rPr>
          <w:rFonts w:eastAsia="Arial Unicode MS"/>
          <w:sz w:val="20"/>
          <w:szCs w:val="20"/>
          <w:lang w:val="en-US"/>
        </w:rPr>
      </w:pPr>
      <w:r w:rsidRPr="00877BDE">
        <w:rPr>
          <w:rStyle w:val="FootnoteReference"/>
          <w:rFonts w:eastAsia="Arial Unicode MS"/>
          <w:sz w:val="20"/>
          <w:szCs w:val="20"/>
          <w:lang w:val="en-US"/>
        </w:rPr>
        <w:footnoteRef/>
      </w:r>
      <w:r w:rsidRPr="00877BDE">
        <w:rPr>
          <w:rFonts w:eastAsia="Arial Unicode MS"/>
          <w:sz w:val="20"/>
          <w:szCs w:val="20"/>
          <w:lang w:val="en-US"/>
        </w:rPr>
        <w:t xml:space="preserve"> “Built it the </w:t>
      </w:r>
      <w:r w:rsidRPr="00877BDE">
        <w:rPr>
          <w:rFonts w:eastAsia="Arial Unicode MS"/>
          <w:i/>
          <w:iCs/>
          <w:sz w:val="20"/>
          <w:szCs w:val="20"/>
          <w:lang w:val="en-US"/>
        </w:rPr>
        <w:t>mu</w:t>
      </w:r>
      <w:r w:rsidRPr="00877BDE">
        <w:rPr>
          <w:rFonts w:eastAsia="Arial Unicode MS"/>
          <w:i/>
          <w:iCs/>
          <w:sz w:val="22"/>
          <w:szCs w:val="22"/>
          <w:lang w:val="en-US"/>
        </w:rPr>
        <w:t>ḥ</w:t>
      </w:r>
      <w:r w:rsidRPr="00877BDE">
        <w:rPr>
          <w:rFonts w:eastAsia="Arial Unicode MS"/>
          <w:i/>
          <w:iCs/>
          <w:sz w:val="20"/>
          <w:szCs w:val="20"/>
          <w:lang w:val="en-US"/>
        </w:rPr>
        <w:t xml:space="preserve">tasib </w:t>
      </w:r>
      <w:r w:rsidRPr="00877BDE">
        <w:rPr>
          <w:rFonts w:eastAsia="Arial Unicode MS"/>
          <w:iCs/>
          <w:sz w:val="20"/>
          <w:szCs w:val="20"/>
          <w:lang w:val="en-US"/>
        </w:rPr>
        <w:t>al-Fārisī</w:t>
      </w:r>
      <w:r w:rsidRPr="00877BDE">
        <w:rPr>
          <w:rFonts w:eastAsia="Arial Unicode MS"/>
          <w:sz w:val="20"/>
          <w:szCs w:val="20"/>
          <w:lang w:val="en-US"/>
        </w:rPr>
        <w:t xml:space="preserve"> in the days of the mother of </w:t>
      </w:r>
      <w:r w:rsidRPr="00877BDE">
        <w:rPr>
          <w:rFonts w:eastAsia="Arial Unicode MS"/>
          <w:iCs/>
          <w:sz w:val="20"/>
          <w:szCs w:val="20"/>
          <w:lang w:val="en-US"/>
        </w:rPr>
        <w:t>al-‘Azīz,</w:t>
      </w:r>
      <w:r w:rsidRPr="00877BDE">
        <w:rPr>
          <w:rFonts w:eastAsia="Arial Unicode MS"/>
          <w:sz w:val="20"/>
          <w:szCs w:val="20"/>
          <w:lang w:val="en-US"/>
        </w:rPr>
        <w:t>” in al-Maqrīzī,</w:t>
      </w:r>
      <w:r w:rsidRPr="00877BDE">
        <w:rPr>
          <w:rFonts w:eastAsia="Arial Unicode MS"/>
          <w:i/>
          <w:iCs/>
          <w:sz w:val="20"/>
          <w:szCs w:val="20"/>
          <w:lang w:val="en-US"/>
        </w:rPr>
        <w:t xml:space="preserve"> Khiṭaṭ</w:t>
      </w:r>
      <w:r w:rsidRPr="00877BDE">
        <w:rPr>
          <w:rFonts w:eastAsia="Arial Unicode MS"/>
          <w:iCs/>
          <w:sz w:val="20"/>
          <w:szCs w:val="20"/>
          <w:lang w:val="en-US"/>
        </w:rPr>
        <w:t xml:space="preserve">, </w:t>
      </w:r>
      <w:r w:rsidRPr="00877BDE">
        <w:rPr>
          <w:rFonts w:eastAsia="Arial Unicode MS"/>
          <w:sz w:val="20"/>
          <w:szCs w:val="20"/>
          <w:lang w:val="en-US"/>
        </w:rPr>
        <w:t xml:space="preserve">4, 2: </w:t>
      </w:r>
      <w:r w:rsidRPr="00877BDE">
        <w:rPr>
          <w:rFonts w:eastAsia="Arial Unicode MS"/>
          <w:iCs/>
          <w:sz w:val="20"/>
          <w:szCs w:val="20"/>
          <w:lang w:val="en-US"/>
        </w:rPr>
        <w:t>905. This could be</w:t>
      </w:r>
      <w:r w:rsidRPr="00877BDE">
        <w:rPr>
          <w:rFonts w:eastAsia="Arial Unicode MS"/>
          <w:sz w:val="20"/>
          <w:szCs w:val="20"/>
          <w:lang w:val="en-US"/>
        </w:rPr>
        <w:t xml:space="preserve"> the same as </w:t>
      </w:r>
      <w:r w:rsidRPr="00877BDE">
        <w:rPr>
          <w:rFonts w:eastAsia="Arial Unicode MS"/>
          <w:bCs/>
          <w:i/>
          <w:sz w:val="20"/>
          <w:szCs w:val="20"/>
          <w:lang w:val="en-US"/>
        </w:rPr>
        <w:t>Ḥawḍ al-Qarāfa</w:t>
      </w:r>
      <w:r w:rsidRPr="00877BDE">
        <w:rPr>
          <w:rFonts w:eastAsia="Arial Unicode MS"/>
          <w:b/>
          <w:bCs/>
          <w:sz w:val="20"/>
          <w:szCs w:val="20"/>
          <w:lang w:val="en-US"/>
        </w:rPr>
        <w:t xml:space="preserve"> </w:t>
      </w:r>
      <w:r w:rsidRPr="00877BDE">
        <w:rPr>
          <w:rFonts w:eastAsia="Arial Unicode MS"/>
          <w:bCs/>
          <w:sz w:val="20"/>
          <w:szCs w:val="20"/>
          <w:lang w:val="en-US"/>
        </w:rPr>
        <w:t xml:space="preserve">built in </w:t>
      </w:r>
      <w:r w:rsidRPr="00877BDE">
        <w:rPr>
          <w:rFonts w:eastAsia="Arial Unicode MS"/>
          <w:sz w:val="20"/>
          <w:szCs w:val="20"/>
          <w:lang w:val="en-US"/>
        </w:rPr>
        <w:t>Sha‘bān 366/March 977, by Sitt al-Malik (or al-Mulk), daughter of Durzān. But al-Maqrīzī,</w:t>
      </w:r>
      <w:r w:rsidRPr="00877BDE">
        <w:rPr>
          <w:rFonts w:eastAsia="Arial Unicode MS"/>
          <w:i/>
          <w:iCs/>
          <w:sz w:val="20"/>
          <w:szCs w:val="20"/>
          <w:lang w:val="en-US"/>
        </w:rPr>
        <w:t xml:space="preserve"> Khiṭaṭ</w:t>
      </w:r>
      <w:r w:rsidRPr="00877BDE">
        <w:rPr>
          <w:rFonts w:eastAsia="Arial Unicode MS"/>
          <w:iCs/>
          <w:sz w:val="20"/>
          <w:szCs w:val="20"/>
          <w:lang w:val="en-US"/>
        </w:rPr>
        <w:t xml:space="preserve">, </w:t>
      </w:r>
      <w:r w:rsidRPr="00877BDE">
        <w:rPr>
          <w:rFonts w:eastAsia="Arial Unicode MS"/>
          <w:sz w:val="20"/>
          <w:szCs w:val="20"/>
          <w:lang w:val="en-US"/>
        </w:rPr>
        <w:t xml:space="preserve">4, 2: </w:t>
      </w:r>
      <w:r w:rsidRPr="00877BDE">
        <w:rPr>
          <w:rFonts w:eastAsia="Arial Unicode MS"/>
          <w:iCs/>
          <w:sz w:val="20"/>
          <w:szCs w:val="20"/>
          <w:lang w:val="en-US"/>
        </w:rPr>
        <w:t>904</w:t>
      </w:r>
      <w:r w:rsidRPr="00877BDE">
        <w:rPr>
          <w:rFonts w:eastAsia="Arial Unicode MS"/>
          <w:i/>
          <w:iCs/>
          <w:sz w:val="20"/>
          <w:szCs w:val="20"/>
          <w:lang w:val="en-US"/>
        </w:rPr>
        <w:t xml:space="preserve"> </w:t>
      </w:r>
      <w:r w:rsidRPr="00877BDE">
        <w:rPr>
          <w:rFonts w:eastAsia="Arial Unicode MS"/>
          <w:iCs/>
          <w:sz w:val="20"/>
          <w:szCs w:val="20"/>
          <w:lang w:val="en-US"/>
        </w:rPr>
        <w:t>read “Ordered its construction the Lady Sitt al-Malik, daughter of al-Mu‘izz.</w:t>
      </w:r>
      <w:r w:rsidRPr="00877BDE">
        <w:rPr>
          <w:rFonts w:eastAsia="Arial Unicode MS"/>
          <w:sz w:val="20"/>
          <w:szCs w:val="20"/>
          <w:lang w:val="en-US"/>
        </w:rPr>
        <w:t xml:space="preserve">” </w:t>
      </w:r>
    </w:p>
  </w:footnote>
  <w:footnote w:id="11">
    <w:p w14:paraId="5691ECE2"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w:t>
      </w:r>
      <w:r w:rsidRPr="00877BDE">
        <w:rPr>
          <w:rFonts w:eastAsia="Arial Unicode MS"/>
          <w:iCs/>
        </w:rPr>
        <w:t>It is said that the person who built it (‘</w:t>
      </w:r>
      <w:r w:rsidRPr="00877BDE">
        <w:rPr>
          <w:rFonts w:eastAsia="Arial Unicode MS"/>
          <w:i/>
          <w:iCs/>
        </w:rPr>
        <w:t>amarahu</w:t>
      </w:r>
      <w:r w:rsidRPr="00877BDE">
        <w:rPr>
          <w:rFonts w:eastAsia="Arial Unicode MS"/>
          <w:iCs/>
        </w:rPr>
        <w:t xml:space="preserve">) was the mother of al-‘Azīz  by the hands of Rashīd al-Khafīfī,” in: </w:t>
      </w:r>
      <w:r w:rsidRPr="00877BDE">
        <w:rPr>
          <w:rFonts w:eastAsia="Arial Unicode MS"/>
        </w:rPr>
        <w:t xml:space="preserve">Ibn Duqmāq, </w:t>
      </w:r>
      <w:r w:rsidRPr="00877BDE">
        <w:rPr>
          <w:rFonts w:eastAsia="Arial Unicode MS"/>
          <w:i/>
          <w:iCs/>
        </w:rPr>
        <w:t>al-Intiṣār</w:t>
      </w:r>
      <w:r w:rsidRPr="00877BDE">
        <w:rPr>
          <w:rFonts w:eastAsia="Arial Unicode MS"/>
        </w:rPr>
        <w:t>, 1: 123</w:t>
      </w:r>
      <w:r w:rsidRPr="00877BDE">
        <w:rPr>
          <w:rFonts w:eastAsia="Arial Unicode MS"/>
          <w:i/>
          <w:iCs/>
        </w:rPr>
        <w:t xml:space="preserve">. </w:t>
      </w:r>
      <w:r w:rsidRPr="00877BDE">
        <w:rPr>
          <w:rFonts w:eastAsia="Arial Unicode MS"/>
          <w:iCs/>
        </w:rPr>
        <w:t xml:space="preserve">But </w:t>
      </w:r>
      <w:r w:rsidRPr="00877BDE">
        <w:rPr>
          <w:rFonts w:eastAsia="Arial Unicode MS"/>
        </w:rPr>
        <w:t>al-Maqrīzī,</w:t>
      </w:r>
      <w:r w:rsidRPr="00877BDE">
        <w:rPr>
          <w:rFonts w:eastAsia="Arial Unicode MS"/>
          <w:i/>
          <w:iCs/>
        </w:rPr>
        <w:t xml:space="preserve"> Khiṭaṭ</w:t>
      </w:r>
      <w:r w:rsidRPr="00877BDE">
        <w:rPr>
          <w:rFonts w:eastAsia="Arial Unicode MS"/>
          <w:iCs/>
        </w:rPr>
        <w:t xml:space="preserve">, </w:t>
      </w:r>
      <w:r w:rsidRPr="00877BDE">
        <w:rPr>
          <w:rFonts w:eastAsia="Arial Unicode MS"/>
        </w:rPr>
        <w:t>4, 1: 74</w:t>
      </w:r>
      <w:r w:rsidRPr="00877BDE">
        <w:rPr>
          <w:rFonts w:eastAsia="Arial Unicode MS"/>
          <w:i/>
          <w:iCs/>
        </w:rPr>
        <w:t xml:space="preserve"> </w:t>
      </w:r>
      <w:r w:rsidRPr="00877BDE">
        <w:rPr>
          <w:rFonts w:eastAsia="Arial Unicode MS"/>
          <w:iCs/>
        </w:rPr>
        <w:t>reads “Ordered its construction al-‘Azīz</w:t>
      </w:r>
      <w:r w:rsidRPr="00877BDE">
        <w:rPr>
          <w:rFonts w:eastAsia="Arial Unicode MS"/>
          <w:i/>
          <w:iCs/>
        </w:rPr>
        <w:t xml:space="preserve"> </w:t>
      </w:r>
      <w:r w:rsidRPr="00877BDE">
        <w:rPr>
          <w:rFonts w:eastAsia="Arial Unicode MS"/>
          <w:iCs/>
        </w:rPr>
        <w:t>in Mu</w:t>
      </w:r>
      <w:r w:rsidRPr="00877BDE">
        <w:rPr>
          <w:rFonts w:eastAsia="Arial Unicode MS"/>
          <w:sz w:val="22"/>
          <w:szCs w:val="22"/>
        </w:rPr>
        <w:t>ḥ</w:t>
      </w:r>
      <w:r w:rsidRPr="00877BDE">
        <w:rPr>
          <w:rFonts w:eastAsia="Arial Unicode MS"/>
          <w:iCs/>
        </w:rPr>
        <w:t>arram 385/Feb-Mar 995</w:t>
      </w:r>
      <w:r w:rsidRPr="00877BDE">
        <w:rPr>
          <w:rFonts w:eastAsia="Arial Unicode MS"/>
          <w:i/>
          <w:iCs/>
        </w:rPr>
        <w:t xml:space="preserve"> </w:t>
      </w:r>
      <w:r w:rsidRPr="00877BDE">
        <w:rPr>
          <w:rFonts w:eastAsia="Arial Unicode MS"/>
          <w:iCs/>
        </w:rPr>
        <w:t>to replace the burnt one, by the hands of Rashīd al-Ḥanafī.”</w:t>
      </w:r>
      <w:r w:rsidRPr="00877BDE">
        <w:rPr>
          <w:rFonts w:eastAsia="Arial Unicode MS"/>
        </w:rPr>
        <w:t xml:space="preserve"> </w:t>
      </w:r>
    </w:p>
  </w:footnote>
  <w:footnote w:id="12">
    <w:p w14:paraId="37397870"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P. Casanova, </w:t>
      </w:r>
      <w:r w:rsidRPr="00877BDE">
        <w:rPr>
          <w:rFonts w:eastAsia="Arial Unicode MS"/>
          <w:i/>
          <w:iCs/>
        </w:rPr>
        <w:t>Essai de Reconstrution Topographique de la Ville d’al Foustāt ou Miṣr</w:t>
      </w:r>
      <w:r w:rsidRPr="00877BDE">
        <w:rPr>
          <w:rFonts w:eastAsia="Arial Unicode MS"/>
        </w:rPr>
        <w:t xml:space="preserve">, MIFAO (Cairo:IFAO, 1913), 1:8, 96-99. </w:t>
      </w:r>
    </w:p>
  </w:footnote>
  <w:footnote w:id="13">
    <w:p w14:paraId="32CE2E77" w14:textId="77777777" w:rsidR="000405C1" w:rsidRPr="00877BDE" w:rsidRDefault="000405C1" w:rsidP="000405C1">
      <w:pPr>
        <w:pStyle w:val="BodyText3"/>
        <w:spacing w:line="276" w:lineRule="auto"/>
        <w:jc w:val="both"/>
        <w:rPr>
          <w:rFonts w:eastAsia="Arial Unicode MS"/>
        </w:rPr>
      </w:pPr>
      <w:r w:rsidRPr="00877BDE">
        <w:rPr>
          <w:rStyle w:val="FootnoteReference"/>
          <w:rFonts w:eastAsia="Arial Unicode MS"/>
        </w:rPr>
        <w:footnoteRef/>
      </w:r>
      <w:r w:rsidRPr="00877BDE">
        <w:rPr>
          <w:rFonts w:eastAsia="Arial Unicode MS"/>
        </w:rPr>
        <w:t xml:space="preserve"> al-Maqrīzī,</w:t>
      </w:r>
      <w:r w:rsidRPr="00877BDE">
        <w:rPr>
          <w:rFonts w:eastAsia="Arial Unicode MS"/>
          <w:i/>
          <w:iCs/>
        </w:rPr>
        <w:t xml:space="preserve"> Khiṭaṭ</w:t>
      </w:r>
      <w:r w:rsidRPr="00877BDE">
        <w:rPr>
          <w:rFonts w:eastAsia="Arial Unicode MS"/>
          <w:iCs/>
        </w:rPr>
        <w:t>,</w:t>
      </w:r>
      <w:r w:rsidRPr="00877BDE">
        <w:rPr>
          <w:rFonts w:eastAsia="Arial Unicode MS"/>
          <w:i/>
          <w:iCs/>
        </w:rPr>
        <w:t xml:space="preserve"> </w:t>
      </w:r>
      <w:r w:rsidRPr="00877BDE">
        <w:rPr>
          <w:rFonts w:eastAsia="Arial Unicode MS"/>
        </w:rPr>
        <w:t xml:space="preserve">2: 576. </w:t>
      </w:r>
    </w:p>
  </w:footnote>
  <w:footnote w:id="14">
    <w:p w14:paraId="2AD9538A"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Ibn Duqmāq, </w:t>
      </w:r>
      <w:r w:rsidRPr="00877BDE">
        <w:rPr>
          <w:rFonts w:eastAsia="Arial Unicode MS"/>
          <w:i/>
          <w:iCs/>
        </w:rPr>
        <w:t>al-Intiṣār,</w:t>
      </w:r>
      <w:r w:rsidRPr="00877BDE">
        <w:rPr>
          <w:rFonts w:eastAsia="Arial Unicode MS"/>
          <w:iCs/>
        </w:rPr>
        <w:t xml:space="preserve"> </w:t>
      </w:r>
      <w:r w:rsidRPr="00877BDE">
        <w:rPr>
          <w:rFonts w:eastAsia="Arial Unicode MS"/>
        </w:rPr>
        <w:t>1: 93.</w:t>
      </w:r>
    </w:p>
  </w:footnote>
  <w:footnote w:id="15">
    <w:p w14:paraId="6E669378"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al-Maqrīzī, </w:t>
      </w:r>
      <w:r w:rsidRPr="00877BDE">
        <w:rPr>
          <w:rFonts w:eastAsia="Arial Unicode MS"/>
          <w:i/>
        </w:rPr>
        <w:t>Itti‘āẓ</w:t>
      </w:r>
      <w:r w:rsidRPr="00877BDE">
        <w:rPr>
          <w:rFonts w:eastAsia="Arial Unicode MS"/>
          <w:i/>
          <w:iCs/>
        </w:rPr>
        <w:t xml:space="preserve">, </w:t>
      </w:r>
      <w:r w:rsidRPr="00877BDE">
        <w:rPr>
          <w:rFonts w:eastAsia="Arial Unicode MS"/>
        </w:rPr>
        <w:t xml:space="preserve">1: 91; Ṭaqī al-Dīn al-Maqrīzī, </w:t>
      </w:r>
      <w:r w:rsidRPr="00877BDE">
        <w:rPr>
          <w:rFonts w:eastAsia="Arial Unicode MS"/>
          <w:i/>
        </w:rPr>
        <w:t xml:space="preserve">Kitāb al-Muqaffā al-kabīr, </w:t>
      </w:r>
      <w:r w:rsidRPr="00877BDE">
        <w:rPr>
          <w:rFonts w:eastAsia="Arial Unicode MS"/>
        </w:rPr>
        <w:t xml:space="preserve"> ed. M. Ya‘lawī (Beirut: Dār al-Gharb al-Islāmī, 1991), 2: 178;  Jamāl al-Dīn Ibn Ẓāfir,  </w:t>
      </w:r>
      <w:r w:rsidRPr="00877BDE">
        <w:rPr>
          <w:rFonts w:eastAsia="Arial Unicode MS"/>
          <w:i/>
          <w:iCs/>
        </w:rPr>
        <w:t>Akhbār al-Duwal al-Munqaṭi‘a</w:t>
      </w:r>
      <w:r w:rsidRPr="00877BDE">
        <w:rPr>
          <w:rFonts w:eastAsia="Arial Unicode MS"/>
          <w:i/>
        </w:rPr>
        <w:t>,</w:t>
      </w:r>
      <w:r w:rsidRPr="00877BDE">
        <w:rPr>
          <w:rFonts w:eastAsia="Arial Unicode MS"/>
        </w:rPr>
        <w:t xml:space="preserve"> ed. A. Ferré (al-Qāhira: IFAO, 1972), 20. Idrīs ‘Imād al-Dīn, ‘</w:t>
      </w:r>
      <w:r w:rsidRPr="00877BDE">
        <w:rPr>
          <w:rFonts w:eastAsia="Arial Unicode MS"/>
          <w:i/>
        </w:rPr>
        <w:t>Uyūn al-Akhbār wa-Funūn al-Athār</w:t>
      </w:r>
      <w:r w:rsidRPr="00877BDE">
        <w:rPr>
          <w:rFonts w:eastAsia="Arial Unicode MS"/>
        </w:rPr>
        <w:t>, ed. M. Ghālib (Beirut: Dār al-Andalus, 1973-78), 6: 185 states that they all died in Egypt.</w:t>
      </w:r>
    </w:p>
  </w:footnote>
  <w:footnote w:id="16">
    <w:p w14:paraId="70346797" w14:textId="77777777" w:rsidR="000405C1" w:rsidRPr="00877BDE" w:rsidRDefault="000405C1" w:rsidP="000405C1">
      <w:pPr>
        <w:pStyle w:val="Pa1"/>
        <w:spacing w:line="276" w:lineRule="auto"/>
        <w:rPr>
          <w:rFonts w:ascii="Times New Roman" w:eastAsia="Arial Unicode MS" w:hAnsi="Times New Roman" w:cs="Times New Roman"/>
          <w:sz w:val="20"/>
          <w:szCs w:val="20"/>
          <w:lang w:val="en-US"/>
        </w:rPr>
      </w:pPr>
      <w:r w:rsidRPr="00877BDE">
        <w:rPr>
          <w:rStyle w:val="FootnoteReference"/>
          <w:rFonts w:ascii="Times New Roman" w:eastAsia="Arial Unicode MS" w:hAnsi="Times New Roman" w:cs="Times New Roman"/>
          <w:sz w:val="20"/>
          <w:szCs w:val="20"/>
          <w:lang w:val="en-US"/>
        </w:rPr>
        <w:footnoteRef/>
      </w:r>
      <w:r w:rsidRPr="00877BDE">
        <w:rPr>
          <w:rFonts w:ascii="Times New Roman" w:eastAsia="Arial Unicode MS" w:hAnsi="Times New Roman" w:cs="Times New Roman"/>
          <w:sz w:val="20"/>
          <w:szCs w:val="20"/>
          <w:lang w:val="en-US"/>
        </w:rPr>
        <w:t xml:space="preserve"> F. </w:t>
      </w:r>
      <w:r w:rsidRPr="00877BDE">
        <w:rPr>
          <w:rFonts w:ascii="Times New Roman" w:eastAsia="Arial Unicode MS" w:hAnsi="Times New Roman" w:cs="Times New Roman"/>
          <w:iCs/>
          <w:color w:val="000000"/>
          <w:sz w:val="20"/>
          <w:szCs w:val="20"/>
          <w:lang w:val="en-US"/>
        </w:rPr>
        <w:t>Bauden,</w:t>
      </w:r>
      <w:r w:rsidRPr="00877BDE">
        <w:rPr>
          <w:rFonts w:ascii="Times New Roman" w:eastAsia="Arial Unicode MS" w:hAnsi="Times New Roman" w:cs="Times New Roman"/>
          <w:i/>
          <w:iCs/>
          <w:color w:val="000000"/>
          <w:sz w:val="20"/>
          <w:szCs w:val="20"/>
          <w:lang w:val="en-US"/>
        </w:rPr>
        <w:t xml:space="preserve"> “</w:t>
      </w:r>
      <w:r w:rsidRPr="00877BDE">
        <w:rPr>
          <w:rFonts w:ascii="Times New Roman" w:eastAsia="Arial Unicode MS" w:hAnsi="Times New Roman" w:cs="Times New Roman"/>
          <w:bCs/>
          <w:color w:val="000000"/>
          <w:sz w:val="20"/>
          <w:szCs w:val="20"/>
          <w:lang w:val="en-US"/>
        </w:rPr>
        <w:t>Maqriziana IX:</w:t>
      </w:r>
      <w:r w:rsidRPr="00877BDE">
        <w:rPr>
          <w:rStyle w:val="A8"/>
          <w:rFonts w:ascii="Times New Roman" w:eastAsia="Arial Unicode MS" w:hAnsi="Times New Roman" w:cs="Times New Roman"/>
          <w:lang w:val="en-US"/>
        </w:rPr>
        <w:t xml:space="preserve"> </w:t>
      </w:r>
      <w:r w:rsidRPr="00877BDE">
        <w:rPr>
          <w:rFonts w:ascii="Times New Roman" w:eastAsia="Arial Unicode MS" w:hAnsi="Times New Roman" w:cs="Times New Roman"/>
          <w:bCs/>
          <w:color w:val="000000"/>
          <w:sz w:val="20"/>
          <w:szCs w:val="20"/>
          <w:lang w:val="en-US"/>
        </w:rPr>
        <w:t xml:space="preserve">Should al-Maqrīzī  Be Thrown Out with the Bath Water? The Question of His Plagiarism of al-Awḥadī’s Khiṭaṭ and the Documentary Evidence,” </w:t>
      </w:r>
      <w:r w:rsidRPr="00877BDE">
        <w:rPr>
          <w:rFonts w:ascii="Times New Roman" w:eastAsia="Arial Unicode MS" w:hAnsi="Times New Roman" w:cs="Times New Roman"/>
          <w:bCs/>
          <w:i/>
          <w:color w:val="000000"/>
          <w:sz w:val="20"/>
          <w:szCs w:val="20"/>
          <w:lang w:val="en-US"/>
        </w:rPr>
        <w:t>Mamlūk Studies Review</w:t>
      </w:r>
      <w:r w:rsidRPr="00877BDE">
        <w:rPr>
          <w:rFonts w:ascii="Times New Roman" w:eastAsia="Arial Unicode MS" w:hAnsi="Times New Roman" w:cs="Times New Roman"/>
          <w:bCs/>
          <w:color w:val="000000"/>
          <w:sz w:val="20"/>
          <w:szCs w:val="20"/>
          <w:lang w:val="en-US"/>
        </w:rPr>
        <w:t xml:space="preserve"> 14</w:t>
      </w:r>
      <w:r w:rsidRPr="00877BDE" w:rsidDel="0081132F">
        <w:rPr>
          <w:rFonts w:ascii="Times New Roman" w:eastAsia="Arial Unicode MS" w:hAnsi="Times New Roman" w:cs="Times New Roman"/>
          <w:bCs/>
          <w:color w:val="000000"/>
          <w:sz w:val="20"/>
          <w:szCs w:val="20"/>
          <w:lang w:val="en-US"/>
        </w:rPr>
        <w:t xml:space="preserve"> (2010)</w:t>
      </w:r>
      <w:r w:rsidRPr="00877BDE">
        <w:rPr>
          <w:rFonts w:ascii="Times New Roman" w:eastAsia="Arial Unicode MS" w:hAnsi="Times New Roman" w:cs="Times New Roman"/>
          <w:bCs/>
          <w:color w:val="000000"/>
          <w:sz w:val="20"/>
          <w:szCs w:val="20"/>
          <w:lang w:val="en-US"/>
        </w:rPr>
        <w:t xml:space="preserve"> 159-232. </w:t>
      </w:r>
    </w:p>
  </w:footnote>
  <w:footnote w:id="17">
    <w:p w14:paraId="2576F595"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w:t>
      </w:r>
      <w:r w:rsidRPr="00877BDE">
        <w:rPr>
          <w:rFonts w:eastAsia="Arial Unicode MS"/>
          <w:iCs/>
          <w:color w:val="000000"/>
        </w:rPr>
        <w:t xml:space="preserve">Bauden, </w:t>
      </w:r>
      <w:r w:rsidRPr="00877BDE" w:rsidDel="00DB120E">
        <w:rPr>
          <w:rFonts w:eastAsia="Arial Unicode MS"/>
          <w:iCs/>
          <w:color w:val="000000"/>
        </w:rPr>
        <w:t>“</w:t>
      </w:r>
      <w:r w:rsidRPr="00877BDE">
        <w:rPr>
          <w:rFonts w:eastAsia="Arial Unicode MS"/>
          <w:bCs/>
          <w:color w:val="000000"/>
        </w:rPr>
        <w:t>Maqriziana IX,” 160-5 and ff.</w:t>
      </w:r>
      <w:r w:rsidRPr="00877BDE">
        <w:rPr>
          <w:rFonts w:eastAsia="Arial Unicode MS"/>
        </w:rPr>
        <w:t xml:space="preserve"> </w:t>
      </w:r>
    </w:p>
  </w:footnote>
  <w:footnote w:id="18">
    <w:p w14:paraId="5FB813FE"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w:t>
      </w:r>
      <w:r w:rsidRPr="00877BDE">
        <w:rPr>
          <w:rFonts w:eastAsia="Arial Unicode MS"/>
          <w:iCs/>
          <w:color w:val="000000"/>
        </w:rPr>
        <w:t xml:space="preserve">Bauden, </w:t>
      </w:r>
      <w:r w:rsidRPr="00877BDE" w:rsidDel="00DB120E">
        <w:rPr>
          <w:rFonts w:eastAsia="Arial Unicode MS"/>
          <w:i/>
          <w:iCs/>
          <w:color w:val="000000"/>
        </w:rPr>
        <w:t>“</w:t>
      </w:r>
      <w:r w:rsidRPr="00877BDE">
        <w:rPr>
          <w:rFonts w:eastAsia="Arial Unicode MS"/>
          <w:bCs/>
          <w:color w:val="000000"/>
        </w:rPr>
        <w:t xml:space="preserve">Maqriziana IX,” 197. As suggested by Bauden, if the similarities in expression between the two were to become known, </w:t>
      </w:r>
      <w:r w:rsidRPr="00877BDE">
        <w:rPr>
          <w:rFonts w:eastAsia="Arial Unicode MS"/>
        </w:rPr>
        <w:t xml:space="preserve">al-Maqrīzī </w:t>
      </w:r>
      <w:r w:rsidRPr="00877BDE">
        <w:rPr>
          <w:rFonts w:eastAsia="Arial Unicode MS"/>
          <w:bCs/>
          <w:color w:val="000000"/>
        </w:rPr>
        <w:t xml:space="preserve">would have been at a disadvantage as he was younger and Duqmāq’s </w:t>
      </w:r>
      <w:r w:rsidRPr="00877BDE">
        <w:rPr>
          <w:rFonts w:eastAsia="Arial Unicode MS"/>
          <w:bCs/>
          <w:i/>
          <w:color w:val="000000"/>
        </w:rPr>
        <w:t>Intiṣār</w:t>
      </w:r>
      <w:r w:rsidRPr="00877BDE">
        <w:rPr>
          <w:rFonts w:eastAsia="Arial Unicode MS"/>
          <w:bCs/>
          <w:color w:val="000000"/>
        </w:rPr>
        <w:t xml:space="preserve"> was written well before his </w:t>
      </w:r>
      <w:r w:rsidRPr="00877BDE">
        <w:rPr>
          <w:rFonts w:eastAsia="Arial Unicode MS"/>
          <w:bCs/>
          <w:i/>
          <w:color w:val="000000"/>
        </w:rPr>
        <w:t>Khiṭaṭ</w:t>
      </w:r>
      <w:r w:rsidRPr="00877BDE">
        <w:rPr>
          <w:rFonts w:eastAsia="Arial Unicode MS"/>
          <w:bCs/>
          <w:color w:val="000000"/>
        </w:rPr>
        <w:t xml:space="preserve">. For approximate dates of composition of the two works see S. Denoix, </w:t>
      </w:r>
      <w:r w:rsidRPr="00877BDE">
        <w:rPr>
          <w:rFonts w:eastAsia="Arial Unicode MS"/>
          <w:bCs/>
          <w:i/>
          <w:color w:val="000000"/>
        </w:rPr>
        <w:t>Décrire le Caire: Fusṭāṭ –Miṣr d’aprés Ibn Duqmāq et Maqrīzī</w:t>
      </w:r>
      <w:r w:rsidRPr="00877BDE">
        <w:rPr>
          <w:rFonts w:eastAsia="Arial Unicode MS"/>
          <w:bCs/>
          <w:color w:val="000000"/>
        </w:rPr>
        <w:t xml:space="preserve"> (Cairo: IFAO, 1992), 11-12.  </w:t>
      </w:r>
    </w:p>
  </w:footnote>
  <w:footnote w:id="19">
    <w:p w14:paraId="33E3E053" w14:textId="77777777" w:rsidR="000405C1" w:rsidRPr="00877BDE" w:rsidRDefault="000405C1" w:rsidP="000405C1">
      <w:pPr>
        <w:spacing w:line="276" w:lineRule="auto"/>
        <w:rPr>
          <w:rFonts w:eastAsia="Arial Unicode MS"/>
          <w:sz w:val="20"/>
          <w:szCs w:val="20"/>
          <w:lang w:val="en-US"/>
        </w:rPr>
      </w:pPr>
      <w:r w:rsidRPr="00877BDE">
        <w:rPr>
          <w:rStyle w:val="FootnoteReference"/>
          <w:rFonts w:eastAsia="Arial Unicode MS"/>
          <w:sz w:val="20"/>
          <w:szCs w:val="20"/>
          <w:lang w:val="en-US"/>
        </w:rPr>
        <w:footnoteRef/>
      </w:r>
      <w:r w:rsidRPr="00877BDE">
        <w:rPr>
          <w:rFonts w:eastAsia="Arial Unicode MS"/>
          <w:sz w:val="20"/>
          <w:szCs w:val="20"/>
          <w:lang w:val="en-US"/>
        </w:rPr>
        <w:t xml:space="preserve"> Ayman Fu’ād Sayyid, “L’Évolution de la Composition du Genre de Khiṭaṭ en Égypte Musulmane,” in </w:t>
      </w:r>
      <w:r w:rsidRPr="00877BDE">
        <w:rPr>
          <w:rFonts w:eastAsia="Arial Unicode MS"/>
          <w:i/>
          <w:sz w:val="20"/>
          <w:szCs w:val="20"/>
          <w:lang w:val="en-US"/>
        </w:rPr>
        <w:t>The Historiography of Islamic Egypt (c 950-1800)</w:t>
      </w:r>
      <w:r w:rsidRPr="00877BDE">
        <w:rPr>
          <w:rFonts w:eastAsia="Arial Unicode MS"/>
          <w:iCs/>
          <w:sz w:val="20"/>
          <w:szCs w:val="20"/>
          <w:lang w:val="en-US"/>
        </w:rPr>
        <w:t xml:space="preserve">, ed. </w:t>
      </w:r>
      <w:r w:rsidRPr="00877BDE">
        <w:rPr>
          <w:rFonts w:eastAsia="Arial Unicode MS"/>
          <w:sz w:val="20"/>
          <w:szCs w:val="20"/>
          <w:lang w:val="en-US"/>
        </w:rPr>
        <w:t>H. Kennedy</w:t>
      </w:r>
      <w:r w:rsidRPr="00877BDE">
        <w:rPr>
          <w:rFonts w:eastAsia="Arial Unicode MS"/>
          <w:i/>
          <w:sz w:val="20"/>
          <w:szCs w:val="20"/>
          <w:lang w:val="en-US"/>
        </w:rPr>
        <w:t xml:space="preserve"> </w:t>
      </w:r>
      <w:r w:rsidRPr="00877BDE">
        <w:rPr>
          <w:rFonts w:eastAsia="Arial Unicode MS"/>
          <w:sz w:val="20"/>
          <w:szCs w:val="20"/>
          <w:lang w:val="en-US"/>
        </w:rPr>
        <w:t>(Leiden: E.J. Brill,</w:t>
      </w:r>
      <w:r w:rsidRPr="00877BDE" w:rsidDel="002E6987">
        <w:rPr>
          <w:rFonts w:eastAsia="Arial Unicode MS"/>
          <w:sz w:val="20"/>
          <w:szCs w:val="20"/>
          <w:lang w:val="en-US"/>
        </w:rPr>
        <w:t xml:space="preserve"> </w:t>
      </w:r>
      <w:r w:rsidRPr="00877BDE">
        <w:rPr>
          <w:rFonts w:eastAsia="Arial Unicode MS"/>
          <w:sz w:val="20"/>
          <w:szCs w:val="20"/>
          <w:lang w:val="en-US"/>
        </w:rPr>
        <w:t xml:space="preserve">2001), 88. </w:t>
      </w:r>
    </w:p>
  </w:footnote>
  <w:footnote w:id="20">
    <w:p w14:paraId="48219CF4"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Denoix, </w:t>
      </w:r>
      <w:r w:rsidRPr="00877BDE">
        <w:rPr>
          <w:rFonts w:eastAsia="Arial Unicode MS"/>
          <w:bCs/>
          <w:i/>
          <w:color w:val="000000"/>
        </w:rPr>
        <w:t>Décrire le Caire</w:t>
      </w:r>
      <w:r w:rsidRPr="00877BDE">
        <w:rPr>
          <w:rFonts w:eastAsia="Arial Unicode MS"/>
          <w:bCs/>
          <w:color w:val="000000"/>
        </w:rPr>
        <w:t>, 13-21.</w:t>
      </w:r>
      <w:r w:rsidRPr="00877BDE">
        <w:rPr>
          <w:rFonts w:eastAsia="Arial Unicode MS"/>
        </w:rPr>
        <w:t xml:space="preserve"> </w:t>
      </w:r>
    </w:p>
  </w:footnote>
  <w:footnote w:id="21">
    <w:p w14:paraId="4C8F1D73"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w:t>
      </w:r>
      <w:r w:rsidRPr="00877BDE">
        <w:rPr>
          <w:rFonts w:eastAsia="Arial Unicode MS"/>
          <w:bCs/>
        </w:rPr>
        <w:t>G. M Wiet,</w:t>
      </w:r>
      <w:r w:rsidRPr="00877BDE">
        <w:rPr>
          <w:rFonts w:eastAsia="Arial Unicode MS"/>
          <w:bCs/>
          <w:i/>
          <w:iCs/>
        </w:rPr>
        <w:t xml:space="preserve"> Catalogue Général du Musée de l’Art Islamique du Caire, Inscriptions Historiques sur Pierre</w:t>
      </w:r>
      <w:r w:rsidRPr="00877BDE">
        <w:rPr>
          <w:rFonts w:eastAsia="Arial Unicode MS"/>
          <w:bCs/>
        </w:rPr>
        <w:t xml:space="preserve"> (Cairo: IFAO, 1971), 33-34 and Y. </w:t>
      </w:r>
      <w:r w:rsidRPr="00877BDE">
        <w:rPr>
          <w:rFonts w:eastAsia="Arial Unicode MS"/>
        </w:rPr>
        <w:t xml:space="preserve">Rāghib, “Sur Deux Monuments,” 68-9 and plate 1 facing p. 84. </w:t>
      </w:r>
    </w:p>
  </w:footnote>
  <w:footnote w:id="22">
    <w:p w14:paraId="29699254"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R.-P. Gayraud, “Istabl Antar (Fostat) 1986. Rapport de Fouilles,” </w:t>
      </w:r>
      <w:r w:rsidRPr="00877BDE">
        <w:rPr>
          <w:rFonts w:eastAsia="Arial Unicode MS"/>
          <w:i/>
          <w:iCs/>
        </w:rPr>
        <w:t>Annales Islamologique</w:t>
      </w:r>
      <w:r w:rsidRPr="00877BDE">
        <w:rPr>
          <w:rFonts w:eastAsia="Arial Unicode MS"/>
        </w:rPr>
        <w:t xml:space="preserve"> 23(1987): 55-71; idem, “ La Nécropole des Fatimides à Fostat,” </w:t>
      </w:r>
      <w:r w:rsidRPr="00877BDE">
        <w:rPr>
          <w:rFonts w:eastAsia="Arial Unicode MS"/>
          <w:i/>
        </w:rPr>
        <w:t>Dossier d’Archéologie</w:t>
      </w:r>
      <w:r w:rsidRPr="00877BDE">
        <w:rPr>
          <w:rFonts w:eastAsia="Arial Unicode MS"/>
        </w:rPr>
        <w:t xml:space="preserve">; </w:t>
      </w:r>
      <w:r w:rsidRPr="00877BDE">
        <w:rPr>
          <w:rFonts w:eastAsia="Arial Unicode MS"/>
          <w:i/>
        </w:rPr>
        <w:t>Special Issue Égypte: L’Âge d’Or des Fatimides</w:t>
      </w:r>
      <w:r w:rsidRPr="00877BDE">
        <w:rPr>
          <w:rFonts w:eastAsia="Arial Unicode MS"/>
        </w:rPr>
        <w:t xml:space="preserve">, 233(1998): 34-4  idem,“Le Fouilles Fatimides de Fostat”, in </w:t>
      </w:r>
      <w:r w:rsidRPr="00877BDE">
        <w:rPr>
          <w:rFonts w:eastAsia="Arial Unicode MS"/>
          <w:i/>
          <w:iCs/>
        </w:rPr>
        <w:t>Trésors Fāṭimides du Caire</w:t>
      </w:r>
      <w:r w:rsidRPr="00877BDE">
        <w:rPr>
          <w:rFonts w:eastAsia="Arial Unicode MS"/>
        </w:rPr>
        <w:t xml:space="preserve">  (Paris: Institut du Monde Arabe, 1998), 168-9; idem,“Le Qarāfa al-Kubrā, Derniére Demeure des Fāṭimides”, </w:t>
      </w:r>
      <w:r w:rsidRPr="00877BDE">
        <w:rPr>
          <w:rFonts w:eastAsia="Arial Unicode MS"/>
          <w:i/>
          <w:iCs/>
        </w:rPr>
        <w:t>L’ Egypte Fāṭimide: Son Art et Son Histoire</w:t>
      </w:r>
      <w:r w:rsidRPr="00877BDE">
        <w:rPr>
          <w:rFonts w:eastAsia="Arial Unicode MS"/>
        </w:rPr>
        <w:t>, ed. M. Barrucand (Paris: Presses de l’Université de Paris – Sorbonne, 1999), 443-64.</w:t>
      </w:r>
    </w:p>
  </w:footnote>
  <w:footnote w:id="23">
    <w:p w14:paraId="521F7A47" w14:textId="77777777" w:rsidR="000405C1" w:rsidRPr="00877BDE" w:rsidRDefault="000405C1" w:rsidP="000405C1">
      <w:pPr>
        <w:pStyle w:val="BodyText"/>
        <w:spacing w:line="276" w:lineRule="auto"/>
        <w:rPr>
          <w:rFonts w:eastAsia="Arial Unicode MS"/>
          <w:sz w:val="20"/>
          <w:szCs w:val="20"/>
          <w:lang w:val="en-US"/>
        </w:rPr>
      </w:pPr>
      <w:r w:rsidRPr="00877BDE">
        <w:rPr>
          <w:rStyle w:val="FootnoteReference"/>
          <w:rFonts w:eastAsia="Arial Unicode MS"/>
          <w:sz w:val="20"/>
          <w:szCs w:val="20"/>
          <w:lang w:val="en-US"/>
        </w:rPr>
        <w:footnoteRef/>
      </w:r>
      <w:r w:rsidRPr="00877BDE">
        <w:rPr>
          <w:rFonts w:eastAsia="Arial Unicode MS"/>
          <w:sz w:val="20"/>
          <w:szCs w:val="20"/>
          <w:lang w:val="en-US"/>
        </w:rPr>
        <w:t xml:space="preserve"> Gayraud,“Le Qarāfa al-Kubrā,” 462. </w:t>
      </w:r>
    </w:p>
  </w:footnote>
  <w:footnote w:id="24">
    <w:p w14:paraId="1CA2E6DD"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F. Daftary, </w:t>
      </w:r>
      <w:r w:rsidRPr="00877BDE">
        <w:rPr>
          <w:rFonts w:eastAsia="Arial Unicode MS"/>
          <w:i/>
        </w:rPr>
        <w:t>The Ismā‘īlīs: Their History and Doctrines,</w:t>
      </w:r>
      <w:r w:rsidRPr="00877BDE">
        <w:rPr>
          <w:rFonts w:eastAsia="Arial Unicode MS"/>
        </w:rPr>
        <w:t xml:space="preserve"> (Cambridge:  Cambridge University Press, 2</w:t>
      </w:r>
      <w:r w:rsidRPr="00877BDE">
        <w:rPr>
          <w:rFonts w:eastAsia="Arial Unicode MS"/>
          <w:vertAlign w:val="superscript"/>
        </w:rPr>
        <w:t>nd</w:t>
      </w:r>
      <w:r w:rsidRPr="00877BDE">
        <w:rPr>
          <w:rFonts w:eastAsia="Arial Unicode MS"/>
        </w:rPr>
        <w:t xml:space="preserve"> ed. 2007), 194-5.</w:t>
      </w:r>
    </w:p>
  </w:footnote>
  <w:footnote w:id="25">
    <w:p w14:paraId="307F636F" w14:textId="77777777" w:rsidR="000405C1" w:rsidRPr="00877BDE" w:rsidRDefault="000405C1" w:rsidP="000405C1">
      <w:pPr>
        <w:pStyle w:val="BodyText3"/>
        <w:spacing w:line="276" w:lineRule="auto"/>
        <w:jc w:val="both"/>
        <w:rPr>
          <w:rFonts w:eastAsia="Arial Unicode MS"/>
        </w:rPr>
      </w:pPr>
      <w:r w:rsidRPr="00877BDE">
        <w:rPr>
          <w:rStyle w:val="FootnoteReference"/>
          <w:rFonts w:eastAsia="Arial Unicode MS"/>
        </w:rPr>
        <w:footnoteRef/>
      </w:r>
      <w:r w:rsidRPr="00877BDE">
        <w:rPr>
          <w:rFonts w:eastAsia="Arial Unicode MS"/>
        </w:rPr>
        <w:t xml:space="preserve"> Rāghib, “Sur Deux Monuments,” plate I facing p. 84. </w:t>
      </w:r>
    </w:p>
  </w:footnote>
  <w:footnote w:id="26">
    <w:p w14:paraId="2216672D"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Rāghib, “Sur Deux Monuments,” 68-9. </w:t>
      </w:r>
    </w:p>
  </w:footnote>
  <w:footnote w:id="27">
    <w:p w14:paraId="5080F89F"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Wiet,</w:t>
      </w:r>
      <w:r w:rsidRPr="00877BDE">
        <w:rPr>
          <w:rFonts w:eastAsia="Arial Unicode MS"/>
          <w:bCs/>
          <w:i/>
          <w:iCs/>
        </w:rPr>
        <w:t xml:space="preserve"> Catalogue</w:t>
      </w:r>
      <w:r w:rsidRPr="00877BDE">
        <w:rPr>
          <w:rFonts w:eastAsia="Arial Unicode MS"/>
          <w:i/>
        </w:rPr>
        <w:t>,</w:t>
      </w:r>
      <w:r w:rsidRPr="00877BDE">
        <w:rPr>
          <w:rFonts w:eastAsia="Arial Unicode MS"/>
        </w:rPr>
        <w:t xml:space="preserve"> 34; Ayman Fu’ ād Sayyid seems to endorse Wiet’s view when he states in his monumental edition of the </w:t>
      </w:r>
      <w:r w:rsidRPr="00877BDE">
        <w:rPr>
          <w:rFonts w:eastAsia="Arial Unicode MS"/>
          <w:i/>
        </w:rPr>
        <w:t>Khiṭaṭ</w:t>
      </w:r>
      <w:r w:rsidRPr="00877BDE">
        <w:rPr>
          <w:rFonts w:eastAsia="Arial Unicode MS"/>
        </w:rPr>
        <w:t xml:space="preserve">, that the slab in the Islamic Museum in Cairo, found in the area of Isṭabl ‘Antar around 1930, is believed to have originated from the Qarāfa mosque, see al-Maqrīzī, </w:t>
      </w:r>
      <w:r w:rsidRPr="00877BDE">
        <w:rPr>
          <w:rFonts w:eastAsia="Arial Unicode MS"/>
          <w:i/>
        </w:rPr>
        <w:t>Khiṭaṭ</w:t>
      </w:r>
      <w:r w:rsidRPr="00877BDE">
        <w:rPr>
          <w:rFonts w:eastAsia="Arial Unicode MS"/>
        </w:rPr>
        <w:t>, 4, 1: 288, n. 1.</w:t>
      </w:r>
    </w:p>
  </w:footnote>
  <w:footnote w:id="28">
    <w:p w14:paraId="7ECECC57"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Rāghib, “Sur Deux Monuments,” 71. </w:t>
      </w:r>
    </w:p>
  </w:footnote>
  <w:footnote w:id="29">
    <w:p w14:paraId="5E822AFA"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w:t>
      </w:r>
      <w:r w:rsidRPr="00877BDE" w:rsidDel="00250C16">
        <w:rPr>
          <w:rFonts w:eastAsia="Arial Unicode MS"/>
        </w:rPr>
        <w:t>Ibid.,</w:t>
      </w:r>
      <w:r w:rsidRPr="00877BDE">
        <w:rPr>
          <w:rFonts w:eastAsia="Arial Unicode MS"/>
        </w:rPr>
        <w:t xml:space="preserve"> 71-2. </w:t>
      </w:r>
    </w:p>
  </w:footnote>
  <w:footnote w:id="30">
    <w:p w14:paraId="42B79EF3" w14:textId="77777777" w:rsidR="000405C1" w:rsidRPr="00877BDE" w:rsidRDefault="000405C1" w:rsidP="000405C1">
      <w:pPr>
        <w:spacing w:line="276" w:lineRule="auto"/>
        <w:rPr>
          <w:rFonts w:eastAsia="Arial Unicode MS"/>
          <w:sz w:val="20"/>
          <w:szCs w:val="20"/>
          <w:lang w:val="en-US"/>
        </w:rPr>
      </w:pPr>
      <w:r w:rsidRPr="00877BDE">
        <w:rPr>
          <w:rStyle w:val="FootnoteReference"/>
          <w:rFonts w:eastAsia="Arial Unicode MS"/>
          <w:sz w:val="20"/>
          <w:szCs w:val="20"/>
          <w:lang w:val="en-US"/>
        </w:rPr>
        <w:footnoteRef/>
      </w:r>
      <w:r w:rsidRPr="00877BDE">
        <w:rPr>
          <w:rFonts w:eastAsia="Arial Unicode MS"/>
          <w:sz w:val="20"/>
          <w:szCs w:val="20"/>
          <w:lang w:val="en-US"/>
        </w:rPr>
        <w:t xml:space="preserve"> See in this regard P. Walker, </w:t>
      </w:r>
      <w:r w:rsidRPr="00877BDE">
        <w:rPr>
          <w:rFonts w:eastAsia="Arial Unicode MS"/>
          <w:i/>
          <w:sz w:val="20"/>
          <w:szCs w:val="20"/>
          <w:lang w:val="en-US"/>
        </w:rPr>
        <w:t>Exploring an Islamic Empire: Fāṭimid History and its Sources</w:t>
      </w:r>
      <w:r w:rsidRPr="00877BDE">
        <w:rPr>
          <w:rFonts w:eastAsia="Arial Unicode MS"/>
          <w:sz w:val="20"/>
          <w:szCs w:val="20"/>
          <w:lang w:val="en-US"/>
        </w:rPr>
        <w:t xml:space="preserve">,(London: I. B. Tauris, 2002), 94, 100-4 where he briefly discusses inscriptions on buildings as historical sources and the issues they raise in terms of their meaning and relevance, and specifically of al-Maqrīzī reporting certain inscriptions while omitting others. </w:t>
      </w:r>
    </w:p>
  </w:footnote>
  <w:footnote w:id="31">
    <w:p w14:paraId="195999DC"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Yūsuf Rāghib himself expresses surprise about the fact that, unlike other Fāṭimid foundation stones, this is not made of marble. Rāghib, “Sur Deux Monuments,” 67, n. 2.  </w:t>
      </w:r>
    </w:p>
  </w:footnote>
  <w:footnote w:id="32">
    <w:p w14:paraId="1D704EA3"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al-Maqrīzī, </w:t>
      </w:r>
      <w:r w:rsidRPr="00877BDE">
        <w:rPr>
          <w:rFonts w:eastAsia="Arial Unicode MS"/>
          <w:i/>
        </w:rPr>
        <w:t>Itti‘āẓ</w:t>
      </w:r>
      <w:r w:rsidRPr="00877BDE">
        <w:rPr>
          <w:rFonts w:eastAsia="Arial Unicode MS"/>
        </w:rPr>
        <w:t>, 1: 289.</w:t>
      </w:r>
    </w:p>
  </w:footnote>
  <w:footnote w:id="33">
    <w:p w14:paraId="78858227"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Muḥammad al-Musabbiḥī, </w:t>
      </w:r>
      <w:r w:rsidRPr="00877BDE">
        <w:rPr>
          <w:rFonts w:eastAsia="Arial Unicode MS"/>
          <w:i/>
        </w:rPr>
        <w:t>Nuṣūṣ Ḍā’i‘a Akhbār Miṣr</w:t>
      </w:r>
      <w:r w:rsidRPr="00877BDE">
        <w:rPr>
          <w:rFonts w:eastAsia="Arial Unicode MS"/>
        </w:rPr>
        <w:t xml:space="preserve">, ed. Ayman Fu’ād Sayyid (Cairo: IFAO, 1981), 15. See also a quote in note 571 from al-Maqrīzī </w:t>
      </w:r>
      <w:r w:rsidRPr="00877BDE">
        <w:rPr>
          <w:rFonts w:eastAsia="Arial Unicode MS"/>
          <w:i/>
        </w:rPr>
        <w:t>apud</w:t>
      </w:r>
      <w:r w:rsidRPr="00877BDE">
        <w:rPr>
          <w:rFonts w:eastAsia="Arial Unicode MS"/>
        </w:rPr>
        <w:t xml:space="preserve"> Tāj al-Dīn b. Muyassar</w:t>
      </w:r>
      <w:r w:rsidRPr="00877BDE">
        <w:rPr>
          <w:rFonts w:eastAsia="Arial Unicode MS"/>
          <w:i/>
        </w:rPr>
        <w:t>, al-Muntaqā min Akhbār Miṣr</w:t>
      </w:r>
      <w:r w:rsidRPr="00877BDE">
        <w:rPr>
          <w:rFonts w:eastAsia="Arial Unicode MS"/>
        </w:rPr>
        <w:t xml:space="preserve">, ed. Ayman Fu’ād Sayyid (Cairo: IFAO, 1981), 172-3. </w:t>
      </w:r>
    </w:p>
  </w:footnote>
  <w:footnote w:id="34">
    <w:p w14:paraId="34DF0230"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al-Musabbiḥī, </w:t>
      </w:r>
      <w:r w:rsidRPr="00877BDE">
        <w:rPr>
          <w:rFonts w:eastAsia="Arial Unicode MS"/>
          <w:i/>
        </w:rPr>
        <w:t xml:space="preserve">Nuṣūṣ, </w:t>
      </w:r>
      <w:r w:rsidRPr="00877BDE">
        <w:rPr>
          <w:rFonts w:eastAsia="Arial Unicode MS"/>
        </w:rPr>
        <w:t>111.</w:t>
      </w:r>
    </w:p>
  </w:footnote>
  <w:footnote w:id="35">
    <w:p w14:paraId="6A63B431" w14:textId="77777777" w:rsidR="000405C1" w:rsidRPr="00877BDE" w:rsidRDefault="000405C1" w:rsidP="000405C1">
      <w:pPr>
        <w:spacing w:line="276" w:lineRule="auto"/>
        <w:rPr>
          <w:rFonts w:eastAsia="Arial Unicode MS"/>
          <w:sz w:val="20"/>
          <w:szCs w:val="20"/>
          <w:lang w:val="en-US"/>
        </w:rPr>
      </w:pPr>
      <w:r w:rsidRPr="00877BDE">
        <w:rPr>
          <w:rStyle w:val="FootnoteReference"/>
          <w:rFonts w:eastAsia="Arial Unicode MS"/>
          <w:sz w:val="20"/>
          <w:szCs w:val="20"/>
          <w:lang w:val="en-US"/>
        </w:rPr>
        <w:footnoteRef/>
      </w:r>
      <w:r w:rsidRPr="00877BDE">
        <w:rPr>
          <w:rFonts w:eastAsia="Arial Unicode MS"/>
          <w:sz w:val="20"/>
          <w:szCs w:val="20"/>
          <w:lang w:val="en-US"/>
        </w:rPr>
        <w:t xml:space="preserve"> S.Jarrar, “ Al-Maqrīzī’s Reinvention of Egyptian Historiography through Architectural History,” in: </w:t>
      </w:r>
      <w:r w:rsidRPr="00877BDE">
        <w:rPr>
          <w:rFonts w:eastAsia="Arial Unicode MS"/>
          <w:i/>
          <w:sz w:val="20"/>
          <w:szCs w:val="20"/>
          <w:lang w:val="en-US"/>
        </w:rPr>
        <w:t xml:space="preserve">The Cairo Heritage: Essays in Honour of Laila Ali Ibrahim, </w:t>
      </w:r>
      <w:r w:rsidRPr="00877BDE">
        <w:rPr>
          <w:rFonts w:eastAsia="Arial Unicode MS"/>
          <w:sz w:val="20"/>
          <w:szCs w:val="20"/>
          <w:lang w:val="en-US"/>
        </w:rPr>
        <w:t>ed. D. Behrens-Abouseif</w:t>
      </w:r>
      <w:r w:rsidRPr="00877BDE" w:rsidDel="00250C16">
        <w:rPr>
          <w:rFonts w:eastAsia="Arial Unicode MS"/>
          <w:sz w:val="20"/>
          <w:szCs w:val="20"/>
          <w:lang w:val="en-US"/>
        </w:rPr>
        <w:t xml:space="preserve"> </w:t>
      </w:r>
      <w:r w:rsidRPr="00877BDE">
        <w:rPr>
          <w:rFonts w:eastAsia="Arial Unicode MS"/>
          <w:sz w:val="20"/>
          <w:szCs w:val="20"/>
          <w:lang w:val="en-US"/>
        </w:rPr>
        <w:t xml:space="preserve">(Cairo, New York: AUC, 2000), </w:t>
      </w:r>
      <w:r w:rsidRPr="00877BDE">
        <w:rPr>
          <w:rFonts w:eastAsia="Arial Unicode MS"/>
          <w:bCs/>
          <w:sz w:val="20"/>
          <w:szCs w:val="20"/>
          <w:lang w:val="en-US"/>
        </w:rPr>
        <w:t>47</w:t>
      </w:r>
      <w:r w:rsidRPr="00877BDE">
        <w:rPr>
          <w:rFonts w:eastAsia="Arial Unicode MS"/>
          <w:b/>
          <w:bCs/>
          <w:sz w:val="20"/>
          <w:szCs w:val="20"/>
          <w:lang w:val="en-US"/>
        </w:rPr>
        <w:t xml:space="preserve">. </w:t>
      </w:r>
    </w:p>
  </w:footnote>
  <w:footnote w:id="36">
    <w:p w14:paraId="0E04A3F4" w14:textId="77777777" w:rsidR="000405C1" w:rsidRPr="00877BDE" w:rsidRDefault="000405C1" w:rsidP="000405C1">
      <w:pPr>
        <w:pStyle w:val="BodyText3"/>
        <w:spacing w:line="276" w:lineRule="auto"/>
        <w:jc w:val="both"/>
        <w:rPr>
          <w:rFonts w:eastAsia="Arial Unicode MS"/>
        </w:rPr>
      </w:pPr>
      <w:r w:rsidRPr="00877BDE">
        <w:rPr>
          <w:rStyle w:val="FootnoteReference"/>
          <w:rFonts w:eastAsia="Arial Unicode MS"/>
        </w:rPr>
        <w:footnoteRef/>
      </w:r>
      <w:r w:rsidRPr="00877BDE">
        <w:rPr>
          <w:rFonts w:eastAsia="Arial Unicode MS"/>
        </w:rPr>
        <w:t xml:space="preserve"> </w:t>
      </w:r>
      <w:r w:rsidRPr="00877BDE">
        <w:rPr>
          <w:rFonts w:eastAsia="Arial Unicode MS"/>
          <w:bCs/>
        </w:rPr>
        <w:t xml:space="preserve">J. M. Bloom, “The Mosque of the Qarāfa in Cairo,” </w:t>
      </w:r>
      <w:r w:rsidRPr="00877BDE">
        <w:rPr>
          <w:rFonts w:eastAsia="Arial Unicode MS"/>
          <w:bCs/>
          <w:i/>
        </w:rPr>
        <w:t>Muqarnas</w:t>
      </w:r>
      <w:r w:rsidRPr="00877BDE">
        <w:rPr>
          <w:rFonts w:eastAsia="Arial Unicode MS"/>
          <w:bCs/>
        </w:rPr>
        <w:t>, 4 (1987): 17.</w:t>
      </w:r>
      <w:r w:rsidRPr="00877BDE">
        <w:rPr>
          <w:rFonts w:eastAsia="Arial Unicode MS"/>
        </w:rPr>
        <w:t xml:space="preserve"> </w:t>
      </w:r>
    </w:p>
  </w:footnote>
  <w:footnote w:id="37">
    <w:p w14:paraId="63128D8C"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On the life and career of Ibn Killis see Y. Lev, “The Fāṭimid vizier Ya‘qūb ibn Killis and the Beginning of the Fāṭimid Administration in Egypt,” </w:t>
      </w:r>
      <w:r w:rsidRPr="00877BDE">
        <w:rPr>
          <w:rFonts w:eastAsia="Arial Unicode MS"/>
          <w:i/>
        </w:rPr>
        <w:t>Der Islam</w:t>
      </w:r>
      <w:r w:rsidRPr="00877BDE">
        <w:rPr>
          <w:rFonts w:eastAsia="Arial Unicode MS"/>
        </w:rPr>
        <w:t xml:space="preserve"> 58 (1981): 237-49.</w:t>
      </w:r>
    </w:p>
  </w:footnote>
  <w:footnote w:id="38">
    <w:p w14:paraId="59CD1FC1" w14:textId="77777777" w:rsidR="000405C1" w:rsidRPr="00877BDE" w:rsidRDefault="000405C1" w:rsidP="000405C1">
      <w:pPr>
        <w:spacing w:line="276" w:lineRule="auto"/>
        <w:rPr>
          <w:rFonts w:eastAsia="Arial Unicode MS"/>
          <w:sz w:val="20"/>
          <w:szCs w:val="20"/>
          <w:lang w:val="en-US"/>
        </w:rPr>
      </w:pPr>
      <w:r w:rsidRPr="00877BDE">
        <w:rPr>
          <w:rStyle w:val="FootnoteReference"/>
          <w:rFonts w:eastAsia="Arial Unicode MS"/>
          <w:sz w:val="20"/>
          <w:szCs w:val="20"/>
          <w:lang w:val="en-US"/>
        </w:rPr>
        <w:footnoteRef/>
      </w:r>
      <w:r w:rsidRPr="00877BDE">
        <w:rPr>
          <w:rFonts w:eastAsia="Arial Unicode MS"/>
          <w:sz w:val="20"/>
          <w:szCs w:val="20"/>
          <w:lang w:val="en-US"/>
        </w:rPr>
        <w:t xml:space="preserve"> al-Maqrīzī, </w:t>
      </w:r>
      <w:r w:rsidRPr="00877BDE">
        <w:rPr>
          <w:rFonts w:eastAsia="Arial Unicode MS"/>
          <w:i/>
          <w:sz w:val="20"/>
          <w:szCs w:val="20"/>
          <w:lang w:val="en-US"/>
        </w:rPr>
        <w:t xml:space="preserve">Itti‘āẓ, </w:t>
      </w:r>
      <w:r w:rsidRPr="00877BDE">
        <w:rPr>
          <w:rFonts w:eastAsia="Arial Unicode MS"/>
          <w:sz w:val="20"/>
          <w:szCs w:val="20"/>
          <w:lang w:val="en-US"/>
        </w:rPr>
        <w:t xml:space="preserve">1:225. Lev, “The Fāṭimid”, 241, based on al-Maqrīzī, clarifies that in the previous year the </w:t>
      </w:r>
      <w:r w:rsidRPr="00877BDE">
        <w:rPr>
          <w:rFonts w:eastAsia="Arial Unicode MS"/>
          <w:i/>
          <w:sz w:val="20"/>
          <w:szCs w:val="20"/>
          <w:lang w:val="en-US"/>
        </w:rPr>
        <w:t>dīwān</w:t>
      </w:r>
      <w:r w:rsidRPr="00877BDE">
        <w:rPr>
          <w:rFonts w:eastAsia="Arial Unicode MS"/>
          <w:sz w:val="20"/>
          <w:szCs w:val="20"/>
          <w:lang w:val="en-US"/>
        </w:rPr>
        <w:t xml:space="preserve"> was transferred from Dār al-Imāra, outside al-Qāhira, to a chamber within the royal palace. This could imply that rather than relinquishing his duties, Ibn Killis managed his offices from the very heart of the court. </w:t>
      </w:r>
    </w:p>
  </w:footnote>
  <w:footnote w:id="39">
    <w:p w14:paraId="2D481E88"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This is so far the only reference to a direct encounter having taken place between Ibn Killis and Durzān. al-Maqrīzī, </w:t>
      </w:r>
      <w:r w:rsidRPr="00877BDE">
        <w:rPr>
          <w:rFonts w:eastAsia="Arial Unicode MS"/>
          <w:i/>
        </w:rPr>
        <w:t>Itti‘āẓ</w:t>
      </w:r>
      <w:r w:rsidRPr="00877BDE">
        <w:rPr>
          <w:rFonts w:eastAsia="Arial Unicode MS"/>
        </w:rPr>
        <w:t xml:space="preserve">, 1: 229. </w:t>
      </w:r>
    </w:p>
  </w:footnote>
  <w:footnote w:id="40">
    <w:p w14:paraId="42C82511"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w:t>
      </w:r>
      <w:r w:rsidRPr="00877BDE">
        <w:rPr>
          <w:rFonts w:eastAsia="Arial Unicode MS"/>
          <w:bCs/>
        </w:rPr>
        <w:t xml:space="preserve">It should be noted here that the roles of the </w:t>
      </w:r>
      <w:r w:rsidRPr="00877BDE">
        <w:rPr>
          <w:rFonts w:eastAsia="Arial Unicode MS"/>
          <w:bCs/>
          <w:i/>
        </w:rPr>
        <w:t>muḥtasib</w:t>
      </w:r>
      <w:r w:rsidRPr="00877BDE">
        <w:rPr>
          <w:rFonts w:eastAsia="Arial Unicode MS"/>
          <w:bCs/>
        </w:rPr>
        <w:t xml:space="preserve"> are somewhat obscure for the Fāṭimid period.</w:t>
      </w:r>
      <w:r w:rsidRPr="00877BDE">
        <w:rPr>
          <w:rFonts w:eastAsia="Arial Unicode MS"/>
        </w:rPr>
        <w:t xml:space="preserve"> A. F. Sayyid, </w:t>
      </w:r>
      <w:r w:rsidRPr="00877BDE">
        <w:rPr>
          <w:rFonts w:eastAsia="Arial Unicode MS"/>
          <w:i/>
        </w:rPr>
        <w:t>La Capitale de l’Égypte jusq’a l’Epoque Fatimide: al-Qāhira et al-Fusṭāṭ: Essay de Reconstruction Topographique</w:t>
      </w:r>
      <w:r w:rsidRPr="00877BDE">
        <w:rPr>
          <w:rFonts w:eastAsia="Arial Unicode MS"/>
        </w:rPr>
        <w:t xml:space="preserve"> (Beirut: F. Steiner, 1998), 673. </w:t>
      </w:r>
    </w:p>
  </w:footnote>
  <w:footnote w:id="41">
    <w:p w14:paraId="1342D8F7"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This process of ‘easternization’ was particularly visible and relevant in the army. By the end of al-‘Azīz’s reign, the rivalry between </w:t>
      </w:r>
      <w:r w:rsidRPr="00877BDE">
        <w:rPr>
          <w:rFonts w:eastAsia="Arial Unicode MS"/>
          <w:i/>
        </w:rPr>
        <w:t>maghāriba</w:t>
      </w:r>
      <w:r w:rsidRPr="00877BDE">
        <w:rPr>
          <w:rFonts w:eastAsia="Arial Unicode MS"/>
        </w:rPr>
        <w:t xml:space="preserve"> and </w:t>
      </w:r>
      <w:r w:rsidRPr="00877BDE">
        <w:rPr>
          <w:rFonts w:eastAsia="Arial Unicode MS"/>
          <w:i/>
        </w:rPr>
        <w:t>mashāriqa</w:t>
      </w:r>
      <w:r w:rsidRPr="00877BDE">
        <w:rPr>
          <w:rFonts w:eastAsia="Arial Unicode MS"/>
        </w:rPr>
        <w:t xml:space="preserve"> was fully blown,  with the latter finally having the upper hand. For evidence of </w:t>
      </w:r>
      <w:r w:rsidRPr="00877BDE">
        <w:rPr>
          <w:rFonts w:eastAsia="Arial Unicode MS"/>
          <w:i/>
        </w:rPr>
        <w:t xml:space="preserve">mashriqī </w:t>
      </w:r>
      <w:r w:rsidRPr="00877BDE">
        <w:rPr>
          <w:rFonts w:eastAsia="Arial Unicode MS"/>
        </w:rPr>
        <w:t xml:space="preserve">officers charged with the </w:t>
      </w:r>
      <w:r w:rsidRPr="00877BDE">
        <w:rPr>
          <w:rFonts w:eastAsia="Arial Unicode MS"/>
          <w:i/>
        </w:rPr>
        <w:t>ḥisba</w:t>
      </w:r>
      <w:r w:rsidRPr="00877BDE">
        <w:rPr>
          <w:rFonts w:eastAsia="Arial Unicode MS"/>
        </w:rPr>
        <w:t xml:space="preserve"> under Ibn Killis soon after al-Mu‘izz’s arrival in al-Qāhira see al-Maqrīzī, </w:t>
      </w:r>
      <w:r w:rsidRPr="00877BDE">
        <w:rPr>
          <w:rFonts w:eastAsia="Arial Unicode MS"/>
          <w:i/>
        </w:rPr>
        <w:t>Itti‘āẓ</w:t>
      </w:r>
      <w:r w:rsidRPr="00877BDE">
        <w:rPr>
          <w:rFonts w:eastAsia="Arial Unicode MS"/>
        </w:rPr>
        <w:t>, 1: 217.</w:t>
      </w:r>
    </w:p>
  </w:footnote>
  <w:footnote w:id="42">
    <w:p w14:paraId="068A42C4"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al-Maqrīzī, </w:t>
      </w:r>
      <w:r w:rsidRPr="00877BDE">
        <w:rPr>
          <w:rFonts w:eastAsia="Arial Unicode MS"/>
          <w:i/>
        </w:rPr>
        <w:t>Itti‘āẓ</w:t>
      </w:r>
      <w:r w:rsidRPr="00877BDE">
        <w:rPr>
          <w:rFonts w:eastAsia="Arial Unicode MS"/>
        </w:rPr>
        <w:t>, 1: 229.</w:t>
      </w:r>
    </w:p>
  </w:footnote>
  <w:footnote w:id="43">
    <w:p w14:paraId="0130142D"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This can be inferred on the basis of the fact that al-Azhar was completed with remarkable speed in little more than a year. J. M. Bloom, </w:t>
      </w:r>
      <w:r w:rsidRPr="00877BDE">
        <w:rPr>
          <w:rFonts w:eastAsia="Arial Unicode MS"/>
          <w:i/>
        </w:rPr>
        <w:t>Arts of the City Victorious: Islamic Art and Architecture in Fatimid North Africa and Egypt</w:t>
      </w:r>
      <w:r w:rsidRPr="00877BDE">
        <w:rPr>
          <w:rFonts w:eastAsia="Arial Unicode MS"/>
        </w:rPr>
        <w:t xml:space="preserve"> (New Haven and London: Yale University Press, 2007), 60.</w:t>
      </w:r>
    </w:p>
  </w:footnote>
  <w:footnote w:id="44">
    <w:p w14:paraId="2C82B3F4"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Daftary, </w:t>
      </w:r>
      <w:r w:rsidRPr="00877BDE">
        <w:rPr>
          <w:rFonts w:eastAsia="Arial Unicode MS"/>
          <w:i/>
        </w:rPr>
        <w:t>The Ismā‘īlīs</w:t>
      </w:r>
      <w:r w:rsidRPr="00877BDE">
        <w:rPr>
          <w:rFonts w:eastAsia="Arial Unicode MS"/>
        </w:rPr>
        <w:t>, 194-5</w:t>
      </w:r>
    </w:p>
  </w:footnote>
  <w:footnote w:id="45">
    <w:p w14:paraId="2D3E548F"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On Rasad see Cortese, and Calderini, </w:t>
      </w:r>
      <w:r w:rsidRPr="00877BDE">
        <w:rPr>
          <w:rFonts w:eastAsia="Arial Unicode MS"/>
          <w:i/>
        </w:rPr>
        <w:t xml:space="preserve">Women, </w:t>
      </w:r>
      <w:r w:rsidRPr="00877BDE">
        <w:rPr>
          <w:rFonts w:eastAsia="Arial Unicode MS"/>
        </w:rPr>
        <w:t>110-14.</w:t>
      </w:r>
    </w:p>
  </w:footnote>
  <w:footnote w:id="46">
    <w:p w14:paraId="4B3ECAC7"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w:t>
      </w:r>
      <w:r w:rsidRPr="00877BDE">
        <w:rPr>
          <w:rFonts w:eastAsia="Arial Unicode MS"/>
          <w:iCs/>
        </w:rPr>
        <w:t>A notable example is indeed the marriage between Badr al-Jamālī’s daughter and al-Mustanṣir’s son.</w:t>
      </w:r>
    </w:p>
  </w:footnote>
  <w:footnote w:id="47">
    <w:p w14:paraId="42F607CD"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On </w:t>
      </w:r>
      <w:r w:rsidRPr="00877BDE">
        <w:rPr>
          <w:rFonts w:eastAsia="Arial Unicode MS"/>
          <w:iCs/>
        </w:rPr>
        <w:t>the building activity attributed to the consort of the caliph al-Āmir (d.524/1130), ‘Alam al-Āmiriyya,</w:t>
      </w:r>
      <w:r w:rsidRPr="00877BDE">
        <w:rPr>
          <w:rFonts w:eastAsia="Arial Unicode MS"/>
        </w:rPr>
        <w:t xml:space="preserve"> and that of other court women during the late phase of the Fāṭimid period see Cortese, and Calderini, </w:t>
      </w:r>
      <w:r w:rsidRPr="00877BDE">
        <w:rPr>
          <w:rFonts w:eastAsia="Arial Unicode MS"/>
          <w:i/>
        </w:rPr>
        <w:t xml:space="preserve">Women, </w:t>
      </w:r>
      <w:r w:rsidRPr="00877BDE">
        <w:rPr>
          <w:rFonts w:eastAsia="Arial Unicode MS"/>
        </w:rPr>
        <w:t>171-6.</w:t>
      </w:r>
    </w:p>
  </w:footnote>
  <w:footnote w:id="48">
    <w:p w14:paraId="73961AFC"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For an example of one such instances cf. Jiwa Shainool (tr.), </w:t>
      </w:r>
      <w:r w:rsidRPr="00877BDE">
        <w:rPr>
          <w:rFonts w:eastAsia="Arial Unicode MS"/>
          <w:i/>
        </w:rPr>
        <w:t>Towards a Shi‘i Mediterranean Empire. Fatimid Egypt and the Founding of Cairo. The reign of the Imām-caliph al-Mu‘izz from al-Maqrīzī’s Itti‘āẓ al-Íunafā’ (</w:t>
      </w:r>
      <w:r w:rsidRPr="00877BDE">
        <w:rPr>
          <w:rFonts w:eastAsia="Arial Unicode MS"/>
        </w:rPr>
        <w:t xml:space="preserve">London, New York: I.B. Tauris in association with The Institute of Ismaili Studies, 2009), 206. </w:t>
      </w:r>
    </w:p>
  </w:footnote>
  <w:footnote w:id="49">
    <w:p w14:paraId="60963BBE" w14:textId="77777777" w:rsidR="000405C1" w:rsidRPr="00877BDE" w:rsidRDefault="000405C1" w:rsidP="000405C1">
      <w:pPr>
        <w:spacing w:line="276" w:lineRule="auto"/>
        <w:rPr>
          <w:rFonts w:eastAsia="Arial Unicode MS"/>
          <w:sz w:val="20"/>
          <w:szCs w:val="20"/>
          <w:lang w:val="en-US"/>
        </w:rPr>
      </w:pPr>
      <w:r w:rsidRPr="00877BDE">
        <w:rPr>
          <w:rStyle w:val="FootnoteReference"/>
          <w:rFonts w:eastAsia="Arial Unicode MS"/>
          <w:sz w:val="20"/>
          <w:szCs w:val="20"/>
          <w:lang w:val="en-US"/>
        </w:rPr>
        <w:footnoteRef/>
      </w:r>
      <w:r w:rsidRPr="00877BDE">
        <w:rPr>
          <w:rFonts w:eastAsia="Arial Unicode MS"/>
          <w:sz w:val="20"/>
          <w:szCs w:val="20"/>
          <w:lang w:val="en-US"/>
        </w:rPr>
        <w:t xml:space="preserve"> Ibn Ḥajar al-‘Asqalānī, </w:t>
      </w:r>
      <w:r w:rsidRPr="00877BDE">
        <w:rPr>
          <w:rFonts w:eastAsia="Arial Unicode MS"/>
          <w:i/>
          <w:sz w:val="20"/>
          <w:szCs w:val="20"/>
          <w:lang w:val="en-US"/>
        </w:rPr>
        <w:t>Raf‘ al-Iṣr ‘an Quḍāt Miṣr</w:t>
      </w:r>
      <w:r w:rsidRPr="00877BDE">
        <w:rPr>
          <w:rFonts w:eastAsia="Arial Unicode MS"/>
          <w:sz w:val="20"/>
          <w:szCs w:val="20"/>
          <w:lang w:val="en-US"/>
        </w:rPr>
        <w:t xml:space="preserve">, ed. ‘Alī Muḥammad ‘Umar (Cairo: Maktaba al-Khanjī, 1418/1998), 281-3; 445-6. </w:t>
      </w:r>
    </w:p>
  </w:footnote>
  <w:footnote w:id="50">
    <w:p w14:paraId="7E7ECE26" w14:textId="77777777" w:rsidR="000405C1" w:rsidRPr="00877BDE" w:rsidRDefault="000405C1" w:rsidP="000405C1">
      <w:pPr>
        <w:spacing w:line="276" w:lineRule="auto"/>
        <w:rPr>
          <w:rFonts w:eastAsia="Arial Unicode MS"/>
          <w:sz w:val="20"/>
          <w:szCs w:val="20"/>
          <w:lang w:val="en-US"/>
        </w:rPr>
      </w:pPr>
      <w:r w:rsidRPr="00877BDE">
        <w:rPr>
          <w:rStyle w:val="FootnoteReference"/>
          <w:rFonts w:eastAsia="Arial Unicode MS"/>
          <w:sz w:val="20"/>
          <w:szCs w:val="20"/>
          <w:lang w:val="en-US"/>
        </w:rPr>
        <w:footnoteRef/>
      </w:r>
      <w:r w:rsidRPr="00877BDE">
        <w:rPr>
          <w:rFonts w:eastAsia="Arial Unicode MS"/>
          <w:sz w:val="20"/>
          <w:szCs w:val="20"/>
          <w:lang w:val="en-US"/>
        </w:rPr>
        <w:t xml:space="preserve"> Muḥammad b. Aḥmad, al-Muqaddasī, </w:t>
      </w:r>
      <w:r w:rsidRPr="00877BDE">
        <w:rPr>
          <w:rFonts w:eastAsia="Arial Unicode MS"/>
          <w:i/>
          <w:sz w:val="20"/>
          <w:szCs w:val="20"/>
          <w:lang w:val="en-US"/>
        </w:rPr>
        <w:t>The Best Division for Knowledge of the Regions/ Aḥsan al-Taqāsīm fī Ma‘rifat al-Aqālīm</w:t>
      </w:r>
      <w:r w:rsidRPr="00877BDE">
        <w:rPr>
          <w:rFonts w:eastAsia="Arial Unicode MS"/>
          <w:sz w:val="20"/>
          <w:szCs w:val="20"/>
          <w:lang w:val="en-US"/>
        </w:rPr>
        <w:t xml:space="preserve">, tr. B. Collins (Reading: Garnet Publishing, 2001), 171. </w:t>
      </w:r>
    </w:p>
  </w:footnote>
  <w:footnote w:id="51">
    <w:p w14:paraId="61B777BF" w14:textId="77777777" w:rsidR="000405C1" w:rsidRPr="00877BDE" w:rsidRDefault="000405C1" w:rsidP="000405C1">
      <w:pPr>
        <w:spacing w:line="276" w:lineRule="auto"/>
        <w:rPr>
          <w:rFonts w:eastAsia="Arial Unicode MS"/>
          <w:sz w:val="20"/>
          <w:szCs w:val="20"/>
          <w:lang w:val="en-US"/>
        </w:rPr>
      </w:pPr>
      <w:r w:rsidRPr="00877BDE">
        <w:rPr>
          <w:rStyle w:val="FootnoteReference"/>
          <w:rFonts w:eastAsia="Arial Unicode MS"/>
          <w:sz w:val="20"/>
          <w:szCs w:val="20"/>
          <w:lang w:val="en-US"/>
        </w:rPr>
        <w:footnoteRef/>
      </w:r>
      <w:r w:rsidRPr="00877BDE">
        <w:rPr>
          <w:rFonts w:eastAsia="Arial Unicode MS"/>
          <w:sz w:val="20"/>
          <w:szCs w:val="20"/>
          <w:lang w:val="en-US"/>
        </w:rPr>
        <w:t xml:space="preserve"> al-Maqrīzī, </w:t>
      </w:r>
      <w:r w:rsidRPr="00877BDE">
        <w:rPr>
          <w:rFonts w:eastAsia="Arial Unicode MS"/>
          <w:i/>
          <w:sz w:val="20"/>
          <w:szCs w:val="20"/>
          <w:lang w:val="en-US"/>
        </w:rPr>
        <w:t xml:space="preserve">al-Muqaffā, </w:t>
      </w:r>
      <w:r w:rsidRPr="00877BDE">
        <w:rPr>
          <w:rFonts w:eastAsia="Arial Unicode MS"/>
          <w:sz w:val="20"/>
          <w:szCs w:val="20"/>
          <w:lang w:val="en-US"/>
        </w:rPr>
        <w:t>5: nos. 1928, 2078; 6: no. 2712</w:t>
      </w:r>
      <w:r w:rsidRPr="00877BDE">
        <w:rPr>
          <w:rFonts w:eastAsia="Arial Unicode MS"/>
          <w:b/>
          <w:sz w:val="20"/>
          <w:szCs w:val="20"/>
          <w:lang w:val="en-US"/>
        </w:rPr>
        <w:t>.</w:t>
      </w:r>
      <w:r w:rsidRPr="00877BDE">
        <w:rPr>
          <w:rFonts w:eastAsia="Arial Unicode MS"/>
          <w:sz w:val="20"/>
          <w:szCs w:val="20"/>
          <w:lang w:val="en-US"/>
        </w:rPr>
        <w:t xml:space="preserve"> </w:t>
      </w:r>
    </w:p>
  </w:footnote>
  <w:footnote w:id="52">
    <w:p w14:paraId="5679C29C"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Jiwa, </w:t>
      </w:r>
      <w:r w:rsidRPr="00877BDE">
        <w:rPr>
          <w:rFonts w:eastAsia="Arial Unicode MS"/>
          <w:i/>
        </w:rPr>
        <w:t xml:space="preserve">Towards a Shi‘i, </w:t>
      </w:r>
      <w:r w:rsidRPr="00877BDE">
        <w:rPr>
          <w:rFonts w:eastAsia="Arial Unicode MS"/>
        </w:rPr>
        <w:t>112.</w:t>
      </w:r>
    </w:p>
  </w:footnote>
  <w:footnote w:id="53">
    <w:p w14:paraId="182BCDEA"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al-Muqaddasī, </w:t>
      </w:r>
      <w:r w:rsidRPr="00877BDE">
        <w:rPr>
          <w:rFonts w:eastAsia="Arial Unicode MS"/>
          <w:i/>
        </w:rPr>
        <w:t xml:space="preserve">The Best, </w:t>
      </w:r>
      <w:r w:rsidRPr="00877BDE">
        <w:rPr>
          <w:rFonts w:eastAsia="Arial Unicode MS"/>
        </w:rPr>
        <w:t xml:space="preserve">177, 183 (additional paragraph from the version MS C). </w:t>
      </w:r>
    </w:p>
  </w:footnote>
  <w:footnote w:id="54">
    <w:p w14:paraId="63874B6B"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Muḥammad al-Musabbiḥī,  </w:t>
      </w:r>
      <w:r w:rsidRPr="00877BDE">
        <w:rPr>
          <w:rFonts w:eastAsia="Arial Unicode MS"/>
          <w:i/>
        </w:rPr>
        <w:t>Akhbār Miṣr,</w:t>
      </w:r>
      <w:r w:rsidRPr="00877BDE">
        <w:rPr>
          <w:rFonts w:eastAsia="Arial Unicode MS"/>
        </w:rPr>
        <w:t xml:space="preserve"> eds. A. F. Sayyid and T. Bianquis ( Cairo: IFAO, 1978), 1: 57, 58.</w:t>
      </w:r>
    </w:p>
  </w:footnote>
  <w:footnote w:id="55">
    <w:p w14:paraId="586537AA" w14:textId="77777777" w:rsidR="000405C1" w:rsidRPr="00877BDE" w:rsidRDefault="000405C1" w:rsidP="000405C1">
      <w:pPr>
        <w:spacing w:line="276" w:lineRule="auto"/>
        <w:rPr>
          <w:rFonts w:eastAsia="Arial Unicode MS"/>
          <w:sz w:val="20"/>
          <w:szCs w:val="20"/>
          <w:lang w:val="en-US"/>
        </w:rPr>
      </w:pPr>
      <w:r w:rsidRPr="00877BDE">
        <w:rPr>
          <w:rStyle w:val="FootnoteReference"/>
          <w:rFonts w:eastAsia="Arial Unicode MS"/>
          <w:sz w:val="20"/>
          <w:szCs w:val="20"/>
          <w:lang w:val="en-US"/>
        </w:rPr>
        <w:footnoteRef/>
      </w:r>
      <w:r w:rsidRPr="00877BDE">
        <w:rPr>
          <w:rFonts w:eastAsia="Arial Unicode MS"/>
          <w:sz w:val="20"/>
          <w:szCs w:val="20"/>
          <w:lang w:val="en-US"/>
        </w:rPr>
        <w:t xml:space="preserve"> Ibn Ḥajar,  </w:t>
      </w:r>
      <w:r w:rsidRPr="00877BDE">
        <w:rPr>
          <w:rFonts w:eastAsia="Arial Unicode MS"/>
          <w:i/>
          <w:sz w:val="20"/>
          <w:szCs w:val="20"/>
          <w:lang w:val="en-US"/>
        </w:rPr>
        <w:t xml:space="preserve">Raf‘ al-iṣr, </w:t>
      </w:r>
      <w:r w:rsidRPr="00877BDE">
        <w:rPr>
          <w:rFonts w:eastAsia="Arial Unicode MS"/>
          <w:sz w:val="20"/>
          <w:szCs w:val="20"/>
          <w:lang w:val="en-US"/>
        </w:rPr>
        <w:t xml:space="preserve">73. </w:t>
      </w:r>
    </w:p>
  </w:footnote>
  <w:footnote w:id="56">
    <w:p w14:paraId="3E154EE6"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‘Alī Ibn Riḍwān, </w:t>
      </w:r>
      <w:r w:rsidRPr="00877BDE">
        <w:rPr>
          <w:rFonts w:eastAsia="Arial Unicode MS"/>
          <w:i/>
        </w:rPr>
        <w:t>Daf‘ Maḍar al-Abdān</w:t>
      </w:r>
      <w:r w:rsidRPr="00877BDE">
        <w:rPr>
          <w:rFonts w:eastAsia="Arial Unicode MS"/>
        </w:rPr>
        <w:t>, trs. M.W. Dols</w:t>
      </w:r>
      <w:r w:rsidRPr="00877BDE" w:rsidDel="0081132F">
        <w:rPr>
          <w:rFonts w:eastAsia="Arial Unicode MS"/>
        </w:rPr>
        <w:t xml:space="preserve"> and ed. </w:t>
      </w:r>
      <w:r w:rsidRPr="00877BDE">
        <w:rPr>
          <w:rFonts w:eastAsia="Arial Unicode MS"/>
        </w:rPr>
        <w:t xml:space="preserve">‘A. G. Jamāl, </w:t>
      </w:r>
      <w:r w:rsidRPr="00877BDE">
        <w:rPr>
          <w:rFonts w:eastAsia="Arial Unicode MS"/>
          <w:i/>
        </w:rPr>
        <w:t>Medieval Islamic Medicine. Ibn Ridwān’s treatise ‘On the Prevention of Bodily Ills in Egypt</w:t>
      </w:r>
      <w:r w:rsidRPr="00877BDE">
        <w:rPr>
          <w:rFonts w:eastAsia="Arial Unicode MS"/>
        </w:rPr>
        <w:t>, (Berkley and London: University of California Press, 1984), 105-9.</w:t>
      </w:r>
    </w:p>
  </w:footnote>
  <w:footnote w:id="57">
    <w:p w14:paraId="528094BC"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al-Maqrīzī, </w:t>
      </w:r>
      <w:r w:rsidRPr="00877BDE">
        <w:rPr>
          <w:rFonts w:eastAsia="Arial Unicode MS"/>
          <w:i/>
        </w:rPr>
        <w:t>al-Muqaffā</w:t>
      </w:r>
      <w:r w:rsidRPr="00877BDE">
        <w:rPr>
          <w:rFonts w:eastAsia="Arial Unicode MS"/>
        </w:rPr>
        <w:t>, 5: no. 1903.</w:t>
      </w:r>
    </w:p>
  </w:footnote>
  <w:footnote w:id="58">
    <w:p w14:paraId="29D6DF91"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al-Maqrīzī, </w:t>
      </w:r>
      <w:r w:rsidRPr="00877BDE">
        <w:rPr>
          <w:rFonts w:eastAsia="Arial Unicode MS"/>
          <w:i/>
        </w:rPr>
        <w:t>Itti‘āẓ,</w:t>
      </w:r>
      <w:r w:rsidRPr="00877BDE">
        <w:rPr>
          <w:rFonts w:eastAsia="Arial Unicode MS"/>
        </w:rPr>
        <w:t xml:space="preserve"> 1: 145.</w:t>
      </w:r>
    </w:p>
  </w:footnote>
  <w:footnote w:id="59">
    <w:p w14:paraId="334B8D67"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Cf. al-Muqaddasī’s comments about a beautiful  mosque called al-Qarāfa, built by Umm al-Maghribī, standing in the area around Fusṭāṭ that, by his time, had expanded all the way up to al-Qāhira. Noteworthy is his use of ‘Umm al-Maghribī’ to name the builder of the mosque, instead of the more commonly used ‘Durzān’ or ‘Taghrīd’, perhaps as a result of witnessing how Durzān and her mosque were popularly referred to in al-Qarāfa. al-Muqaddasī, </w:t>
      </w:r>
      <w:r w:rsidRPr="00877BDE">
        <w:rPr>
          <w:rFonts w:eastAsia="Arial Unicode MS"/>
          <w:i/>
        </w:rPr>
        <w:t>The Best,</w:t>
      </w:r>
      <w:r w:rsidRPr="00877BDE" w:rsidDel="00131AA9">
        <w:rPr>
          <w:rFonts w:eastAsia="Arial Unicode MS"/>
          <w:i/>
        </w:rPr>
        <w:t xml:space="preserve"> </w:t>
      </w:r>
      <w:r w:rsidRPr="00877BDE">
        <w:rPr>
          <w:rFonts w:eastAsia="Arial Unicode MS"/>
        </w:rPr>
        <w:t>183.</w:t>
      </w:r>
    </w:p>
  </w:footnote>
  <w:footnote w:id="60">
    <w:p w14:paraId="747C6615"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Jiwa, </w:t>
      </w:r>
      <w:r w:rsidRPr="00877BDE">
        <w:rPr>
          <w:rFonts w:eastAsia="Arial Unicode MS"/>
          <w:i/>
        </w:rPr>
        <w:t>Towards a Shi‘i,</w:t>
      </w:r>
      <w:r w:rsidRPr="00877BDE" w:rsidDel="00B24A6F">
        <w:rPr>
          <w:rFonts w:eastAsia="Arial Unicode MS"/>
        </w:rPr>
        <w:t xml:space="preserve"> </w:t>
      </w:r>
      <w:r w:rsidRPr="00877BDE">
        <w:rPr>
          <w:rFonts w:eastAsia="Arial Unicode MS"/>
        </w:rPr>
        <w:t xml:space="preserve">198, 203-4. </w:t>
      </w:r>
    </w:p>
  </w:footnote>
  <w:footnote w:id="61">
    <w:p w14:paraId="63652046"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w:t>
      </w:r>
      <w:r w:rsidRPr="00877BDE" w:rsidDel="0081132F">
        <w:rPr>
          <w:rFonts w:eastAsia="Arial Unicode MS"/>
        </w:rPr>
        <w:t>See n. 40 above and reference there</w:t>
      </w:r>
      <w:r w:rsidRPr="00877BDE">
        <w:rPr>
          <w:rFonts w:eastAsia="Arial Unicode MS"/>
        </w:rPr>
        <w:t xml:space="preserve">. </w:t>
      </w:r>
    </w:p>
  </w:footnote>
  <w:footnote w:id="62">
    <w:p w14:paraId="399405F5" w14:textId="77777777" w:rsidR="000405C1" w:rsidRPr="00877BDE" w:rsidRDefault="000405C1" w:rsidP="000405C1">
      <w:pPr>
        <w:pStyle w:val="BodyText3"/>
        <w:spacing w:line="276" w:lineRule="auto"/>
        <w:rPr>
          <w:rFonts w:eastAsia="Arial Unicode MS"/>
        </w:rPr>
      </w:pPr>
      <w:r w:rsidRPr="00877BDE">
        <w:rPr>
          <w:rStyle w:val="FootnoteReference"/>
          <w:rFonts w:eastAsia="Arial Unicode MS"/>
        </w:rPr>
        <w:footnoteRef/>
      </w:r>
      <w:r w:rsidRPr="00877BDE">
        <w:rPr>
          <w:rFonts w:eastAsia="Arial Unicode MS"/>
        </w:rPr>
        <w:t xml:space="preserve"> C. </w:t>
      </w:r>
      <w:r w:rsidRPr="00877BDE">
        <w:rPr>
          <w:rFonts w:eastAsia="Arial Unicode MS"/>
          <w:bCs/>
        </w:rPr>
        <w:t xml:space="preserve">Cahen and M. Talbi, “Ḥisba” </w:t>
      </w:r>
      <w:r w:rsidRPr="00877BDE">
        <w:rPr>
          <w:rFonts w:eastAsia="Arial Unicode MS"/>
          <w:bCs/>
          <w:i/>
        </w:rPr>
        <w:t>Encyclopaedia of Islam</w:t>
      </w:r>
      <w:r w:rsidRPr="00877BDE">
        <w:rPr>
          <w:rFonts w:eastAsia="Arial Unicode MS"/>
          <w:bCs/>
        </w:rPr>
        <w:t>, 2</w:t>
      </w:r>
      <w:r w:rsidRPr="00877BDE">
        <w:rPr>
          <w:rFonts w:eastAsia="Arial Unicode MS"/>
          <w:bCs/>
          <w:vertAlign w:val="superscript"/>
        </w:rPr>
        <w:t>nd</w:t>
      </w:r>
      <w:r w:rsidRPr="00877BDE">
        <w:rPr>
          <w:rFonts w:eastAsia="Arial Unicode MS"/>
          <w:bCs/>
        </w:rPr>
        <w:t xml:space="preserve"> ed. (Leiden: E.J. Brill, 1971), 3: 488.</w:t>
      </w:r>
    </w:p>
  </w:footnote>
  <w:footnote w:id="63">
    <w:p w14:paraId="7EB54A63"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al-Maqrīzī, </w:t>
      </w:r>
      <w:r w:rsidRPr="00877BDE">
        <w:rPr>
          <w:rFonts w:eastAsia="Arial Unicode MS"/>
          <w:i/>
        </w:rPr>
        <w:t>Khiṭaṭ</w:t>
      </w:r>
      <w:r w:rsidRPr="00877BDE">
        <w:rPr>
          <w:rFonts w:eastAsia="Arial Unicode MS"/>
        </w:rPr>
        <w:t>, 4,1:288.</w:t>
      </w:r>
    </w:p>
  </w:footnote>
  <w:footnote w:id="64">
    <w:p w14:paraId="0BF3B5A0"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His claim should not be taken too literally. By ‘sulṭān’ he might have actually meant the royal family and its closest entourage. After all, women of the Fāṭimid royal family are reported to have owned properties in al-Qāhira during al-Ḥākim’s reign. Nāṣir-i Khusraw’s own experience as a lodger in al-Qāhira also points to the existence of landlords other than the imam. It is, however, safe to assume that the imam, his immediate family and his closest high dignitaries monopolized all aspects relating to property in al-Qāhira. </w:t>
      </w:r>
    </w:p>
  </w:footnote>
  <w:footnote w:id="65">
    <w:p w14:paraId="1F8B5FC4" w14:textId="77777777" w:rsidR="000405C1" w:rsidRPr="00877BDE" w:rsidRDefault="000405C1" w:rsidP="000405C1">
      <w:pPr>
        <w:spacing w:line="276" w:lineRule="auto"/>
        <w:rPr>
          <w:rFonts w:eastAsia="Arial Unicode MS"/>
          <w:sz w:val="20"/>
          <w:szCs w:val="20"/>
          <w:lang w:val="en-US"/>
        </w:rPr>
      </w:pPr>
      <w:r w:rsidRPr="00877BDE">
        <w:rPr>
          <w:rStyle w:val="FootnoteReference"/>
          <w:rFonts w:eastAsia="Arial Unicode MS"/>
          <w:sz w:val="20"/>
          <w:szCs w:val="20"/>
          <w:lang w:val="en-US"/>
        </w:rPr>
        <w:footnoteRef/>
      </w:r>
      <w:r w:rsidRPr="00877BDE">
        <w:rPr>
          <w:rFonts w:eastAsia="Arial Unicode MS"/>
          <w:sz w:val="20"/>
          <w:szCs w:val="20"/>
          <w:lang w:val="en-US"/>
        </w:rPr>
        <w:t xml:space="preserve"> The fundamental principles of property rental laws in the Fāṭimid period were codified by al-Qāḍī al-Nu‘mān and can be found in his </w:t>
      </w:r>
      <w:r w:rsidRPr="00877BDE">
        <w:rPr>
          <w:rFonts w:eastAsia="Arial Unicode MS"/>
          <w:i/>
          <w:sz w:val="20"/>
          <w:szCs w:val="20"/>
          <w:lang w:val="en-US"/>
        </w:rPr>
        <w:t>Da‘ā’im al-Islām</w:t>
      </w:r>
      <w:r w:rsidRPr="00877BDE">
        <w:rPr>
          <w:rFonts w:eastAsia="Arial Unicode MS"/>
          <w:sz w:val="20"/>
          <w:szCs w:val="20"/>
          <w:lang w:val="en-US"/>
        </w:rPr>
        <w:t xml:space="preserve">, ed. A. ‘A. A. Fayḍī (al-Qāhira:  Dār al-Ma‘ārif bi-Miṣr, 1379/1960), 74-6. For an overview of legal theory regarding the rental of properties in medieval Islam see R. Brunschvig, “Propriétaire et locataire d’immeuble en droit musulman médiéval (jusque vers l’an 1200),” </w:t>
      </w:r>
      <w:r w:rsidRPr="00877BDE">
        <w:rPr>
          <w:rFonts w:eastAsia="Arial Unicode MS"/>
          <w:i/>
          <w:sz w:val="20"/>
          <w:szCs w:val="20"/>
          <w:lang w:val="en-US"/>
        </w:rPr>
        <w:t>Studia Islamica</w:t>
      </w:r>
      <w:r w:rsidRPr="00877BDE">
        <w:rPr>
          <w:rFonts w:eastAsia="Arial Unicode MS"/>
          <w:sz w:val="20"/>
          <w:szCs w:val="20"/>
          <w:lang w:val="en-US"/>
        </w:rPr>
        <w:t xml:space="preserve"> 52 ( 1980): 5-40.</w:t>
      </w:r>
    </w:p>
  </w:footnote>
  <w:footnote w:id="66">
    <w:p w14:paraId="40E5B539"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H. Monés,“</w:t>
      </w:r>
      <w:r w:rsidRPr="00877BDE">
        <w:rPr>
          <w:rFonts w:eastAsia="Arial Unicode MS"/>
          <w:u w:val="single"/>
        </w:rPr>
        <w:t>Dj</w:t>
      </w:r>
      <w:r w:rsidRPr="00877BDE">
        <w:rPr>
          <w:rFonts w:eastAsia="Arial Unicode MS"/>
        </w:rPr>
        <w:t xml:space="preserve">awhar al-Ṣiḳillī”, </w:t>
      </w:r>
      <w:r w:rsidRPr="00877BDE">
        <w:rPr>
          <w:rFonts w:eastAsia="Arial Unicode MS"/>
          <w:i/>
        </w:rPr>
        <w:t xml:space="preserve">EI2, </w:t>
      </w:r>
      <w:r w:rsidRPr="00877BDE">
        <w:rPr>
          <w:rFonts w:eastAsia="Arial Unicode MS"/>
        </w:rPr>
        <w:t>2: 495.</w:t>
      </w:r>
    </w:p>
  </w:footnote>
  <w:footnote w:id="67">
    <w:p w14:paraId="47662F70"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al-Muqaddasī, </w:t>
      </w:r>
      <w:r w:rsidRPr="00877BDE">
        <w:rPr>
          <w:rFonts w:eastAsia="Arial Unicode MS"/>
          <w:i/>
        </w:rPr>
        <w:t>The Best,</w:t>
      </w:r>
      <w:r w:rsidRPr="00877BDE">
        <w:rPr>
          <w:rFonts w:eastAsia="Arial Unicode MS"/>
        </w:rPr>
        <w:t xml:space="preserve"> 167, 179.</w:t>
      </w:r>
    </w:p>
  </w:footnote>
  <w:footnote w:id="68">
    <w:p w14:paraId="3636AC76"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Although the figures given by Nāṣir-i Khusraw could be considered notional, they nevertheless indicate the perceived scale of the caliphal’s investment portfolio. Nāṣir-i Khusraw, </w:t>
      </w:r>
      <w:r w:rsidRPr="00877BDE">
        <w:rPr>
          <w:rFonts w:eastAsia="Arial Unicode MS"/>
          <w:i/>
        </w:rPr>
        <w:t>Sefer Nameh, Relation du Voyage de Nassiri Khosrau,</w:t>
      </w:r>
      <w:r w:rsidRPr="00877BDE">
        <w:rPr>
          <w:rFonts w:eastAsia="Arial Unicode MS"/>
        </w:rPr>
        <w:t xml:space="preserve"> ed. C. Schefer  (Amsterdam: Philo Press, 1970), 127, 132-3.</w:t>
      </w:r>
    </w:p>
  </w:footnote>
  <w:footnote w:id="69">
    <w:p w14:paraId="6A82FD5C" w14:textId="77777777" w:rsidR="000405C1" w:rsidRPr="00877BDE" w:rsidRDefault="000405C1" w:rsidP="000405C1">
      <w:pPr>
        <w:spacing w:line="276" w:lineRule="auto"/>
        <w:rPr>
          <w:rFonts w:eastAsia="Arial Unicode MS"/>
          <w:sz w:val="20"/>
          <w:szCs w:val="20"/>
          <w:lang w:val="en-US"/>
        </w:rPr>
      </w:pPr>
      <w:r w:rsidRPr="00877BDE">
        <w:rPr>
          <w:rStyle w:val="FootnoteReference"/>
          <w:rFonts w:eastAsia="Arial Unicode MS"/>
          <w:sz w:val="20"/>
          <w:szCs w:val="20"/>
          <w:lang w:val="en-US"/>
        </w:rPr>
        <w:footnoteRef/>
      </w:r>
      <w:r w:rsidRPr="00877BDE">
        <w:rPr>
          <w:rFonts w:eastAsia="Arial Unicode MS"/>
          <w:sz w:val="20"/>
          <w:szCs w:val="20"/>
          <w:lang w:val="en-US"/>
        </w:rPr>
        <w:t xml:space="preserve"> Evidence that land owners outside al-Qāhira were targeted as source of state revenue at the outset of the Fāṭimid administration of Egypt is shown by the report that as soon as Ibn Killis and ‘Uslūj took over the overseeing of the landed estates, they increased taxes, a move that was met with remonstrations by the people</w:t>
      </w:r>
      <w:r w:rsidRPr="00877BDE">
        <w:rPr>
          <w:rFonts w:eastAsia="Arial Unicode MS"/>
          <w:b/>
          <w:sz w:val="20"/>
          <w:szCs w:val="20"/>
          <w:lang w:val="en-US"/>
        </w:rPr>
        <w:t xml:space="preserve"> </w:t>
      </w:r>
      <w:r w:rsidRPr="00877BDE">
        <w:rPr>
          <w:rFonts w:eastAsia="Arial Unicode MS"/>
          <w:bCs/>
          <w:sz w:val="20"/>
          <w:szCs w:val="20"/>
          <w:lang w:val="en-US"/>
        </w:rPr>
        <w:t>(</w:t>
      </w:r>
      <w:r w:rsidRPr="00877BDE">
        <w:rPr>
          <w:rFonts w:eastAsia="Arial Unicode MS"/>
          <w:sz w:val="20"/>
          <w:szCs w:val="20"/>
          <w:lang w:val="en-US"/>
        </w:rPr>
        <w:t xml:space="preserve">al-Maqrīzī, </w:t>
      </w:r>
      <w:r w:rsidRPr="00877BDE">
        <w:rPr>
          <w:rFonts w:eastAsia="Arial Unicode MS"/>
          <w:i/>
          <w:sz w:val="20"/>
          <w:szCs w:val="20"/>
          <w:lang w:val="en-US"/>
        </w:rPr>
        <w:t>Itti‘āẓ</w:t>
      </w:r>
      <w:r w:rsidRPr="00877BDE">
        <w:rPr>
          <w:rFonts w:eastAsia="Arial Unicode MS"/>
          <w:sz w:val="20"/>
          <w:szCs w:val="20"/>
          <w:lang w:val="en-US"/>
        </w:rPr>
        <w:t xml:space="preserve">, 1: 146-7).  </w:t>
      </w:r>
    </w:p>
  </w:footnote>
  <w:footnote w:id="70">
    <w:p w14:paraId="3E3EB21A"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From Bloom, </w:t>
      </w:r>
      <w:r w:rsidRPr="00877BDE">
        <w:rPr>
          <w:rFonts w:eastAsia="Arial Unicode MS"/>
          <w:i/>
        </w:rPr>
        <w:t xml:space="preserve">Arts of the City Victorious, </w:t>
      </w:r>
      <w:r w:rsidRPr="00877BDE">
        <w:rPr>
          <w:rFonts w:eastAsia="Arial Unicode MS"/>
        </w:rPr>
        <w:t>113. While it is commonly accepted that this description refers to Durzān’s mosque, it is difficult to establish whether the mosque underwent major alteration between the time of construction and al-Quḍā‘ī’s time. Therefore, the description of the mosque could be that recalled by al-Quḍā‘ī but not necessarily that of the original construction.</w:t>
      </w:r>
    </w:p>
  </w:footnote>
  <w:footnote w:id="71">
    <w:p w14:paraId="064356B5" w14:textId="77777777" w:rsidR="000405C1" w:rsidRPr="00877BDE" w:rsidRDefault="000405C1" w:rsidP="000405C1">
      <w:pPr>
        <w:pStyle w:val="FootnoteText"/>
        <w:spacing w:line="276" w:lineRule="auto"/>
        <w:rPr>
          <w:rFonts w:eastAsia="Arial Unicode MS"/>
        </w:rPr>
      </w:pPr>
      <w:r w:rsidRPr="00877BDE">
        <w:rPr>
          <w:rStyle w:val="FootnoteReference"/>
          <w:rFonts w:eastAsia="Arial Unicode MS"/>
        </w:rPr>
        <w:footnoteRef/>
      </w:r>
      <w:r w:rsidRPr="00877BDE">
        <w:rPr>
          <w:rFonts w:eastAsia="Arial Unicode MS"/>
        </w:rPr>
        <w:t xml:space="preserve"> al-Maqrīzī, </w:t>
      </w:r>
      <w:r w:rsidRPr="00877BDE">
        <w:rPr>
          <w:rFonts w:eastAsia="Arial Unicode MS"/>
          <w:i/>
        </w:rPr>
        <w:t>Khiṭaṭ,</w:t>
      </w:r>
      <w:r w:rsidRPr="00877BDE">
        <w:rPr>
          <w:rFonts w:eastAsia="Arial Unicode MS"/>
        </w:rPr>
        <w:t xml:space="preserve"> 4, 1: 288.</w:t>
      </w:r>
    </w:p>
  </w:footnote>
  <w:footnote w:id="72">
    <w:p w14:paraId="60620743" w14:textId="77777777" w:rsidR="000405C1" w:rsidRPr="00DB120E" w:rsidRDefault="000405C1" w:rsidP="000405C1">
      <w:pPr>
        <w:pStyle w:val="FootnoteText"/>
        <w:spacing w:line="276" w:lineRule="auto"/>
        <w:rPr>
          <w:rFonts w:ascii="Gentium" w:eastAsia="Arial Unicode MS" w:hAnsi="Gentium" w:cs="Arial Unicode MS"/>
        </w:rPr>
      </w:pPr>
      <w:r w:rsidRPr="00877BDE">
        <w:rPr>
          <w:rStyle w:val="FootnoteReference"/>
          <w:rFonts w:eastAsia="Arial Unicode MS"/>
        </w:rPr>
        <w:footnoteRef/>
      </w:r>
      <w:r w:rsidRPr="00877BDE" w:rsidDel="0081132F">
        <w:rPr>
          <w:rFonts w:eastAsia="Arial Unicode MS"/>
        </w:rPr>
        <w:t>Ibid.</w:t>
      </w:r>
      <w:r w:rsidRPr="00877BDE">
        <w:rPr>
          <w:rFonts w:eastAsia="Arial Unicode MS"/>
        </w:rPr>
        <w:t>, 2: 445, 449.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5C1"/>
    <w:rsid w:val="000405C1"/>
    <w:rsid w:val="001521EA"/>
    <w:rsid w:val="00320B7D"/>
    <w:rsid w:val="005E2175"/>
    <w:rsid w:val="006538CF"/>
    <w:rsid w:val="00D72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6030"/>
  <w15:chartTrackingRefBased/>
  <w15:docId w15:val="{D998E519-2298-46A6-B244-30BC3F40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5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0405C1"/>
    <w:pPr>
      <w:spacing w:line="360" w:lineRule="auto"/>
    </w:pPr>
    <w:rPr>
      <w:sz w:val="20"/>
      <w:szCs w:val="20"/>
      <w:lang w:val="en-US" w:eastAsia="x-none"/>
    </w:rPr>
  </w:style>
  <w:style w:type="character" w:customStyle="1" w:styleId="BodyText3Char">
    <w:name w:val="Body Text 3 Char"/>
    <w:basedOn w:val="DefaultParagraphFont"/>
    <w:link w:val="BodyText3"/>
    <w:semiHidden/>
    <w:rsid w:val="000405C1"/>
    <w:rPr>
      <w:rFonts w:ascii="Times New Roman" w:eastAsia="Times New Roman" w:hAnsi="Times New Roman" w:cs="Times New Roman"/>
      <w:sz w:val="20"/>
      <w:szCs w:val="20"/>
      <w:lang w:val="en-US" w:eastAsia="x-none"/>
    </w:rPr>
  </w:style>
  <w:style w:type="paragraph" w:styleId="BodyTextIndent2">
    <w:name w:val="Body Text Indent 2"/>
    <w:basedOn w:val="Normal"/>
    <w:link w:val="BodyTextIndent2Char"/>
    <w:uiPriority w:val="99"/>
    <w:semiHidden/>
    <w:rsid w:val="000405C1"/>
    <w:pPr>
      <w:widowControl w:val="0"/>
      <w:autoSpaceDE w:val="0"/>
      <w:autoSpaceDN w:val="0"/>
      <w:adjustRightInd w:val="0"/>
      <w:ind w:left="1440" w:hanging="1440"/>
    </w:pPr>
    <w:rPr>
      <w:lang w:val="x-none" w:eastAsia="x-none"/>
    </w:rPr>
  </w:style>
  <w:style w:type="character" w:customStyle="1" w:styleId="BodyTextIndent2Char">
    <w:name w:val="Body Text Indent 2 Char"/>
    <w:basedOn w:val="DefaultParagraphFont"/>
    <w:link w:val="BodyTextIndent2"/>
    <w:uiPriority w:val="99"/>
    <w:semiHidden/>
    <w:rsid w:val="000405C1"/>
    <w:rPr>
      <w:rFonts w:ascii="Times New Roman" w:eastAsia="Times New Roman" w:hAnsi="Times New Roman" w:cs="Times New Roman"/>
      <w:sz w:val="24"/>
      <w:szCs w:val="24"/>
      <w:lang w:val="x-none" w:eastAsia="x-none"/>
    </w:rPr>
  </w:style>
  <w:style w:type="paragraph" w:styleId="BodyText">
    <w:name w:val="Body Text"/>
    <w:basedOn w:val="Normal"/>
    <w:link w:val="BodyTextChar"/>
    <w:unhideWhenUsed/>
    <w:rsid w:val="000405C1"/>
    <w:pPr>
      <w:spacing w:after="120"/>
    </w:pPr>
    <w:rPr>
      <w:lang w:val="x-none" w:eastAsia="x-none"/>
    </w:rPr>
  </w:style>
  <w:style w:type="character" w:customStyle="1" w:styleId="BodyTextChar">
    <w:name w:val="Body Text Char"/>
    <w:basedOn w:val="DefaultParagraphFont"/>
    <w:link w:val="BodyText"/>
    <w:rsid w:val="000405C1"/>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uiPriority w:val="99"/>
    <w:semiHidden/>
    <w:rsid w:val="000405C1"/>
    <w:rPr>
      <w:sz w:val="20"/>
      <w:szCs w:val="20"/>
      <w:lang w:val="en-US" w:eastAsia="x-none"/>
    </w:rPr>
  </w:style>
  <w:style w:type="character" w:customStyle="1" w:styleId="FootnoteTextChar">
    <w:name w:val="Footnote Text Char"/>
    <w:basedOn w:val="DefaultParagraphFont"/>
    <w:link w:val="FootnoteText"/>
    <w:uiPriority w:val="99"/>
    <w:semiHidden/>
    <w:rsid w:val="000405C1"/>
    <w:rPr>
      <w:rFonts w:ascii="Times New Roman" w:eastAsia="Times New Roman" w:hAnsi="Times New Roman" w:cs="Times New Roman"/>
      <w:sz w:val="20"/>
      <w:szCs w:val="20"/>
      <w:lang w:val="en-US" w:eastAsia="x-none"/>
    </w:rPr>
  </w:style>
  <w:style w:type="character" w:styleId="FootnoteReference">
    <w:name w:val="footnote reference"/>
    <w:uiPriority w:val="99"/>
    <w:semiHidden/>
    <w:unhideWhenUsed/>
    <w:rsid w:val="000405C1"/>
    <w:rPr>
      <w:vertAlign w:val="superscript"/>
    </w:rPr>
  </w:style>
  <w:style w:type="paragraph" w:customStyle="1" w:styleId="Pa1">
    <w:name w:val="Pa1"/>
    <w:basedOn w:val="Normal"/>
    <w:next w:val="Normal"/>
    <w:uiPriority w:val="99"/>
    <w:rsid w:val="000405C1"/>
    <w:pPr>
      <w:autoSpaceDE w:val="0"/>
      <w:autoSpaceDN w:val="0"/>
      <w:adjustRightInd w:val="0"/>
      <w:spacing w:line="241" w:lineRule="atLeast"/>
    </w:pPr>
    <w:rPr>
      <w:rFonts w:ascii="Charis SIL" w:eastAsia="Calibri" w:hAnsi="Charis SIL" w:cs="Arial"/>
    </w:rPr>
  </w:style>
  <w:style w:type="character" w:customStyle="1" w:styleId="A8">
    <w:name w:val="A8"/>
    <w:uiPriority w:val="99"/>
    <w:rsid w:val="000405C1"/>
    <w:rPr>
      <w:rFonts w:cs="Charis SIL"/>
      <w:color w:val="000000"/>
      <w:sz w:val="20"/>
      <w:szCs w:val="20"/>
    </w:rPr>
  </w:style>
  <w:style w:type="character" w:styleId="CommentReference">
    <w:name w:val="annotation reference"/>
    <w:uiPriority w:val="99"/>
    <w:semiHidden/>
    <w:unhideWhenUsed/>
    <w:rsid w:val="000405C1"/>
    <w:rPr>
      <w:sz w:val="16"/>
      <w:szCs w:val="16"/>
    </w:rPr>
  </w:style>
  <w:style w:type="paragraph" w:styleId="CommentText">
    <w:name w:val="annotation text"/>
    <w:basedOn w:val="Normal"/>
    <w:link w:val="CommentTextChar"/>
    <w:uiPriority w:val="99"/>
    <w:semiHidden/>
    <w:unhideWhenUsed/>
    <w:rsid w:val="000405C1"/>
    <w:rPr>
      <w:sz w:val="20"/>
      <w:szCs w:val="20"/>
      <w:lang w:eastAsia="x-none"/>
    </w:rPr>
  </w:style>
  <w:style w:type="character" w:customStyle="1" w:styleId="CommentTextChar">
    <w:name w:val="Comment Text Char"/>
    <w:basedOn w:val="DefaultParagraphFont"/>
    <w:link w:val="CommentText"/>
    <w:uiPriority w:val="99"/>
    <w:semiHidden/>
    <w:rsid w:val="000405C1"/>
    <w:rPr>
      <w:rFonts w:ascii="Times New Roman" w:eastAsia="Times New Roman" w:hAnsi="Times New Roman" w:cs="Times New Roman"/>
      <w:sz w:val="20"/>
      <w:szCs w:val="20"/>
      <w:lang w:eastAsia="x-none"/>
    </w:rPr>
  </w:style>
  <w:style w:type="paragraph" w:styleId="BalloonText">
    <w:name w:val="Balloon Text"/>
    <w:basedOn w:val="Normal"/>
    <w:link w:val="BalloonTextChar"/>
    <w:uiPriority w:val="99"/>
    <w:semiHidden/>
    <w:unhideWhenUsed/>
    <w:rsid w:val="005E2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175"/>
    <w:rPr>
      <w:rFonts w:ascii="Segoe UI" w:eastAsia="Times New Roman" w:hAnsi="Segoe UI" w:cs="Segoe UI"/>
      <w:sz w:val="18"/>
      <w:szCs w:val="18"/>
    </w:rPr>
  </w:style>
  <w:style w:type="paragraph" w:styleId="Revision">
    <w:name w:val="Revision"/>
    <w:hidden/>
    <w:uiPriority w:val="99"/>
    <w:semiHidden/>
    <w:rsid w:val="005E217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7358</Words>
  <Characters>41942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Cortese</dc:creator>
  <cp:keywords/>
  <dc:description/>
  <cp:lastModifiedBy>Delia Cortese</cp:lastModifiedBy>
  <cp:revision>2</cp:revision>
  <dcterms:created xsi:type="dcterms:W3CDTF">2019-11-29T12:46:00Z</dcterms:created>
  <dcterms:modified xsi:type="dcterms:W3CDTF">2019-11-29T14:45:00Z</dcterms:modified>
</cp:coreProperties>
</file>