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A921A" w14:textId="77777777" w:rsidR="007D3F40" w:rsidRPr="00296EA9" w:rsidRDefault="007D3F40" w:rsidP="00F910F2">
      <w:pPr>
        <w:rPr>
          <w:rFonts w:eastAsia="SimSun"/>
          <w:b/>
          <w:bCs/>
          <w:sz w:val="32"/>
          <w:szCs w:val="24"/>
          <w:lang w:eastAsia="zh-CN"/>
        </w:rPr>
      </w:pPr>
      <w:r w:rsidRPr="00296EA9">
        <w:rPr>
          <w:rFonts w:eastAsia="SimSun"/>
          <w:b/>
          <w:bCs/>
          <w:sz w:val="32"/>
          <w:szCs w:val="24"/>
          <w:lang w:eastAsia="zh-CN"/>
        </w:rPr>
        <w:t>Governing through Trust:</w:t>
      </w:r>
      <w:r w:rsidRPr="008D360D">
        <w:rPr>
          <w:rFonts w:eastAsia="SimSun"/>
          <w:b/>
          <w:bCs/>
          <w:sz w:val="32"/>
          <w:szCs w:val="24"/>
          <w:lang w:eastAsia="zh-CN"/>
        </w:rPr>
        <w:t xml:space="preserve"> </w:t>
      </w:r>
      <w:r w:rsidRPr="00296EA9">
        <w:rPr>
          <w:rFonts w:eastAsia="SimSun"/>
          <w:b/>
          <w:bCs/>
          <w:sz w:val="32"/>
          <w:szCs w:val="24"/>
          <w:lang w:eastAsia="zh-CN"/>
        </w:rPr>
        <w:t>Community-based link workers and parental engagement in education</w:t>
      </w:r>
    </w:p>
    <w:p w14:paraId="47134CEB" w14:textId="306409D8" w:rsidR="007D3F40" w:rsidRDefault="00D229CD" w:rsidP="00F910F2">
      <w:pPr>
        <w:jc w:val="both"/>
      </w:pPr>
      <w:r>
        <w:t>Nathan Fretwell*</w:t>
      </w:r>
      <w:r w:rsidR="001811DA">
        <w:rPr>
          <w:vertAlign w:val="superscript"/>
        </w:rPr>
        <w:t>a</w:t>
      </w:r>
      <w:r>
        <w:t xml:space="preserve">, Jayne </w:t>
      </w:r>
      <w:proofErr w:type="spellStart"/>
      <w:r>
        <w:t>Osgood</w:t>
      </w:r>
      <w:r w:rsidR="001811DA">
        <w:rPr>
          <w:vertAlign w:val="superscript"/>
        </w:rPr>
        <w:t>a</w:t>
      </w:r>
      <w:proofErr w:type="spellEnd"/>
      <w:r>
        <w:t xml:space="preserve">, Gill </w:t>
      </w:r>
      <w:proofErr w:type="spellStart"/>
      <w:r>
        <w:t>O’Toole</w:t>
      </w:r>
      <w:r w:rsidR="001811DA">
        <w:rPr>
          <w:vertAlign w:val="superscript"/>
        </w:rPr>
        <w:t>b</w:t>
      </w:r>
      <w:proofErr w:type="spellEnd"/>
      <w:r>
        <w:t xml:space="preserve"> and Maria </w:t>
      </w:r>
      <w:proofErr w:type="spellStart"/>
      <w:r>
        <w:t>Tsouroufli</w:t>
      </w:r>
      <w:r w:rsidR="001811DA">
        <w:rPr>
          <w:vertAlign w:val="superscript"/>
        </w:rPr>
        <w:t>c</w:t>
      </w:r>
      <w:proofErr w:type="spellEnd"/>
      <w:r>
        <w:t xml:space="preserve"> </w:t>
      </w:r>
    </w:p>
    <w:p w14:paraId="5B046B3A" w14:textId="10B35B03" w:rsidR="00D229CD" w:rsidRPr="001811DA" w:rsidRDefault="001811DA" w:rsidP="00F910F2">
      <w:pPr>
        <w:jc w:val="both"/>
        <w:rPr>
          <w:i/>
        </w:rPr>
      </w:pPr>
      <w:proofErr w:type="spellStart"/>
      <w:r w:rsidRPr="001811DA">
        <w:rPr>
          <w:i/>
          <w:vertAlign w:val="superscript"/>
        </w:rPr>
        <w:t>a</w:t>
      </w:r>
      <w:r w:rsidRPr="001811DA">
        <w:rPr>
          <w:i/>
        </w:rPr>
        <w:t>Department</w:t>
      </w:r>
      <w:proofErr w:type="spellEnd"/>
      <w:r w:rsidRPr="001811DA">
        <w:rPr>
          <w:i/>
        </w:rPr>
        <w:t xml:space="preserve"> of Education, </w:t>
      </w:r>
      <w:r w:rsidR="00D229CD" w:rsidRPr="001811DA">
        <w:rPr>
          <w:i/>
        </w:rPr>
        <w:t>Middlesex University</w:t>
      </w:r>
      <w:r w:rsidRPr="001811DA">
        <w:rPr>
          <w:i/>
        </w:rPr>
        <w:t xml:space="preserve">, London, UK; </w:t>
      </w:r>
      <w:proofErr w:type="spellStart"/>
      <w:r w:rsidRPr="001811DA">
        <w:rPr>
          <w:i/>
          <w:vertAlign w:val="superscript"/>
        </w:rPr>
        <w:t>b</w:t>
      </w:r>
      <w:r w:rsidRPr="001811DA">
        <w:rPr>
          <w:i/>
        </w:rPr>
        <w:t>Independent</w:t>
      </w:r>
      <w:proofErr w:type="spellEnd"/>
      <w:r w:rsidRPr="001811DA">
        <w:rPr>
          <w:i/>
        </w:rPr>
        <w:t xml:space="preserve"> Researcher; </w:t>
      </w:r>
      <w:proofErr w:type="spellStart"/>
      <w:r w:rsidRPr="001811DA">
        <w:rPr>
          <w:i/>
          <w:vertAlign w:val="superscript"/>
        </w:rPr>
        <w:t>c</w:t>
      </w:r>
      <w:r w:rsidRPr="001811DA">
        <w:rPr>
          <w:i/>
        </w:rPr>
        <w:t>University</w:t>
      </w:r>
      <w:proofErr w:type="spellEnd"/>
      <w:r w:rsidRPr="001811DA">
        <w:rPr>
          <w:i/>
        </w:rPr>
        <w:t xml:space="preserve"> of Wolverhampton, Wolverhampton, UK.</w:t>
      </w:r>
    </w:p>
    <w:p w14:paraId="60AC321A" w14:textId="5CD2682C" w:rsidR="001811DA" w:rsidRDefault="001811DA" w:rsidP="00F910F2">
      <w:pPr>
        <w:jc w:val="both"/>
        <w:rPr>
          <w:rFonts w:eastAsia="SimSun"/>
          <w:sz w:val="20"/>
          <w:lang w:eastAsia="zh-CN"/>
        </w:rPr>
      </w:pPr>
    </w:p>
    <w:p w14:paraId="0EF33BDA" w14:textId="4827C84F" w:rsidR="00607684" w:rsidRDefault="00607684" w:rsidP="00F910F2">
      <w:pPr>
        <w:jc w:val="both"/>
        <w:rPr>
          <w:rFonts w:eastAsia="SimSun"/>
          <w:sz w:val="20"/>
          <w:lang w:eastAsia="zh-CN"/>
        </w:rPr>
      </w:pPr>
      <w:r>
        <w:rPr>
          <w:rFonts w:eastAsia="SimSun"/>
          <w:sz w:val="20"/>
          <w:lang w:eastAsia="zh-CN"/>
        </w:rPr>
        <w:t xml:space="preserve">*Corresponding author: </w:t>
      </w:r>
      <w:r w:rsidR="004E1EB0">
        <w:rPr>
          <w:rFonts w:eastAsia="SimSun"/>
          <w:sz w:val="20"/>
          <w:lang w:eastAsia="zh-CN"/>
        </w:rPr>
        <w:t xml:space="preserve">Department of Education, Middlesex University, The Burroughs, Hendon, London NW4 4BT. Email: </w:t>
      </w:r>
      <w:hyperlink r:id="rId8" w:history="1">
        <w:r w:rsidR="004E1EB0" w:rsidRPr="00DF3387">
          <w:rPr>
            <w:rStyle w:val="Hyperlink"/>
            <w:rFonts w:eastAsia="SimSun"/>
            <w:sz w:val="20"/>
            <w:lang w:eastAsia="zh-CN"/>
          </w:rPr>
          <w:t>n.fretwell@mdx.ac.uk</w:t>
        </w:r>
      </w:hyperlink>
      <w:r w:rsidR="004E1EB0">
        <w:rPr>
          <w:rFonts w:eastAsia="SimSun"/>
          <w:sz w:val="20"/>
          <w:lang w:eastAsia="zh-CN"/>
        </w:rPr>
        <w:t xml:space="preserve"> </w:t>
      </w:r>
    </w:p>
    <w:p w14:paraId="5474170E" w14:textId="04A548FC" w:rsidR="00607684" w:rsidRDefault="00607684" w:rsidP="00F910F2">
      <w:pPr>
        <w:jc w:val="both"/>
        <w:rPr>
          <w:rFonts w:eastAsia="SimSun"/>
          <w:sz w:val="20"/>
          <w:lang w:eastAsia="zh-CN"/>
        </w:rPr>
      </w:pPr>
    </w:p>
    <w:p w14:paraId="53ED974E" w14:textId="77777777" w:rsidR="00607684" w:rsidRDefault="00607684" w:rsidP="00F910F2">
      <w:pPr>
        <w:jc w:val="both"/>
        <w:rPr>
          <w:rFonts w:eastAsia="SimSun"/>
          <w:sz w:val="20"/>
          <w:lang w:eastAsia="zh-CN"/>
        </w:rPr>
      </w:pPr>
    </w:p>
    <w:p w14:paraId="38707EA6" w14:textId="3E594C23" w:rsidR="00666F41" w:rsidRDefault="00D229CD" w:rsidP="00F910F2">
      <w:pPr>
        <w:jc w:val="both"/>
        <w:rPr>
          <w:rFonts w:eastAsia="SimSun"/>
          <w:sz w:val="20"/>
          <w:lang w:eastAsia="zh-CN"/>
        </w:rPr>
      </w:pPr>
      <w:r w:rsidRPr="00D229CD">
        <w:rPr>
          <w:rFonts w:eastAsia="SimSun"/>
          <w:sz w:val="20"/>
          <w:lang w:eastAsia="zh-CN"/>
        </w:rPr>
        <w:t xml:space="preserve">This </w:t>
      </w:r>
      <w:r w:rsidR="00677074">
        <w:rPr>
          <w:rFonts w:eastAsia="SimSun"/>
          <w:sz w:val="20"/>
          <w:lang w:eastAsia="zh-CN"/>
        </w:rPr>
        <w:t>article</w:t>
      </w:r>
      <w:r w:rsidRPr="00D229CD">
        <w:rPr>
          <w:rFonts w:eastAsia="SimSun"/>
          <w:sz w:val="20"/>
          <w:lang w:eastAsia="zh-CN"/>
        </w:rPr>
        <w:t xml:space="preserve"> seeks to further understandings of contemporary patterns of parental government. </w:t>
      </w:r>
      <w:r w:rsidR="001F593C">
        <w:rPr>
          <w:rFonts w:eastAsia="SimSun"/>
          <w:sz w:val="20"/>
          <w:lang w:eastAsia="zh-CN"/>
        </w:rPr>
        <w:t xml:space="preserve">It </w:t>
      </w:r>
      <w:r w:rsidR="000F1C5A">
        <w:rPr>
          <w:rFonts w:eastAsia="SimSun"/>
          <w:sz w:val="20"/>
          <w:lang w:eastAsia="zh-CN"/>
        </w:rPr>
        <w:t>explore</w:t>
      </w:r>
      <w:r w:rsidR="001F593C">
        <w:rPr>
          <w:rFonts w:eastAsia="SimSun"/>
          <w:sz w:val="20"/>
          <w:lang w:eastAsia="zh-CN"/>
        </w:rPr>
        <w:t>s</w:t>
      </w:r>
      <w:r w:rsidR="000F1C5A">
        <w:rPr>
          <w:rFonts w:eastAsia="SimSun"/>
          <w:sz w:val="20"/>
          <w:lang w:eastAsia="zh-CN"/>
        </w:rPr>
        <w:t xml:space="preserve"> </w:t>
      </w:r>
      <w:r w:rsidR="00E40789">
        <w:rPr>
          <w:rFonts w:eastAsia="SimSun"/>
          <w:sz w:val="20"/>
          <w:lang w:eastAsia="zh-CN"/>
        </w:rPr>
        <w:t>the</w:t>
      </w:r>
      <w:r w:rsidR="000F1C5A">
        <w:rPr>
          <w:rFonts w:eastAsia="SimSun"/>
          <w:sz w:val="20"/>
          <w:lang w:eastAsia="zh-CN"/>
        </w:rPr>
        <w:t xml:space="preserve"> politicisation of family life by examining a</w:t>
      </w:r>
      <w:r w:rsidR="00372F0E">
        <w:rPr>
          <w:rFonts w:eastAsia="SimSun"/>
          <w:sz w:val="20"/>
          <w:lang w:eastAsia="zh-CN"/>
        </w:rPr>
        <w:t xml:space="preserve"> pilot programme </w:t>
      </w:r>
      <w:r w:rsidR="008C14B4">
        <w:rPr>
          <w:rFonts w:eastAsia="SimSun"/>
          <w:sz w:val="20"/>
          <w:lang w:eastAsia="zh-CN"/>
        </w:rPr>
        <w:t>tasked with enhancing parental engagement in education amongst ‘hard-to-reach’ families within the white</w:t>
      </w:r>
      <w:r w:rsidR="006B134C">
        <w:rPr>
          <w:rFonts w:eastAsia="SimSun"/>
          <w:sz w:val="20"/>
          <w:lang w:eastAsia="zh-CN"/>
        </w:rPr>
        <w:t xml:space="preserve"> </w:t>
      </w:r>
      <w:r w:rsidR="008C14B4">
        <w:rPr>
          <w:rFonts w:eastAsia="SimSun"/>
          <w:sz w:val="20"/>
          <w:lang w:eastAsia="zh-CN"/>
        </w:rPr>
        <w:t xml:space="preserve">British community of a large inner-London borough. </w:t>
      </w:r>
      <w:bookmarkStart w:id="0" w:name="_Hlk509926930"/>
      <w:r w:rsidR="00F16742">
        <w:rPr>
          <w:rFonts w:eastAsia="SimSun"/>
          <w:sz w:val="20"/>
          <w:lang w:eastAsia="zh-CN"/>
        </w:rPr>
        <w:t>Focusing on</w:t>
      </w:r>
      <w:r w:rsidR="00C2133B">
        <w:rPr>
          <w:rFonts w:eastAsia="SimSun"/>
          <w:sz w:val="20"/>
          <w:lang w:eastAsia="zh-CN"/>
        </w:rPr>
        <w:t xml:space="preserve"> the </w:t>
      </w:r>
      <w:r w:rsidR="00372F0E">
        <w:rPr>
          <w:rFonts w:eastAsia="SimSun"/>
          <w:sz w:val="20"/>
          <w:lang w:eastAsia="zh-CN"/>
        </w:rPr>
        <w:t>programme’s</w:t>
      </w:r>
      <w:r w:rsidR="00C2133B">
        <w:rPr>
          <w:rFonts w:eastAsia="SimSun"/>
          <w:sz w:val="20"/>
          <w:lang w:eastAsia="zh-CN"/>
        </w:rPr>
        <w:t xml:space="preserve"> signature device</w:t>
      </w:r>
      <w:r w:rsidR="00911B13">
        <w:rPr>
          <w:rFonts w:eastAsia="SimSun"/>
          <w:sz w:val="20"/>
          <w:lang w:eastAsia="zh-CN"/>
        </w:rPr>
        <w:t xml:space="preserve"> </w:t>
      </w:r>
      <w:r w:rsidR="00C2133B">
        <w:rPr>
          <w:rFonts w:eastAsia="SimSun"/>
          <w:sz w:val="20"/>
          <w:lang w:eastAsia="zh-CN"/>
        </w:rPr>
        <w:t xml:space="preserve">– the deployment of community-based ‘link workers’ to bridge home and school – </w:t>
      </w:r>
      <w:r w:rsidR="00B217D5" w:rsidRPr="00B217D5">
        <w:rPr>
          <w:rFonts w:eastAsia="SimSun"/>
          <w:sz w:val="20"/>
          <w:lang w:eastAsia="zh-CN"/>
        </w:rPr>
        <w:t>‘governmentality’ (Foucault, 2009) is used as a theoretical lens through which to foreground the link workers’ role in governing parents</w:t>
      </w:r>
      <w:r w:rsidR="00C2133B">
        <w:rPr>
          <w:rFonts w:eastAsia="SimSun"/>
          <w:sz w:val="20"/>
          <w:lang w:eastAsia="zh-CN"/>
        </w:rPr>
        <w:t xml:space="preserve">. </w:t>
      </w:r>
      <w:bookmarkStart w:id="1" w:name="_Hlk509927293"/>
      <w:bookmarkEnd w:id="0"/>
      <w:r w:rsidR="00911B13">
        <w:rPr>
          <w:rFonts w:eastAsia="SimSun"/>
          <w:sz w:val="20"/>
          <w:lang w:eastAsia="zh-CN"/>
        </w:rPr>
        <w:t xml:space="preserve">We draw on qualitative data collected from link workers, parents, and school leaders, to argue that link workers represent a mode of governmentality </w:t>
      </w:r>
      <w:r w:rsidR="00273C70">
        <w:rPr>
          <w:rFonts w:eastAsia="SimSun"/>
          <w:sz w:val="20"/>
          <w:lang w:eastAsia="zh-CN"/>
        </w:rPr>
        <w:t xml:space="preserve">that </w:t>
      </w:r>
      <w:r w:rsidR="00EB02BC">
        <w:rPr>
          <w:rFonts w:eastAsia="SimSun"/>
          <w:sz w:val="20"/>
          <w:lang w:eastAsia="zh-CN"/>
        </w:rPr>
        <w:t>privileges</w:t>
      </w:r>
      <w:r w:rsidR="00273C70">
        <w:rPr>
          <w:rFonts w:eastAsia="SimSun"/>
          <w:sz w:val="20"/>
          <w:lang w:eastAsia="zh-CN"/>
        </w:rPr>
        <w:t xml:space="preserve"> the instrumental use of trust to achieve strategic objectives, rather than coercive authority. </w:t>
      </w:r>
      <w:bookmarkEnd w:id="1"/>
      <w:r w:rsidR="00273C70">
        <w:rPr>
          <w:rFonts w:eastAsia="SimSun"/>
          <w:sz w:val="20"/>
          <w:lang w:eastAsia="zh-CN"/>
        </w:rPr>
        <w:t>The aim being to produce responsible, self-disciplined parents who act freely in accordance with normative expectations as to what constitutes ‘good’ parenting and effective parental support.</w:t>
      </w:r>
      <w:bookmarkStart w:id="2" w:name="_Hlk509138172"/>
      <w:r w:rsidR="00273C70">
        <w:rPr>
          <w:rFonts w:eastAsia="SimSun"/>
          <w:sz w:val="20"/>
          <w:lang w:eastAsia="zh-CN"/>
        </w:rPr>
        <w:t xml:space="preserve"> </w:t>
      </w:r>
      <w:r w:rsidR="00703933">
        <w:rPr>
          <w:rFonts w:eastAsia="SimSun"/>
          <w:sz w:val="20"/>
          <w:lang w:eastAsia="zh-CN"/>
        </w:rPr>
        <w:t xml:space="preserve">As such, the article highlights the link workers’ role in (re)producing the ideal, neoliberal parent. However, governing through trust </w:t>
      </w:r>
      <w:r w:rsidR="00B3512F">
        <w:rPr>
          <w:rFonts w:eastAsia="SimSun"/>
          <w:sz w:val="20"/>
          <w:lang w:eastAsia="zh-CN"/>
        </w:rPr>
        <w:t>comes at the cost of being unable to firmly secure desir</w:t>
      </w:r>
      <w:r w:rsidR="00666F41">
        <w:rPr>
          <w:rFonts w:eastAsia="SimSun"/>
          <w:sz w:val="20"/>
          <w:lang w:eastAsia="zh-CN"/>
        </w:rPr>
        <w:t>ed</w:t>
      </w:r>
      <w:r w:rsidR="00B3512F">
        <w:rPr>
          <w:rFonts w:eastAsia="SimSun"/>
          <w:sz w:val="20"/>
          <w:lang w:eastAsia="zh-CN"/>
        </w:rPr>
        <w:t xml:space="preserve"> outcomes. We </w:t>
      </w:r>
      <w:r w:rsidR="00666F41">
        <w:rPr>
          <w:rFonts w:eastAsia="SimSun"/>
          <w:sz w:val="20"/>
          <w:lang w:eastAsia="zh-CN"/>
        </w:rPr>
        <w:t>thereby</w:t>
      </w:r>
      <w:r w:rsidR="00B3512F">
        <w:rPr>
          <w:rFonts w:eastAsia="SimSun"/>
          <w:sz w:val="20"/>
          <w:lang w:eastAsia="zh-CN"/>
        </w:rPr>
        <w:t xml:space="preserve"> conclude that this gentle art of parental government </w:t>
      </w:r>
      <w:r w:rsidR="00666F41">
        <w:rPr>
          <w:rFonts w:eastAsia="SimSun"/>
          <w:sz w:val="20"/>
          <w:lang w:eastAsia="zh-CN"/>
        </w:rPr>
        <w:t xml:space="preserve">affords parents some latitude in resisting institutional </w:t>
      </w:r>
      <w:r w:rsidR="00995458">
        <w:rPr>
          <w:rFonts w:eastAsia="SimSun"/>
          <w:sz w:val="20"/>
          <w:lang w:eastAsia="zh-CN"/>
        </w:rPr>
        <w:t xml:space="preserve">agendas. </w:t>
      </w:r>
    </w:p>
    <w:bookmarkEnd w:id="2"/>
    <w:p w14:paraId="23FBBA67" w14:textId="77777777" w:rsidR="00677074" w:rsidRDefault="00677074" w:rsidP="00F910F2">
      <w:pPr>
        <w:jc w:val="both"/>
        <w:rPr>
          <w:rFonts w:eastAsia="SimSun"/>
          <w:sz w:val="20"/>
          <w:lang w:eastAsia="zh-CN"/>
        </w:rPr>
      </w:pPr>
    </w:p>
    <w:p w14:paraId="24B5BB01" w14:textId="40FA7C93" w:rsidR="00F008BB" w:rsidRDefault="00493FF9" w:rsidP="00F910F2">
      <w:pPr>
        <w:jc w:val="both"/>
        <w:rPr>
          <w:rFonts w:eastAsia="SimSun"/>
          <w:sz w:val="20"/>
          <w:lang w:eastAsia="zh-CN"/>
        </w:rPr>
      </w:pPr>
      <w:r w:rsidRPr="00493FF9">
        <w:rPr>
          <w:rFonts w:eastAsia="SimSun"/>
          <w:b/>
          <w:sz w:val="20"/>
          <w:lang w:eastAsia="zh-CN"/>
        </w:rPr>
        <w:t>Keywords:</w:t>
      </w:r>
      <w:r>
        <w:rPr>
          <w:rFonts w:eastAsia="SimSun"/>
          <w:sz w:val="20"/>
          <w:lang w:eastAsia="zh-CN"/>
        </w:rPr>
        <w:t xml:space="preserve"> parental engagement; parenting support; governmentality</w:t>
      </w:r>
      <w:r w:rsidR="00CE1BF7">
        <w:rPr>
          <w:rFonts w:eastAsia="SimSun"/>
          <w:sz w:val="20"/>
          <w:lang w:eastAsia="zh-CN"/>
        </w:rPr>
        <w:t>, education</w:t>
      </w:r>
    </w:p>
    <w:p w14:paraId="53592E36" w14:textId="77777777" w:rsidR="008242E6" w:rsidRDefault="008242E6" w:rsidP="00F910F2">
      <w:pPr>
        <w:jc w:val="both"/>
        <w:rPr>
          <w:rFonts w:eastAsia="SimSun"/>
          <w:b/>
          <w:sz w:val="28"/>
          <w:lang w:eastAsia="zh-CN"/>
        </w:rPr>
      </w:pPr>
    </w:p>
    <w:p w14:paraId="3CEC80D3" w14:textId="77777777" w:rsidR="00E8734E" w:rsidRDefault="00E8734E" w:rsidP="00F910F2">
      <w:pPr>
        <w:jc w:val="both"/>
        <w:rPr>
          <w:rFonts w:eastAsia="SimSun"/>
          <w:b/>
          <w:sz w:val="28"/>
          <w:lang w:eastAsia="zh-CN"/>
        </w:rPr>
      </w:pPr>
    </w:p>
    <w:p w14:paraId="5B311148" w14:textId="6210E34A" w:rsidR="007D3F40" w:rsidRPr="009D436D" w:rsidRDefault="007D3F40" w:rsidP="00F910F2">
      <w:pPr>
        <w:jc w:val="both"/>
        <w:rPr>
          <w:rFonts w:eastAsia="SimSun"/>
          <w:b/>
          <w:sz w:val="28"/>
          <w:lang w:eastAsia="zh-CN"/>
        </w:rPr>
      </w:pPr>
      <w:r w:rsidRPr="007D3F40">
        <w:rPr>
          <w:rFonts w:eastAsia="SimSun"/>
          <w:b/>
          <w:sz w:val="28"/>
          <w:lang w:eastAsia="zh-CN"/>
        </w:rPr>
        <w:t>Introduction</w:t>
      </w:r>
    </w:p>
    <w:p w14:paraId="306C7A86" w14:textId="77777777" w:rsidR="00E8734E" w:rsidRDefault="00E8734E" w:rsidP="00F910F2">
      <w:pPr>
        <w:jc w:val="both"/>
      </w:pPr>
    </w:p>
    <w:p w14:paraId="32A3B226" w14:textId="35E89ED9" w:rsidR="008F3011" w:rsidRDefault="007D3F40" w:rsidP="00F910F2">
      <w:pPr>
        <w:jc w:val="both"/>
      </w:pPr>
      <w:r w:rsidRPr="007D3F40">
        <w:t>Parenting has emerged as a key policy domain in twenty-first century Britain</w:t>
      </w:r>
      <w:r w:rsidR="0047714C">
        <w:t xml:space="preserve"> (</w:t>
      </w:r>
      <w:r w:rsidR="00855E7B">
        <w:t>Cameron, 2016</w:t>
      </w:r>
      <w:r w:rsidR="00252A92">
        <w:t>;</w:t>
      </w:r>
      <w:r w:rsidR="00252A92" w:rsidRPr="00252A92">
        <w:t xml:space="preserve"> </w:t>
      </w:r>
      <w:r w:rsidR="00252A92">
        <w:t>DfES, 2007; Home Office, 1998</w:t>
      </w:r>
      <w:r w:rsidR="00855E7B">
        <w:t>)</w:t>
      </w:r>
      <w:r w:rsidR="00AE7D87">
        <w:t xml:space="preserve"> </w:t>
      </w:r>
      <w:r w:rsidR="001D7581">
        <w:t>and</w:t>
      </w:r>
      <w:r w:rsidR="00390BCE">
        <w:t xml:space="preserve"> parents have become subject to increasing levels of public scrutiny.</w:t>
      </w:r>
      <w:r w:rsidR="001D7581">
        <w:t xml:space="preserve"> </w:t>
      </w:r>
      <w:r w:rsidR="00390BCE">
        <w:t>T</w:t>
      </w:r>
      <w:r w:rsidR="000B3F86">
        <w:t xml:space="preserve">his </w:t>
      </w:r>
      <w:r w:rsidR="00995458">
        <w:t>article</w:t>
      </w:r>
      <w:r w:rsidR="000B3F86">
        <w:t xml:space="preserve"> explores the politicisation of family life by examining </w:t>
      </w:r>
      <w:r w:rsidR="00F824B1">
        <w:t>a</w:t>
      </w:r>
      <w:r w:rsidR="000B3F86">
        <w:t xml:space="preserve"> </w:t>
      </w:r>
      <w:r w:rsidR="00372F0E">
        <w:t xml:space="preserve">pilot </w:t>
      </w:r>
      <w:r w:rsidR="003A53AF">
        <w:t>programme</w:t>
      </w:r>
      <w:r w:rsidR="000B3F86">
        <w:t xml:space="preserve"> tasked with enhancing</w:t>
      </w:r>
      <w:r w:rsidR="000B3F86" w:rsidRPr="00F560D5">
        <w:t xml:space="preserve"> parental engagement in education amongst </w:t>
      </w:r>
      <w:r w:rsidR="000B3F86">
        <w:t>‘hard-to-reach’</w:t>
      </w:r>
      <w:r w:rsidR="000B3F86" w:rsidRPr="00F560D5">
        <w:t xml:space="preserve"> families within the white</w:t>
      </w:r>
      <w:r w:rsidR="00F457F0">
        <w:t xml:space="preserve"> </w:t>
      </w:r>
      <w:r w:rsidR="000B3F86" w:rsidRPr="00F560D5">
        <w:t>British community of a large inner-London borough</w:t>
      </w:r>
      <w:r w:rsidR="004600F9">
        <w:t>.</w:t>
      </w:r>
      <w:r w:rsidR="00F157E0">
        <w:rPr>
          <w:vertAlign w:val="superscript"/>
        </w:rPr>
        <w:t>1</w:t>
      </w:r>
      <w:r w:rsidR="004600F9">
        <w:t xml:space="preserve"> </w:t>
      </w:r>
      <w:r w:rsidR="00F16742">
        <w:t>Focusing on</w:t>
      </w:r>
      <w:r w:rsidR="00F821AA" w:rsidRPr="00F821AA">
        <w:t xml:space="preserve"> the </w:t>
      </w:r>
      <w:r w:rsidR="003A53AF">
        <w:t>programme’s</w:t>
      </w:r>
      <w:r w:rsidR="00F821AA" w:rsidRPr="00F821AA">
        <w:t xml:space="preserve"> signature device – the deployment of community-based ‘link workers’ to bridge home and school – ‘governmentality’</w:t>
      </w:r>
      <w:r w:rsidR="008F3011">
        <w:t xml:space="preserve"> (Foucault, 2009)</w:t>
      </w:r>
      <w:r w:rsidR="00F821AA" w:rsidRPr="00F821AA">
        <w:t xml:space="preserve"> is used </w:t>
      </w:r>
      <w:r w:rsidR="008F3011">
        <w:t xml:space="preserve">as a lens through which </w:t>
      </w:r>
      <w:r w:rsidR="00F821AA" w:rsidRPr="00F821AA">
        <w:t>to foreground the link workers’ role in governing parents</w:t>
      </w:r>
      <w:r w:rsidR="008F3011">
        <w:t>.</w:t>
      </w:r>
      <w:r w:rsidR="004600F9">
        <w:rPr>
          <w:rFonts w:eastAsia="SimSun"/>
          <w:lang w:eastAsia="zh-CN"/>
        </w:rPr>
        <w:t xml:space="preserve"> </w:t>
      </w:r>
      <w:r w:rsidR="008F3011" w:rsidRPr="008F3011">
        <w:t xml:space="preserve">We draw on qualitative data collected from link workers, parents, and school leaders, to argue that link workers represent a mode of governmentality that privileges the instrumental use of trust to achieve strategic objectives, rather than </w:t>
      </w:r>
      <w:r w:rsidR="00F16742">
        <w:t>coercion</w:t>
      </w:r>
      <w:r w:rsidR="008F3011" w:rsidRPr="008F3011">
        <w:t xml:space="preserve">. The aim being to produce responsible, self-disciplined parents who act freely in accordance with normative expectations as to what constitutes ‘good’ parenting and effective parental support. </w:t>
      </w:r>
      <w:r w:rsidR="00241791">
        <w:t>The</w:t>
      </w:r>
      <w:r w:rsidR="008F3011" w:rsidRPr="008F3011">
        <w:t xml:space="preserve"> article</w:t>
      </w:r>
      <w:r w:rsidR="00241791">
        <w:t xml:space="preserve"> thereby</w:t>
      </w:r>
      <w:r w:rsidR="008F3011" w:rsidRPr="008F3011">
        <w:t xml:space="preserve"> highlights the link workers’ role in (re)producing the ideal, neoliberal parent.</w:t>
      </w:r>
    </w:p>
    <w:p w14:paraId="2D5B2FB0" w14:textId="309BA077" w:rsidR="003A53AF" w:rsidRDefault="00E4762D" w:rsidP="00F910F2">
      <w:pPr>
        <w:jc w:val="both"/>
      </w:pPr>
      <w:r>
        <w:tab/>
        <w:t xml:space="preserve">The </w:t>
      </w:r>
      <w:r w:rsidR="008F3011">
        <w:t>article</w:t>
      </w:r>
      <w:r>
        <w:t xml:space="preserve"> </w:t>
      </w:r>
      <w:r w:rsidR="004B4573">
        <w:t>begins by</w:t>
      </w:r>
      <w:r w:rsidR="000F2C00">
        <w:t xml:space="preserve"> theoretically framing the </w:t>
      </w:r>
      <w:r w:rsidR="00390BCE">
        <w:t xml:space="preserve">research </w:t>
      </w:r>
      <w:r w:rsidR="000F2C00">
        <w:t xml:space="preserve">and </w:t>
      </w:r>
      <w:r w:rsidR="007D77C2">
        <w:t>surveying</w:t>
      </w:r>
      <w:r w:rsidR="000F2C00">
        <w:t xml:space="preserve"> </w:t>
      </w:r>
      <w:r w:rsidR="007C33FD">
        <w:t xml:space="preserve">the </w:t>
      </w:r>
      <w:r w:rsidR="00833C6E">
        <w:t xml:space="preserve">political discourse </w:t>
      </w:r>
      <w:r w:rsidR="007D77C2">
        <w:t>surrounding</w:t>
      </w:r>
      <w:r w:rsidR="000F2C00">
        <w:t xml:space="preserve"> </w:t>
      </w:r>
      <w:r w:rsidR="00833C6E">
        <w:t xml:space="preserve">parenting. </w:t>
      </w:r>
      <w:r w:rsidR="004B4573">
        <w:t xml:space="preserve">We then provide an overview of the </w:t>
      </w:r>
      <w:r w:rsidR="003A53AF">
        <w:t>programme</w:t>
      </w:r>
      <w:r w:rsidR="00D50F1B">
        <w:t xml:space="preserve"> and </w:t>
      </w:r>
      <w:r w:rsidR="008F3011">
        <w:t>research methodology</w:t>
      </w:r>
      <w:r w:rsidR="00D50F1B">
        <w:t xml:space="preserve">. </w:t>
      </w:r>
      <w:r w:rsidR="00A450CC">
        <w:t>Next</w:t>
      </w:r>
      <w:r w:rsidR="00D50F1B">
        <w:t xml:space="preserve">, </w:t>
      </w:r>
      <w:r w:rsidR="0054344D">
        <w:t xml:space="preserve">we introduce </w:t>
      </w:r>
      <w:r w:rsidR="008D14F9">
        <w:t>the</w:t>
      </w:r>
      <w:r w:rsidR="0054344D">
        <w:t xml:space="preserve"> trust-based model of parental government. </w:t>
      </w:r>
      <w:r w:rsidR="008F3011">
        <w:t xml:space="preserve">Three techniques </w:t>
      </w:r>
      <w:r w:rsidR="003A53AF">
        <w:t xml:space="preserve">for generating trust and trustworthiness are identified </w:t>
      </w:r>
      <w:r w:rsidR="00F87ACF">
        <w:t>–</w:t>
      </w:r>
      <w:r w:rsidR="00DF682E">
        <w:t xml:space="preserve"> </w:t>
      </w:r>
      <w:r w:rsidR="008D14F9">
        <w:t>community connectedness; distancing; and contrived conviviality</w:t>
      </w:r>
      <w:r w:rsidR="00F87ACF">
        <w:t xml:space="preserve"> –</w:t>
      </w:r>
      <w:r w:rsidR="00DF682E">
        <w:t xml:space="preserve"> </w:t>
      </w:r>
      <w:r w:rsidR="00F87ACF">
        <w:t>and</w:t>
      </w:r>
      <w:r w:rsidR="00303868">
        <w:t xml:space="preserve"> </w:t>
      </w:r>
      <w:r w:rsidR="008F3011">
        <w:t xml:space="preserve">we </w:t>
      </w:r>
      <w:r w:rsidR="00DF682E">
        <w:t>detail</w:t>
      </w:r>
      <w:r w:rsidR="00303868">
        <w:t xml:space="preserve"> </w:t>
      </w:r>
      <w:r w:rsidR="006B134C">
        <w:t>their use in</w:t>
      </w:r>
      <w:r w:rsidR="003A53AF">
        <w:t xml:space="preserve"> help</w:t>
      </w:r>
      <w:r w:rsidR="006B134C">
        <w:t>ing</w:t>
      </w:r>
      <w:r w:rsidR="003A53AF">
        <w:t xml:space="preserve"> link workers remodel parents’ conduct. The last section focuses on parents’ subversion of</w:t>
      </w:r>
      <w:r w:rsidR="006B134C">
        <w:t xml:space="preserve"> the</w:t>
      </w:r>
      <w:r w:rsidR="003A53AF">
        <w:t xml:space="preserve"> programme. We conclude that </w:t>
      </w:r>
      <w:r w:rsidR="000166B4" w:rsidRPr="000166B4">
        <w:t xml:space="preserve">governing through trust comes at the cost of being unable to firmly secure </w:t>
      </w:r>
      <w:r w:rsidR="006B134C">
        <w:t>desired outcomes</w:t>
      </w:r>
      <w:r w:rsidR="003A53AF">
        <w:t xml:space="preserve"> and hence that this gentle art of parental government</w:t>
      </w:r>
      <w:r w:rsidR="008D41E6" w:rsidRPr="008D41E6">
        <w:t xml:space="preserve"> affords parents some latitude in resisting institutional agendas.</w:t>
      </w:r>
    </w:p>
    <w:p w14:paraId="1F997BB1" w14:textId="77777777" w:rsidR="00BB1B5F" w:rsidRDefault="00BB1B5F" w:rsidP="00F910F2">
      <w:pPr>
        <w:jc w:val="both"/>
      </w:pPr>
    </w:p>
    <w:p w14:paraId="3C1676D0" w14:textId="77777777" w:rsidR="007D77C2" w:rsidRDefault="007D77C2" w:rsidP="00F910F2">
      <w:pPr>
        <w:jc w:val="both"/>
        <w:rPr>
          <w:b/>
          <w:sz w:val="28"/>
        </w:rPr>
      </w:pPr>
    </w:p>
    <w:p w14:paraId="562215FE" w14:textId="13E10F59" w:rsidR="00E8734E" w:rsidRDefault="001F593C" w:rsidP="00F910F2">
      <w:pPr>
        <w:jc w:val="both"/>
        <w:rPr>
          <w:b/>
          <w:sz w:val="28"/>
        </w:rPr>
      </w:pPr>
      <w:r>
        <w:rPr>
          <w:b/>
          <w:sz w:val="28"/>
        </w:rPr>
        <w:lastRenderedPageBreak/>
        <w:t>Governing the Family</w:t>
      </w:r>
    </w:p>
    <w:p w14:paraId="627FBE44" w14:textId="7ED8D36E" w:rsidR="001F593C" w:rsidRDefault="001F593C" w:rsidP="00F910F2">
      <w:pPr>
        <w:jc w:val="both"/>
      </w:pPr>
    </w:p>
    <w:p w14:paraId="6E8A9075" w14:textId="68C19044" w:rsidR="007D77C2" w:rsidRPr="007D77C2" w:rsidRDefault="007D77C2" w:rsidP="007D77C2">
      <w:pPr>
        <w:jc w:val="both"/>
      </w:pPr>
      <w:r w:rsidRPr="007D77C2">
        <w:t xml:space="preserve">In his lecture course of 1977-78, Foucault affords the family a leading role in the birth of modern governmentality and biopower (Foucault, 2009). Formerly </w:t>
      </w:r>
      <w:r w:rsidR="002D60E7">
        <w:t>construed as</w:t>
      </w:r>
      <w:r w:rsidRPr="007D77C2">
        <w:t xml:space="preserve"> a model for good government, the eighteenth century sees a new figure of the family take hold: the family as a ‘fundamental relay’ and ‘privileged instrument’ for the government of the population (ibid: 104-5). One governs the population by governing </w:t>
      </w:r>
      <w:r w:rsidRPr="007D77C2">
        <w:rPr>
          <w:i/>
        </w:rPr>
        <w:t>through</w:t>
      </w:r>
      <w:r w:rsidRPr="007D77C2">
        <w:t xml:space="preserve"> the family (</w:t>
      </w:r>
      <w:proofErr w:type="spellStart"/>
      <w:r w:rsidRPr="007D77C2">
        <w:t>Donzelot</w:t>
      </w:r>
      <w:proofErr w:type="spellEnd"/>
      <w:r w:rsidRPr="007D77C2">
        <w:t>, 1979). This notion of governing through the family, of regulating, directing, and intervening in family life to accomplish strategic political ends, remains a cornerstone of contemporary family policy.</w:t>
      </w:r>
    </w:p>
    <w:p w14:paraId="54D4C84C" w14:textId="632E9997" w:rsidR="007D77C2" w:rsidRPr="007D77C2" w:rsidRDefault="007D77C2" w:rsidP="007D77C2">
      <w:pPr>
        <w:jc w:val="both"/>
      </w:pPr>
      <w:r w:rsidRPr="007D77C2">
        <w:tab/>
        <w:t>‘Government’ in this context refers to the strategic orchestration of power relations to structure the possible field of individual</w:t>
      </w:r>
      <w:r w:rsidR="002D60E7">
        <w:t>/</w:t>
      </w:r>
      <w:r w:rsidRPr="007D77C2">
        <w:t xml:space="preserve">collective action: the ‘conduct of conducts’ (Foucault, 2002). It extends beyond political rule to encompass the plethora of sites in which conduct is regulated, be </w:t>
      </w:r>
      <w:r w:rsidR="002D60E7">
        <w:t>that</w:t>
      </w:r>
      <w:r w:rsidRPr="007D77C2">
        <w:t>, for instance, the workplace, the school, or, indeed, the family. Government is also deeply entwined in processes of subjectivation. As Nikolas Rose comments, ‘[o]</w:t>
      </w:r>
      <w:proofErr w:type="spellStart"/>
      <w:r w:rsidRPr="007D77C2">
        <w:t>ur</w:t>
      </w:r>
      <w:proofErr w:type="spellEnd"/>
      <w:r w:rsidRPr="007D77C2">
        <w:t xml:space="preserve"> personalities, subjectivities, and ‘relationships’ are not private matters if this implies that they are not the object of power […] they are intensely governed’ (1999a: 1). The concept of governmentality thus weaves rationalities of government and processes of subject-formation into a ‘single analytical perspective’ (Lemke, 2010: 34)</w:t>
      </w:r>
      <w:r w:rsidR="00241791">
        <w:t>;</w:t>
      </w:r>
      <w:r w:rsidRPr="007D77C2">
        <w:t xml:space="preserve"> illuminating connections between strategies for managing ‘large scale characteristics of territories or populations’ and ‘micro-technologies for the management of conduct in specific individuals in particular locales and practices’ (Rose, 1999b: 5). </w:t>
      </w:r>
    </w:p>
    <w:p w14:paraId="0214E5C1" w14:textId="2F7AD932" w:rsidR="007D77C2" w:rsidRPr="007D77C2" w:rsidRDefault="007D77C2" w:rsidP="007D77C2">
      <w:pPr>
        <w:jc w:val="both"/>
      </w:pPr>
      <w:r w:rsidRPr="007D77C2">
        <w:tab/>
        <w:t xml:space="preserve">These micro-technologies enable the state to ‘govern at a distance’ (Rose, 1999b). Operating in multiple settings and through multiple authorities, liberal rule is accomplished by heterarchical modes of governance that aim to ‘strategically influence others’ agendas and internal processes of decision-making, while avoiding the need to become directly involved in their ‘raw operations’’ (Olmedo &amp; Wilkins, 2017). This mode of governance is epitomised by the behaviour change agenda in UK politics, and, in particular, the prominence of ‘nudge’ (Jones, </w:t>
      </w:r>
      <w:proofErr w:type="spellStart"/>
      <w:r w:rsidRPr="007D77C2">
        <w:t>Pykett</w:t>
      </w:r>
      <w:proofErr w:type="spellEnd"/>
      <w:r w:rsidRPr="007D77C2">
        <w:t xml:space="preserve"> &amp; Whitehead, 2013; Thaler &amp; Sunstein, 2009). </w:t>
      </w:r>
      <w:r w:rsidR="00241791">
        <w:t>Strategies associated with ‘nudge’</w:t>
      </w:r>
      <w:r w:rsidRPr="007D77C2">
        <w:t xml:space="preserve"> </w:t>
      </w:r>
      <w:r w:rsidR="00241791">
        <w:t xml:space="preserve">are </w:t>
      </w:r>
      <w:r w:rsidRPr="007D77C2">
        <w:t xml:space="preserve">commonplace in family </w:t>
      </w:r>
      <w:r w:rsidR="00241791">
        <w:t>policy</w:t>
      </w:r>
      <w:r w:rsidRPr="007D77C2">
        <w:t xml:space="preserve"> (</w:t>
      </w:r>
      <w:proofErr w:type="spellStart"/>
      <w:r w:rsidRPr="007D77C2">
        <w:t>Hartas</w:t>
      </w:r>
      <w:proofErr w:type="spellEnd"/>
      <w:r w:rsidRPr="007D77C2">
        <w:t xml:space="preserve">, 2014). Essentially, they involve </w:t>
      </w:r>
      <w:r w:rsidR="002D60E7">
        <w:t>steering</w:t>
      </w:r>
      <w:r w:rsidRPr="007D77C2">
        <w:t xml:space="preserve"> citizens to make the right kinds of choices. By utilising ‘gentle forms of power to incentivize people to make good decisions’ (</w:t>
      </w:r>
      <w:r w:rsidR="002D60E7" w:rsidRPr="002D60E7">
        <w:t xml:space="preserve">Jones, </w:t>
      </w:r>
      <w:proofErr w:type="spellStart"/>
      <w:r w:rsidR="002D60E7" w:rsidRPr="002D60E7">
        <w:t>Pykett</w:t>
      </w:r>
      <w:proofErr w:type="spellEnd"/>
      <w:r w:rsidR="002D60E7" w:rsidRPr="002D60E7">
        <w:t xml:space="preserve"> &amp; Whitehead, 2013</w:t>
      </w:r>
      <w:r w:rsidR="002D60E7">
        <w:t xml:space="preserve">: </w:t>
      </w:r>
      <w:r w:rsidRPr="007D77C2">
        <w:t xml:space="preserve">168), authorities intervene in citizens’ lives without, putatively, undermining their liberty. ‘Nudge’, then, governs at a distance, </w:t>
      </w:r>
      <w:r w:rsidR="002D60E7">
        <w:t>employing</w:t>
      </w:r>
      <w:r w:rsidRPr="007D77C2">
        <w:t xml:space="preserve"> ‘non-coercive suggestions’ (ibid: 18) to modify citizens’ behaviour.</w:t>
      </w:r>
    </w:p>
    <w:p w14:paraId="76BEBDEE" w14:textId="41C35E5F" w:rsidR="007D77C2" w:rsidRPr="007D77C2" w:rsidRDefault="007D77C2" w:rsidP="007D77C2">
      <w:pPr>
        <w:jc w:val="both"/>
      </w:pPr>
      <w:r w:rsidRPr="007D77C2">
        <w:tab/>
        <w:t xml:space="preserve">The practice of employing ‘non-coercive suggestions’ or ‘non-coercive enticements’ (Baez &amp; </w:t>
      </w:r>
      <w:proofErr w:type="spellStart"/>
      <w:r w:rsidRPr="007D77C2">
        <w:t>Talburt</w:t>
      </w:r>
      <w:proofErr w:type="spellEnd"/>
      <w:r w:rsidRPr="007D77C2">
        <w:t xml:space="preserve">, 2008) as micro-technologies for regulating parental conduct is central to our understanding of link worker-parent interactions. Their analysis </w:t>
      </w:r>
      <w:r w:rsidR="007C527F">
        <w:t>highlights</w:t>
      </w:r>
      <w:r w:rsidRPr="007D77C2">
        <w:t xml:space="preserve"> the relationship between neoliberal political </w:t>
      </w:r>
      <w:r w:rsidR="00E56159">
        <w:t>rationalities</w:t>
      </w:r>
      <w:r w:rsidRPr="007D77C2">
        <w:t xml:space="preserve"> (</w:t>
      </w:r>
      <w:proofErr w:type="spellStart"/>
      <w:r w:rsidRPr="007D77C2">
        <w:t>responsibilising</w:t>
      </w:r>
      <w:proofErr w:type="spellEnd"/>
      <w:r w:rsidRPr="007D77C2">
        <w:t xml:space="preserve"> parent-citizens), local policy objectives (improving home-school relations), and </w:t>
      </w:r>
      <w:r w:rsidR="00F25D5B">
        <w:t>subject-formation</w:t>
      </w:r>
      <w:r w:rsidRPr="007D77C2">
        <w:t xml:space="preserve"> (fostering self-disciplined agency). </w:t>
      </w:r>
      <w:r w:rsidR="007C527F">
        <w:t>However</w:t>
      </w:r>
      <w:r w:rsidRPr="007D77C2">
        <w:t>, governing at a distance is</w:t>
      </w:r>
      <w:r w:rsidR="007C527F">
        <w:t xml:space="preserve"> complex and</w:t>
      </w:r>
      <w:r w:rsidRPr="007D77C2">
        <w:t xml:space="preserve"> </w:t>
      </w:r>
      <w:r w:rsidR="00F25D5B">
        <w:t>complicated</w:t>
      </w:r>
      <w:r w:rsidRPr="007D77C2">
        <w:t xml:space="preserve">. Translating policy from one context to another </w:t>
      </w:r>
      <w:r w:rsidR="007C527F">
        <w:t>can lead to</w:t>
      </w:r>
      <w:r w:rsidRPr="007D77C2">
        <w:t xml:space="preserve"> ‘displacement and dislocation’ (Clarke </w:t>
      </w:r>
      <w:r w:rsidRPr="007D77C2">
        <w:rPr>
          <w:i/>
        </w:rPr>
        <w:t>et al.</w:t>
      </w:r>
      <w:r w:rsidRPr="007D77C2">
        <w:t xml:space="preserve">, 2015: 16). This uncertainty </w:t>
      </w:r>
      <w:r w:rsidR="00F25D5B">
        <w:t>means</w:t>
      </w:r>
      <w:r w:rsidRPr="007D77C2">
        <w:t xml:space="preserve"> service providers</w:t>
      </w:r>
      <w:r w:rsidR="00F25D5B">
        <w:t>/</w:t>
      </w:r>
      <w:r w:rsidRPr="007D77C2">
        <w:t xml:space="preserve">users </w:t>
      </w:r>
      <w:r w:rsidR="00F25D5B">
        <w:t>can</w:t>
      </w:r>
      <w:r w:rsidRPr="007D77C2">
        <w:t xml:space="preserve"> subvert policy, disrupting official intentions (Barnes &amp; Prior, 2009). Drawing on the notion of ‘counter-agency’ (Prior, 2009) – the capacity of citizens to act in ways other than</w:t>
      </w:r>
      <w:r w:rsidR="007C527F">
        <w:t xml:space="preserve"> </w:t>
      </w:r>
      <w:r w:rsidRPr="007D77C2">
        <w:t xml:space="preserve">those officially prescribed – we hence explore the ‘unintended consequences’ </w:t>
      </w:r>
      <w:r w:rsidR="00F25D5B">
        <w:t>resulting</w:t>
      </w:r>
      <w:r w:rsidRPr="007D77C2">
        <w:t xml:space="preserve"> from link worker-parent interactions. First, however, we turn to the wider political discourse surrounding parenting. </w:t>
      </w:r>
    </w:p>
    <w:p w14:paraId="5F342449" w14:textId="15CDB729" w:rsidR="001F593C" w:rsidRPr="00C71D7A" w:rsidRDefault="001F593C" w:rsidP="00F910F2">
      <w:pPr>
        <w:jc w:val="both"/>
      </w:pPr>
    </w:p>
    <w:p w14:paraId="4796CA39" w14:textId="77777777" w:rsidR="001F593C" w:rsidRDefault="001F593C" w:rsidP="00F910F2">
      <w:pPr>
        <w:jc w:val="both"/>
        <w:rPr>
          <w:b/>
          <w:sz w:val="28"/>
        </w:rPr>
      </w:pPr>
    </w:p>
    <w:p w14:paraId="333A567E" w14:textId="522AFC68" w:rsidR="00A178B5" w:rsidRDefault="00A178B5" w:rsidP="00F910F2">
      <w:pPr>
        <w:jc w:val="both"/>
        <w:rPr>
          <w:b/>
          <w:sz w:val="28"/>
        </w:rPr>
      </w:pPr>
      <w:r>
        <w:rPr>
          <w:b/>
          <w:sz w:val="28"/>
        </w:rPr>
        <w:t>The Politics of Parenting</w:t>
      </w:r>
    </w:p>
    <w:p w14:paraId="7AA6201D" w14:textId="77777777" w:rsidR="00E8734E" w:rsidRDefault="00E8734E" w:rsidP="00F910F2">
      <w:pPr>
        <w:jc w:val="both"/>
      </w:pPr>
    </w:p>
    <w:p w14:paraId="331DDAD7" w14:textId="63C414BD" w:rsidR="00492C84" w:rsidRDefault="004B4573" w:rsidP="00F910F2">
      <w:pPr>
        <w:jc w:val="both"/>
      </w:pPr>
      <w:r>
        <w:t>In 2016</w:t>
      </w:r>
      <w:r w:rsidR="00A178B5">
        <w:t>, the then British Prime Minister</w:t>
      </w:r>
      <w:r>
        <w:t xml:space="preserve"> </w:t>
      </w:r>
      <w:r w:rsidR="00A178B5">
        <w:t xml:space="preserve">outlined the importance of parenting to the future prosperity of the nation. ‘Families’, he urged, ‘are the best anti-poverty measure ever invented. They are a welfare, education and counselling system all wrapped up into one’ (Cameron, 2016). </w:t>
      </w:r>
      <w:r w:rsidR="001105CA">
        <w:t>This</w:t>
      </w:r>
      <w:r w:rsidR="008D6ED0">
        <w:t xml:space="preserve"> </w:t>
      </w:r>
      <w:r w:rsidR="00A7162E">
        <w:t>contention</w:t>
      </w:r>
      <w:r w:rsidR="001105CA">
        <w:t xml:space="preserve"> </w:t>
      </w:r>
      <w:r w:rsidR="00C36DA8">
        <w:t>exemplifies</w:t>
      </w:r>
      <w:r w:rsidR="00BC5EC1">
        <w:t xml:space="preserve"> ‘the new politics of parenting’</w:t>
      </w:r>
      <w:r w:rsidR="006067C5">
        <w:t xml:space="preserve"> (Gillies, 2008)</w:t>
      </w:r>
      <w:r w:rsidR="00BC5EC1">
        <w:t>. At the core of this politics is the invocation of a causal relationship between parenting, child outcomes</w:t>
      </w:r>
      <w:r w:rsidR="00D66B00">
        <w:t>,</w:t>
      </w:r>
      <w:r w:rsidR="00BC5EC1">
        <w:t xml:space="preserve"> and </w:t>
      </w:r>
      <w:r w:rsidR="00BC5EC1">
        <w:lastRenderedPageBreak/>
        <w:t xml:space="preserve">the future prosperity of the nation; </w:t>
      </w:r>
      <w:r w:rsidR="006A4B13">
        <w:t>with ‘good’ parenting key to upward social mobility and</w:t>
      </w:r>
      <w:r w:rsidR="00914DFF">
        <w:t xml:space="preserve"> </w:t>
      </w:r>
      <w:r w:rsidR="00B62CEE">
        <w:t>‘bad’</w:t>
      </w:r>
      <w:r w:rsidR="006A4B13">
        <w:t xml:space="preserve"> parenting </w:t>
      </w:r>
      <w:r w:rsidR="00B62CEE">
        <w:t>damaging</w:t>
      </w:r>
      <w:r w:rsidR="006A4B13">
        <w:t xml:space="preserve"> for </w:t>
      </w:r>
      <w:r w:rsidR="004E6999">
        <w:t xml:space="preserve">both </w:t>
      </w:r>
      <w:r w:rsidR="006A4B13">
        <w:t>famil</w:t>
      </w:r>
      <w:r w:rsidR="000C4E16">
        <w:t>ies</w:t>
      </w:r>
      <w:r w:rsidR="006A4B13">
        <w:t xml:space="preserve"> and society at large (Dermot, 2012). </w:t>
      </w:r>
      <w:r w:rsidR="00914DFF">
        <w:t>T</w:t>
      </w:r>
      <w:r w:rsidR="001D1AF5">
        <w:t xml:space="preserve">he </w:t>
      </w:r>
      <w:r w:rsidR="008278D5">
        <w:t xml:space="preserve">degrading </w:t>
      </w:r>
      <w:r w:rsidR="001D1AF5">
        <w:t>image of the ‘feckless parent’</w:t>
      </w:r>
      <w:r w:rsidR="003528B5">
        <w:t xml:space="preserve"> </w:t>
      </w:r>
      <w:r w:rsidR="00492C84">
        <w:t xml:space="preserve">– or more precisely mother, since it is mothers who remain most closely associated with childrearing in the public imagination (Gillies, 2007; Vincent, 2012) – </w:t>
      </w:r>
      <w:r w:rsidR="001D1AF5">
        <w:t>has garnered considerable traction in this context</w:t>
      </w:r>
      <w:r w:rsidR="00492C84">
        <w:t xml:space="preserve"> and stands as a potent symbol of Britain’s </w:t>
      </w:r>
      <w:r w:rsidR="001105CA">
        <w:t xml:space="preserve">alleged </w:t>
      </w:r>
      <w:r w:rsidR="00492C84">
        <w:t xml:space="preserve">social and moral decline </w:t>
      </w:r>
      <w:r w:rsidR="001D1AF5">
        <w:t xml:space="preserve">(Jensen </w:t>
      </w:r>
      <w:r w:rsidR="002C7292">
        <w:t>&amp;</w:t>
      </w:r>
      <w:r w:rsidR="001D1AF5">
        <w:t xml:space="preserve"> Tyler, 2012). </w:t>
      </w:r>
      <w:r w:rsidR="00735B29">
        <w:t>But</w:t>
      </w:r>
      <w:r w:rsidR="007C527F">
        <w:t>,</w:t>
      </w:r>
      <w:r w:rsidR="00735B29">
        <w:t xml:space="preserve"> n</w:t>
      </w:r>
      <w:r w:rsidR="005C50BC">
        <w:t xml:space="preserve">ormative constructions of parenting are </w:t>
      </w:r>
      <w:r w:rsidR="00D66B00">
        <w:t>scarcely</w:t>
      </w:r>
      <w:r w:rsidR="005C50BC">
        <w:t xml:space="preserve"> neutral</w:t>
      </w:r>
      <w:r w:rsidR="00735B29">
        <w:t>.</w:t>
      </w:r>
      <w:r w:rsidR="005C50BC">
        <w:t xml:space="preserve"> </w:t>
      </w:r>
      <w:r w:rsidR="00735B29">
        <w:t xml:space="preserve">They tend to be refracted through the prism of social class, </w:t>
      </w:r>
      <w:r w:rsidR="00933347">
        <w:t>with</w:t>
      </w:r>
      <w:r w:rsidR="00735B29">
        <w:t xml:space="preserve"> disadvantaged mothers </w:t>
      </w:r>
      <w:r w:rsidR="00933347">
        <w:t>bearing</w:t>
      </w:r>
      <w:r w:rsidR="00735B29">
        <w:t xml:space="preserve"> the brunt of public scorn</w:t>
      </w:r>
      <w:r w:rsidR="00C36DA8">
        <w:t xml:space="preserve"> (Jensen, 2018)</w:t>
      </w:r>
      <w:r w:rsidR="00735B29">
        <w:t xml:space="preserve">. The normative ideal of the ‘good’ parent, in this regard, is a discursive position invariably occupied by the white middle-class </w:t>
      </w:r>
      <w:r w:rsidR="008D6ED0">
        <w:t>mother</w:t>
      </w:r>
      <w:r w:rsidR="00735B29">
        <w:t xml:space="preserve"> (Gillies, 2007; </w:t>
      </w:r>
      <w:r w:rsidR="00252A92">
        <w:t>Lawler, 2000</w:t>
      </w:r>
      <w:r w:rsidR="00735B29">
        <w:t>).</w:t>
      </w:r>
      <w:r w:rsidR="00CD00D4">
        <w:t xml:space="preserve"> </w:t>
      </w:r>
      <w:r w:rsidR="001105CA">
        <w:t>And</w:t>
      </w:r>
      <w:r w:rsidR="008D6ED0">
        <w:t xml:space="preserve"> t</w:t>
      </w:r>
      <w:r w:rsidR="00CD00D4">
        <w:t>hose who cannot</w:t>
      </w:r>
      <w:r w:rsidR="006B134C">
        <w:t>, or perhaps will not,</w:t>
      </w:r>
      <w:r w:rsidR="00CD00D4">
        <w:t xml:space="preserve"> conform to </w:t>
      </w:r>
      <w:r w:rsidR="008D6ED0">
        <w:t xml:space="preserve">this ideal </w:t>
      </w:r>
      <w:r w:rsidR="006B134C">
        <w:t>are marginalised as</w:t>
      </w:r>
      <w:r w:rsidR="00CD00D4">
        <w:t xml:space="preserve"> abject and aberrant anti-parents </w:t>
      </w:r>
      <w:r w:rsidR="00735B29">
        <w:t xml:space="preserve">(Tyler, 2008; de </w:t>
      </w:r>
      <w:proofErr w:type="spellStart"/>
      <w:r w:rsidR="00735B29">
        <w:t>Benedictis</w:t>
      </w:r>
      <w:proofErr w:type="spellEnd"/>
      <w:r w:rsidR="00735B29">
        <w:t>, 2012).</w:t>
      </w:r>
      <w:r w:rsidR="00492C84">
        <w:t xml:space="preserve"> </w:t>
      </w:r>
      <w:r w:rsidR="00CD00D4">
        <w:t>The resurgence of ‘cycles of deprivation’ discourse</w:t>
      </w:r>
      <w:r w:rsidR="00933347">
        <w:t xml:space="preserve"> </w:t>
      </w:r>
      <w:r w:rsidR="00CD00D4">
        <w:t xml:space="preserve">further compounds </w:t>
      </w:r>
      <w:r w:rsidR="000C4E16">
        <w:t>this</w:t>
      </w:r>
      <w:r w:rsidR="00CD00D4">
        <w:t xml:space="preserve"> derisory representation of disadvantaged </w:t>
      </w:r>
      <w:r w:rsidR="00644299">
        <w:t xml:space="preserve">families </w:t>
      </w:r>
      <w:r w:rsidR="00CD00D4">
        <w:t xml:space="preserve">(Welshman, 2013). </w:t>
      </w:r>
    </w:p>
    <w:p w14:paraId="32D88611" w14:textId="605C24D6" w:rsidR="00837179" w:rsidRPr="006B134C" w:rsidRDefault="007C527F" w:rsidP="00F910F2">
      <w:pPr>
        <w:ind w:firstLine="720"/>
        <w:jc w:val="both"/>
      </w:pPr>
      <w:r>
        <w:t>Whil</w:t>
      </w:r>
      <w:r w:rsidR="00CF4A24">
        <w:t>st</w:t>
      </w:r>
      <w:r>
        <w:t xml:space="preserve"> t</w:t>
      </w:r>
      <w:r w:rsidR="00367C36">
        <w:t>he</w:t>
      </w:r>
      <w:r w:rsidR="006E1046">
        <w:t xml:space="preserve"> administration of family life has long been a concern of the state </w:t>
      </w:r>
      <w:r w:rsidR="006E1046" w:rsidRPr="00061B4B">
        <w:t>(</w:t>
      </w:r>
      <w:proofErr w:type="spellStart"/>
      <w:r w:rsidR="006E1046" w:rsidRPr="00061B4B">
        <w:t>Donzelot</w:t>
      </w:r>
      <w:proofErr w:type="spellEnd"/>
      <w:r w:rsidR="006E1046" w:rsidRPr="00061B4B">
        <w:t>, 1979)</w:t>
      </w:r>
      <w:r w:rsidR="00C93A46">
        <w:t>, the current juncture is distinctive for having reconceptualised parenting</w:t>
      </w:r>
      <w:r w:rsidR="006E1046">
        <w:t xml:space="preserve"> as an urgent ‘national priority’ </w:t>
      </w:r>
      <w:r w:rsidR="006E1046" w:rsidRPr="00061B4B">
        <w:rPr>
          <w:rFonts w:eastAsia="SimSun"/>
          <w:lang w:eastAsia="zh-CN"/>
        </w:rPr>
        <w:t>(Allen, 2011; Family and Childcare Trust, 2015; Field, 2010)</w:t>
      </w:r>
      <w:r w:rsidR="00C93A46">
        <w:rPr>
          <w:rFonts w:eastAsia="SimSun"/>
          <w:lang w:eastAsia="zh-CN"/>
        </w:rPr>
        <w:t>. M</w:t>
      </w:r>
      <w:r w:rsidR="006E1046" w:rsidRPr="00061B4B">
        <w:rPr>
          <w:rFonts w:eastAsia="SimSun"/>
          <w:lang w:eastAsia="zh-CN"/>
        </w:rPr>
        <w:t xml:space="preserve">any areas of domestic life, from lifestyle choices to intrafamilial relationships – areas previously considered </w:t>
      </w:r>
      <w:r>
        <w:rPr>
          <w:rFonts w:eastAsia="SimSun"/>
          <w:lang w:eastAsia="zh-CN"/>
        </w:rPr>
        <w:t>outside</w:t>
      </w:r>
      <w:r w:rsidRPr="00061B4B">
        <w:rPr>
          <w:rFonts w:eastAsia="SimSun"/>
          <w:lang w:eastAsia="zh-CN"/>
        </w:rPr>
        <w:t xml:space="preserve"> </w:t>
      </w:r>
      <w:r w:rsidR="006E1046" w:rsidRPr="00061B4B">
        <w:rPr>
          <w:rFonts w:eastAsia="SimSun"/>
          <w:lang w:eastAsia="zh-CN"/>
        </w:rPr>
        <w:t xml:space="preserve">state interference – </w:t>
      </w:r>
      <w:r w:rsidR="00C93A46">
        <w:rPr>
          <w:rFonts w:eastAsia="SimSun"/>
          <w:lang w:eastAsia="zh-CN"/>
        </w:rPr>
        <w:t>are</w:t>
      </w:r>
      <w:r w:rsidR="006E1046" w:rsidRPr="00061B4B">
        <w:rPr>
          <w:rFonts w:eastAsia="SimSun"/>
          <w:lang w:eastAsia="zh-CN"/>
        </w:rPr>
        <w:t xml:space="preserve"> reconfigured as matters of legitimate public interest (Gillies, 2011; Edwards </w:t>
      </w:r>
      <w:r w:rsidR="002C7292">
        <w:rPr>
          <w:rFonts w:eastAsia="SimSun"/>
          <w:lang w:eastAsia="zh-CN"/>
        </w:rPr>
        <w:t>&amp;</w:t>
      </w:r>
      <w:r w:rsidR="006E1046" w:rsidRPr="00061B4B">
        <w:rPr>
          <w:rFonts w:eastAsia="SimSun"/>
          <w:lang w:eastAsia="zh-CN"/>
        </w:rPr>
        <w:t xml:space="preserve"> Gillies, 2012).</w:t>
      </w:r>
      <w:r w:rsidR="006B134C">
        <w:t xml:space="preserve"> </w:t>
      </w:r>
      <w:r w:rsidR="00AB42C1">
        <w:rPr>
          <w:rFonts w:eastAsia="SimSun"/>
          <w:lang w:eastAsia="zh-CN"/>
        </w:rPr>
        <w:t xml:space="preserve">That parenting has accrued such significance for policy-makers owes much to the influence of neoliberalism upon social policy. </w:t>
      </w:r>
      <w:r w:rsidR="00367C36">
        <w:rPr>
          <w:rFonts w:eastAsia="SimSun"/>
          <w:lang w:eastAsia="zh-CN"/>
        </w:rPr>
        <w:t xml:space="preserve">The neoliberal emphasis on </w:t>
      </w:r>
      <w:r w:rsidR="004A1522">
        <w:rPr>
          <w:rFonts w:eastAsia="SimSun"/>
          <w:lang w:eastAsia="zh-CN"/>
        </w:rPr>
        <w:t xml:space="preserve">maximising individual freedoms, and </w:t>
      </w:r>
      <w:proofErr w:type="spellStart"/>
      <w:r w:rsidR="004A1522">
        <w:rPr>
          <w:rFonts w:eastAsia="SimSun"/>
          <w:lang w:eastAsia="zh-CN"/>
        </w:rPr>
        <w:t>fetishising</w:t>
      </w:r>
      <w:proofErr w:type="spellEnd"/>
      <w:r w:rsidR="004A1522">
        <w:rPr>
          <w:rFonts w:eastAsia="SimSun"/>
          <w:lang w:eastAsia="zh-CN"/>
        </w:rPr>
        <w:t xml:space="preserve"> entrepreneurship, competition, and the market (Harvey, 2005), has </w:t>
      </w:r>
      <w:r w:rsidR="00AB42C1" w:rsidRPr="00061B4B">
        <w:rPr>
          <w:rFonts w:eastAsia="SimSun"/>
          <w:lang w:eastAsia="zh-CN"/>
        </w:rPr>
        <w:t xml:space="preserve">profoundly shaped the political rationality underpinning contemporary family policy. </w:t>
      </w:r>
      <w:r w:rsidR="00AB42C1">
        <w:rPr>
          <w:rFonts w:eastAsia="SimSun"/>
          <w:lang w:eastAsia="zh-CN"/>
        </w:rPr>
        <w:t xml:space="preserve">Central to this is an unwavering faith in </w:t>
      </w:r>
      <w:r w:rsidR="00AB42C1" w:rsidRPr="00061B4B">
        <w:rPr>
          <w:rFonts w:eastAsia="SimSun"/>
          <w:lang w:eastAsia="zh-CN"/>
        </w:rPr>
        <w:t>individual responsibility</w:t>
      </w:r>
      <w:r w:rsidR="00AB42C1">
        <w:rPr>
          <w:rFonts w:eastAsia="SimSun"/>
          <w:lang w:eastAsia="zh-CN"/>
        </w:rPr>
        <w:t xml:space="preserve"> and </w:t>
      </w:r>
      <w:r w:rsidR="00B86D65">
        <w:rPr>
          <w:rFonts w:eastAsia="SimSun"/>
          <w:lang w:eastAsia="zh-CN"/>
        </w:rPr>
        <w:t xml:space="preserve">a </w:t>
      </w:r>
      <w:r w:rsidR="00AB42C1">
        <w:rPr>
          <w:rFonts w:eastAsia="SimSun"/>
          <w:lang w:eastAsia="zh-CN"/>
        </w:rPr>
        <w:t xml:space="preserve">concomitant </w:t>
      </w:r>
      <w:r w:rsidR="00B86D65">
        <w:rPr>
          <w:rFonts w:eastAsia="SimSun"/>
          <w:lang w:eastAsia="zh-CN"/>
        </w:rPr>
        <w:t>focalisation ‘</w:t>
      </w:r>
      <w:r w:rsidR="00AB42C1">
        <w:rPr>
          <w:rFonts w:eastAsia="SimSun"/>
          <w:lang w:eastAsia="zh-CN"/>
        </w:rPr>
        <w:t>on individual characteristics and dispositions as pathways to social advancement’ (</w:t>
      </w:r>
      <w:proofErr w:type="spellStart"/>
      <w:r w:rsidR="00AB42C1">
        <w:rPr>
          <w:rFonts w:eastAsia="SimSun"/>
          <w:lang w:eastAsia="zh-CN"/>
        </w:rPr>
        <w:t>Hartas</w:t>
      </w:r>
      <w:proofErr w:type="spellEnd"/>
      <w:r w:rsidR="00AB42C1">
        <w:rPr>
          <w:rFonts w:eastAsia="SimSun"/>
          <w:lang w:eastAsia="zh-CN"/>
        </w:rPr>
        <w:t xml:space="preserve">, 2014: 5). </w:t>
      </w:r>
      <w:r w:rsidR="00AB42C1" w:rsidRPr="00061B4B">
        <w:rPr>
          <w:rFonts w:eastAsia="SimSun"/>
          <w:lang w:eastAsia="zh-CN"/>
        </w:rPr>
        <w:t xml:space="preserve">The future success or failings of an individual are attributable, on this account, to individual </w:t>
      </w:r>
      <w:r w:rsidR="00933347">
        <w:rPr>
          <w:rFonts w:eastAsia="SimSun"/>
          <w:lang w:eastAsia="zh-CN"/>
        </w:rPr>
        <w:t>(de)</w:t>
      </w:r>
      <w:r w:rsidR="00AB42C1" w:rsidRPr="00061B4B">
        <w:rPr>
          <w:rFonts w:eastAsia="SimSun"/>
          <w:lang w:eastAsia="zh-CN"/>
        </w:rPr>
        <w:t xml:space="preserve">merits and </w:t>
      </w:r>
      <w:r w:rsidR="007D252F">
        <w:rPr>
          <w:rFonts w:eastAsia="SimSun"/>
          <w:lang w:eastAsia="zh-CN"/>
        </w:rPr>
        <w:t>(in)</w:t>
      </w:r>
      <w:r w:rsidR="00AB42C1" w:rsidRPr="00061B4B">
        <w:rPr>
          <w:rFonts w:eastAsia="SimSun"/>
          <w:lang w:eastAsia="zh-CN"/>
        </w:rPr>
        <w:t>appropriate life choices and investments.</w:t>
      </w:r>
      <w:r w:rsidR="00AB42C1">
        <w:rPr>
          <w:rFonts w:eastAsia="SimSun"/>
          <w:lang w:eastAsia="zh-CN"/>
        </w:rPr>
        <w:t xml:space="preserve"> This </w:t>
      </w:r>
      <w:r w:rsidR="008278D5">
        <w:rPr>
          <w:rFonts w:eastAsia="SimSun"/>
          <w:lang w:eastAsia="zh-CN"/>
        </w:rPr>
        <w:t xml:space="preserve">recasts families as incubators of human capital and </w:t>
      </w:r>
      <w:r w:rsidR="00AB42C1">
        <w:rPr>
          <w:rFonts w:eastAsia="SimSun"/>
          <w:lang w:eastAsia="zh-CN"/>
        </w:rPr>
        <w:t>obscures the constraints that systemic and structural barriers place on life chances. Parents’ choices and investments are construed as</w:t>
      </w:r>
      <w:r w:rsidR="00CD1E13">
        <w:rPr>
          <w:rFonts w:eastAsia="SimSun"/>
          <w:lang w:eastAsia="zh-CN"/>
        </w:rPr>
        <w:t xml:space="preserve"> </w:t>
      </w:r>
      <w:r w:rsidR="00CD1E13" w:rsidRPr="00644299">
        <w:rPr>
          <w:rFonts w:eastAsia="SimSun"/>
          <w:i/>
          <w:lang w:eastAsia="zh-CN"/>
        </w:rPr>
        <w:t>the</w:t>
      </w:r>
      <w:r w:rsidR="00B86D65">
        <w:rPr>
          <w:rFonts w:eastAsia="SimSun"/>
          <w:lang w:eastAsia="zh-CN"/>
        </w:rPr>
        <w:t xml:space="preserve"> </w:t>
      </w:r>
      <w:r w:rsidR="00AB42C1">
        <w:rPr>
          <w:rFonts w:eastAsia="SimSun"/>
          <w:lang w:eastAsia="zh-CN"/>
        </w:rPr>
        <w:t>key determinants of children’s future prospects</w:t>
      </w:r>
      <w:r w:rsidR="00492C84">
        <w:rPr>
          <w:rFonts w:eastAsia="SimSun"/>
          <w:lang w:eastAsia="zh-CN"/>
        </w:rPr>
        <w:t>, thereby</w:t>
      </w:r>
      <w:r w:rsidR="00CD1E13">
        <w:rPr>
          <w:rFonts w:eastAsia="SimSun"/>
          <w:lang w:eastAsia="zh-CN"/>
        </w:rPr>
        <w:t xml:space="preserve"> </w:t>
      </w:r>
      <w:r w:rsidR="00AB42C1">
        <w:rPr>
          <w:rFonts w:eastAsia="SimSun"/>
          <w:lang w:eastAsia="zh-CN"/>
        </w:rPr>
        <w:t>transmut</w:t>
      </w:r>
      <w:r w:rsidR="00492C84">
        <w:rPr>
          <w:rFonts w:eastAsia="SimSun"/>
          <w:lang w:eastAsia="zh-CN"/>
        </w:rPr>
        <w:t>ing parenting</w:t>
      </w:r>
      <w:r w:rsidR="00AB42C1">
        <w:rPr>
          <w:rFonts w:eastAsia="SimSun"/>
          <w:lang w:eastAsia="zh-CN"/>
        </w:rPr>
        <w:t xml:space="preserve"> from an intimate, private relationship into a question of competence and public accountability</w:t>
      </w:r>
      <w:r w:rsidR="00D05525">
        <w:rPr>
          <w:rFonts w:eastAsia="SimSun"/>
          <w:lang w:eastAsia="zh-CN"/>
        </w:rPr>
        <w:t xml:space="preserve"> (Gillies, 2011). </w:t>
      </w:r>
    </w:p>
    <w:p w14:paraId="13E9AD8A" w14:textId="413C1FE3" w:rsidR="00AB42C1" w:rsidRDefault="007D252F" w:rsidP="00F910F2">
      <w:pPr>
        <w:ind w:firstLine="720"/>
        <w:jc w:val="both"/>
      </w:pPr>
      <w:r>
        <w:t>Conceptualised</w:t>
      </w:r>
      <w:r w:rsidR="00AB42C1">
        <w:t xml:space="preserve"> in this way, </w:t>
      </w:r>
      <w:r w:rsidR="006F4527">
        <w:t>government</w:t>
      </w:r>
      <w:r w:rsidR="00AB42C1">
        <w:t xml:space="preserve"> </w:t>
      </w:r>
      <w:r w:rsidR="004A1522">
        <w:t xml:space="preserve">is </w:t>
      </w:r>
      <w:r w:rsidR="00492C84">
        <w:t>vested</w:t>
      </w:r>
      <w:r w:rsidR="004A1522">
        <w:t xml:space="preserve"> with ensuring</w:t>
      </w:r>
      <w:r w:rsidR="00AB42C1">
        <w:t xml:space="preserve"> parents make the right choices</w:t>
      </w:r>
      <w:r w:rsidR="004A1522">
        <w:t xml:space="preserve">; choices </w:t>
      </w:r>
      <w:r w:rsidR="00D73DEE">
        <w:t>that</w:t>
      </w:r>
      <w:r w:rsidR="00AB42C1">
        <w:t xml:space="preserve"> will help families break </w:t>
      </w:r>
      <w:r w:rsidR="00CD1E13">
        <w:t>out</w:t>
      </w:r>
      <w:r w:rsidR="00AB42C1">
        <w:t xml:space="preserve"> of the </w:t>
      </w:r>
      <w:r>
        <w:t>‘</w:t>
      </w:r>
      <w:r w:rsidR="00AB42C1">
        <w:t>cycle of deprivation</w:t>
      </w:r>
      <w:r>
        <w:t>’</w:t>
      </w:r>
      <w:r w:rsidR="00AB42C1">
        <w:t xml:space="preserve">. </w:t>
      </w:r>
      <w:r w:rsidR="0072577B">
        <w:t>By</w:t>
      </w:r>
      <w:r w:rsidR="00AB42C1">
        <w:t xml:space="preserve"> monitoring parent</w:t>
      </w:r>
      <w:r w:rsidR="00D73DEE">
        <w:t>s’</w:t>
      </w:r>
      <w:r w:rsidR="004A1522">
        <w:t xml:space="preserve"> </w:t>
      </w:r>
      <w:r w:rsidR="00D73DEE">
        <w:t>life-</w:t>
      </w:r>
      <w:r w:rsidR="004A1522">
        <w:t xml:space="preserve">choices and </w:t>
      </w:r>
      <w:r w:rsidR="00AB42C1">
        <w:t xml:space="preserve">instilling </w:t>
      </w:r>
      <w:r w:rsidR="00644299">
        <w:t>desirable</w:t>
      </w:r>
      <w:r w:rsidR="004A1522">
        <w:t xml:space="preserve"> </w:t>
      </w:r>
      <w:r w:rsidR="00AB42C1">
        <w:t xml:space="preserve">traits and skills, government </w:t>
      </w:r>
      <w:r w:rsidR="00CF4A24">
        <w:t xml:space="preserve">insinuates </w:t>
      </w:r>
      <w:r w:rsidR="00AB42C1">
        <w:t xml:space="preserve">itself into family life. Parenting </w:t>
      </w:r>
      <w:r w:rsidR="004A1522">
        <w:t>becomes</w:t>
      </w:r>
      <w:r w:rsidR="00AB42C1">
        <w:t xml:space="preserve"> a political duty</w:t>
      </w:r>
      <w:r>
        <w:t xml:space="preserve">. </w:t>
      </w:r>
      <w:r w:rsidR="00AB42C1">
        <w:t xml:space="preserve">Contemporary parental government is thus infused (and enthused) by a </w:t>
      </w:r>
      <w:r w:rsidR="007454FF">
        <w:t>faith</w:t>
      </w:r>
      <w:r w:rsidR="00AB42C1">
        <w:t xml:space="preserve"> in cultural solutions to socio-economic </w:t>
      </w:r>
      <w:r w:rsidR="005A4A18">
        <w:t>problems</w:t>
      </w:r>
      <w:r w:rsidR="00AB42C1">
        <w:t>. And if parenting is a matter of competence</w:t>
      </w:r>
      <w:r w:rsidR="00644299">
        <w:t>,</w:t>
      </w:r>
      <w:r w:rsidR="00CD1E13">
        <w:t xml:space="preserve"> </w:t>
      </w:r>
      <w:r w:rsidR="004A1522">
        <w:t xml:space="preserve">then it becomes </w:t>
      </w:r>
      <w:r w:rsidR="00CF4A24">
        <w:t xml:space="preserve">liable </w:t>
      </w:r>
      <w:r w:rsidR="00AB42C1">
        <w:t xml:space="preserve">to expert </w:t>
      </w:r>
      <w:r w:rsidR="005A4A18">
        <w:t>intervention</w:t>
      </w:r>
      <w:r w:rsidR="00AB42C1">
        <w:t>. In this contemporary tutelary complex (</w:t>
      </w:r>
      <w:proofErr w:type="spellStart"/>
      <w:r w:rsidR="00AB42C1">
        <w:t>Donzelot</w:t>
      </w:r>
      <w:proofErr w:type="spellEnd"/>
      <w:r w:rsidR="00AB42C1">
        <w:t xml:space="preserve">, 1997) parents must be taught </w:t>
      </w:r>
      <w:r w:rsidR="00372F0E">
        <w:t>requisite</w:t>
      </w:r>
      <w:r w:rsidR="00AB42C1">
        <w:t xml:space="preserve"> skills and competencies by </w:t>
      </w:r>
      <w:r w:rsidR="00372F0E">
        <w:t>those</w:t>
      </w:r>
      <w:r w:rsidR="00AB42C1">
        <w:t xml:space="preserve"> armed with epistemological and moral authority. </w:t>
      </w:r>
    </w:p>
    <w:p w14:paraId="06B33D03" w14:textId="3AA02F64" w:rsidR="00AB42C1" w:rsidRDefault="00AB42C1" w:rsidP="00F910F2">
      <w:pPr>
        <w:jc w:val="both"/>
      </w:pPr>
      <w:r>
        <w:tab/>
      </w:r>
      <w:r w:rsidR="00372F0E">
        <w:t>Programmes</w:t>
      </w:r>
      <w:r>
        <w:t xml:space="preserve"> like the one reported upon </w:t>
      </w:r>
      <w:r w:rsidR="007D252F">
        <w:t>here</w:t>
      </w:r>
      <w:r>
        <w:t xml:space="preserve"> exemplify this</w:t>
      </w:r>
      <w:r w:rsidR="008278D5">
        <w:t xml:space="preserve"> broader</w:t>
      </w:r>
      <w:r>
        <w:t xml:space="preserve"> policy-shift to</w:t>
      </w:r>
      <w:r w:rsidR="007454FF">
        <w:t>wards</w:t>
      </w:r>
      <w:r>
        <w:t xml:space="preserve"> the micro-management of family life</w:t>
      </w:r>
      <w:r w:rsidR="00D66B00">
        <w:t xml:space="preserve">, </w:t>
      </w:r>
      <w:r>
        <w:t xml:space="preserve">where modifying parental attitudes and aptitudes is advanced as a magic bullet to counter stagnating social mobility, </w:t>
      </w:r>
      <w:r w:rsidR="00D66B00">
        <w:t>growing</w:t>
      </w:r>
      <w:r>
        <w:t xml:space="preserve"> inequality, and narrowing economic prospects (</w:t>
      </w:r>
      <w:r w:rsidR="00504610">
        <w:t xml:space="preserve">Jensen, 2010; </w:t>
      </w:r>
      <w:proofErr w:type="spellStart"/>
      <w:r>
        <w:t>Hartas</w:t>
      </w:r>
      <w:proofErr w:type="spellEnd"/>
      <w:r>
        <w:t xml:space="preserve">, 2014). </w:t>
      </w:r>
      <w:r w:rsidR="00D66B00">
        <w:t xml:space="preserve">Indeed, </w:t>
      </w:r>
      <w:r w:rsidR="00CD1E13">
        <w:t>they are</w:t>
      </w:r>
      <w:r w:rsidR="00D66B00">
        <w:t xml:space="preserve"> </w:t>
      </w:r>
      <w:r>
        <w:t xml:space="preserve">the joint at which </w:t>
      </w:r>
      <w:r w:rsidR="00D66B00">
        <w:t>wider</w:t>
      </w:r>
      <w:r>
        <w:t xml:space="preserve"> attempts to regulate the population converge with local efforts to direct individual conduct. And the link worker</w:t>
      </w:r>
      <w:r w:rsidR="004A1522">
        <w:t xml:space="preserve"> </w:t>
      </w:r>
      <w:r>
        <w:t xml:space="preserve">is a </w:t>
      </w:r>
      <w:r w:rsidR="00CF4A24">
        <w:t xml:space="preserve">prominent </w:t>
      </w:r>
      <w:r>
        <w:t xml:space="preserve">agent in this regime of parental government.  </w:t>
      </w:r>
    </w:p>
    <w:p w14:paraId="1A73A7E9" w14:textId="2E5C444B" w:rsidR="007D3F40" w:rsidRDefault="007D3F40" w:rsidP="00F910F2">
      <w:pPr>
        <w:jc w:val="both"/>
      </w:pPr>
    </w:p>
    <w:p w14:paraId="04BA193B" w14:textId="77777777" w:rsidR="00E8734E" w:rsidRDefault="00E8734E" w:rsidP="00F910F2">
      <w:pPr>
        <w:jc w:val="both"/>
        <w:rPr>
          <w:b/>
          <w:sz w:val="28"/>
        </w:rPr>
      </w:pPr>
    </w:p>
    <w:p w14:paraId="6D99FD81" w14:textId="2E46E6B2" w:rsidR="00F17EE6" w:rsidRPr="002C215D" w:rsidRDefault="00F17EE6" w:rsidP="00F910F2">
      <w:pPr>
        <w:jc w:val="both"/>
        <w:rPr>
          <w:b/>
          <w:sz w:val="28"/>
        </w:rPr>
      </w:pPr>
      <w:r>
        <w:rPr>
          <w:b/>
          <w:sz w:val="28"/>
        </w:rPr>
        <w:t xml:space="preserve">Overview of the </w:t>
      </w:r>
      <w:r w:rsidR="001416D4">
        <w:rPr>
          <w:b/>
          <w:sz w:val="28"/>
        </w:rPr>
        <w:t>Programme</w:t>
      </w:r>
    </w:p>
    <w:p w14:paraId="66DAB643" w14:textId="77777777" w:rsidR="00E8734E" w:rsidRDefault="00E8734E" w:rsidP="00F910F2">
      <w:pPr>
        <w:jc w:val="both"/>
      </w:pPr>
    </w:p>
    <w:p w14:paraId="06907541" w14:textId="389E2279" w:rsidR="00EE7014" w:rsidRDefault="003D5BFE" w:rsidP="00F910F2">
      <w:pPr>
        <w:jc w:val="both"/>
      </w:pPr>
      <w:r w:rsidRPr="00650B53">
        <w:t xml:space="preserve">The </w:t>
      </w:r>
      <w:r w:rsidR="004854FA" w:rsidRPr="00650B53">
        <w:t xml:space="preserve">pilot </w:t>
      </w:r>
      <w:r w:rsidRPr="00650B53">
        <w:t xml:space="preserve">programme </w:t>
      </w:r>
      <w:r w:rsidR="00650B53">
        <w:t>is</w:t>
      </w:r>
      <w:r w:rsidR="009670ED">
        <w:t xml:space="preserve"> characteristic</w:t>
      </w:r>
      <w:r w:rsidRPr="00650B53">
        <w:t xml:space="preserve"> of </w:t>
      </w:r>
      <w:r w:rsidR="00A442A3">
        <w:t>the</w:t>
      </w:r>
      <w:r w:rsidR="00E40DA9" w:rsidRPr="00650B53">
        <w:t xml:space="preserve"> </w:t>
      </w:r>
      <w:r w:rsidRPr="00650B53">
        <w:t xml:space="preserve">wider parenting support agenda in family policy (Churchill &amp; Clarke, 2010; Lewis, 2011; Daly, 2015). </w:t>
      </w:r>
      <w:r w:rsidR="00137CAF" w:rsidRPr="00650B53">
        <w:t>It has its own peculiar inflections</w:t>
      </w:r>
      <w:r w:rsidR="00C71D7A">
        <w:t xml:space="preserve"> </w:t>
      </w:r>
      <w:r w:rsidR="00137CAF" w:rsidRPr="00650B53">
        <w:t>but shares much</w:t>
      </w:r>
      <w:r w:rsidRPr="00650B53">
        <w:t xml:space="preserve"> in common</w:t>
      </w:r>
      <w:r w:rsidR="00137CAF" w:rsidRPr="00650B53">
        <w:t xml:space="preserve"> with the programmes reviewed by Daly and Bray (2015).</w:t>
      </w:r>
      <w:r w:rsidR="00137CAF">
        <w:t xml:space="preserve"> Running throughout the 2014-15 school year, the </w:t>
      </w:r>
      <w:r w:rsidR="00372F0E">
        <w:t>programme</w:t>
      </w:r>
      <w:r w:rsidR="00137CAF">
        <w:t xml:space="preserve"> targeted </w:t>
      </w:r>
      <w:r w:rsidR="00372F0E">
        <w:t>white</w:t>
      </w:r>
      <w:r w:rsidR="0057739C">
        <w:t xml:space="preserve"> </w:t>
      </w:r>
      <w:r w:rsidR="00372F0E">
        <w:t xml:space="preserve">British working-class </w:t>
      </w:r>
      <w:r>
        <w:t>families</w:t>
      </w:r>
      <w:r w:rsidR="00137CAF">
        <w:t xml:space="preserve"> with the aim of improving pupils’ academic performance by </w:t>
      </w:r>
      <w:r>
        <w:t>changing</w:t>
      </w:r>
      <w:r w:rsidR="00137CAF">
        <w:t xml:space="preserve"> parent</w:t>
      </w:r>
      <w:r>
        <w:t>s’</w:t>
      </w:r>
      <w:r w:rsidR="00137CAF">
        <w:t xml:space="preserve"> attitudes </w:t>
      </w:r>
      <w:r w:rsidR="00137CAF">
        <w:lastRenderedPageBreak/>
        <w:t xml:space="preserve">towards education and enhancing their skills and competencies. </w:t>
      </w:r>
      <w:r w:rsidR="00650B53">
        <w:t xml:space="preserve">Schools selected parents </w:t>
      </w:r>
      <w:r w:rsidR="00137CAF">
        <w:t xml:space="preserve">on the basis that </w:t>
      </w:r>
      <w:r w:rsidR="001473E3">
        <w:t xml:space="preserve">their children were in receipt of free school meals and </w:t>
      </w:r>
      <w:r w:rsidR="00137CAF">
        <w:t>they were deemed to be particularly ‘hard-to-reach’</w:t>
      </w:r>
      <w:r w:rsidR="00555023">
        <w:t xml:space="preserve">. </w:t>
      </w:r>
      <w:r w:rsidR="00E90F8A">
        <w:t xml:space="preserve">Parents could also opt </w:t>
      </w:r>
      <w:r w:rsidR="007C67A1">
        <w:t>in</w:t>
      </w:r>
      <w:r w:rsidR="00E90F8A">
        <w:t xml:space="preserve">. </w:t>
      </w:r>
      <w:r w:rsidR="004E165F" w:rsidRPr="004E165F">
        <w:t>Despite acknowledging the complex factors affecting educational achievement, the organisers decided to focus on:</w:t>
      </w:r>
      <w:r w:rsidR="004E165F" w:rsidRPr="004E165F" w:rsidDel="004E165F">
        <w:t xml:space="preserve"> </w:t>
      </w:r>
      <w:r w:rsidR="00CA29A7">
        <w:t xml:space="preserve">‘the misalignment between parents and schools’. </w:t>
      </w:r>
      <w:r w:rsidR="0057739C">
        <w:t xml:space="preserve">The programme thus sought to </w:t>
      </w:r>
      <w:r w:rsidR="00EE2F62">
        <w:t xml:space="preserve">improve home-school relations. </w:t>
      </w:r>
      <w:r w:rsidR="00931FEC">
        <w:t xml:space="preserve">It was envisioned that this </w:t>
      </w:r>
      <w:r w:rsidR="0057739C">
        <w:t>c</w:t>
      </w:r>
      <w:r w:rsidR="00931FEC">
        <w:t xml:space="preserve">ould be achieved by </w:t>
      </w:r>
      <w:r w:rsidR="00EE2F62">
        <w:t>increasing</w:t>
      </w:r>
      <w:r w:rsidR="00931FEC">
        <w:t xml:space="preserve"> parental </w:t>
      </w:r>
      <w:r w:rsidR="00EE2F62">
        <w:t>involvement in</w:t>
      </w:r>
      <w:r w:rsidR="00931FEC">
        <w:t xml:space="preserve"> schools, improving ‘at home good parenting’, and by raising awareness of the challenges faced by </w:t>
      </w:r>
      <w:r w:rsidR="001416D4">
        <w:t>these</w:t>
      </w:r>
      <w:r w:rsidR="00931FEC">
        <w:t xml:space="preserve"> families. </w:t>
      </w:r>
    </w:p>
    <w:p w14:paraId="37239735" w14:textId="371940EE" w:rsidR="00526519" w:rsidRDefault="00EE7014" w:rsidP="00F910F2">
      <w:pPr>
        <w:ind w:firstLine="720"/>
        <w:jc w:val="both"/>
      </w:pPr>
      <w:r>
        <w:t>Two ‘link workers’ were hired to deliver on these objectives</w:t>
      </w:r>
      <w:r w:rsidR="00D73DEE">
        <w:t>. T</w:t>
      </w:r>
      <w:r>
        <w:t>heir remit include</w:t>
      </w:r>
      <w:r w:rsidR="00E373A2">
        <w:t>d</w:t>
      </w:r>
      <w:r>
        <w:t xml:space="preserve">: </w:t>
      </w:r>
      <w:r w:rsidR="00D73DEE">
        <w:t>building</w:t>
      </w:r>
      <w:r>
        <w:t xml:space="preserve"> relationships with families; facilitating events; holding drop-in sessions; offering guidance and support; and providing advocacy in schools.</w:t>
      </w:r>
      <w:r w:rsidR="004E165F">
        <w:t xml:space="preserve"> </w:t>
      </w:r>
      <w:r w:rsidR="00051CC4">
        <w:t xml:space="preserve">The </w:t>
      </w:r>
      <w:r w:rsidR="00345A93">
        <w:t>programme</w:t>
      </w:r>
      <w:r w:rsidR="00051CC4">
        <w:t xml:space="preserve"> </w:t>
      </w:r>
      <w:r w:rsidR="00E373A2">
        <w:t xml:space="preserve">was intended </w:t>
      </w:r>
      <w:r w:rsidR="00051CC4">
        <w:t xml:space="preserve">to </w:t>
      </w:r>
      <w:r w:rsidR="00526519">
        <w:t>be</w:t>
      </w:r>
      <w:r w:rsidR="00051CC4">
        <w:t xml:space="preserve"> a ‘parent-led process’, with link workers </w:t>
      </w:r>
      <w:r w:rsidR="00536C02">
        <w:t>facilitating</w:t>
      </w:r>
      <w:r w:rsidR="00051CC4">
        <w:t xml:space="preserve"> parents’ demands for particular services. This was a central plank in a </w:t>
      </w:r>
      <w:r w:rsidR="00E373A2">
        <w:t>‘</w:t>
      </w:r>
      <w:r w:rsidR="00051CC4">
        <w:t>bottom-up approach</w:t>
      </w:r>
      <w:r w:rsidR="00E373A2">
        <w:t>’</w:t>
      </w:r>
      <w:r w:rsidR="00051CC4">
        <w:t xml:space="preserve"> to parenting support provi</w:t>
      </w:r>
      <w:r w:rsidR="00526519">
        <w:t>sion. As such, participation was voluntary. As one of the project organisers averred, ‘we’re not a statutory authority to involve parents, so it’s going to be voluntary; but that’s how we want it’.</w:t>
      </w:r>
    </w:p>
    <w:p w14:paraId="594C13FE" w14:textId="2E60913B" w:rsidR="008156A6" w:rsidRDefault="00526519" w:rsidP="00F910F2">
      <w:pPr>
        <w:ind w:firstLine="360"/>
        <w:jc w:val="both"/>
      </w:pPr>
      <w:r>
        <w:tab/>
      </w:r>
      <w:r w:rsidR="00D73DEE">
        <w:t>The</w:t>
      </w:r>
      <w:r w:rsidR="005131A8">
        <w:t xml:space="preserve"> support offered to parents extended </w:t>
      </w:r>
      <w:r w:rsidR="00650B53">
        <w:t>to</w:t>
      </w:r>
      <w:r w:rsidR="005131A8">
        <w:t xml:space="preserve"> </w:t>
      </w:r>
      <w:r w:rsidR="009D2E05">
        <w:t>activities oriented to</w:t>
      </w:r>
      <w:r w:rsidR="005131A8">
        <w:t xml:space="preserve"> helping </w:t>
      </w:r>
      <w:r w:rsidR="00650B53">
        <w:t xml:space="preserve">them </w:t>
      </w:r>
      <w:r w:rsidR="009D2E05">
        <w:t>find employment</w:t>
      </w:r>
      <w:r w:rsidR="005131A8">
        <w:t xml:space="preserve">. </w:t>
      </w:r>
      <w:r w:rsidR="00650B53">
        <w:t>Hence, t</w:t>
      </w:r>
      <w:r w:rsidR="00E373A2">
        <w:t xml:space="preserve">his was a broad conception of parenting support. </w:t>
      </w:r>
      <w:r w:rsidR="00E40DA9">
        <w:t xml:space="preserve">Activities </w:t>
      </w:r>
      <w:r w:rsidR="00273A1E">
        <w:t>focused on enhancing</w:t>
      </w:r>
      <w:r w:rsidR="005131A8">
        <w:t xml:space="preserve"> parents’ skills and competencies – their </w:t>
      </w:r>
      <w:r w:rsidR="005131A8" w:rsidRPr="00CF4442">
        <w:rPr>
          <w:i/>
        </w:rPr>
        <w:t>aptitudes</w:t>
      </w:r>
      <w:r w:rsidR="005131A8">
        <w:t xml:space="preserve"> – </w:t>
      </w:r>
      <w:r w:rsidR="009670ED">
        <w:t xml:space="preserve">as well as </w:t>
      </w:r>
      <w:r w:rsidR="00273A1E">
        <w:t>altering</w:t>
      </w:r>
      <w:r w:rsidR="00536C02">
        <w:t xml:space="preserve"> their aspirations and expectations </w:t>
      </w:r>
      <w:r w:rsidR="00BB2278">
        <w:t>–</w:t>
      </w:r>
      <w:r w:rsidR="005131A8">
        <w:t xml:space="preserve"> their </w:t>
      </w:r>
      <w:r w:rsidR="005131A8" w:rsidRPr="00CF4442">
        <w:rPr>
          <w:i/>
        </w:rPr>
        <w:t>attitudes</w:t>
      </w:r>
      <w:r w:rsidR="005131A8">
        <w:t xml:space="preserve">. </w:t>
      </w:r>
      <w:r w:rsidR="00CF4442">
        <w:t>The</w:t>
      </w:r>
      <w:r w:rsidR="005131A8">
        <w:t xml:space="preserve"> </w:t>
      </w:r>
      <w:r w:rsidR="00345A93">
        <w:t>programme</w:t>
      </w:r>
      <w:r w:rsidR="005131A8">
        <w:t xml:space="preserve"> also sought to </w:t>
      </w:r>
      <w:r w:rsidR="00CF4442">
        <w:t>foster</w:t>
      </w:r>
      <w:r w:rsidR="005131A8">
        <w:t xml:space="preserve"> community between parents and provide</w:t>
      </w:r>
      <w:r w:rsidR="00CF4442">
        <w:t>d</w:t>
      </w:r>
      <w:r w:rsidR="005131A8">
        <w:t xml:space="preserve"> opportunities for </w:t>
      </w:r>
      <w:r w:rsidR="00650B53">
        <w:t>peer-support</w:t>
      </w:r>
      <w:r w:rsidR="005131A8">
        <w:t xml:space="preserve">. </w:t>
      </w:r>
      <w:r w:rsidR="008156A6">
        <w:t xml:space="preserve">This accords with Daly and Bray’s conclusion that ‘parenting support is more than polysemic, it is multi-expectational in that it plays host to a very high promise and takes forward widely differing sets of policy orientations and goals’ (2015: 640). At the very least, it is suggestive of the amorphous nature of the </w:t>
      </w:r>
      <w:r w:rsidR="00CF4442">
        <w:t>programme.</w:t>
      </w:r>
    </w:p>
    <w:p w14:paraId="57860A61" w14:textId="2B59DF27" w:rsidR="009D2E05" w:rsidRDefault="009D2E05" w:rsidP="00F910F2">
      <w:pPr>
        <w:jc w:val="both"/>
      </w:pPr>
    </w:p>
    <w:p w14:paraId="5F055158" w14:textId="77777777" w:rsidR="00E8734E" w:rsidRDefault="00E8734E" w:rsidP="00F910F2">
      <w:pPr>
        <w:jc w:val="both"/>
        <w:rPr>
          <w:b/>
          <w:sz w:val="28"/>
        </w:rPr>
      </w:pPr>
    </w:p>
    <w:p w14:paraId="02A02E16" w14:textId="6F8F1429" w:rsidR="008156A6" w:rsidRPr="00A33403" w:rsidRDefault="008156A6" w:rsidP="00F910F2">
      <w:pPr>
        <w:jc w:val="both"/>
        <w:rPr>
          <w:b/>
          <w:sz w:val="28"/>
        </w:rPr>
      </w:pPr>
      <w:r w:rsidRPr="00A33403">
        <w:rPr>
          <w:b/>
          <w:sz w:val="28"/>
        </w:rPr>
        <w:t>The Study</w:t>
      </w:r>
    </w:p>
    <w:p w14:paraId="492726E7" w14:textId="77777777" w:rsidR="00E8734E" w:rsidRDefault="00E8734E" w:rsidP="00F910F2">
      <w:pPr>
        <w:jc w:val="both"/>
      </w:pPr>
    </w:p>
    <w:p w14:paraId="761B5E36" w14:textId="7416F0A8" w:rsidR="00677BAB" w:rsidRDefault="008B42BA" w:rsidP="00F910F2">
      <w:pPr>
        <w:jc w:val="both"/>
      </w:pPr>
      <w:r>
        <w:t xml:space="preserve">This </w:t>
      </w:r>
      <w:r w:rsidR="00372F0E">
        <w:t>article</w:t>
      </w:r>
      <w:r w:rsidR="00882BAF">
        <w:t xml:space="preserve"> draws</w:t>
      </w:r>
      <w:r>
        <w:t xml:space="preserve"> on data collected </w:t>
      </w:r>
      <w:r w:rsidR="009F5F39">
        <w:t>during</w:t>
      </w:r>
      <w:r>
        <w:t xml:space="preserve"> the evaluation of the </w:t>
      </w:r>
      <w:r w:rsidR="009D2E05">
        <w:t>pilot</w:t>
      </w:r>
      <w:r>
        <w:t xml:space="preserve">. </w:t>
      </w:r>
      <w:r w:rsidR="00536C02">
        <w:t>A</w:t>
      </w:r>
      <w:r w:rsidR="009F5F39">
        <w:t xml:space="preserve"> mixed-method</w:t>
      </w:r>
      <w:r w:rsidR="00536C02">
        <w:t>s</w:t>
      </w:r>
      <w:r w:rsidR="009F5F39">
        <w:t xml:space="preserve"> approach employing qualitative methods of data collection</w:t>
      </w:r>
      <w:r w:rsidR="00536C02">
        <w:t xml:space="preserve"> was adopted</w:t>
      </w:r>
      <w:r w:rsidR="009F5F39">
        <w:t xml:space="preserve">. The overall aims were to report on the </w:t>
      </w:r>
      <w:r w:rsidR="00500949">
        <w:t xml:space="preserve">programme’s </w:t>
      </w:r>
      <w:r w:rsidR="009F5F39">
        <w:t xml:space="preserve">effectiveness </w:t>
      </w:r>
      <w:r w:rsidR="00500949">
        <w:t>in</w:t>
      </w:r>
      <w:r w:rsidR="009F5F39">
        <w:t xml:space="preserve"> </w:t>
      </w:r>
      <w:r w:rsidR="00500949">
        <w:t>improving engagement</w:t>
      </w:r>
      <w:r w:rsidR="009F5F39">
        <w:t xml:space="preserve">; to highlight critical factors in determining the success or failure of </w:t>
      </w:r>
      <w:r w:rsidR="00500949">
        <w:t>particular</w:t>
      </w:r>
      <w:r w:rsidR="009F5F39">
        <w:t xml:space="preserve"> strategies; and to offer recommendations to inform future planning, development, and delivery. Data collection methods included semi-structured interviews, group interviews, focus groups, and observations. </w:t>
      </w:r>
      <w:r w:rsidR="00A05C04">
        <w:t>Data were collected</w:t>
      </w:r>
      <w:r w:rsidR="00882BAF">
        <w:t xml:space="preserve"> from </w:t>
      </w:r>
      <w:r w:rsidR="00536C02">
        <w:t>staff</w:t>
      </w:r>
      <w:r w:rsidR="005814E2">
        <w:t xml:space="preserve"> and parents </w:t>
      </w:r>
      <w:r w:rsidR="00536C02">
        <w:t>at</w:t>
      </w:r>
      <w:r w:rsidR="00882BAF">
        <w:t xml:space="preserve"> participating schools (three secondary schools and five ‘feeder’ </w:t>
      </w:r>
      <w:r w:rsidR="005814E2">
        <w:t>primary schools</w:t>
      </w:r>
      <w:r w:rsidR="00882BAF">
        <w:t xml:space="preserve">), the two link workers, and staff from the local authority </w:t>
      </w:r>
      <w:r w:rsidR="00500949">
        <w:t>responsible for managing</w:t>
      </w:r>
      <w:r w:rsidR="00882BAF">
        <w:t xml:space="preserve"> the programme. </w:t>
      </w:r>
    </w:p>
    <w:p w14:paraId="73BCD75D" w14:textId="711AC69A" w:rsidR="004854FA" w:rsidRDefault="00882BAF" w:rsidP="00B1519E">
      <w:pPr>
        <w:ind w:firstLine="720"/>
        <w:jc w:val="both"/>
      </w:pPr>
      <w:r>
        <w:t xml:space="preserve">In </w:t>
      </w:r>
      <w:r w:rsidR="00BB00DB">
        <w:t>total</w:t>
      </w:r>
      <w:r>
        <w:t>,</w:t>
      </w:r>
      <w:r w:rsidR="00BB00DB">
        <w:t xml:space="preserve"> eleven parents were interviewed during the evaluation.</w:t>
      </w:r>
      <w:r w:rsidR="00677BAB">
        <w:t xml:space="preserve"> </w:t>
      </w:r>
      <w:r w:rsidR="00677BAB" w:rsidRPr="00F34A1D">
        <w:t xml:space="preserve">The link workers categorised parents on a ‘ladder of engagement’ (e.g. ‘resistant’; ‘disengaged’; ‘open’; or, ‘interested’) and the sample </w:t>
      </w:r>
      <w:r w:rsidR="000A683B" w:rsidRPr="00B1519E">
        <w:t>was selected from</w:t>
      </w:r>
      <w:r w:rsidR="00677BAB" w:rsidRPr="00F34A1D">
        <w:t xml:space="preserve"> participants across these categories. The research team collected data from school and local authority staff in </w:t>
      </w:r>
      <w:r w:rsidR="000A683B" w:rsidRPr="00B1519E">
        <w:t xml:space="preserve">the </w:t>
      </w:r>
      <w:r w:rsidR="00677BAB" w:rsidRPr="00F34A1D">
        <w:t xml:space="preserve">initial phases of </w:t>
      </w:r>
      <w:r w:rsidR="000A683B" w:rsidRPr="00B1519E">
        <w:t>programme</w:t>
      </w:r>
      <w:r w:rsidR="00677BAB" w:rsidRPr="00F34A1D">
        <w:t>, and from parents</w:t>
      </w:r>
      <w:r w:rsidR="000A683B" w:rsidRPr="00B1519E">
        <w:t xml:space="preserve"> and link workers</w:t>
      </w:r>
      <w:r w:rsidR="00677BAB" w:rsidRPr="00F34A1D">
        <w:t xml:space="preserve"> </w:t>
      </w:r>
      <w:r w:rsidR="000A683B" w:rsidRPr="00B1519E">
        <w:t>throughout</w:t>
      </w:r>
      <w:r w:rsidR="00677BAB" w:rsidRPr="00F34A1D">
        <w:t>. The data includes</w:t>
      </w:r>
      <w:r w:rsidR="000A683B" w:rsidRPr="00B1519E">
        <w:t>:</w:t>
      </w:r>
      <w:r w:rsidR="00677BAB" w:rsidRPr="00F34A1D">
        <w:t xml:space="preserve"> 19 parent interviews</w:t>
      </w:r>
      <w:r w:rsidR="000A683B" w:rsidRPr="00B1519E">
        <w:t xml:space="preserve"> </w:t>
      </w:r>
      <w:r w:rsidR="00C43630" w:rsidRPr="00B1519E">
        <w:t>(including two focus groups)</w:t>
      </w:r>
      <w:r w:rsidR="000A683B" w:rsidRPr="00B1519E">
        <w:t>;</w:t>
      </w:r>
      <w:r w:rsidR="00677BAB" w:rsidRPr="00F34A1D">
        <w:t xml:space="preserve"> 19 interviews with school staff</w:t>
      </w:r>
      <w:r w:rsidR="00C43630" w:rsidRPr="00B1519E">
        <w:t xml:space="preserve"> (including five group interviews)</w:t>
      </w:r>
      <w:r w:rsidR="003C1537" w:rsidRPr="00B1519E">
        <w:t>;</w:t>
      </w:r>
      <w:r w:rsidR="00677BAB" w:rsidRPr="00F34A1D">
        <w:t xml:space="preserve"> </w:t>
      </w:r>
      <w:r w:rsidR="00A949E0" w:rsidRPr="00B1519E">
        <w:t>two group interviews with</w:t>
      </w:r>
      <w:r w:rsidR="00677BAB" w:rsidRPr="00F34A1D">
        <w:t xml:space="preserve"> local authority </w:t>
      </w:r>
      <w:r w:rsidR="00A949E0" w:rsidRPr="00B1519E">
        <w:t>staff</w:t>
      </w:r>
      <w:r w:rsidR="000A683B" w:rsidRPr="00B1519E">
        <w:t>;</w:t>
      </w:r>
      <w:r w:rsidR="00677BAB" w:rsidRPr="00F34A1D">
        <w:t xml:space="preserve"> and </w:t>
      </w:r>
      <w:r w:rsidR="003C1537" w:rsidRPr="00B1519E">
        <w:t>paired</w:t>
      </w:r>
      <w:r w:rsidR="00C43630" w:rsidRPr="00B1519E">
        <w:t xml:space="preserve"> and individual interviews with </w:t>
      </w:r>
      <w:r w:rsidR="00677BAB" w:rsidRPr="00F34A1D">
        <w:t xml:space="preserve">both link workers. </w:t>
      </w:r>
      <w:r w:rsidR="00A13349" w:rsidRPr="004854FA">
        <w:t xml:space="preserve">The resulting dataset was </w:t>
      </w:r>
      <w:r w:rsidR="00F34A1D">
        <w:t xml:space="preserve">thematically </w:t>
      </w:r>
      <w:r w:rsidR="00A13349" w:rsidRPr="004854FA">
        <w:t xml:space="preserve">analysed </w:t>
      </w:r>
      <w:r w:rsidR="003C1537">
        <w:t>in</w:t>
      </w:r>
      <w:r w:rsidR="00A13349" w:rsidRPr="004854FA">
        <w:t xml:space="preserve"> a parallel process </w:t>
      </w:r>
      <w:r w:rsidR="003C1537">
        <w:t>where</w:t>
      </w:r>
      <w:r w:rsidR="00A13349" w:rsidRPr="004854FA">
        <w:t xml:space="preserve"> data was mined according to categories essential to the evaluation</w:t>
      </w:r>
      <w:r w:rsidR="00DC5B91" w:rsidRPr="004854FA">
        <w:t>, on one hand, and more openly coded on the other. It was through the open-coding that the persistent theme of trust emerge</w:t>
      </w:r>
      <w:r w:rsidR="00345A93" w:rsidRPr="004854FA">
        <w:t>d</w:t>
      </w:r>
      <w:r w:rsidR="00DC5B91" w:rsidRPr="004854FA">
        <w:t xml:space="preserve">. </w:t>
      </w:r>
      <w:r w:rsidR="00A13349" w:rsidRPr="004854FA">
        <w:t xml:space="preserve">Standard ethical procedures were followed throughout. </w:t>
      </w:r>
      <w:r w:rsidR="004854FA">
        <w:t>I</w:t>
      </w:r>
      <w:r w:rsidR="00DC5B91" w:rsidRPr="004854FA">
        <w:t xml:space="preserve">nformed consent was </w:t>
      </w:r>
      <w:r w:rsidR="00B1519E">
        <w:t>obtained,</w:t>
      </w:r>
      <w:r w:rsidR="004854FA">
        <w:t xml:space="preserve"> and all participants </w:t>
      </w:r>
      <w:r w:rsidR="003214E7">
        <w:t>were</w:t>
      </w:r>
      <w:r w:rsidR="004854FA">
        <w:t xml:space="preserve"> allocated pseudonym</w:t>
      </w:r>
      <w:r w:rsidR="003214E7">
        <w:t>s</w:t>
      </w:r>
      <w:r w:rsidR="004854FA">
        <w:t>.</w:t>
      </w:r>
    </w:p>
    <w:p w14:paraId="41178BC4" w14:textId="3D2CB227" w:rsidR="00BB00DB" w:rsidRDefault="00BB00DB" w:rsidP="00F910F2">
      <w:pPr>
        <w:jc w:val="both"/>
      </w:pPr>
    </w:p>
    <w:p w14:paraId="3A161B8B" w14:textId="77777777" w:rsidR="00E8734E" w:rsidRDefault="00E8734E" w:rsidP="00F910F2">
      <w:pPr>
        <w:jc w:val="both"/>
        <w:rPr>
          <w:b/>
          <w:sz w:val="28"/>
        </w:rPr>
      </w:pPr>
    </w:p>
    <w:p w14:paraId="76BB496C" w14:textId="7E0C5497" w:rsidR="00301F84" w:rsidRPr="009A45A9" w:rsidRDefault="00301F84" w:rsidP="00F910F2">
      <w:pPr>
        <w:jc w:val="both"/>
        <w:rPr>
          <w:b/>
          <w:sz w:val="28"/>
        </w:rPr>
      </w:pPr>
      <w:r w:rsidRPr="009A45A9">
        <w:rPr>
          <w:b/>
          <w:sz w:val="28"/>
        </w:rPr>
        <w:t>The Gentle Way in Parental Government</w:t>
      </w:r>
    </w:p>
    <w:p w14:paraId="06D6308A" w14:textId="0BB5F02D" w:rsidR="00E8734E" w:rsidRDefault="00E8734E" w:rsidP="00F910F2">
      <w:pPr>
        <w:jc w:val="both"/>
      </w:pPr>
    </w:p>
    <w:p w14:paraId="44C6551A" w14:textId="2D7BCDC0" w:rsidR="00722E36" w:rsidRPr="00722E36" w:rsidRDefault="000F68D8" w:rsidP="00B1519E">
      <w:pPr>
        <w:jc w:val="both"/>
      </w:pPr>
      <w:r>
        <w:lastRenderedPageBreak/>
        <w:t xml:space="preserve">The programme </w:t>
      </w:r>
      <w:r w:rsidR="00FA385E">
        <w:t>is notable for its ‘gentle’ approach to governing parents. Eschewing coerc</w:t>
      </w:r>
      <w:r w:rsidR="00E765E7">
        <w:t>ion</w:t>
      </w:r>
      <w:r w:rsidR="00B45B20">
        <w:t>,</w:t>
      </w:r>
      <w:r w:rsidR="002C778C">
        <w:t xml:space="preserve"> </w:t>
      </w:r>
      <w:r w:rsidR="00B45B20">
        <w:t>it favour</w:t>
      </w:r>
      <w:r w:rsidR="00E765E7">
        <w:t>s</w:t>
      </w:r>
      <w:r w:rsidR="00B45B20">
        <w:t xml:space="preserve"> the strategic use of </w:t>
      </w:r>
      <w:r w:rsidR="00B45B20" w:rsidRPr="00B1519E">
        <w:rPr>
          <w:i/>
        </w:rPr>
        <w:t>trust</w:t>
      </w:r>
      <w:r w:rsidR="00B45B20">
        <w:t xml:space="preserve">. </w:t>
      </w:r>
      <w:r w:rsidR="00F96D13">
        <w:t>S</w:t>
      </w:r>
      <w:r w:rsidR="000D663C">
        <w:t xml:space="preserve">anctions </w:t>
      </w:r>
      <w:r w:rsidR="00A60E7B">
        <w:t>are</w:t>
      </w:r>
      <w:r w:rsidR="000D663C">
        <w:t xml:space="preserve"> replaced by a series of</w:t>
      </w:r>
      <w:r w:rsidR="009A242E">
        <w:t xml:space="preserve"> ‘nudges’ or</w:t>
      </w:r>
      <w:r w:rsidR="000D663C">
        <w:t xml:space="preserve"> ‘non-coercive enticements</w:t>
      </w:r>
      <w:r w:rsidR="00263E40">
        <w:t>’</w:t>
      </w:r>
      <w:r w:rsidR="000D663C">
        <w:t xml:space="preserve"> </w:t>
      </w:r>
      <w:r w:rsidR="005F25F3">
        <w:t>aimed</w:t>
      </w:r>
      <w:r w:rsidR="000D663C">
        <w:t xml:space="preserve"> at fostering cooperation</w:t>
      </w:r>
      <w:r w:rsidR="00263E40">
        <w:t xml:space="preserve"> and commitment</w:t>
      </w:r>
      <w:r w:rsidR="000D663C">
        <w:t xml:space="preserve"> </w:t>
      </w:r>
      <w:r w:rsidR="00722E36" w:rsidRPr="00722E36">
        <w:t xml:space="preserve">(Baez </w:t>
      </w:r>
      <w:r w:rsidR="002C7292">
        <w:t>&amp;</w:t>
      </w:r>
      <w:r w:rsidR="00722E36" w:rsidRPr="00722E36">
        <w:t xml:space="preserve"> </w:t>
      </w:r>
      <w:proofErr w:type="spellStart"/>
      <w:r w:rsidR="00722E36" w:rsidRPr="00722E36">
        <w:t>Talburt</w:t>
      </w:r>
      <w:proofErr w:type="spellEnd"/>
      <w:r w:rsidR="00722E36" w:rsidRPr="00722E36">
        <w:t>, 2008). Non-coercive enticements constitute</w:t>
      </w:r>
      <w:r w:rsidR="00A60E7B">
        <w:t xml:space="preserve"> </w:t>
      </w:r>
      <w:r w:rsidR="00722E36" w:rsidRPr="00722E36">
        <w:t>calculated techniques for promoting desirable conduct</w:t>
      </w:r>
      <w:r w:rsidR="00F96D13">
        <w:t xml:space="preserve"> </w:t>
      </w:r>
      <w:r w:rsidR="00E765E7">
        <w:t>which</w:t>
      </w:r>
      <w:r w:rsidR="00722E36" w:rsidRPr="00722E36">
        <w:t xml:space="preserve"> operate through modifying aspirations, interests, and inclinations rather than suppressing them. </w:t>
      </w:r>
      <w:r w:rsidR="009A242E">
        <w:t>Compulsion</w:t>
      </w:r>
      <w:r w:rsidR="00722E36" w:rsidRPr="00722E36">
        <w:t xml:space="preserve"> give</w:t>
      </w:r>
      <w:r w:rsidR="009A242E">
        <w:t>s</w:t>
      </w:r>
      <w:r w:rsidR="00722E36" w:rsidRPr="00722E36">
        <w:t xml:space="preserve"> way to gentle encouragement</w:t>
      </w:r>
      <w:r w:rsidR="00EC6022">
        <w:t>;</w:t>
      </w:r>
      <w:r w:rsidR="00722E36" w:rsidRPr="00722E36">
        <w:t xml:space="preserve"> to tactics and techniques </w:t>
      </w:r>
      <w:r w:rsidR="00C00FEE">
        <w:t>that</w:t>
      </w:r>
      <w:r w:rsidR="00722E36" w:rsidRPr="00722E36">
        <w:t xml:space="preserve"> capitalise on the emotional and affective dimensions of parenting</w:t>
      </w:r>
      <w:r w:rsidR="00C00FEE">
        <w:t>.</w:t>
      </w:r>
      <w:r w:rsidR="00722E36" w:rsidRPr="00722E36">
        <w:t xml:space="preserve"> </w:t>
      </w:r>
    </w:p>
    <w:p w14:paraId="7ED636E1" w14:textId="7C5E629B" w:rsidR="006B05AA" w:rsidRPr="006B05AA" w:rsidRDefault="00263E40" w:rsidP="00F910F2">
      <w:pPr>
        <w:ind w:firstLine="414"/>
        <w:jc w:val="both"/>
      </w:pPr>
      <w:r>
        <w:tab/>
      </w:r>
      <w:r w:rsidR="006B05AA" w:rsidRPr="001B28F8">
        <w:t>The</w:t>
      </w:r>
      <w:r w:rsidRPr="001B28F8">
        <w:t xml:space="preserve"> </w:t>
      </w:r>
      <w:r w:rsidR="00FA385E">
        <w:t>organisers</w:t>
      </w:r>
      <w:r w:rsidRPr="001B28F8">
        <w:t xml:space="preserve"> </w:t>
      </w:r>
      <w:r w:rsidR="006B05AA" w:rsidRPr="001B28F8">
        <w:t xml:space="preserve">were adamant it </w:t>
      </w:r>
      <w:r w:rsidR="00A83E1A" w:rsidRPr="001B28F8">
        <w:t>w</w:t>
      </w:r>
      <w:r w:rsidR="006B05AA" w:rsidRPr="001B28F8">
        <w:t xml:space="preserve">ould not be imposed upon parents. </w:t>
      </w:r>
      <w:r w:rsidR="00F96D13">
        <w:t xml:space="preserve">Efforts </w:t>
      </w:r>
      <w:r w:rsidR="00E765E7">
        <w:t>were</w:t>
      </w:r>
      <w:r w:rsidR="00F96D13">
        <w:t xml:space="preserve"> made to elicit their participation, but involvement remained voluntary. </w:t>
      </w:r>
      <w:r w:rsidR="005842EE" w:rsidRPr="001B28F8">
        <w:t>This meant that</w:t>
      </w:r>
      <w:r w:rsidR="00EC6022" w:rsidRPr="001B28F8">
        <w:t xml:space="preserve"> </w:t>
      </w:r>
      <w:r w:rsidR="006B05AA" w:rsidRPr="001B28F8">
        <w:t xml:space="preserve">alternative methods </w:t>
      </w:r>
      <w:r w:rsidR="001B28F8">
        <w:t>had</w:t>
      </w:r>
      <w:r w:rsidR="00EC6022" w:rsidRPr="001B28F8">
        <w:t xml:space="preserve"> to be employed</w:t>
      </w:r>
      <w:r w:rsidR="006B05AA" w:rsidRPr="001B28F8">
        <w:t xml:space="preserve"> to </w:t>
      </w:r>
      <w:r w:rsidR="00E765E7">
        <w:t>guarantee parents’ involvement</w:t>
      </w:r>
      <w:r w:rsidR="006B05AA" w:rsidRPr="001B28F8">
        <w:t>. And this is where trust comes into play:</w:t>
      </w:r>
      <w:r w:rsidR="006B05AA" w:rsidRPr="006B05AA">
        <w:t xml:space="preserve">  </w:t>
      </w:r>
    </w:p>
    <w:p w14:paraId="7B044527" w14:textId="77777777" w:rsidR="006B05AA" w:rsidRPr="006B05AA" w:rsidRDefault="006B05AA" w:rsidP="00F910F2">
      <w:pPr>
        <w:jc w:val="both"/>
      </w:pPr>
    </w:p>
    <w:p w14:paraId="6DDDED44" w14:textId="4496BB32" w:rsidR="006B05AA" w:rsidRPr="006B05AA" w:rsidRDefault="006B05AA" w:rsidP="00F910F2">
      <w:pPr>
        <w:ind w:left="414"/>
        <w:jc w:val="both"/>
        <w:rPr>
          <w:sz w:val="20"/>
        </w:rPr>
      </w:pPr>
      <w:r w:rsidRPr="006B05AA">
        <w:rPr>
          <w:sz w:val="20"/>
        </w:rPr>
        <w:t xml:space="preserve">I think the first stage is trust and relationship-building […] because </w:t>
      </w:r>
      <w:r w:rsidRPr="006B05AA">
        <w:rPr>
          <w:i/>
          <w:sz w:val="20"/>
        </w:rPr>
        <w:t>you can’t get people to access services or do anything really unless you have their trust</w:t>
      </w:r>
      <w:r w:rsidRPr="006B05AA">
        <w:rPr>
          <w:sz w:val="20"/>
        </w:rPr>
        <w:t xml:space="preserve">. And we felt that you [the link workers] being able to say </w:t>
      </w:r>
      <w:proofErr w:type="gramStart"/>
      <w:r w:rsidRPr="006B05AA">
        <w:rPr>
          <w:sz w:val="20"/>
        </w:rPr>
        <w:t>you’re</w:t>
      </w:r>
      <w:proofErr w:type="gramEnd"/>
      <w:r w:rsidRPr="006B05AA">
        <w:rPr>
          <w:sz w:val="20"/>
        </w:rPr>
        <w:t xml:space="preserve"> not a school, you’re just there for them, to support them as a resource for them, makes a huge difference in how parents will view it. (Project Organiser; emphasis added)</w:t>
      </w:r>
    </w:p>
    <w:p w14:paraId="5722996C" w14:textId="6A7122B6" w:rsidR="00301F84" w:rsidRDefault="00301F84" w:rsidP="00F910F2">
      <w:pPr>
        <w:jc w:val="both"/>
      </w:pPr>
    </w:p>
    <w:p w14:paraId="2275426D" w14:textId="1CD8FEE3" w:rsidR="00107BA1" w:rsidRPr="00107BA1" w:rsidRDefault="00107BA1" w:rsidP="00B1519E">
      <w:pPr>
        <w:jc w:val="both"/>
      </w:pPr>
      <w:r w:rsidRPr="00107BA1">
        <w:t>If the project is to achieve its aim of producing responsible</w:t>
      </w:r>
      <w:r w:rsidR="00EC6022">
        <w:t xml:space="preserve"> </w:t>
      </w:r>
      <w:r w:rsidRPr="00107BA1">
        <w:t>parents fully in tune with the needs of their children</w:t>
      </w:r>
      <w:r>
        <w:t>’s</w:t>
      </w:r>
      <w:r w:rsidRPr="00107BA1">
        <w:t xml:space="preserve"> education, then parents must trust that the intentions behind the project are sincere and, furthermore, </w:t>
      </w:r>
      <w:r w:rsidR="00A510BD">
        <w:t xml:space="preserve">consider </w:t>
      </w:r>
      <w:r w:rsidRPr="00107BA1">
        <w:t xml:space="preserve">the link workers themselves </w:t>
      </w:r>
      <w:r w:rsidR="005842EE">
        <w:t>to be</w:t>
      </w:r>
      <w:r w:rsidR="00A510BD">
        <w:t xml:space="preserve"> </w:t>
      </w:r>
      <w:r w:rsidR="00EC6022">
        <w:t>trustworthy</w:t>
      </w:r>
      <w:r w:rsidRPr="00107BA1">
        <w:t>. The key point is that fostering trust is</w:t>
      </w:r>
      <w:r w:rsidR="00E765E7">
        <w:t xml:space="preserve"> </w:t>
      </w:r>
      <w:r w:rsidR="002101C9">
        <w:t>central to</w:t>
      </w:r>
      <w:r w:rsidR="00E765E7">
        <w:t xml:space="preserve"> the programmes</w:t>
      </w:r>
      <w:r w:rsidR="002101C9">
        <w:t>’</w:t>
      </w:r>
      <w:r w:rsidR="00E765E7">
        <w:t xml:space="preserve"> design,</w:t>
      </w:r>
      <w:r w:rsidRPr="00107BA1">
        <w:t xml:space="preserve"> not tacked on as an afterthought.</w:t>
      </w:r>
      <w:r w:rsidR="00677BAB">
        <w:t xml:space="preserve"> </w:t>
      </w:r>
      <w:r w:rsidR="00972106">
        <w:t>This approach</w:t>
      </w:r>
      <w:r w:rsidR="002D30BB">
        <w:t xml:space="preserve"> </w:t>
      </w:r>
      <w:r w:rsidR="005842EE">
        <w:t>chimes</w:t>
      </w:r>
      <w:r w:rsidRPr="00107BA1">
        <w:t xml:space="preserve"> with </w:t>
      </w:r>
      <w:r w:rsidR="00972106">
        <w:t>wider</w:t>
      </w:r>
      <w:r w:rsidRPr="00107BA1">
        <w:t xml:space="preserve"> literature on the </w:t>
      </w:r>
      <w:r w:rsidR="00972106">
        <w:t>importance</w:t>
      </w:r>
      <w:r w:rsidRPr="00107BA1">
        <w:t xml:space="preserve"> of trust in facilitating effective home-school relations (Bryk </w:t>
      </w:r>
      <w:r w:rsidR="002C7292">
        <w:t>&amp;</w:t>
      </w:r>
      <w:r w:rsidRPr="00107BA1">
        <w:t xml:space="preserve"> Schneider, 2002; </w:t>
      </w:r>
      <w:proofErr w:type="spellStart"/>
      <w:r w:rsidRPr="00107BA1">
        <w:t>Strier</w:t>
      </w:r>
      <w:proofErr w:type="spellEnd"/>
      <w:r w:rsidRPr="00107BA1">
        <w:t xml:space="preserve"> </w:t>
      </w:r>
      <w:r w:rsidR="002C7292">
        <w:t>&amp;</w:t>
      </w:r>
      <w:r w:rsidRPr="00107BA1">
        <w:t xml:space="preserve"> Katz, 2016). It also resonates with </w:t>
      </w:r>
      <w:r w:rsidR="001B28F8">
        <w:t>research</w:t>
      </w:r>
      <w:r w:rsidRPr="00107BA1">
        <w:t xml:space="preserve"> specifically related to engaging ‘hard</w:t>
      </w:r>
      <w:r w:rsidR="002D30BB">
        <w:t xml:space="preserve"> </w:t>
      </w:r>
      <w:r w:rsidRPr="00107BA1">
        <w:t>to</w:t>
      </w:r>
      <w:r w:rsidR="002D30BB">
        <w:t xml:space="preserve"> </w:t>
      </w:r>
      <w:r w:rsidRPr="00107BA1">
        <w:t xml:space="preserve">reach’ groups (Osgood, </w:t>
      </w:r>
      <w:r w:rsidRPr="00D70D7A">
        <w:rPr>
          <w:i/>
        </w:rPr>
        <w:t>et al.</w:t>
      </w:r>
      <w:r w:rsidRPr="00107BA1">
        <w:t>, 201</w:t>
      </w:r>
      <w:r w:rsidR="002461AA">
        <w:t>3</w:t>
      </w:r>
      <w:r w:rsidRPr="00107BA1">
        <w:t xml:space="preserve">). </w:t>
      </w:r>
    </w:p>
    <w:p w14:paraId="1CC142CF" w14:textId="57750CEE" w:rsidR="00301F84" w:rsidRDefault="002D30BB" w:rsidP="00F910F2">
      <w:pPr>
        <w:jc w:val="both"/>
      </w:pPr>
      <w:r>
        <w:tab/>
      </w:r>
      <w:r w:rsidR="00EB2A09">
        <w:t>In</w:t>
      </w:r>
      <w:r>
        <w:t xml:space="preserve"> terms of the programme trust is conceived as a</w:t>
      </w:r>
      <w:r w:rsidR="00A60E7B">
        <w:t xml:space="preserve"> wholly</w:t>
      </w:r>
      <w:r w:rsidR="00A34ABC">
        <w:t xml:space="preserve"> </w:t>
      </w:r>
      <w:r>
        <w:t xml:space="preserve">instrumental good. Its value </w:t>
      </w:r>
      <w:r w:rsidR="00A34ABC">
        <w:t>derives solely</w:t>
      </w:r>
      <w:r>
        <w:t xml:space="preserve"> </w:t>
      </w:r>
      <w:r w:rsidR="00A34ABC">
        <w:t>from</w:t>
      </w:r>
      <w:r>
        <w:t xml:space="preserve"> the extent to which it </w:t>
      </w:r>
      <w:r w:rsidR="00A34ABC">
        <w:t xml:space="preserve">helps </w:t>
      </w:r>
      <w:r w:rsidR="002101C9">
        <w:t xml:space="preserve">accomplish </w:t>
      </w:r>
      <w:r w:rsidR="00A60E7B">
        <w:t xml:space="preserve">programme </w:t>
      </w:r>
      <w:r w:rsidR="002101C9">
        <w:t>goals</w:t>
      </w:r>
      <w:r w:rsidRPr="00B07C14">
        <w:t xml:space="preserve">. ‘If they trust you’, </w:t>
      </w:r>
      <w:r w:rsidR="00A83E1A">
        <w:t>one</w:t>
      </w:r>
      <w:r w:rsidRPr="00B07C14">
        <w:t xml:space="preserve"> headteacher opined, ‘they will listen to the message’</w:t>
      </w:r>
      <w:r w:rsidR="00A83E1A">
        <w:t xml:space="preserve">. </w:t>
      </w:r>
      <w:r w:rsidR="00BB4437">
        <w:t>F</w:t>
      </w:r>
      <w:r w:rsidR="00A34ABC">
        <w:t>ramed in this way, there is a sense of</w:t>
      </w:r>
      <w:r w:rsidR="00DF55B9">
        <w:t xml:space="preserve"> </w:t>
      </w:r>
      <w:r w:rsidR="00D42E95">
        <w:t xml:space="preserve">uneven power relations between schools and parents; the latter being </w:t>
      </w:r>
      <w:r w:rsidR="002D2316">
        <w:t>positioned as passive recipients of school directives</w:t>
      </w:r>
      <w:r>
        <w:t xml:space="preserve"> (Crozier </w:t>
      </w:r>
      <w:r w:rsidR="002C7292">
        <w:t>&amp;</w:t>
      </w:r>
      <w:r>
        <w:t xml:space="preserve"> Davies, 2007).</w:t>
      </w:r>
      <w:r w:rsidRPr="002D30BB">
        <w:t xml:space="preserve"> </w:t>
      </w:r>
      <w:r w:rsidR="002D2316">
        <w:t>Schools</w:t>
      </w:r>
      <w:r w:rsidRPr="00B07C14">
        <w:t xml:space="preserve"> determine which messages are important, how they should be delivered, and how they should be received. </w:t>
      </w:r>
      <w:r w:rsidR="00D95935">
        <w:t>But</w:t>
      </w:r>
      <w:r w:rsidRPr="00B07C14">
        <w:t xml:space="preserve"> a dialogic approach to home-school interaction</w:t>
      </w:r>
      <w:r>
        <w:t xml:space="preserve">, </w:t>
      </w:r>
      <w:r w:rsidR="00D95935">
        <w:t>which</w:t>
      </w:r>
      <w:r w:rsidRPr="00B07C14">
        <w:t xml:space="preserve"> enables parents to play an active role in shaping </w:t>
      </w:r>
      <w:r w:rsidR="002D2316">
        <w:t>policies</w:t>
      </w:r>
      <w:r w:rsidRPr="00B07C14">
        <w:t xml:space="preserve"> </w:t>
      </w:r>
      <w:r w:rsidR="00D95935">
        <w:t>and practices</w:t>
      </w:r>
      <w:r w:rsidRPr="00B07C14">
        <w:t>, can break down barriers by offering meaningful opportunities for collaboration</w:t>
      </w:r>
      <w:r w:rsidR="00D95935">
        <w:t xml:space="preserve"> (Vincent, 2017)</w:t>
      </w:r>
      <w:r w:rsidRPr="00B07C14">
        <w:t xml:space="preserve">. The </w:t>
      </w:r>
      <w:r w:rsidR="00D95935">
        <w:t xml:space="preserve">link workers’ challenge </w:t>
      </w:r>
      <w:r w:rsidR="00DF55B9">
        <w:t xml:space="preserve">was thus to </w:t>
      </w:r>
      <w:r w:rsidR="000B2EEB">
        <w:t>develop</w:t>
      </w:r>
      <w:r w:rsidR="00DF55B9">
        <w:t xml:space="preserve"> parents </w:t>
      </w:r>
      <w:r w:rsidR="000B2EEB">
        <w:t>as</w:t>
      </w:r>
      <w:r w:rsidR="00DF55B9">
        <w:t xml:space="preserve"> </w:t>
      </w:r>
      <w:r w:rsidR="0012707F">
        <w:t xml:space="preserve">co-participants in a genuine dialogue, </w:t>
      </w:r>
      <w:r w:rsidR="00DF55B9">
        <w:t>re</w:t>
      </w:r>
      <w:r w:rsidR="0012707F">
        <w:t xml:space="preserve">aligning home and school in the process. </w:t>
      </w:r>
      <w:r w:rsidR="00244F37">
        <w:t>But</w:t>
      </w:r>
      <w:r w:rsidRPr="00B07C14">
        <w:t xml:space="preserve"> many of the parents reported </w:t>
      </w:r>
      <w:r w:rsidR="005122D6">
        <w:t>lacking</w:t>
      </w:r>
      <w:r w:rsidRPr="00B07C14">
        <w:t xml:space="preserve"> trust in schools and wider social services. To achieve </w:t>
      </w:r>
      <w:r w:rsidR="00BB4437">
        <w:t>programme</w:t>
      </w:r>
      <w:r w:rsidRPr="00B07C14">
        <w:t xml:space="preserve"> goals</w:t>
      </w:r>
      <w:r w:rsidR="00BB4437">
        <w:t xml:space="preserve">, then, techniques had to be employed to rebuild this trust and </w:t>
      </w:r>
      <w:r w:rsidRPr="00B07C14">
        <w:t xml:space="preserve">cultivate the trustworthiness of the link workers.  </w:t>
      </w:r>
    </w:p>
    <w:p w14:paraId="62399FBC" w14:textId="57B1D8DF" w:rsidR="00893176" w:rsidRDefault="00893176" w:rsidP="00F910F2">
      <w:pPr>
        <w:jc w:val="both"/>
      </w:pPr>
    </w:p>
    <w:p w14:paraId="02312381" w14:textId="77777777" w:rsidR="00E8734E" w:rsidRDefault="00E8734E" w:rsidP="00F910F2">
      <w:pPr>
        <w:jc w:val="both"/>
        <w:rPr>
          <w:b/>
          <w:sz w:val="28"/>
        </w:rPr>
      </w:pPr>
    </w:p>
    <w:p w14:paraId="123C4BDE" w14:textId="5816EA8E" w:rsidR="00893176" w:rsidRPr="002365E8" w:rsidRDefault="00B85014" w:rsidP="00F910F2">
      <w:pPr>
        <w:jc w:val="both"/>
        <w:rPr>
          <w:b/>
          <w:sz w:val="28"/>
        </w:rPr>
      </w:pPr>
      <w:r w:rsidRPr="006546F1">
        <w:rPr>
          <w:b/>
          <w:sz w:val="28"/>
        </w:rPr>
        <w:t>Manufacturing Trust</w:t>
      </w:r>
    </w:p>
    <w:p w14:paraId="532A4059" w14:textId="77777777" w:rsidR="00E8734E" w:rsidRDefault="00E8734E" w:rsidP="00F910F2">
      <w:pPr>
        <w:jc w:val="both"/>
      </w:pPr>
    </w:p>
    <w:p w14:paraId="1955C0C3" w14:textId="1F2E3001" w:rsidR="00893176" w:rsidRDefault="00B97B5B" w:rsidP="00F910F2">
      <w:pPr>
        <w:jc w:val="both"/>
      </w:pPr>
      <w:r>
        <w:t xml:space="preserve">To cultivate is to nurture and develop something for a specific end. </w:t>
      </w:r>
      <w:r w:rsidR="002C6DEE">
        <w:t xml:space="preserve">The link workers cultivate </w:t>
      </w:r>
      <w:r w:rsidR="00B85014">
        <w:t>the</w:t>
      </w:r>
      <w:r w:rsidR="0029153B">
        <w:t xml:space="preserve"> impression of trustworthiness precisely </w:t>
      </w:r>
      <w:r w:rsidR="0029153B" w:rsidRPr="0029153B">
        <w:rPr>
          <w:i/>
        </w:rPr>
        <w:t>in order to</w:t>
      </w:r>
      <w:r w:rsidR="0029153B">
        <w:t xml:space="preserve"> gain parents trust and </w:t>
      </w:r>
      <w:r w:rsidR="0029153B" w:rsidRPr="0029153B">
        <w:rPr>
          <w:i/>
        </w:rPr>
        <w:t>through this</w:t>
      </w:r>
      <w:r w:rsidR="0029153B">
        <w:t xml:space="preserve"> ensure the latter internalise </w:t>
      </w:r>
      <w:r w:rsidR="000B2EEB">
        <w:t>programme aims</w:t>
      </w:r>
      <w:r w:rsidR="0029153B">
        <w:t>.</w:t>
      </w:r>
      <w:r w:rsidR="00926CB0">
        <w:t xml:space="preserve"> The putative trustworthiness of the link workers was also key to parents’ positive reception of the programme.</w:t>
      </w:r>
      <w:r w:rsidR="0029153B">
        <w:t xml:space="preserve"> </w:t>
      </w:r>
      <w:r w:rsidR="004B46AD">
        <w:t xml:space="preserve">There </w:t>
      </w:r>
      <w:r w:rsidR="00BB4437">
        <w:t>were</w:t>
      </w:r>
      <w:r w:rsidR="00576457">
        <w:t xml:space="preserve"> </w:t>
      </w:r>
      <w:r w:rsidR="004B46AD">
        <w:t>three main techniques by which the link workers cult</w:t>
      </w:r>
      <w:r w:rsidR="00366CEF">
        <w:t>ivate</w:t>
      </w:r>
      <w:r w:rsidR="00EB2A09">
        <w:t>d</w:t>
      </w:r>
      <w:r w:rsidR="00366CEF">
        <w:t xml:space="preserve"> trustworthiness. First, th</w:t>
      </w:r>
      <w:r w:rsidR="004B46AD">
        <w:t>ey operationalise</w:t>
      </w:r>
      <w:r w:rsidR="00EB2A09">
        <w:t>d</w:t>
      </w:r>
      <w:r w:rsidR="004B46AD">
        <w:t xml:space="preserve"> </w:t>
      </w:r>
      <w:r w:rsidR="00540ABD">
        <w:t>‘</w:t>
      </w:r>
      <w:r w:rsidR="004B46AD">
        <w:t>community connectedness</w:t>
      </w:r>
      <w:r w:rsidR="00540ABD">
        <w:t xml:space="preserve">’ (Howland </w:t>
      </w:r>
      <w:r w:rsidR="00540ABD" w:rsidRPr="00D70D7A">
        <w:rPr>
          <w:i/>
        </w:rPr>
        <w:t>et al.</w:t>
      </w:r>
      <w:r w:rsidR="00540ABD">
        <w:t>, 2006)</w:t>
      </w:r>
      <w:r w:rsidR="004B46AD">
        <w:t xml:space="preserve"> by presenting themselves as </w:t>
      </w:r>
      <w:r w:rsidR="00366CEF">
        <w:t>community insiders. Second, they explicitly distance</w:t>
      </w:r>
      <w:r w:rsidR="00EB2A09">
        <w:t>d</w:t>
      </w:r>
      <w:r w:rsidR="00366CEF">
        <w:t xml:space="preserve"> themselves from the source of parental anxieties. And, third, they employ ‘contrived conviviality’: the </w:t>
      </w:r>
      <w:r w:rsidR="00B03400">
        <w:t xml:space="preserve">practice of deliberately nurturing affinity with </w:t>
      </w:r>
      <w:r w:rsidR="00BB4437">
        <w:t>service-users</w:t>
      </w:r>
      <w:r w:rsidR="00B03400">
        <w:t xml:space="preserve"> in order to gain their confidence. </w:t>
      </w:r>
      <w:r w:rsidR="00192028">
        <w:t>Each is addressed</w:t>
      </w:r>
      <w:r w:rsidR="00660EDE">
        <w:t xml:space="preserve"> in turn. </w:t>
      </w:r>
    </w:p>
    <w:p w14:paraId="27F35421" w14:textId="77777777" w:rsidR="00893176" w:rsidRDefault="00893176" w:rsidP="00F910F2">
      <w:pPr>
        <w:jc w:val="both"/>
      </w:pPr>
    </w:p>
    <w:p w14:paraId="1ECACF0D" w14:textId="77777777" w:rsidR="00E8734E" w:rsidRDefault="00E8734E" w:rsidP="00F910F2">
      <w:pPr>
        <w:jc w:val="both"/>
        <w:rPr>
          <w:i/>
          <w:sz w:val="24"/>
        </w:rPr>
      </w:pPr>
    </w:p>
    <w:p w14:paraId="4E666ADD" w14:textId="467F5ACA" w:rsidR="007D3F40" w:rsidRPr="00660EDE" w:rsidRDefault="00660EDE" w:rsidP="00F910F2">
      <w:pPr>
        <w:jc w:val="both"/>
        <w:rPr>
          <w:i/>
          <w:sz w:val="24"/>
        </w:rPr>
      </w:pPr>
      <w:r w:rsidRPr="00660EDE">
        <w:rPr>
          <w:i/>
          <w:sz w:val="24"/>
        </w:rPr>
        <w:t>Community Connectedness</w:t>
      </w:r>
    </w:p>
    <w:p w14:paraId="02A1FC4C" w14:textId="77777777" w:rsidR="00E8734E" w:rsidRDefault="00E8734E" w:rsidP="00F910F2">
      <w:pPr>
        <w:jc w:val="both"/>
      </w:pPr>
    </w:p>
    <w:p w14:paraId="5D1402DC" w14:textId="04C867FF" w:rsidR="00886BC0" w:rsidRDefault="00965791" w:rsidP="00F910F2">
      <w:pPr>
        <w:jc w:val="both"/>
      </w:pPr>
      <w:r>
        <w:t>In an effort to bolster trust the decision was taken to base the link workers within the community</w:t>
      </w:r>
      <w:r w:rsidR="00A60E7B">
        <w:t xml:space="preserve"> rather than schools</w:t>
      </w:r>
      <w:r>
        <w:t xml:space="preserve">. </w:t>
      </w:r>
      <w:r w:rsidR="002C6DEE">
        <w:t>They</w:t>
      </w:r>
      <w:r w:rsidR="00C648B6">
        <w:t xml:space="preserve"> utilise</w:t>
      </w:r>
      <w:r w:rsidR="00AF3275">
        <w:t>d</w:t>
      </w:r>
      <w:r w:rsidR="00C648B6">
        <w:t xml:space="preserve"> local resources and met with parents in </w:t>
      </w:r>
      <w:r w:rsidR="002C6DEE">
        <w:t xml:space="preserve">familiar places. The link workers </w:t>
      </w:r>
      <w:r w:rsidR="00CD7D61">
        <w:t>also</w:t>
      </w:r>
      <w:r w:rsidR="002C6DEE">
        <w:t xml:space="preserve"> </w:t>
      </w:r>
      <w:r w:rsidR="005122D6">
        <w:t>shared</w:t>
      </w:r>
      <w:r w:rsidR="002C6DEE">
        <w:t xml:space="preserve"> similar backgrounds to the parents. They were each white British and working-class in origin</w:t>
      </w:r>
      <w:r w:rsidR="00D35142">
        <w:t xml:space="preserve"> and had strong ties to the Borough. </w:t>
      </w:r>
      <w:r w:rsidR="00692EE5">
        <w:t>As such, t</w:t>
      </w:r>
      <w:r w:rsidR="00D35142">
        <w:t>hey</w:t>
      </w:r>
      <w:r w:rsidR="00692EE5">
        <w:t xml:space="preserve"> </w:t>
      </w:r>
      <w:r w:rsidR="00AF3275">
        <w:t>constituted</w:t>
      </w:r>
      <w:r w:rsidR="00692EE5">
        <w:t xml:space="preserve"> community ‘insiders’. They </w:t>
      </w:r>
      <w:r w:rsidR="00A4656F">
        <w:t>were</w:t>
      </w:r>
      <w:r w:rsidR="00692EE5">
        <w:t xml:space="preserve"> able to draw upon the credibility and capital of belonging to the same community as the parents</w:t>
      </w:r>
      <w:r w:rsidR="00A4656F">
        <w:t xml:space="preserve"> themselves</w:t>
      </w:r>
      <w:r w:rsidR="00692EE5">
        <w:t xml:space="preserve"> and </w:t>
      </w:r>
      <w:r w:rsidR="000B2EEB">
        <w:t>hence</w:t>
      </w:r>
      <w:r w:rsidR="00692EE5">
        <w:t xml:space="preserve"> </w:t>
      </w:r>
      <w:r w:rsidR="00CD7D61">
        <w:t>had</w:t>
      </w:r>
      <w:r w:rsidR="00692EE5">
        <w:t xml:space="preserve"> a platform for building empathy and understanding</w:t>
      </w:r>
      <w:r w:rsidR="00AF3275">
        <w:t>.</w:t>
      </w:r>
      <w:r w:rsidR="00886BC0">
        <w:t xml:space="preserve"> </w:t>
      </w:r>
      <w:r w:rsidR="000B2EEB">
        <w:t>The</w:t>
      </w:r>
      <w:r w:rsidR="00886BC0">
        <w:t xml:space="preserve"> link workers </w:t>
      </w:r>
      <w:r w:rsidR="00CD7D61">
        <w:t>were</w:t>
      </w:r>
      <w:r w:rsidR="00886BC0">
        <w:t xml:space="preserve"> thus perfectly positioned to serve as stage directors in a class choreography </w:t>
      </w:r>
      <w:r w:rsidR="00B82ED9">
        <w:t>aimed at</w:t>
      </w:r>
      <w:r w:rsidR="00B61187">
        <w:t xml:space="preserve"> remodel</w:t>
      </w:r>
      <w:r w:rsidR="00B82ED9">
        <w:t>ling</w:t>
      </w:r>
      <w:r w:rsidR="00B61187">
        <w:t xml:space="preserve"> working-class parenting practices (Kenway </w:t>
      </w:r>
      <w:r w:rsidR="00B61187" w:rsidRPr="00D70D7A">
        <w:rPr>
          <w:i/>
        </w:rPr>
        <w:t>et al.</w:t>
      </w:r>
      <w:r w:rsidR="00B61187">
        <w:t>, 2017).</w:t>
      </w:r>
    </w:p>
    <w:p w14:paraId="7F05955A" w14:textId="2803CC7C" w:rsidR="00692EE5" w:rsidRPr="00692EE5" w:rsidRDefault="00692EE5" w:rsidP="00F910F2">
      <w:pPr>
        <w:jc w:val="both"/>
      </w:pPr>
      <w:r w:rsidRPr="00692EE5">
        <w:tab/>
      </w:r>
      <w:r w:rsidR="009530B9">
        <w:t>Similar</w:t>
      </w:r>
      <w:r w:rsidR="009530B9" w:rsidRPr="00EA32C6">
        <w:t xml:space="preserve"> </w:t>
      </w:r>
      <w:r w:rsidRPr="00EA32C6">
        <w:t>technique</w:t>
      </w:r>
      <w:r w:rsidR="009530B9">
        <w:t>s</w:t>
      </w:r>
      <w:r w:rsidRPr="00EA32C6">
        <w:t xml:space="preserve"> </w:t>
      </w:r>
      <w:r w:rsidR="009530B9">
        <w:t xml:space="preserve">have </w:t>
      </w:r>
      <w:r w:rsidR="00244F37">
        <w:t xml:space="preserve">been employed </w:t>
      </w:r>
      <w:r w:rsidR="009530B9">
        <w:t>elsewhere</w:t>
      </w:r>
      <w:r w:rsidRPr="00EA32C6">
        <w:t>. In their accounts of parent liaisons in American schools, for instance, Sanders (2008), Martinez-</w:t>
      </w:r>
      <w:proofErr w:type="spellStart"/>
      <w:r w:rsidRPr="00EA32C6">
        <w:t>Cosio</w:t>
      </w:r>
      <w:proofErr w:type="spellEnd"/>
      <w:r w:rsidRPr="00EA32C6">
        <w:t xml:space="preserve"> and </w:t>
      </w:r>
      <w:proofErr w:type="spellStart"/>
      <w:r w:rsidRPr="00EA32C6">
        <w:t>Iannacone</w:t>
      </w:r>
      <w:proofErr w:type="spellEnd"/>
      <w:r w:rsidRPr="00EA32C6">
        <w:t xml:space="preserve"> (2007), and Howland </w:t>
      </w:r>
      <w:r w:rsidRPr="00D70D7A">
        <w:rPr>
          <w:i/>
        </w:rPr>
        <w:t>et al.</w:t>
      </w:r>
      <w:r w:rsidRPr="00EA32C6">
        <w:t xml:space="preserve"> (2006) </w:t>
      </w:r>
      <w:r w:rsidR="00965791" w:rsidRPr="00EA32C6">
        <w:t>outline</w:t>
      </w:r>
      <w:r w:rsidRPr="00EA32C6">
        <w:t xml:space="preserve"> the benefits of employin</w:t>
      </w:r>
      <w:r w:rsidR="00CD7D61">
        <w:t xml:space="preserve">g </w:t>
      </w:r>
      <w:r w:rsidRPr="00EA32C6">
        <w:t>representative</w:t>
      </w:r>
      <w:r w:rsidR="00CD7D61">
        <w:t>s</w:t>
      </w:r>
      <w:r w:rsidRPr="00EA32C6">
        <w:t xml:space="preserve"> of the </w:t>
      </w:r>
      <w:r w:rsidR="00965791" w:rsidRPr="00EA32C6">
        <w:t>communit</w:t>
      </w:r>
      <w:r w:rsidR="00B82ED9">
        <w:t>y</w:t>
      </w:r>
      <w:r w:rsidRPr="00EA32C6">
        <w:t xml:space="preserve"> as ‘cultural brokers’ between home and school. ‘[B]</w:t>
      </w:r>
      <w:proofErr w:type="spellStart"/>
      <w:r w:rsidRPr="00EA32C6">
        <w:t>ridging</w:t>
      </w:r>
      <w:proofErr w:type="spellEnd"/>
      <w:r w:rsidRPr="00EA32C6">
        <w:t xml:space="preserve"> the gap between families and schools’, </w:t>
      </w:r>
      <w:r w:rsidR="00B82ED9">
        <w:t xml:space="preserve">Howland </w:t>
      </w:r>
      <w:r w:rsidR="00B82ED9" w:rsidRPr="00D70D7A">
        <w:rPr>
          <w:i/>
        </w:rPr>
        <w:t>et al.</w:t>
      </w:r>
      <w:r w:rsidRPr="00EA32C6">
        <w:t xml:space="preserve"> write, ‘is best accomplished by persons that have an intimate knowledge of the community in which the families they serve live’ (2006: 63). </w:t>
      </w:r>
      <w:r w:rsidR="00B82ED9">
        <w:t>The schools in our study</w:t>
      </w:r>
      <w:r w:rsidRPr="00EA32C6">
        <w:t xml:space="preserve"> clearly valued this approach:</w:t>
      </w:r>
      <w:r w:rsidRPr="00692EE5">
        <w:t xml:space="preserve"> </w:t>
      </w:r>
    </w:p>
    <w:p w14:paraId="143F9788" w14:textId="77777777" w:rsidR="00692EE5" w:rsidRPr="00B3546E" w:rsidRDefault="00692EE5" w:rsidP="00F910F2">
      <w:pPr>
        <w:jc w:val="both"/>
      </w:pPr>
    </w:p>
    <w:p w14:paraId="66A4FD5E" w14:textId="77777777" w:rsidR="00692EE5" w:rsidRPr="00B3546E" w:rsidRDefault="00692EE5" w:rsidP="00F910F2">
      <w:pPr>
        <w:spacing w:after="240"/>
        <w:ind w:left="720"/>
        <w:jc w:val="both"/>
        <w:rPr>
          <w:sz w:val="20"/>
        </w:rPr>
      </w:pPr>
      <w:r w:rsidRPr="00B3546E">
        <w:rPr>
          <w:sz w:val="20"/>
        </w:rPr>
        <w:t>They’re white British but also if anybody can engage the parents, more than [the Head teacher], more than me, they can.  They know them, they live in the flats near them, they know exactly what goes on and they have more input than we would ever be able to have because we don’t live here, we’re not part of this community. (Project Lead, Primary)</w:t>
      </w:r>
    </w:p>
    <w:p w14:paraId="6298EB7E" w14:textId="439BD118" w:rsidR="00692EE5" w:rsidRPr="00B3546E" w:rsidRDefault="00692EE5" w:rsidP="00F910F2">
      <w:pPr>
        <w:jc w:val="both"/>
      </w:pPr>
      <w:r w:rsidRPr="00B3546E">
        <w:t xml:space="preserve">The emphasis is placed squarely here on community connectedness. </w:t>
      </w:r>
      <w:r w:rsidR="00AF3275">
        <w:t>The</w:t>
      </w:r>
      <w:r w:rsidRPr="00B3546E">
        <w:t xml:space="preserve"> link workers’ proximity to participating parents, spatially and culturally, </w:t>
      </w:r>
      <w:r w:rsidR="007D6EE2">
        <w:t>affords them a degree of access to parents’ lives that, according to this account at least, is impossible for schools</w:t>
      </w:r>
      <w:r w:rsidRPr="00B3546E">
        <w:t>. Link workers are better placed, it is suggested, to mobilise parents, due precisely to their status as community insider</w:t>
      </w:r>
      <w:r w:rsidR="00965791">
        <w:t>s</w:t>
      </w:r>
      <w:r w:rsidR="00F93390">
        <w:t>.</w:t>
      </w:r>
      <w:r w:rsidRPr="00B3546E">
        <w:t xml:space="preserve">  </w:t>
      </w:r>
    </w:p>
    <w:p w14:paraId="3926E6FB" w14:textId="0752ABCD" w:rsidR="00FE0FFF" w:rsidRDefault="00FE0FFF" w:rsidP="00F910F2">
      <w:pPr>
        <w:jc w:val="both"/>
      </w:pPr>
    </w:p>
    <w:p w14:paraId="09957A3E" w14:textId="77777777" w:rsidR="00E8734E" w:rsidRDefault="00E8734E" w:rsidP="00F910F2">
      <w:pPr>
        <w:jc w:val="both"/>
      </w:pPr>
    </w:p>
    <w:p w14:paraId="28B0C805" w14:textId="0B8D4D06" w:rsidR="00FE0FFF" w:rsidRPr="00FE0FFF" w:rsidRDefault="00FE0FFF" w:rsidP="00F910F2">
      <w:pPr>
        <w:jc w:val="both"/>
        <w:rPr>
          <w:i/>
          <w:sz w:val="24"/>
        </w:rPr>
      </w:pPr>
      <w:r w:rsidRPr="00FE0FFF">
        <w:rPr>
          <w:i/>
          <w:sz w:val="24"/>
        </w:rPr>
        <w:t>Distancing Mechanisms</w:t>
      </w:r>
    </w:p>
    <w:p w14:paraId="33BA260E" w14:textId="77777777" w:rsidR="00E8734E" w:rsidRDefault="00E8734E" w:rsidP="00F910F2">
      <w:pPr>
        <w:jc w:val="both"/>
      </w:pPr>
    </w:p>
    <w:p w14:paraId="64EDF398" w14:textId="43F032C4" w:rsidR="00FE0FFF" w:rsidRPr="00B3546E" w:rsidRDefault="00FE0FFF" w:rsidP="00F910F2">
      <w:pPr>
        <w:jc w:val="both"/>
      </w:pPr>
      <w:r w:rsidRPr="00B3546E">
        <w:t>As a technique for cultivating trustworthiness, community connectedness</w:t>
      </w:r>
      <w:r w:rsidR="00102BA4">
        <w:t xml:space="preserve"> </w:t>
      </w:r>
      <w:r w:rsidRPr="00B3546E">
        <w:t xml:space="preserve">is </w:t>
      </w:r>
      <w:r w:rsidR="00B82ED9">
        <w:t>in</w:t>
      </w:r>
      <w:r w:rsidRPr="00B3546E">
        <w:t xml:space="preserve">sufficient. Since many of the parents </w:t>
      </w:r>
      <w:r w:rsidR="0062073E">
        <w:t>lacked trust in</w:t>
      </w:r>
      <w:r w:rsidRPr="00B3546E">
        <w:t xml:space="preserve"> schools and wider social services, it </w:t>
      </w:r>
      <w:r w:rsidR="0062073E">
        <w:t>was</w:t>
      </w:r>
      <w:r w:rsidRPr="00B3546E">
        <w:t xml:space="preserve"> </w:t>
      </w:r>
      <w:r w:rsidR="00A37030">
        <w:t xml:space="preserve">also </w:t>
      </w:r>
      <w:r w:rsidRPr="00B3546E">
        <w:t>necessary for the link workers to allay parents’ unease by dissociating themselves from</w:t>
      </w:r>
      <w:r>
        <w:t xml:space="preserve"> </w:t>
      </w:r>
      <w:r w:rsidR="007D6EE2">
        <w:t>the source of their concerns</w:t>
      </w:r>
      <w:r>
        <w:t>.</w:t>
      </w:r>
      <w:r w:rsidR="005519E7">
        <w:t xml:space="preserve"> </w:t>
      </w:r>
      <w:r w:rsidR="00576457">
        <w:t>Various</w:t>
      </w:r>
      <w:r w:rsidRPr="00B3546E">
        <w:t xml:space="preserve"> mechanisms </w:t>
      </w:r>
      <w:r w:rsidR="00576457">
        <w:t>were</w:t>
      </w:r>
      <w:r w:rsidRPr="00B3546E">
        <w:t xml:space="preserve"> employed for this purpose</w:t>
      </w:r>
      <w:r w:rsidR="00576457">
        <w:t>, including</w:t>
      </w:r>
      <w:r w:rsidR="007D6EE2">
        <w:t>: asserting their independence</w:t>
      </w:r>
      <w:r w:rsidR="00A66206">
        <w:t>;</w:t>
      </w:r>
      <w:r w:rsidR="007D6EE2">
        <w:t xml:space="preserve"> </w:t>
      </w:r>
      <w:r w:rsidR="00A66206">
        <w:t xml:space="preserve">accentuating the parent-led nature of the programme; </w:t>
      </w:r>
      <w:r w:rsidR="0006305D">
        <w:t>meeting parents in informal settings</w:t>
      </w:r>
      <w:r w:rsidR="00A66206">
        <w:t>; providing holistic non-programme specific support, such as impromptu childcare; and,</w:t>
      </w:r>
      <w:r w:rsidR="0006305D">
        <w:t xml:space="preserve"> advocacy work</w:t>
      </w:r>
      <w:r w:rsidR="00A66206">
        <w:t xml:space="preserve">. </w:t>
      </w:r>
      <w:r w:rsidR="00886A33">
        <w:t xml:space="preserve">This helped </w:t>
      </w:r>
      <w:r w:rsidR="00C77722">
        <w:t xml:space="preserve">to underline the distance between </w:t>
      </w:r>
      <w:r w:rsidRPr="00B3546E">
        <w:t>the link workers and the source</w:t>
      </w:r>
      <w:r w:rsidR="009530B9">
        <w:t>s</w:t>
      </w:r>
      <w:r w:rsidRPr="00B3546E">
        <w:t xml:space="preserve"> of parent</w:t>
      </w:r>
      <w:r w:rsidR="0029635D">
        <w:t>s’</w:t>
      </w:r>
      <w:r w:rsidRPr="00B3546E">
        <w:t xml:space="preserve"> anxieties. </w:t>
      </w:r>
      <w:r w:rsidR="00BE2FE3">
        <w:t>Parents</w:t>
      </w:r>
      <w:r w:rsidR="00926CB0">
        <w:t>, moreover,</w:t>
      </w:r>
      <w:r w:rsidR="00C658E4">
        <w:t xml:space="preserve"> </w:t>
      </w:r>
      <w:r w:rsidR="00886A33">
        <w:t>appreciated this approach</w:t>
      </w:r>
      <w:r w:rsidR="00926CB0">
        <w:t xml:space="preserve">. They </w:t>
      </w:r>
      <w:r w:rsidR="0029635D">
        <w:t xml:space="preserve">spoke of feeling championed and supported by the link workers. Or, as one parent put it, </w:t>
      </w:r>
      <w:r w:rsidR="008C10C7">
        <w:t>its ‘</w:t>
      </w:r>
      <w:r w:rsidR="00C83908">
        <w:t>j</w:t>
      </w:r>
      <w:r w:rsidR="008C10C7">
        <w:t>ust nice to have someone watch your back’.</w:t>
      </w:r>
      <w:r w:rsidR="00B53725">
        <w:t xml:space="preserve"> </w:t>
      </w:r>
      <w:r w:rsidRPr="00B3546E">
        <w:t>There is a direct link</w:t>
      </w:r>
      <w:r w:rsidR="00B53725">
        <w:t>, then,</w:t>
      </w:r>
      <w:r w:rsidRPr="00B3546E">
        <w:t xml:space="preserve"> between these ‘distancing mechanisms’ and building trust: </w:t>
      </w:r>
    </w:p>
    <w:p w14:paraId="17A6F420" w14:textId="77777777" w:rsidR="00FE0FFF" w:rsidRPr="00B3546E" w:rsidRDefault="00FE0FFF" w:rsidP="00F910F2">
      <w:pPr>
        <w:jc w:val="both"/>
      </w:pPr>
    </w:p>
    <w:p w14:paraId="7AF0244C" w14:textId="03D90431" w:rsidR="00FE0FFF" w:rsidRPr="00B3546E" w:rsidRDefault="00FE0FFF" w:rsidP="00F910F2">
      <w:pPr>
        <w:spacing w:after="240"/>
        <w:ind w:left="720"/>
        <w:jc w:val="both"/>
        <w:rPr>
          <w:sz w:val="20"/>
        </w:rPr>
      </w:pPr>
      <w:r w:rsidRPr="00B3546E">
        <w:rPr>
          <w:sz w:val="20"/>
        </w:rPr>
        <w:t xml:space="preserve">I just think we’re good with people really.  We’re not threatening in any way </w:t>
      </w:r>
      <w:r w:rsidR="00C86531">
        <w:rPr>
          <w:sz w:val="20"/>
        </w:rPr>
        <w:t xml:space="preserve">[…] </w:t>
      </w:r>
      <w:r w:rsidRPr="00B3546E">
        <w:rPr>
          <w:sz w:val="20"/>
        </w:rPr>
        <w:t xml:space="preserve">I think also that they know that we’re not working for the schools or any you know, they know we’re working for [the Borough], but we put that across that we’re not any sort of agency or social services or you know straight away, that breaks down barriers </w:t>
      </w:r>
      <w:r w:rsidR="00666DB8">
        <w:rPr>
          <w:sz w:val="20"/>
        </w:rPr>
        <w:t xml:space="preserve">[…] </w:t>
      </w:r>
      <w:r w:rsidRPr="00B3546E">
        <w:rPr>
          <w:sz w:val="20"/>
        </w:rPr>
        <w:t>We’re just doing really well with gaining their trust</w:t>
      </w:r>
      <w:r w:rsidR="0006305D">
        <w:rPr>
          <w:sz w:val="20"/>
        </w:rPr>
        <w:t xml:space="preserve"> […]</w:t>
      </w:r>
      <w:r w:rsidR="00923561">
        <w:rPr>
          <w:sz w:val="20"/>
        </w:rPr>
        <w:t xml:space="preserve"> </w:t>
      </w:r>
      <w:r w:rsidRPr="00B3546E">
        <w:rPr>
          <w:sz w:val="20"/>
        </w:rPr>
        <w:t xml:space="preserve">they just open up. </w:t>
      </w:r>
      <w:r w:rsidR="00643DB8" w:rsidRPr="00643DB8">
        <w:rPr>
          <w:sz w:val="20"/>
        </w:rPr>
        <w:t>(Denise, Link Worker</w:t>
      </w:r>
      <w:r w:rsidR="00643DB8">
        <w:rPr>
          <w:sz w:val="20"/>
        </w:rPr>
        <w:t>)</w:t>
      </w:r>
    </w:p>
    <w:p w14:paraId="105B8CAD" w14:textId="5AF716D7" w:rsidR="00BE2FE3" w:rsidRDefault="00955D18" w:rsidP="00F910F2">
      <w:pPr>
        <w:jc w:val="both"/>
      </w:pPr>
      <w:r>
        <w:t>Being</w:t>
      </w:r>
      <w:r w:rsidR="00FE0FFF" w:rsidRPr="00B3546E">
        <w:t xml:space="preserve"> perceived as independent </w:t>
      </w:r>
      <w:r>
        <w:t xml:space="preserve">helps </w:t>
      </w:r>
      <w:r w:rsidR="000B2EEB">
        <w:t>convey</w:t>
      </w:r>
      <w:r w:rsidR="00FE0FFF" w:rsidRPr="00B3546E">
        <w:t xml:space="preserve"> trustworthiness and </w:t>
      </w:r>
      <w:r w:rsidR="000B2EEB">
        <w:t>build</w:t>
      </w:r>
      <w:r w:rsidR="00FE0FFF" w:rsidRPr="00B3546E">
        <w:t xml:space="preserve"> trust with parents. Not only is it crucial in ‘breaking down barriers’, it also </w:t>
      </w:r>
      <w:r w:rsidR="0006305D">
        <w:t>a</w:t>
      </w:r>
      <w:r w:rsidR="00FE0FFF" w:rsidRPr="00B3546E">
        <w:t xml:space="preserve">ffects the quality of parents’ trust. Parents ‘open up’ </w:t>
      </w:r>
      <w:r>
        <w:t>a</w:t>
      </w:r>
      <w:r w:rsidR="00FE0FFF" w:rsidRPr="00B3546E">
        <w:t>nd in doing</w:t>
      </w:r>
      <w:r w:rsidR="00C06402">
        <w:t xml:space="preserve"> so</w:t>
      </w:r>
      <w:r w:rsidR="00FE0FFF" w:rsidRPr="00B3546E">
        <w:t xml:space="preserve"> become more receptive to </w:t>
      </w:r>
      <w:r w:rsidR="0062073E">
        <w:t>the link workers’ influence</w:t>
      </w:r>
      <w:r w:rsidR="00FE0FFF" w:rsidRPr="00B3546E">
        <w:t xml:space="preserve">. This is particularly important in cases where parents’ dealings with schools are </w:t>
      </w:r>
      <w:r w:rsidR="0062073E">
        <w:t>predominantly</w:t>
      </w:r>
      <w:r w:rsidR="005519E7">
        <w:t xml:space="preserve"> negative. </w:t>
      </w:r>
      <w:r w:rsidR="00FE0FFF" w:rsidRPr="00B3546E">
        <w:t xml:space="preserve">For it is </w:t>
      </w:r>
      <w:r w:rsidR="00D926DB">
        <w:t>here</w:t>
      </w:r>
      <w:r w:rsidR="00D926DB" w:rsidRPr="00B3546E">
        <w:t xml:space="preserve"> </w:t>
      </w:r>
      <w:r w:rsidR="00FE0FFF" w:rsidRPr="00B3546E">
        <w:t xml:space="preserve">that ‘the role of an independent arbiter who is afforded the time to establish a relationship with a parent is helpful in building confidence and conveying positive </w:t>
      </w:r>
      <w:r w:rsidR="00FE0FFF" w:rsidRPr="00B3546E">
        <w:lastRenderedPageBreak/>
        <w:t>messages about the student and their schooling’ (</w:t>
      </w:r>
      <w:r w:rsidR="00C46B1F">
        <w:t xml:space="preserve">Rose, </w:t>
      </w:r>
      <w:r w:rsidR="00FE0FFF" w:rsidRPr="00B3546E">
        <w:t xml:space="preserve">2008: 10). </w:t>
      </w:r>
      <w:r w:rsidR="00690F48">
        <w:t xml:space="preserve">Parenting support programmes are most effective when they </w:t>
      </w:r>
      <w:r w:rsidR="00963B94">
        <w:t>build</w:t>
      </w:r>
      <w:r w:rsidR="00690F48">
        <w:t xml:space="preserve"> rapport with</w:t>
      </w:r>
      <w:r w:rsidR="00211765">
        <w:t xml:space="preserve"> parents</w:t>
      </w:r>
      <w:r w:rsidR="0029635D">
        <w:t xml:space="preserve"> </w:t>
      </w:r>
      <w:r w:rsidR="00D926DB">
        <w:t xml:space="preserve">(Cullen, Cullen &amp; Lindsay, 2013; Wainwright &amp; </w:t>
      </w:r>
      <w:proofErr w:type="spellStart"/>
      <w:r w:rsidR="00D926DB">
        <w:t>Marandet</w:t>
      </w:r>
      <w:proofErr w:type="spellEnd"/>
      <w:r w:rsidR="00D926DB">
        <w:t xml:space="preserve">, 2013) and </w:t>
      </w:r>
      <w:r w:rsidR="00690F48">
        <w:t xml:space="preserve">the techniques employed by the link workers </w:t>
      </w:r>
      <w:r w:rsidR="005F63AD">
        <w:t>help in</w:t>
      </w:r>
      <w:r w:rsidR="00690F48">
        <w:t xml:space="preserve"> this endeavour.  </w:t>
      </w:r>
    </w:p>
    <w:p w14:paraId="69AD6C0C" w14:textId="23308012" w:rsidR="00FE0FFF" w:rsidRPr="00B3546E" w:rsidRDefault="00FE0FFF" w:rsidP="006F6A04">
      <w:pPr>
        <w:ind w:firstLine="720"/>
        <w:jc w:val="both"/>
      </w:pPr>
      <w:r w:rsidRPr="00B3546E">
        <w:t>As a technique for cultivating trustworthiness, the use of distancing mechanisms dovetails with community conne</w:t>
      </w:r>
      <w:r w:rsidR="005519E7">
        <w:t>ctedness, consolidating</w:t>
      </w:r>
      <w:r w:rsidRPr="00B3546E">
        <w:t xml:space="preserve"> the strengths</w:t>
      </w:r>
      <w:r w:rsidR="000B2EEB">
        <w:t xml:space="preserve"> of each</w:t>
      </w:r>
      <w:r w:rsidRPr="00B3546E">
        <w:t>. By present</w:t>
      </w:r>
      <w:r w:rsidR="0062073E">
        <w:t>ing</w:t>
      </w:r>
      <w:r w:rsidRPr="00B3546E">
        <w:t xml:space="preserve"> themselves as non-threatening ‘insiders’, by distancing themselves from the source of parents’ anxieties and asserting</w:t>
      </w:r>
      <w:r w:rsidR="000B2EEB">
        <w:t xml:space="preserve"> their</w:t>
      </w:r>
      <w:r w:rsidRPr="00B3546E">
        <w:t xml:space="preserve"> commonalities, the link workers lay the foundations </w:t>
      </w:r>
      <w:r w:rsidR="00576457">
        <w:t>for</w:t>
      </w:r>
      <w:r w:rsidRPr="00B3546E">
        <w:t xml:space="preserve"> positive and productive relationships.</w:t>
      </w:r>
    </w:p>
    <w:p w14:paraId="3D16ECB0" w14:textId="77777777" w:rsidR="00FE0FFF" w:rsidRPr="00B3546E" w:rsidRDefault="00FE0FFF" w:rsidP="00F910F2">
      <w:pPr>
        <w:jc w:val="both"/>
      </w:pPr>
    </w:p>
    <w:p w14:paraId="7816E8CC" w14:textId="77777777" w:rsidR="00E8734E" w:rsidRDefault="00E8734E" w:rsidP="00F910F2">
      <w:pPr>
        <w:jc w:val="both"/>
        <w:rPr>
          <w:i/>
          <w:sz w:val="24"/>
        </w:rPr>
      </w:pPr>
    </w:p>
    <w:p w14:paraId="3382FE18" w14:textId="6575ED21" w:rsidR="00FE0FFF" w:rsidRPr="00B3546E" w:rsidRDefault="00FE0FFF" w:rsidP="00F910F2">
      <w:pPr>
        <w:jc w:val="both"/>
        <w:rPr>
          <w:i/>
          <w:sz w:val="24"/>
        </w:rPr>
      </w:pPr>
      <w:r w:rsidRPr="00B3546E">
        <w:rPr>
          <w:i/>
          <w:sz w:val="24"/>
        </w:rPr>
        <w:t>Contrived Conviviality</w:t>
      </w:r>
    </w:p>
    <w:p w14:paraId="48D6F263" w14:textId="77777777" w:rsidR="00E8734E" w:rsidRDefault="00E8734E" w:rsidP="00F910F2">
      <w:pPr>
        <w:jc w:val="both"/>
      </w:pPr>
    </w:p>
    <w:p w14:paraId="49C84C62" w14:textId="61DC84AB" w:rsidR="00692EE5" w:rsidRDefault="005519E7" w:rsidP="00F910F2">
      <w:pPr>
        <w:jc w:val="both"/>
      </w:pPr>
      <w:r>
        <w:t xml:space="preserve">The third technique </w:t>
      </w:r>
      <w:r w:rsidR="00576457">
        <w:t>is</w:t>
      </w:r>
      <w:r w:rsidR="00F93721">
        <w:t xml:space="preserve"> ‘contrived conviviality’. It has been acknowledged elsewhere that</w:t>
      </w:r>
      <w:r w:rsidR="00745DF9">
        <w:t xml:space="preserve"> effective interventions are undergirded by positive relationships </w:t>
      </w:r>
      <w:r w:rsidR="00F93721" w:rsidRPr="00B3546E">
        <w:t>(Cullen</w:t>
      </w:r>
      <w:r w:rsidR="00211765">
        <w:t>, Cullen</w:t>
      </w:r>
      <w:r w:rsidR="00F93721" w:rsidRPr="00B3546E">
        <w:t xml:space="preserve"> </w:t>
      </w:r>
      <w:r w:rsidR="00211765">
        <w:t>&amp; Lindsay,</w:t>
      </w:r>
      <w:r w:rsidR="00F93721" w:rsidRPr="00B3546E">
        <w:t xml:space="preserve"> 201</w:t>
      </w:r>
      <w:r w:rsidR="00211765">
        <w:t>3</w:t>
      </w:r>
      <w:r w:rsidR="00F93721" w:rsidRPr="00B3546E">
        <w:t>).</w:t>
      </w:r>
      <w:r w:rsidR="00F93721">
        <w:t xml:space="preserve"> </w:t>
      </w:r>
      <w:r w:rsidR="00745DF9">
        <w:t xml:space="preserve">And </w:t>
      </w:r>
      <w:r w:rsidR="00F9327C">
        <w:t xml:space="preserve">the </w:t>
      </w:r>
      <w:r w:rsidR="00F93721" w:rsidRPr="00B3546E">
        <w:t xml:space="preserve">link workers placed a high premium on their ability to </w:t>
      </w:r>
      <w:r w:rsidR="00576457">
        <w:t>establish</w:t>
      </w:r>
      <w:r w:rsidR="00F93721" w:rsidRPr="00B3546E">
        <w:t xml:space="preserve"> meaningful relationships with parents. </w:t>
      </w:r>
      <w:r w:rsidR="00C5477A">
        <w:t>Even to the extent</w:t>
      </w:r>
      <w:r w:rsidR="00F93721" w:rsidRPr="00B3546E">
        <w:t xml:space="preserve"> that </w:t>
      </w:r>
      <w:r w:rsidR="004A0D73">
        <w:t xml:space="preserve">some </w:t>
      </w:r>
      <w:r w:rsidR="00F93721" w:rsidRPr="00B3546E">
        <w:t xml:space="preserve">felt </w:t>
      </w:r>
      <w:r w:rsidR="00C86531">
        <w:t>secure</w:t>
      </w:r>
      <w:r w:rsidR="00F93721" w:rsidRPr="00B3546E">
        <w:t xml:space="preserve"> enough to disclose</w:t>
      </w:r>
      <w:r w:rsidR="00277571">
        <w:t xml:space="preserve"> </w:t>
      </w:r>
      <w:r w:rsidR="00F93721" w:rsidRPr="00B3546E">
        <w:t xml:space="preserve">their ‘deepest, darkest secrets’. </w:t>
      </w:r>
      <w:r w:rsidR="00576457">
        <w:t>Trust</w:t>
      </w:r>
      <w:r w:rsidR="004A0D73">
        <w:t xml:space="preserve"> </w:t>
      </w:r>
      <w:r w:rsidR="008D46F8">
        <w:t>facilitates</w:t>
      </w:r>
      <w:r w:rsidR="004A0D73">
        <w:t xml:space="preserve"> </w:t>
      </w:r>
      <w:r w:rsidR="00277571">
        <w:t xml:space="preserve">such </w:t>
      </w:r>
      <w:r w:rsidR="004A0D73">
        <w:t xml:space="preserve">disclosures and </w:t>
      </w:r>
      <w:r w:rsidR="00244F37">
        <w:t>relies</w:t>
      </w:r>
      <w:r w:rsidR="004A0D73">
        <w:t xml:space="preserve"> on the link workers</w:t>
      </w:r>
      <w:r w:rsidR="00EC0840">
        <w:t>’</w:t>
      </w:r>
      <w:r w:rsidR="004A0D73">
        <w:t xml:space="preserve"> informal, empathic, and amiable approach. </w:t>
      </w:r>
      <w:r w:rsidR="00EC0840">
        <w:t>Indeed, there was a clear recognition that a</w:t>
      </w:r>
      <w:r w:rsidR="00C5477A">
        <w:t xml:space="preserve"> personable</w:t>
      </w:r>
      <w:r w:rsidR="00EC0840">
        <w:t xml:space="preserve"> approach was integral to their success:</w:t>
      </w:r>
    </w:p>
    <w:p w14:paraId="0A86EC3D" w14:textId="75219402" w:rsidR="00692EE5" w:rsidRDefault="00692EE5" w:rsidP="00F910F2">
      <w:pPr>
        <w:jc w:val="both"/>
      </w:pPr>
    </w:p>
    <w:p w14:paraId="73A3F981" w14:textId="1B067DDB" w:rsidR="00EC0840" w:rsidRPr="00B3546E" w:rsidRDefault="00EC0840" w:rsidP="00F910F2">
      <w:pPr>
        <w:ind w:left="720"/>
        <w:jc w:val="both"/>
      </w:pPr>
      <w:r w:rsidRPr="00B3546E">
        <w:rPr>
          <w:sz w:val="20"/>
        </w:rPr>
        <w:t xml:space="preserve">I think just that friendly approach that we’ve got with them, although it is a client and a work relationship, I think that we’ve just built up very, very close relationships with them. They see me and [the other Link Worker] as friends really rather than just this organisation, this project, the leaders of this project.  I think they see us more than that. </w:t>
      </w:r>
      <w:r w:rsidR="00643DB8" w:rsidRPr="00643DB8">
        <w:rPr>
          <w:sz w:val="20"/>
        </w:rPr>
        <w:t>(Denise, Link Worker</w:t>
      </w:r>
      <w:r w:rsidR="00643DB8">
        <w:rPr>
          <w:sz w:val="20"/>
        </w:rPr>
        <w:t>)</w:t>
      </w:r>
    </w:p>
    <w:p w14:paraId="2438053E" w14:textId="53090BE4" w:rsidR="00692EE5" w:rsidRDefault="00692EE5" w:rsidP="00F910F2">
      <w:pPr>
        <w:jc w:val="both"/>
      </w:pPr>
    </w:p>
    <w:p w14:paraId="78D60206" w14:textId="2730A93E" w:rsidR="00006AA2" w:rsidRDefault="00FE7364" w:rsidP="006F6A04">
      <w:pPr>
        <w:jc w:val="both"/>
      </w:pPr>
      <w:r>
        <w:t>This</w:t>
      </w:r>
      <w:r w:rsidR="00E41CB0">
        <w:t xml:space="preserve"> ‘friendly approach’ </w:t>
      </w:r>
      <w:r w:rsidR="001C401F">
        <w:t xml:space="preserve">is </w:t>
      </w:r>
      <w:r w:rsidR="001C401F" w:rsidRPr="001C401F">
        <w:rPr>
          <w:i/>
        </w:rPr>
        <w:t>contrived</w:t>
      </w:r>
      <w:r w:rsidR="001C401F">
        <w:t xml:space="preserve">. </w:t>
      </w:r>
      <w:r>
        <w:t xml:space="preserve">It is contrived insofar as it is </w:t>
      </w:r>
      <w:r w:rsidR="00A9264D">
        <w:t xml:space="preserve">deliberately </w:t>
      </w:r>
      <w:r w:rsidR="00752099">
        <w:t>pursued</w:t>
      </w:r>
      <w:r w:rsidR="00EC0840" w:rsidRPr="00302A45">
        <w:t xml:space="preserve"> to: a) be disarming and help </w:t>
      </w:r>
      <w:r w:rsidR="00475653">
        <w:t>win</w:t>
      </w:r>
      <w:r w:rsidR="00EC0840" w:rsidRPr="00302A45">
        <w:t xml:space="preserve"> the trust of parents; and</w:t>
      </w:r>
      <w:r w:rsidR="00955D18">
        <w:t>,</w:t>
      </w:r>
      <w:r w:rsidR="00EC0840" w:rsidRPr="00302A45">
        <w:t xml:space="preserve"> b) make parents more receptive to the link workers’ agenda. </w:t>
      </w:r>
      <w:r>
        <w:t>Conviviality, in other words, is put to strategic use.</w:t>
      </w:r>
      <w:r w:rsidR="00277571">
        <w:t xml:space="preserve"> </w:t>
      </w:r>
      <w:r w:rsidR="002C0D06">
        <w:t xml:space="preserve">This approach </w:t>
      </w:r>
      <w:r w:rsidR="00AA4A17">
        <w:t>recalls</w:t>
      </w:r>
      <w:r w:rsidR="002C0D06">
        <w:t xml:space="preserve"> </w:t>
      </w:r>
      <w:r w:rsidR="00AA4A17">
        <w:t>techniques</w:t>
      </w:r>
      <w:r w:rsidR="002C0D06">
        <w:t xml:space="preserve"> employed in</w:t>
      </w:r>
      <w:r w:rsidR="00AA4A17">
        <w:t xml:space="preserve"> other</w:t>
      </w:r>
      <w:r w:rsidR="002C0D06">
        <w:t xml:space="preserve"> contemporary family learning initiatives (Wainwright &amp; </w:t>
      </w:r>
      <w:proofErr w:type="spellStart"/>
      <w:r w:rsidR="002C0D06">
        <w:t>Marandet</w:t>
      </w:r>
      <w:proofErr w:type="spellEnd"/>
      <w:r w:rsidR="002C0D06">
        <w:t>, 2013)</w:t>
      </w:r>
      <w:r w:rsidR="00AA4A17">
        <w:t xml:space="preserve"> and the ‘friendship with a purpose’ adopted by post-war social workers (Starkey, 2000). </w:t>
      </w:r>
      <w:r w:rsidR="005F63AD">
        <w:t xml:space="preserve">As in Starkey’s (2000) work, however, </w:t>
      </w:r>
      <w:r w:rsidR="00AA4A17">
        <w:t>the relationship remains largely one-sided.</w:t>
      </w:r>
      <w:r w:rsidR="00C13EB7">
        <w:t xml:space="preserve"> </w:t>
      </w:r>
      <w:r w:rsidR="00475653">
        <w:t xml:space="preserve">Whilst </w:t>
      </w:r>
      <w:r w:rsidR="00C13EB7">
        <w:t xml:space="preserve">parents may </w:t>
      </w:r>
      <w:r w:rsidR="00D33982">
        <w:t xml:space="preserve">consider </w:t>
      </w:r>
      <w:r w:rsidR="00C13EB7">
        <w:t>link workers as ‘friends’ and as ‘more than’ representatives of the project, the latter maintain</w:t>
      </w:r>
      <w:r w:rsidR="00B35A49">
        <w:t xml:space="preserve"> </w:t>
      </w:r>
      <w:r w:rsidR="00C13EB7">
        <w:t xml:space="preserve">professional </w:t>
      </w:r>
      <w:r w:rsidR="00B35A49">
        <w:t>distance</w:t>
      </w:r>
      <w:r w:rsidR="00AF60CF">
        <w:t xml:space="preserve">. </w:t>
      </w:r>
      <w:r w:rsidR="00475653">
        <w:t xml:space="preserve">They </w:t>
      </w:r>
      <w:r w:rsidR="005F63AD">
        <w:t xml:space="preserve">still </w:t>
      </w:r>
      <w:r>
        <w:t>regard</w:t>
      </w:r>
      <w:r w:rsidR="00475653">
        <w:t xml:space="preserve"> the parents</w:t>
      </w:r>
      <w:r>
        <w:t xml:space="preserve"> as</w:t>
      </w:r>
      <w:r w:rsidR="00475653">
        <w:t xml:space="preserve"> ‘clients’ and, indeed, have a responsibility to report on </w:t>
      </w:r>
      <w:r>
        <w:t xml:space="preserve">their </w:t>
      </w:r>
      <w:r w:rsidR="00475653">
        <w:t>engagement</w:t>
      </w:r>
      <w:r w:rsidR="00B35A49">
        <w:t xml:space="preserve"> (the aforementioned ‘ladder of engagement’). In </w:t>
      </w:r>
      <w:r w:rsidR="00013CE4">
        <w:t>this regard,</w:t>
      </w:r>
      <w:r w:rsidR="00B35A49">
        <w:t xml:space="preserve"> </w:t>
      </w:r>
      <w:r w:rsidR="00475653">
        <w:t>it is a manufactured</w:t>
      </w:r>
      <w:r w:rsidR="00B35A49">
        <w:t xml:space="preserve"> relationship. It </w:t>
      </w:r>
      <w:r w:rsidR="00AA4A17">
        <w:t>has been</w:t>
      </w:r>
      <w:r w:rsidR="00B35A49">
        <w:t xml:space="preserve"> engineered</w:t>
      </w:r>
      <w:r w:rsidR="00006AA2">
        <w:t xml:space="preserve"> </w:t>
      </w:r>
      <w:r w:rsidR="00B35A49">
        <w:t xml:space="preserve">to </w:t>
      </w:r>
      <w:r w:rsidR="00006AA2">
        <w:t>increase</w:t>
      </w:r>
      <w:r w:rsidR="00B35A49">
        <w:t xml:space="preserve"> the likelihood </w:t>
      </w:r>
      <w:r w:rsidR="002C0D06">
        <w:t xml:space="preserve">of </w:t>
      </w:r>
      <w:r w:rsidR="00006AA2">
        <w:t xml:space="preserve">parents </w:t>
      </w:r>
      <w:r w:rsidR="002C0D06">
        <w:t>altering</w:t>
      </w:r>
      <w:r w:rsidR="00006AA2">
        <w:t xml:space="preserve"> their conduct in desirable ways. </w:t>
      </w:r>
    </w:p>
    <w:p w14:paraId="4C8CA00F" w14:textId="3E4E238C" w:rsidR="00AD4762" w:rsidRPr="00B3546E" w:rsidRDefault="00006AA2" w:rsidP="00F910F2">
      <w:pPr>
        <w:ind w:firstLine="720"/>
        <w:jc w:val="both"/>
      </w:pPr>
      <w:r>
        <w:t xml:space="preserve">Nevertheless, </w:t>
      </w:r>
      <w:r w:rsidR="00013CE4">
        <w:t xml:space="preserve">it </w:t>
      </w:r>
      <w:r w:rsidR="00955D18">
        <w:t>proved</w:t>
      </w:r>
      <w:r w:rsidR="00013CE4">
        <w:t xml:space="preserve"> a successful</w:t>
      </w:r>
      <w:r w:rsidR="00AD4762" w:rsidRPr="00B3546E">
        <w:t xml:space="preserve"> strategy. </w:t>
      </w:r>
      <w:r w:rsidR="000A3B55">
        <w:t xml:space="preserve">Parents praised the link workers </w:t>
      </w:r>
      <w:r w:rsidR="00AD4762" w:rsidRPr="00B3546E">
        <w:t xml:space="preserve">for </w:t>
      </w:r>
      <w:r w:rsidR="00955D18">
        <w:t>their</w:t>
      </w:r>
      <w:r w:rsidR="00AD4762" w:rsidRPr="00B3546E">
        <w:t xml:space="preserve"> sincer</w:t>
      </w:r>
      <w:r w:rsidR="00955D18">
        <w:t>ity and kindness</w:t>
      </w:r>
      <w:r w:rsidR="004A5A01">
        <w:t>.</w:t>
      </w:r>
      <w:r>
        <w:t xml:space="preserve"> Q</w:t>
      </w:r>
      <w:r w:rsidR="00AD4762" w:rsidRPr="00B3546E">
        <w:t xml:space="preserve">ualities readily taken as evidence of </w:t>
      </w:r>
      <w:r w:rsidR="004A5A01">
        <w:t>their</w:t>
      </w:r>
      <w:r w:rsidR="00AD4762" w:rsidRPr="00B3546E">
        <w:t xml:space="preserve"> trustworthiness. As one parent </w:t>
      </w:r>
      <w:r w:rsidR="00955D18">
        <w:t>remarked</w:t>
      </w:r>
      <w:r w:rsidR="00AD4762" w:rsidRPr="00B3546E">
        <w:t>: ‘you feel you can trust them and that you can depend upon them’. Moreover, by adopting a personable</w:t>
      </w:r>
      <w:r w:rsidR="00851A09">
        <w:t xml:space="preserve"> and </w:t>
      </w:r>
      <w:r w:rsidR="00AD4762" w:rsidRPr="00B3546E">
        <w:t xml:space="preserve">non-threatening approach, the link workers </w:t>
      </w:r>
      <w:r w:rsidR="0049239F">
        <w:t>unsettled</w:t>
      </w:r>
      <w:r w:rsidR="0049239F" w:rsidRPr="00B3546E">
        <w:t xml:space="preserve"> </w:t>
      </w:r>
      <w:r w:rsidR="00AD4762" w:rsidRPr="00B3546E">
        <w:t>the hierarchy between service-provider</w:t>
      </w:r>
      <w:r w:rsidR="005F63AD">
        <w:t>/</w:t>
      </w:r>
      <w:r w:rsidR="00AD4762" w:rsidRPr="00B3546E">
        <w:t>service-user</w:t>
      </w:r>
      <w:r w:rsidR="000A3B55">
        <w:t xml:space="preserve">, </w:t>
      </w:r>
      <w:r w:rsidR="00AD4762" w:rsidRPr="00B3546E">
        <w:t xml:space="preserve">creating a more horizontal </w:t>
      </w:r>
      <w:r w:rsidR="00D33982">
        <w:t>relationship</w:t>
      </w:r>
      <w:r w:rsidR="00D33982" w:rsidRPr="00B3546E">
        <w:t xml:space="preserve"> </w:t>
      </w:r>
      <w:r w:rsidR="00AD4762" w:rsidRPr="00B3546E">
        <w:t xml:space="preserve">in which parents felt respected </w:t>
      </w:r>
      <w:r w:rsidR="00D33982">
        <w:t xml:space="preserve">as equal </w:t>
      </w:r>
      <w:r w:rsidR="00AD4762" w:rsidRPr="00B3546E">
        <w:t>partners:</w:t>
      </w:r>
    </w:p>
    <w:p w14:paraId="49E546B3" w14:textId="77777777" w:rsidR="00AD4762" w:rsidRPr="00B3546E" w:rsidRDefault="00AD4762" w:rsidP="00F910F2">
      <w:pPr>
        <w:jc w:val="both"/>
      </w:pPr>
    </w:p>
    <w:p w14:paraId="7BD62667" w14:textId="77777777" w:rsidR="00AD4762" w:rsidRPr="00B3546E" w:rsidRDefault="00AD4762" w:rsidP="00F910F2">
      <w:pPr>
        <w:ind w:left="720"/>
        <w:jc w:val="both"/>
        <w:rPr>
          <w:sz w:val="20"/>
        </w:rPr>
      </w:pPr>
      <w:r w:rsidRPr="00B3546E">
        <w:rPr>
          <w:sz w:val="20"/>
        </w:rPr>
        <w:t>[Y]</w:t>
      </w:r>
      <w:proofErr w:type="spellStart"/>
      <w:r w:rsidRPr="00B3546E">
        <w:rPr>
          <w:sz w:val="20"/>
        </w:rPr>
        <w:t>ou</w:t>
      </w:r>
      <w:proofErr w:type="spellEnd"/>
      <w:r w:rsidRPr="00B3546E">
        <w:rPr>
          <w:sz w:val="20"/>
        </w:rPr>
        <w:t xml:space="preserve"> feel like you’re not being looked down on, you’re on a level with someone.  And whereas other services you always feel like we’re supporting you because you can’t do this or because you’re not capable of doing this on your own or whatever. (Lily, Parent)</w:t>
      </w:r>
    </w:p>
    <w:p w14:paraId="618C3467" w14:textId="77777777" w:rsidR="00AD4762" w:rsidRPr="00B3546E" w:rsidRDefault="00AD4762" w:rsidP="00F910F2">
      <w:pPr>
        <w:jc w:val="both"/>
      </w:pPr>
    </w:p>
    <w:p w14:paraId="2E1DFBFA" w14:textId="0F0DF0FB" w:rsidR="00DD7E95" w:rsidRDefault="00AD4762" w:rsidP="00F910F2">
      <w:pPr>
        <w:jc w:val="both"/>
      </w:pPr>
      <w:r w:rsidRPr="00B3546E">
        <w:t xml:space="preserve">Contrived conviviality is pivotal to fostering trust in parent-link worker interactions. It furnishes parents with optimism about the link workers’ goodwill and underlines their apparent trustworthiness. Alongside the other techniques, it </w:t>
      </w:r>
      <w:r w:rsidR="003353D5">
        <w:t>create</w:t>
      </w:r>
      <w:r w:rsidR="00D33982">
        <w:t>s</w:t>
      </w:r>
      <w:r w:rsidR="003353D5">
        <w:t xml:space="preserve"> </w:t>
      </w:r>
      <w:r w:rsidR="00851A09">
        <w:t xml:space="preserve">the </w:t>
      </w:r>
      <w:r w:rsidR="003353D5">
        <w:t xml:space="preserve">conditions </w:t>
      </w:r>
      <w:r w:rsidR="00D33982">
        <w:t>for</w:t>
      </w:r>
      <w:r w:rsidR="003353D5">
        <w:t xml:space="preserve"> trust </w:t>
      </w:r>
      <w:r w:rsidR="00D33982">
        <w:t xml:space="preserve">to </w:t>
      </w:r>
      <w:r w:rsidR="003353D5">
        <w:t>flourish.</w:t>
      </w:r>
      <w:r w:rsidRPr="00B3546E">
        <w:t xml:space="preserve">  </w:t>
      </w:r>
    </w:p>
    <w:p w14:paraId="0DD17334" w14:textId="72353452" w:rsidR="00751D84" w:rsidRPr="00B3546E" w:rsidRDefault="003353D5" w:rsidP="00F910F2">
      <w:pPr>
        <w:jc w:val="both"/>
      </w:pPr>
      <w:r>
        <w:tab/>
      </w:r>
      <w:r w:rsidR="00851A09">
        <w:t>The</w:t>
      </w:r>
      <w:r>
        <w:t xml:space="preserve"> </w:t>
      </w:r>
      <w:r w:rsidR="00006AA2">
        <w:t>deployment</w:t>
      </w:r>
      <w:r>
        <w:t xml:space="preserve"> of this cluster of techniques is </w:t>
      </w:r>
      <w:r w:rsidR="00D33982">
        <w:t>not</w:t>
      </w:r>
      <w:r>
        <w:t xml:space="preserve"> arbitrary. It forms part of a deliberate strategy to convey the apparent trustworthiness of the link workers </w:t>
      </w:r>
      <w:r w:rsidR="00820F20">
        <w:t>in order to</w:t>
      </w:r>
      <w:r>
        <w:t xml:space="preserve"> </w:t>
      </w:r>
      <w:r w:rsidR="004A5A01">
        <w:t>gain</w:t>
      </w:r>
      <w:r>
        <w:t xml:space="preserve"> </w:t>
      </w:r>
      <w:r w:rsidR="00820F20">
        <w:t>parents’</w:t>
      </w:r>
      <w:r>
        <w:t xml:space="preserve"> </w:t>
      </w:r>
      <w:r w:rsidR="00751D84">
        <w:t xml:space="preserve">trust. </w:t>
      </w:r>
      <w:r w:rsidR="00751D84" w:rsidRPr="00B3546E">
        <w:t xml:space="preserve">It matters less in this context whether the link workers </w:t>
      </w:r>
      <w:r w:rsidR="00D33982">
        <w:t>actually are</w:t>
      </w:r>
      <w:r w:rsidR="0078080F">
        <w:t xml:space="preserve"> </w:t>
      </w:r>
      <w:r w:rsidR="00751D84" w:rsidRPr="00B3546E">
        <w:t>trustworthy than it does that the parents perceive them to be</w:t>
      </w:r>
      <w:r w:rsidR="00666DB8">
        <w:t xml:space="preserve"> so</w:t>
      </w:r>
      <w:r w:rsidR="00751D84" w:rsidRPr="00B3546E">
        <w:t xml:space="preserve">. Which is not to say that there might be no </w:t>
      </w:r>
      <w:r w:rsidR="00751D84" w:rsidRPr="00B3546E">
        <w:lastRenderedPageBreak/>
        <w:t>coincidence between the two</w:t>
      </w:r>
      <w:r w:rsidR="00006AA2">
        <w:t>.</w:t>
      </w:r>
      <w:r w:rsidR="00751D84" w:rsidRPr="00B3546E">
        <w:t xml:space="preserve"> </w:t>
      </w:r>
      <w:r w:rsidR="00006AA2">
        <w:t>T</w:t>
      </w:r>
      <w:r w:rsidR="00751D84" w:rsidRPr="00B3546E">
        <w:t xml:space="preserve">he link workers may </w:t>
      </w:r>
      <w:r w:rsidR="00D33982">
        <w:t xml:space="preserve">well </w:t>
      </w:r>
      <w:r w:rsidR="00751D84" w:rsidRPr="00B3546E">
        <w:t xml:space="preserve">be </w:t>
      </w:r>
      <w:r w:rsidR="00820F20" w:rsidRPr="00B3546E">
        <w:t>trustworthy,</w:t>
      </w:r>
      <w:r w:rsidR="00751D84" w:rsidRPr="00B3546E">
        <w:t xml:space="preserve"> and it might make for a more convincing display of their apparent trustworthiness if they</w:t>
      </w:r>
      <w:r w:rsidR="00820F20">
        <w:t xml:space="preserve"> are</w:t>
      </w:r>
      <w:r w:rsidR="00A9264D">
        <w:t xml:space="preserve">. </w:t>
      </w:r>
      <w:r w:rsidR="00751D84" w:rsidRPr="00B3546E">
        <w:t xml:space="preserve">But from the perspective of capitalising on trustworthiness, in the sense of instrumentally activating nascent trust-relations in order to mobilise parents to engage with </w:t>
      </w:r>
      <w:r w:rsidR="00751D84">
        <w:t>programme</w:t>
      </w:r>
      <w:r w:rsidR="00244F37">
        <w:t xml:space="preserve"> aims</w:t>
      </w:r>
      <w:r w:rsidR="00751D84" w:rsidRPr="00B3546E">
        <w:t xml:space="preserve">, this is beside the point. A perception of trustworthiness – so long as it is carefully managed and maintained – is itself sufficient. By gaining the trust of parents, link workers lay the groundwork for </w:t>
      </w:r>
      <w:r w:rsidR="00013CE4">
        <w:t>interventions</w:t>
      </w:r>
      <w:r w:rsidR="00751D84" w:rsidRPr="00B3546E">
        <w:t xml:space="preserve"> aimed at shaping parental conduct in the direction of responsible, self-disciplined agency. As such, these techniques form a crucial part of the armoury of this gentle way </w:t>
      </w:r>
      <w:r w:rsidR="00820F20">
        <w:t>of</w:t>
      </w:r>
      <w:r w:rsidR="00751D84" w:rsidRPr="00B3546E">
        <w:t xml:space="preserve"> parental government.  </w:t>
      </w:r>
    </w:p>
    <w:p w14:paraId="3F05E6AB" w14:textId="5D71F743" w:rsidR="00692EE5" w:rsidRDefault="00692EE5" w:rsidP="00F910F2">
      <w:pPr>
        <w:jc w:val="both"/>
      </w:pPr>
    </w:p>
    <w:p w14:paraId="7EE1AE2B" w14:textId="77777777" w:rsidR="00E8734E" w:rsidRDefault="00E8734E" w:rsidP="00F910F2">
      <w:pPr>
        <w:jc w:val="both"/>
        <w:rPr>
          <w:b/>
          <w:sz w:val="28"/>
        </w:rPr>
      </w:pPr>
    </w:p>
    <w:p w14:paraId="7827C072" w14:textId="791D94C8" w:rsidR="00751D84" w:rsidRPr="00751D84" w:rsidRDefault="00751D84" w:rsidP="00F910F2">
      <w:pPr>
        <w:jc w:val="both"/>
        <w:rPr>
          <w:b/>
          <w:sz w:val="28"/>
        </w:rPr>
      </w:pPr>
      <w:r w:rsidRPr="00751D84">
        <w:rPr>
          <w:b/>
          <w:sz w:val="28"/>
        </w:rPr>
        <w:t>Challenging Conduct</w:t>
      </w:r>
    </w:p>
    <w:p w14:paraId="63BE0EFB" w14:textId="77777777" w:rsidR="00E8734E" w:rsidRDefault="00E8734E" w:rsidP="00F910F2">
      <w:pPr>
        <w:jc w:val="both"/>
      </w:pPr>
    </w:p>
    <w:p w14:paraId="33C88C48" w14:textId="0BCEE93D" w:rsidR="00B064DD" w:rsidRDefault="00B72632" w:rsidP="00F910F2">
      <w:pPr>
        <w:jc w:val="both"/>
      </w:pPr>
      <w:r>
        <w:t>In the previous section the ‘how’ of trust</w:t>
      </w:r>
      <w:r w:rsidR="00A9264D">
        <w:t xml:space="preserve"> was addressed</w:t>
      </w:r>
      <w:r>
        <w:t>, accounting</w:t>
      </w:r>
      <w:r w:rsidR="00B57132">
        <w:t xml:space="preserve"> for the techniques by which </w:t>
      </w:r>
      <w:r w:rsidR="00B064DD">
        <w:t>trust is secured</w:t>
      </w:r>
      <w:r w:rsidR="00B57132">
        <w:t xml:space="preserve">. </w:t>
      </w:r>
      <w:r w:rsidR="00A9264D">
        <w:t>This section attends</w:t>
      </w:r>
      <w:r w:rsidR="00B57132">
        <w:t xml:space="preserve"> to the ‘why’ – to the </w:t>
      </w:r>
      <w:r w:rsidR="005008CA">
        <w:t>ends</w:t>
      </w:r>
      <w:r w:rsidR="00B57132">
        <w:t xml:space="preserve"> to which these efforts </w:t>
      </w:r>
      <w:r w:rsidR="00B42A76">
        <w:t>are</w:t>
      </w:r>
      <w:r w:rsidR="00B57132">
        <w:t xml:space="preserve"> directed</w:t>
      </w:r>
      <w:r w:rsidR="005008CA">
        <w:t>.</w:t>
      </w:r>
      <w:r w:rsidR="006C37BC">
        <w:t xml:space="preserve"> </w:t>
      </w:r>
      <w:r w:rsidR="001F11D5">
        <w:t xml:space="preserve">Through </w:t>
      </w:r>
      <w:r w:rsidR="00B42A76">
        <w:t xml:space="preserve">pastoral guidance </w:t>
      </w:r>
      <w:r w:rsidR="001F11D5">
        <w:t xml:space="preserve">and pedagogical support parents </w:t>
      </w:r>
      <w:r w:rsidR="004A5A01">
        <w:t>become</w:t>
      </w:r>
      <w:r w:rsidR="001F11D5">
        <w:t xml:space="preserve"> </w:t>
      </w:r>
      <w:r w:rsidR="005008CA">
        <w:t>subject</w:t>
      </w:r>
      <w:r w:rsidR="001F11D5">
        <w:t xml:space="preserve"> to </w:t>
      </w:r>
      <w:r w:rsidR="009047F6">
        <w:t>interventions</w:t>
      </w:r>
      <w:r w:rsidR="001F11D5">
        <w:t xml:space="preserve"> designed to induce responsibility and generate self-disciplined agency: essentially, </w:t>
      </w:r>
      <w:r w:rsidR="005008CA">
        <w:t xml:space="preserve">this is </w:t>
      </w:r>
      <w:r w:rsidR="001F11D5">
        <w:t>work conducted on the attitudes of parents</w:t>
      </w:r>
      <w:r w:rsidR="00F34A1D">
        <w:t>,</w:t>
      </w:r>
      <w:r w:rsidR="001F11D5">
        <w:t xml:space="preserve"> on one hand</w:t>
      </w:r>
      <w:r w:rsidR="00F34A1D">
        <w:t>,</w:t>
      </w:r>
      <w:r w:rsidR="001F11D5">
        <w:t xml:space="preserve"> and their aptitudes on the other. </w:t>
      </w:r>
    </w:p>
    <w:p w14:paraId="4FAF6B9B" w14:textId="3BF13F87" w:rsidR="00ED18CE" w:rsidRDefault="00C950B1" w:rsidP="00F910F2">
      <w:pPr>
        <w:jc w:val="both"/>
      </w:pPr>
      <w:r>
        <w:tab/>
        <w:t xml:space="preserve">For government to be effective, Rose </w:t>
      </w:r>
      <w:r w:rsidR="00EF7E53">
        <w:t xml:space="preserve">(1999b) </w:t>
      </w:r>
      <w:r>
        <w:t>contends</w:t>
      </w:r>
      <w:r w:rsidR="00FD6439">
        <w:t xml:space="preserve">, it must discharge its objectives into the micro-locales of everyday life </w:t>
      </w:r>
      <w:r w:rsidR="004A5A01">
        <w:t>without</w:t>
      </w:r>
      <w:r w:rsidR="00FD6439">
        <w:t xml:space="preserve"> undermin</w:t>
      </w:r>
      <w:r w:rsidR="004A5A01">
        <w:t>ing</w:t>
      </w:r>
      <w:r w:rsidR="00FD6439">
        <w:t xml:space="preserve"> the autonomy of citizens</w:t>
      </w:r>
      <w:r w:rsidR="00EF7E53">
        <w:t xml:space="preserve">. </w:t>
      </w:r>
      <w:r w:rsidR="00FD6439">
        <w:t xml:space="preserve">This is achieved through a process </w:t>
      </w:r>
      <w:r w:rsidR="002E1D62">
        <w:t xml:space="preserve">of </w:t>
      </w:r>
      <w:r w:rsidR="00FD6439" w:rsidRPr="00FD6439">
        <w:rPr>
          <w:i/>
        </w:rPr>
        <w:t>translation</w:t>
      </w:r>
      <w:r w:rsidR="00EF7E53">
        <w:t xml:space="preserve"> whereby constructive alignments are established between the agendas, goals, and objectives of those </w:t>
      </w:r>
      <w:r w:rsidR="00F9327C">
        <w:t>who</w:t>
      </w:r>
      <w:r w:rsidR="00EF7E53">
        <w:t xml:space="preserve"> would govern and the personal aspirations and ambitions of those subject to government. </w:t>
      </w:r>
      <w:r w:rsidR="004A5A01">
        <w:t>Norms</w:t>
      </w:r>
      <w:r w:rsidR="00EF7E53">
        <w:t xml:space="preserve"> of ‘good’ parenting</w:t>
      </w:r>
      <w:r w:rsidR="00C6298A">
        <w:t xml:space="preserve"> </w:t>
      </w:r>
      <w:r w:rsidR="00EF7E53">
        <w:t>must be translated into parents</w:t>
      </w:r>
      <w:r w:rsidR="00A9264D">
        <w:t>’</w:t>
      </w:r>
      <w:r w:rsidR="00EF7E53">
        <w:t xml:space="preserve"> own </w:t>
      </w:r>
      <w:r w:rsidR="00C6298A">
        <w:t xml:space="preserve">dispositions and inclinations. </w:t>
      </w:r>
      <w:r w:rsidR="00E01015">
        <w:t xml:space="preserve">Link workers operate </w:t>
      </w:r>
      <w:r w:rsidR="00FD6439">
        <w:t xml:space="preserve">across institutional lines to facilitate </w:t>
      </w:r>
      <w:r w:rsidR="00F9327C">
        <w:t>this</w:t>
      </w:r>
      <w:r w:rsidR="00FD6439">
        <w:t xml:space="preserve"> process. </w:t>
      </w:r>
      <w:r w:rsidR="00D868A8">
        <w:t xml:space="preserve">They act as relays between </w:t>
      </w:r>
      <w:r w:rsidR="00D868A8" w:rsidRPr="0054293B">
        <w:t>‘the calculations of authorities and the aspirations of free citizens’ (Rose, 1999b: 49).</w:t>
      </w:r>
      <w:r w:rsidR="002E1D62">
        <w:t xml:space="preserve"> </w:t>
      </w:r>
      <w:r w:rsidR="00E01015">
        <w:t>Techniques</w:t>
      </w:r>
      <w:r w:rsidR="002E1D62">
        <w:t xml:space="preserve"> for cultivating trustworthiness and establishing trust are </w:t>
      </w:r>
      <w:r w:rsidR="00211765">
        <w:t>means for</w:t>
      </w:r>
      <w:r w:rsidR="002E1D62">
        <w:t xml:space="preserve"> convert</w:t>
      </w:r>
      <w:r w:rsidR="00211765">
        <w:t>ing</w:t>
      </w:r>
      <w:r w:rsidR="002E1D62">
        <w:t xml:space="preserve"> governmental prerogatives into personal </w:t>
      </w:r>
      <w:r w:rsidR="00EF7E53">
        <w:t>projects</w:t>
      </w:r>
      <w:r w:rsidR="002E1D62">
        <w:t xml:space="preserve">. </w:t>
      </w:r>
      <w:r w:rsidR="00EA3B36">
        <w:t>Creating the responsible, self-governing and self-disciplining parent</w:t>
      </w:r>
      <w:r w:rsidR="007204B3">
        <w:t xml:space="preserve"> </w:t>
      </w:r>
      <w:r w:rsidR="00A9264D">
        <w:t>becomes</w:t>
      </w:r>
      <w:r w:rsidR="00EA3B36">
        <w:t xml:space="preserve"> a matter of engineering the right attitudes and aptitudes</w:t>
      </w:r>
      <w:r w:rsidR="004A5A01">
        <w:t>.</w:t>
      </w:r>
    </w:p>
    <w:p w14:paraId="384CAA26" w14:textId="79B63C41" w:rsidR="00327B9F" w:rsidRDefault="007204B3" w:rsidP="002913B5">
      <w:pPr>
        <w:ind w:firstLine="720"/>
        <w:jc w:val="both"/>
      </w:pPr>
      <w:r>
        <w:t>In our study</w:t>
      </w:r>
      <w:r w:rsidR="00EE0D96">
        <w:t>,</w:t>
      </w:r>
      <w:r>
        <w:t xml:space="preserve"> </w:t>
      </w:r>
      <w:r w:rsidR="00522C79">
        <w:t>interventions with parents</w:t>
      </w:r>
      <w:r>
        <w:t xml:space="preserve"> extended beyond </w:t>
      </w:r>
      <w:r w:rsidR="009047F6">
        <w:t xml:space="preserve">educational support </w:t>
      </w:r>
      <w:r w:rsidR="00522C79">
        <w:t xml:space="preserve">to encompass future economic prospects. </w:t>
      </w:r>
      <w:r w:rsidR="00A61ED9">
        <w:t xml:space="preserve">The </w:t>
      </w:r>
      <w:r w:rsidR="00522C79">
        <w:t xml:space="preserve">link workers </w:t>
      </w:r>
      <w:r w:rsidR="009047F6">
        <w:t>encouraged</w:t>
      </w:r>
      <w:r w:rsidR="003960FB">
        <w:t xml:space="preserve"> </w:t>
      </w:r>
      <w:r w:rsidR="00CF055A">
        <w:t>aptitudes</w:t>
      </w:r>
      <w:r w:rsidR="00522C79">
        <w:t xml:space="preserve"> that would</w:t>
      </w:r>
      <w:r w:rsidR="0019324B">
        <w:t xml:space="preserve"> </w:t>
      </w:r>
      <w:r w:rsidR="00522C79">
        <w:t xml:space="preserve">enhance parents’ ability to support their children’s learning </w:t>
      </w:r>
      <w:r w:rsidR="0019324B">
        <w:t>and</w:t>
      </w:r>
      <w:r w:rsidR="00282AFD">
        <w:t xml:space="preserve"> to</w:t>
      </w:r>
      <w:r w:rsidR="00522C79">
        <w:t xml:space="preserve"> prepare them </w:t>
      </w:r>
      <w:r w:rsidR="003960FB">
        <w:t>for</w:t>
      </w:r>
      <w:r w:rsidR="00522C79">
        <w:t xml:space="preserve"> re-entry into employment and/or training, on the presumption that educationally and economically </w:t>
      </w:r>
      <w:r w:rsidR="003960FB">
        <w:t xml:space="preserve">active parents </w:t>
      </w:r>
      <w:r w:rsidR="00A61ED9">
        <w:t>are</w:t>
      </w:r>
      <w:r w:rsidR="003960FB">
        <w:t xml:space="preserve"> better role models.</w:t>
      </w:r>
      <w:r w:rsidR="00522C79">
        <w:t xml:space="preserve"> </w:t>
      </w:r>
      <w:r w:rsidR="0019324B">
        <w:t xml:space="preserve">This aspect of the programme was couched in a discourse of empowerment. </w:t>
      </w:r>
      <w:r w:rsidR="002913B5">
        <w:t xml:space="preserve">The parameters of choice are firmly circumscribed, though. </w:t>
      </w:r>
      <w:r w:rsidR="009D06EA">
        <w:t xml:space="preserve">Parents </w:t>
      </w:r>
      <w:r w:rsidR="00282AFD">
        <w:t xml:space="preserve">can </w:t>
      </w:r>
      <w:r w:rsidR="009D06EA">
        <w:t>choose whic</w:t>
      </w:r>
      <w:r w:rsidR="003960FB">
        <w:t xml:space="preserve">h </w:t>
      </w:r>
      <w:r w:rsidR="009D06EA">
        <w:t>activities</w:t>
      </w:r>
      <w:r w:rsidR="003960FB">
        <w:t xml:space="preserve"> </w:t>
      </w:r>
      <w:r w:rsidR="009D06EA">
        <w:t>to pursue</w:t>
      </w:r>
      <w:r w:rsidR="00923561">
        <w:t xml:space="preserve">, </w:t>
      </w:r>
      <w:r w:rsidR="00291973">
        <w:t xml:space="preserve">but they are not free to choose </w:t>
      </w:r>
      <w:r w:rsidR="00CF055A">
        <w:t xml:space="preserve">just </w:t>
      </w:r>
      <w:r w:rsidR="00291973">
        <w:t>anything; they must make the right choices.</w:t>
      </w:r>
      <w:r w:rsidR="00550539">
        <w:t xml:space="preserve"> </w:t>
      </w:r>
      <w:r w:rsidR="00291973" w:rsidRPr="0054293B">
        <w:t xml:space="preserve">Empowerment </w:t>
      </w:r>
      <w:r w:rsidR="009647D8">
        <w:t xml:space="preserve">is thus restricted to </w:t>
      </w:r>
      <w:r w:rsidR="00A61ED9">
        <w:t>making</w:t>
      </w:r>
      <w:r w:rsidR="009647D8">
        <w:t xml:space="preserve"> choices within conditional limits</w:t>
      </w:r>
      <w:r w:rsidR="00CF055A">
        <w:t xml:space="preserve"> and is itself a </w:t>
      </w:r>
      <w:r w:rsidR="00291973" w:rsidRPr="0054293B">
        <w:t>strategy of government</w:t>
      </w:r>
      <w:r w:rsidR="00A61ED9">
        <w:t>;</w:t>
      </w:r>
      <w:r w:rsidR="00291973" w:rsidRPr="0054293B">
        <w:t xml:space="preserve"> a sanctioned means for producing the kind of active citizen demanded by neolibera</w:t>
      </w:r>
      <w:r w:rsidR="00291973">
        <w:t>lism</w:t>
      </w:r>
      <w:r w:rsidR="0078080F">
        <w:t xml:space="preserve"> (Dean, 2010)</w:t>
      </w:r>
      <w:r w:rsidR="00291973" w:rsidRPr="0054293B">
        <w:t xml:space="preserve">. </w:t>
      </w:r>
    </w:p>
    <w:p w14:paraId="14FFB332" w14:textId="0B299BD8" w:rsidR="00F5277C" w:rsidRDefault="009047F6" w:rsidP="00F910F2">
      <w:pPr>
        <w:ind w:firstLine="720"/>
        <w:jc w:val="both"/>
      </w:pPr>
      <w:r>
        <w:t>Attitudinal</w:t>
      </w:r>
      <w:r w:rsidR="005A5309">
        <w:t xml:space="preserve"> change was also expected of parents. </w:t>
      </w:r>
      <w:r w:rsidR="00282AFD">
        <w:t>Link</w:t>
      </w:r>
      <w:r w:rsidR="0019483F">
        <w:t xml:space="preserve"> workers challenge</w:t>
      </w:r>
      <w:r>
        <w:t>d</w:t>
      </w:r>
      <w:r w:rsidR="0019483F">
        <w:t xml:space="preserve"> parent</w:t>
      </w:r>
      <w:r>
        <w:t>’s</w:t>
      </w:r>
      <w:r w:rsidR="0019483F">
        <w:t xml:space="preserve"> attitudes</w:t>
      </w:r>
      <w:r>
        <w:t>,</w:t>
      </w:r>
      <w:r w:rsidR="0019483F">
        <w:t xml:space="preserve"> exhorting </w:t>
      </w:r>
      <w:r>
        <w:t>them</w:t>
      </w:r>
      <w:r w:rsidR="0019483F">
        <w:t xml:space="preserve"> to take greater responsibility for the educational performance of their children and to take measures to address it:</w:t>
      </w:r>
    </w:p>
    <w:p w14:paraId="2C18F71B" w14:textId="77777777" w:rsidR="0097386E" w:rsidRPr="00A61ED9" w:rsidRDefault="0097386E" w:rsidP="00F910F2">
      <w:pPr>
        <w:ind w:firstLine="720"/>
        <w:jc w:val="both"/>
        <w:rPr>
          <w:sz w:val="20"/>
        </w:rPr>
      </w:pPr>
    </w:p>
    <w:p w14:paraId="1BEF2389" w14:textId="7197C2A6" w:rsidR="00401D4C" w:rsidRDefault="00070426" w:rsidP="00F910F2">
      <w:pPr>
        <w:ind w:left="720"/>
        <w:jc w:val="both"/>
        <w:rPr>
          <w:sz w:val="20"/>
        </w:rPr>
      </w:pPr>
      <w:r w:rsidRPr="00070426">
        <w:rPr>
          <w:sz w:val="20"/>
        </w:rPr>
        <w:t>it’s just about communication and body language and, you know, the language they use; not going in aggressively</w:t>
      </w:r>
      <w:r w:rsidR="00923561">
        <w:rPr>
          <w:sz w:val="20"/>
        </w:rPr>
        <w:t xml:space="preserve"> […] </w:t>
      </w:r>
      <w:r w:rsidRPr="00070426">
        <w:rPr>
          <w:sz w:val="20"/>
        </w:rPr>
        <w:t>They do tend to blame the schools for whatever’s going wrong and we’re trying to get them to look at, you know, it’s not just down to the school for your child.</w:t>
      </w:r>
      <w:r w:rsidR="00DE5607">
        <w:rPr>
          <w:sz w:val="20"/>
        </w:rPr>
        <w:t xml:space="preserve"> </w:t>
      </w:r>
      <w:r w:rsidRPr="00070426">
        <w:rPr>
          <w:sz w:val="20"/>
        </w:rPr>
        <w:t>We’re trying to say to them it’s not just down to the school it’s everyone’s business</w:t>
      </w:r>
      <w:r w:rsidR="00923561">
        <w:rPr>
          <w:sz w:val="20"/>
        </w:rPr>
        <w:t xml:space="preserve">. </w:t>
      </w:r>
      <w:r w:rsidR="00643DB8" w:rsidRPr="0007306E">
        <w:rPr>
          <w:sz w:val="20"/>
        </w:rPr>
        <w:t>(Denise, Link Worker)</w:t>
      </w:r>
    </w:p>
    <w:p w14:paraId="11E94250" w14:textId="4032FF95" w:rsidR="007D3F40" w:rsidRDefault="007D3F40" w:rsidP="00F910F2">
      <w:pPr>
        <w:jc w:val="both"/>
      </w:pPr>
    </w:p>
    <w:p w14:paraId="7F83D589" w14:textId="209C674D" w:rsidR="00401D4C" w:rsidRDefault="00401D4C" w:rsidP="00F910F2">
      <w:pPr>
        <w:jc w:val="both"/>
      </w:pPr>
      <w:r>
        <w:t>Becoming responsible</w:t>
      </w:r>
      <w:r w:rsidR="00CF055A">
        <w:t>, then,</w:t>
      </w:r>
      <w:r w:rsidR="00327B9F">
        <w:t xml:space="preserve"> </w:t>
      </w:r>
      <w:r>
        <w:t xml:space="preserve">requires </w:t>
      </w:r>
      <w:r w:rsidR="0078080F">
        <w:t xml:space="preserve">both </w:t>
      </w:r>
      <w:r w:rsidR="00D474BB">
        <w:t xml:space="preserve">external direction </w:t>
      </w:r>
      <w:r w:rsidR="00D474BB" w:rsidRPr="00D474BB">
        <w:rPr>
          <w:i/>
        </w:rPr>
        <w:t>and</w:t>
      </w:r>
      <w:r w:rsidR="00D474BB">
        <w:t xml:space="preserve"> inward-looking self-examination. Having gained their trust, link workers steer parents away from attitudes</w:t>
      </w:r>
      <w:r w:rsidR="0019483F">
        <w:t xml:space="preserve"> perceived as deficient</w:t>
      </w:r>
      <w:r w:rsidR="00973158">
        <w:t xml:space="preserve"> and</w:t>
      </w:r>
      <w:r w:rsidR="00D474BB">
        <w:t xml:space="preserve"> </w:t>
      </w:r>
      <w:r w:rsidR="00641561">
        <w:t>promote</w:t>
      </w:r>
      <w:r w:rsidR="00D474BB">
        <w:t xml:space="preserve"> </w:t>
      </w:r>
      <w:r w:rsidR="00436D2D">
        <w:t xml:space="preserve">more </w:t>
      </w:r>
      <w:r w:rsidR="00D474BB">
        <w:t xml:space="preserve">appropriate </w:t>
      </w:r>
      <w:r w:rsidR="00641561">
        <w:t>forms</w:t>
      </w:r>
      <w:r w:rsidR="00D474BB">
        <w:t xml:space="preserve"> of comportment</w:t>
      </w:r>
      <w:r w:rsidR="008A73FE">
        <w:t>. The parents</w:t>
      </w:r>
      <w:r w:rsidR="0097386E">
        <w:t xml:space="preserve"> </w:t>
      </w:r>
      <w:r w:rsidR="008A73FE">
        <w:t xml:space="preserve">are schooled in responsibility. They are primed to recognise their </w:t>
      </w:r>
      <w:r w:rsidR="00436D2D">
        <w:t>obligations</w:t>
      </w:r>
      <w:r w:rsidR="0097386E">
        <w:t xml:space="preserve"> and </w:t>
      </w:r>
      <w:r w:rsidR="002018B4">
        <w:t>counselled to scrutinise their own conduct</w:t>
      </w:r>
      <w:r w:rsidR="0097386E">
        <w:t xml:space="preserve">, </w:t>
      </w:r>
      <w:r w:rsidR="002018B4">
        <w:t>to practise self-government.</w:t>
      </w:r>
    </w:p>
    <w:p w14:paraId="764EE7D3" w14:textId="35932C3C" w:rsidR="002018B4" w:rsidRDefault="002018B4" w:rsidP="00F910F2">
      <w:pPr>
        <w:ind w:firstLine="720"/>
        <w:jc w:val="both"/>
      </w:pPr>
      <w:r>
        <w:lastRenderedPageBreak/>
        <w:t>However, it is dominant norms of ‘good’ parenting that structure and direct this government of the self</w:t>
      </w:r>
      <w:r w:rsidR="00F2004F">
        <w:t xml:space="preserve"> (Jensen, 2018</w:t>
      </w:r>
      <w:r w:rsidR="00A949E0" w:rsidRPr="00FB2AD5">
        <w:t>;</w:t>
      </w:r>
      <w:r w:rsidR="00A949E0" w:rsidRPr="008A469D">
        <w:t xml:space="preserve"> Wainwright &amp; </w:t>
      </w:r>
      <w:proofErr w:type="spellStart"/>
      <w:r w:rsidR="00A949E0" w:rsidRPr="008A469D">
        <w:t>Marandet</w:t>
      </w:r>
      <w:proofErr w:type="spellEnd"/>
      <w:r w:rsidR="00A949E0" w:rsidRPr="008A469D">
        <w:t>, 2017</w:t>
      </w:r>
      <w:r w:rsidR="00F2004F">
        <w:t>)</w:t>
      </w:r>
      <w:r>
        <w:t>. Norms invariably modelled on middle-class parenting practices</w:t>
      </w:r>
      <w:r w:rsidR="006961A4">
        <w:t xml:space="preserve"> (Gewirtz, 2001</w:t>
      </w:r>
      <w:r w:rsidR="00252A92">
        <w:t>; Lawler, 2000</w:t>
      </w:r>
      <w:r w:rsidR="006961A4">
        <w:t>)</w:t>
      </w:r>
      <w:r>
        <w:t xml:space="preserve">. The ‘good’ parent is the responsible parent: the parent for whom childrearing </w:t>
      </w:r>
      <w:r w:rsidR="00436D2D">
        <w:t>represents</w:t>
      </w:r>
      <w:r>
        <w:t xml:space="preserve"> a</w:t>
      </w:r>
      <w:r w:rsidR="00436D2D">
        <w:t xml:space="preserve"> future investment</w:t>
      </w:r>
      <w:r>
        <w:t xml:space="preserve">, who carefully plots and plans to ensure that their child has the best possible </w:t>
      </w:r>
      <w:r w:rsidR="00436D2D">
        <w:t>outcomes</w:t>
      </w:r>
      <w:r w:rsidR="00641561">
        <w:t xml:space="preserve"> (Vincent &amp; Maxwell, 2016)</w:t>
      </w:r>
      <w:r>
        <w:t xml:space="preserve">. It is at this point that the government of others and </w:t>
      </w:r>
      <w:r w:rsidR="0097386E">
        <w:t>self-govern</w:t>
      </w:r>
      <w:r w:rsidR="00973158">
        <w:t>ment</w:t>
      </w:r>
      <w:r>
        <w:t xml:space="preserve"> converge</w:t>
      </w:r>
      <w:r w:rsidR="00115521">
        <w:t>. A</w:t>
      </w:r>
      <w:r>
        <w:t xml:space="preserve">s a political strategy for restructuring public services and welfare provision, responsibilisation is translated into the micro-locales of everyday practice as an exercise of the self, as a component of ethical self-making. </w:t>
      </w:r>
      <w:r w:rsidR="002913B5">
        <w:t>And t</w:t>
      </w:r>
      <w:r>
        <w:t>he link worker</w:t>
      </w:r>
      <w:r w:rsidR="00CF055A">
        <w:t xml:space="preserve"> </w:t>
      </w:r>
      <w:r w:rsidR="00161C62">
        <w:t xml:space="preserve">is </w:t>
      </w:r>
      <w:r w:rsidR="00973158">
        <w:t>emblematic</w:t>
      </w:r>
      <w:r w:rsidR="00161C62">
        <w:t xml:space="preserve"> of </w:t>
      </w:r>
      <w:r w:rsidR="002913B5">
        <w:t>a</w:t>
      </w:r>
      <w:r w:rsidR="00161C62">
        <w:t xml:space="preserve"> new wave of </w:t>
      </w:r>
      <w:r w:rsidR="00690F48">
        <w:t>quasi</w:t>
      </w:r>
      <w:r w:rsidR="00115521">
        <w:t>-professionals</w:t>
      </w:r>
      <w:r w:rsidR="00161C62">
        <w:t xml:space="preserve"> that make </w:t>
      </w:r>
      <w:r w:rsidR="002913B5">
        <w:t xml:space="preserve">such </w:t>
      </w:r>
      <w:r w:rsidR="00161C62">
        <w:t>translation</w:t>
      </w:r>
      <w:r w:rsidR="0097386E">
        <w:t xml:space="preserve"> possible</w:t>
      </w:r>
      <w:r w:rsidR="00115521">
        <w:t>.</w:t>
      </w:r>
    </w:p>
    <w:p w14:paraId="7C15C035" w14:textId="2052BE84" w:rsidR="00161C62" w:rsidRDefault="0097386E" w:rsidP="00F910F2">
      <w:pPr>
        <w:ind w:firstLine="720"/>
        <w:jc w:val="both"/>
      </w:pPr>
      <w:r>
        <w:t>There is</w:t>
      </w:r>
      <w:r w:rsidR="00161C62">
        <w:t xml:space="preserve"> a sense </w:t>
      </w:r>
      <w:r w:rsidR="00641561">
        <w:t>of</w:t>
      </w:r>
      <w:r w:rsidR="00161C62">
        <w:t xml:space="preserve"> the emergence of responsible, self-disciplined agency in the following:</w:t>
      </w:r>
    </w:p>
    <w:p w14:paraId="2B3A0CBD" w14:textId="6D07856D" w:rsidR="00DE5607" w:rsidRDefault="00DE5607" w:rsidP="00F910F2">
      <w:pPr>
        <w:jc w:val="both"/>
        <w:rPr>
          <w:sz w:val="20"/>
        </w:rPr>
      </w:pPr>
    </w:p>
    <w:p w14:paraId="54968D79" w14:textId="404382EC" w:rsidR="00DE5607" w:rsidRDefault="00DE5607" w:rsidP="00F910F2">
      <w:pPr>
        <w:ind w:left="720"/>
        <w:jc w:val="both"/>
        <w:rPr>
          <w:sz w:val="20"/>
        </w:rPr>
      </w:pPr>
      <w:r w:rsidRPr="00DE5607">
        <w:rPr>
          <w:sz w:val="20"/>
        </w:rPr>
        <w:t xml:space="preserve">I feel that they </w:t>
      </w:r>
      <w:r w:rsidRPr="00DE5607">
        <w:rPr>
          <w:i/>
          <w:sz w:val="20"/>
        </w:rPr>
        <w:t>are</w:t>
      </w:r>
      <w:r w:rsidRPr="00DE5607">
        <w:rPr>
          <w:sz w:val="20"/>
        </w:rPr>
        <w:t xml:space="preserve"> looking at their self a little bit and they </w:t>
      </w:r>
      <w:r w:rsidRPr="00DE5607">
        <w:rPr>
          <w:i/>
          <w:sz w:val="20"/>
        </w:rPr>
        <w:t>are</w:t>
      </w:r>
      <w:r w:rsidRPr="00DE5607">
        <w:rPr>
          <w:sz w:val="20"/>
        </w:rPr>
        <w:t xml:space="preserve">, you know, and they’re </w:t>
      </w:r>
      <w:r w:rsidRPr="00DE5607">
        <w:rPr>
          <w:i/>
          <w:sz w:val="20"/>
        </w:rPr>
        <w:t>not</w:t>
      </w:r>
      <w:r w:rsidRPr="00DE5607">
        <w:rPr>
          <w:sz w:val="20"/>
        </w:rPr>
        <w:t xml:space="preserve"> flying in school like a bull in a china shop which maybe they might have before. They’re learning to control their emotions and they </w:t>
      </w:r>
      <w:r w:rsidRPr="00DE5607">
        <w:rPr>
          <w:i/>
          <w:sz w:val="20"/>
        </w:rPr>
        <w:t>are</w:t>
      </w:r>
      <w:r w:rsidRPr="00DE5607">
        <w:rPr>
          <w:sz w:val="20"/>
        </w:rPr>
        <w:t xml:space="preserve"> having – and they also realise now, you know, how important it is as well for their kids to get a good education. Some of them are really supporting them with their homework as they didn’t do before. Just got slightly different outlook to what they had at the beginning. Even reading for instance, one mum says I never used to read for pleasure; some of them are reading now.</w:t>
      </w:r>
      <w:r>
        <w:rPr>
          <w:sz w:val="20"/>
        </w:rPr>
        <w:t xml:space="preserve"> </w:t>
      </w:r>
      <w:r w:rsidRPr="00B40EF4">
        <w:rPr>
          <w:sz w:val="20"/>
        </w:rPr>
        <w:t>(Denise, Link Worker)</w:t>
      </w:r>
    </w:p>
    <w:p w14:paraId="12A02A1D" w14:textId="77777777" w:rsidR="00DE5607" w:rsidRDefault="00DE5607" w:rsidP="00F910F2">
      <w:pPr>
        <w:jc w:val="both"/>
      </w:pPr>
    </w:p>
    <w:p w14:paraId="277ED427" w14:textId="432FF00F" w:rsidR="00161C62" w:rsidRDefault="00425EF9" w:rsidP="00F910F2">
      <w:pPr>
        <w:jc w:val="both"/>
      </w:pPr>
      <w:r w:rsidRPr="00425EF9">
        <w:t xml:space="preserve">The link worker's report suggests </w:t>
      </w:r>
      <w:r w:rsidR="00A949E0">
        <w:t>parents</w:t>
      </w:r>
      <w:r w:rsidRPr="00425EF9">
        <w:t xml:space="preserve"> are undertaking necessary work on the self - not only enhancing opportunities for family learning, but effecting underlying character change.</w:t>
      </w:r>
      <w:r>
        <w:t xml:space="preserve"> </w:t>
      </w:r>
      <w:r w:rsidR="00161C62">
        <w:t xml:space="preserve">They are refashioning themselves into responsible agents. Their aspirations have changed: they now recognise the value of education. Their critical self-awareness and self-control </w:t>
      </w:r>
      <w:r w:rsidR="00157AAD">
        <w:t xml:space="preserve">has </w:t>
      </w:r>
      <w:r w:rsidR="00161C62">
        <w:t xml:space="preserve">increased: they are now ‘looking at themselves’ more closely; they are exercising greater ‘control’ over their emotions. Their </w:t>
      </w:r>
      <w:r w:rsidR="00A648FB">
        <w:t>impulsiveness</w:t>
      </w:r>
      <w:r w:rsidR="00161C62">
        <w:t xml:space="preserve">, </w:t>
      </w:r>
      <w:r w:rsidR="00157AAD">
        <w:t xml:space="preserve">evoked </w:t>
      </w:r>
      <w:r w:rsidR="00A648FB">
        <w:t>by</w:t>
      </w:r>
      <w:r w:rsidR="00161C62">
        <w:t xml:space="preserve"> metaphors connoting lack of restraint, ha</w:t>
      </w:r>
      <w:r w:rsidR="00A648FB">
        <w:t>s</w:t>
      </w:r>
      <w:r w:rsidR="00161C62">
        <w:t xml:space="preserve"> been tempered and tamed. In short, they</w:t>
      </w:r>
      <w:r w:rsidR="00A648FB">
        <w:t xml:space="preserve"> now</w:t>
      </w:r>
      <w:r w:rsidR="00161C62">
        <w:t xml:space="preserve"> possess the requisite attitudes and aptitudes </w:t>
      </w:r>
      <w:r w:rsidR="00A648FB">
        <w:t xml:space="preserve">for </w:t>
      </w:r>
      <w:r w:rsidR="00161C62">
        <w:t>becom</w:t>
      </w:r>
      <w:r w:rsidR="00A648FB">
        <w:t>ing</w:t>
      </w:r>
      <w:r w:rsidR="00161C62">
        <w:t xml:space="preserve"> better </w:t>
      </w:r>
      <w:r w:rsidR="00436D2D">
        <w:t>citizen-</w:t>
      </w:r>
      <w:r w:rsidR="00161C62">
        <w:t xml:space="preserve">parent-educators. </w:t>
      </w:r>
      <w:r w:rsidR="000A2785">
        <w:t>Precisely</w:t>
      </w:r>
      <w:r w:rsidR="00436D2D">
        <w:t xml:space="preserve"> the </w:t>
      </w:r>
      <w:r w:rsidR="00161C62">
        <w:t>kind of culture change advocated in policy discourse (Paterson, 2011; Family and Childcare Trust, 2015).</w:t>
      </w:r>
    </w:p>
    <w:p w14:paraId="2C6556AC" w14:textId="70CD9DCD" w:rsidR="00161C62" w:rsidRDefault="00161C62" w:rsidP="00F910F2">
      <w:pPr>
        <w:jc w:val="both"/>
      </w:pPr>
      <w:r>
        <w:tab/>
      </w:r>
      <w:r w:rsidR="005E0E4B">
        <w:t>And yet</w:t>
      </w:r>
      <w:r>
        <w:t xml:space="preserve">, </w:t>
      </w:r>
      <w:r w:rsidR="008A4ECE">
        <w:t xml:space="preserve">this focus on changing parenting cultures </w:t>
      </w:r>
      <w:r w:rsidR="00BD1BB1">
        <w:t>evades</w:t>
      </w:r>
      <w:r w:rsidR="008A4ECE">
        <w:t xml:space="preserve"> the difficult material and social conditions facing disadvantaged families and the </w:t>
      </w:r>
      <w:r w:rsidR="00BD1BB1">
        <w:t>constraints</w:t>
      </w:r>
      <w:r w:rsidR="008A4ECE">
        <w:t xml:space="preserve"> these conditions </w:t>
      </w:r>
      <w:r w:rsidR="00BD1BB1">
        <w:t>place on</w:t>
      </w:r>
      <w:r w:rsidR="008A4ECE">
        <w:t xml:space="preserve"> </w:t>
      </w:r>
      <w:r w:rsidR="00BD1BB1">
        <w:t>prospects</w:t>
      </w:r>
      <w:r w:rsidR="008A4ECE">
        <w:t xml:space="preserve"> for educational achievement and social mobility</w:t>
      </w:r>
      <w:r>
        <w:t xml:space="preserve"> (</w:t>
      </w:r>
      <w:proofErr w:type="spellStart"/>
      <w:r>
        <w:t>Hartas</w:t>
      </w:r>
      <w:proofErr w:type="spellEnd"/>
      <w:r>
        <w:t>, 2014</w:t>
      </w:r>
      <w:r w:rsidRPr="0013255A">
        <w:t>). Moreover, parents are induced to adapt</w:t>
      </w:r>
      <w:r w:rsidR="00CE1BF7">
        <w:t xml:space="preserve"> to schools</w:t>
      </w:r>
      <w:r w:rsidRPr="0013255A">
        <w:t xml:space="preserve"> in ways that </w:t>
      </w:r>
      <w:r>
        <w:t>reinforce existing power differentials</w:t>
      </w:r>
      <w:r w:rsidR="00BD1BB1">
        <w:t>:</w:t>
      </w:r>
    </w:p>
    <w:p w14:paraId="46BAC260" w14:textId="77777777" w:rsidR="00161C62" w:rsidRDefault="00161C62" w:rsidP="00F910F2">
      <w:pPr>
        <w:jc w:val="both"/>
      </w:pPr>
    </w:p>
    <w:p w14:paraId="05BFC674" w14:textId="7C3F95C5" w:rsidR="00161C62" w:rsidRDefault="00161C62" w:rsidP="00F910F2">
      <w:pPr>
        <w:ind w:left="720"/>
        <w:jc w:val="both"/>
        <w:rPr>
          <w:sz w:val="20"/>
        </w:rPr>
      </w:pPr>
      <w:r>
        <w:rPr>
          <w:sz w:val="20"/>
        </w:rPr>
        <w:t xml:space="preserve">But it’s about helping them to find the right way of going into the school and working that out and saying it in the right way so that they’re not just seen as being really aggro or really bothersome.  But it’s like ok you genuinely have a request or a concern and this is how you need to take that to the school so that you’re listened to and so that the school engage with you. </w:t>
      </w:r>
      <w:r w:rsidRPr="00643DB8">
        <w:rPr>
          <w:sz w:val="20"/>
        </w:rPr>
        <w:t>(</w:t>
      </w:r>
      <w:r w:rsidR="00643DB8" w:rsidRPr="00643DB8">
        <w:rPr>
          <w:sz w:val="20"/>
        </w:rPr>
        <w:t>Yvonne, Link Worker</w:t>
      </w:r>
      <w:r>
        <w:rPr>
          <w:sz w:val="20"/>
        </w:rPr>
        <w:t>)</w:t>
      </w:r>
    </w:p>
    <w:p w14:paraId="292D00FF" w14:textId="77777777" w:rsidR="00161C62" w:rsidRDefault="00161C62" w:rsidP="00F910F2">
      <w:pPr>
        <w:jc w:val="both"/>
      </w:pPr>
    </w:p>
    <w:p w14:paraId="3E8BFA99" w14:textId="5446764B" w:rsidR="00161C62" w:rsidRDefault="00161C62" w:rsidP="00F910F2">
      <w:pPr>
        <w:jc w:val="both"/>
      </w:pPr>
      <w:r w:rsidRPr="003E0FE2">
        <w:t>The ‘right way’ of engaging with schools is, of course, determined by the schools</w:t>
      </w:r>
      <w:r w:rsidR="00DD6CF5" w:rsidRPr="003E0FE2">
        <w:t xml:space="preserve"> themselves</w:t>
      </w:r>
      <w:r w:rsidR="004A0EB3" w:rsidRPr="003E0FE2">
        <w:t xml:space="preserve"> and parents </w:t>
      </w:r>
      <w:r w:rsidR="008F61E3">
        <w:t>must</w:t>
      </w:r>
      <w:r w:rsidR="004A0EB3" w:rsidRPr="003E0FE2">
        <w:t xml:space="preserve"> accommodate if they are to be heard.</w:t>
      </w:r>
      <w:r w:rsidRPr="003E0FE2">
        <w:t xml:space="preserve"> </w:t>
      </w:r>
      <w:r w:rsidR="004A0EB3" w:rsidRPr="003E0FE2">
        <w:t>The onus is on adapting to the requirements of schools rather than institutional change</w:t>
      </w:r>
      <w:r w:rsidR="003E0FE2">
        <w:t xml:space="preserve"> (Crozier &amp; Davies, 2007; </w:t>
      </w:r>
      <w:proofErr w:type="spellStart"/>
      <w:r w:rsidR="003E0FE2">
        <w:t>Dahlstedt</w:t>
      </w:r>
      <w:proofErr w:type="spellEnd"/>
      <w:r w:rsidR="003E0FE2">
        <w:t>, 2009)</w:t>
      </w:r>
      <w:r w:rsidR="004A0EB3" w:rsidRPr="003E0FE2">
        <w:t>.</w:t>
      </w:r>
      <w:r w:rsidR="003E0FE2">
        <w:t xml:space="preserve"> </w:t>
      </w:r>
      <w:r w:rsidRPr="003E0FE2">
        <w:t>Becoming responsible</w:t>
      </w:r>
      <w:r w:rsidR="00A648FB">
        <w:t xml:space="preserve"> on this account</w:t>
      </w:r>
      <w:r w:rsidR="004A0EB3" w:rsidRPr="003E0FE2">
        <w:t xml:space="preserve"> </w:t>
      </w:r>
      <w:r w:rsidRPr="003E0FE2">
        <w:t>means becoming less resistant to, and more compliant with, authorities.</w:t>
      </w:r>
      <w:r>
        <w:t xml:space="preserve"> </w:t>
      </w:r>
    </w:p>
    <w:p w14:paraId="068A1F12" w14:textId="0C955D6E" w:rsidR="00E56159" w:rsidRDefault="00211765" w:rsidP="00F910F2">
      <w:pPr>
        <w:jc w:val="both"/>
      </w:pPr>
      <w:r>
        <w:tab/>
        <w:t xml:space="preserve">Having </w:t>
      </w:r>
      <w:r w:rsidR="0035691F">
        <w:t xml:space="preserve">detailed </w:t>
      </w:r>
      <w:r w:rsidR="00E56159">
        <w:t xml:space="preserve">the alignment between contemporary modes of parental government and neoliberal political rationalities, it is important, however, not to lose sight of the </w:t>
      </w:r>
      <w:r w:rsidR="00276EF8">
        <w:t>benefits</w:t>
      </w:r>
      <w:r w:rsidR="00E56159">
        <w:t xml:space="preserve"> </w:t>
      </w:r>
      <w:r w:rsidR="00157AAD">
        <w:t xml:space="preserve">of </w:t>
      </w:r>
      <w:r w:rsidR="00E56159">
        <w:t>parent</w:t>
      </w:r>
      <w:r w:rsidR="00AD33F1">
        <w:t>ing</w:t>
      </w:r>
      <w:r w:rsidR="00E56159">
        <w:t xml:space="preserve"> support programmes. </w:t>
      </w:r>
      <w:r w:rsidR="00485127">
        <w:t xml:space="preserve">Family interventions </w:t>
      </w:r>
      <w:r w:rsidR="00157AAD">
        <w:t xml:space="preserve">can </w:t>
      </w:r>
      <w:r w:rsidR="00485127">
        <w:t>enhanc</w:t>
      </w:r>
      <w:r w:rsidR="00157AAD">
        <w:t>e</w:t>
      </w:r>
      <w:r w:rsidR="00485127">
        <w:t xml:space="preserve"> </w:t>
      </w:r>
      <w:r w:rsidR="0073242B">
        <w:t xml:space="preserve">as </w:t>
      </w:r>
      <w:r w:rsidR="00157AAD">
        <w:t>well</w:t>
      </w:r>
      <w:r w:rsidR="0073242B">
        <w:t xml:space="preserve"> as</w:t>
      </w:r>
      <w:r w:rsidR="00485127">
        <w:t xml:space="preserve"> constrain</w:t>
      </w:r>
      <w:r w:rsidR="00D459F1">
        <w:t xml:space="preserve"> (</w:t>
      </w:r>
      <w:proofErr w:type="spellStart"/>
      <w:r w:rsidR="00D459F1">
        <w:t>Pestaña</w:t>
      </w:r>
      <w:proofErr w:type="spellEnd"/>
      <w:r w:rsidR="00D459F1">
        <w:t xml:space="preserve">, 2012). Indeed, parents </w:t>
      </w:r>
      <w:r w:rsidR="00AD33F1">
        <w:t>valued</w:t>
      </w:r>
      <w:r w:rsidR="00D459F1">
        <w:t xml:space="preserve"> the </w:t>
      </w:r>
      <w:r w:rsidR="00485127">
        <w:t>programme</w:t>
      </w:r>
      <w:r w:rsidR="00D459F1">
        <w:t xml:space="preserve"> and the opportunit</w:t>
      </w:r>
      <w:r w:rsidR="00F67C5B">
        <w:t>ies</w:t>
      </w:r>
      <w:r w:rsidR="00D459F1">
        <w:t xml:space="preserve"> </w:t>
      </w:r>
      <w:r w:rsidR="00F67C5B">
        <w:t xml:space="preserve">it </w:t>
      </w:r>
      <w:r w:rsidR="00157AAD">
        <w:t>provided</w:t>
      </w:r>
      <w:r w:rsidR="00331575">
        <w:t xml:space="preserve">, </w:t>
      </w:r>
      <w:r w:rsidR="00BA1E44">
        <w:t>particularly for building peer-support networks</w:t>
      </w:r>
      <w:r w:rsidR="00157AAD">
        <w:t>, a</w:t>
      </w:r>
      <w:r w:rsidR="00331575">
        <w:t>nd the</w:t>
      </w:r>
      <w:r w:rsidR="00157AAD">
        <w:t>ir</w:t>
      </w:r>
      <w:r w:rsidR="00331575">
        <w:t xml:space="preserve"> rapport with </w:t>
      </w:r>
      <w:r w:rsidR="00157AAD">
        <w:t xml:space="preserve">the </w:t>
      </w:r>
      <w:r w:rsidR="00331575">
        <w:t xml:space="preserve">link workers certainly </w:t>
      </w:r>
      <w:r w:rsidR="00257EB3">
        <w:t>influenced</w:t>
      </w:r>
      <w:r w:rsidR="00331575">
        <w:t xml:space="preserve"> this reception. </w:t>
      </w:r>
      <w:r w:rsidR="00257EB3">
        <w:t xml:space="preserve">More generally, </w:t>
      </w:r>
      <w:r w:rsidR="00AD33F1">
        <w:t xml:space="preserve">the extra allocation of resources </w:t>
      </w:r>
      <w:r w:rsidR="00257EB3">
        <w:t xml:space="preserve">to marginalised groups in </w:t>
      </w:r>
      <w:r w:rsidR="00AD33F1">
        <w:t>this</w:t>
      </w:r>
      <w:r w:rsidR="00257EB3">
        <w:t xml:space="preserve"> </w:t>
      </w:r>
      <w:r w:rsidR="00485127">
        <w:t>era</w:t>
      </w:r>
      <w:r w:rsidR="00257EB3">
        <w:t xml:space="preserve"> of austerity, </w:t>
      </w:r>
      <w:r w:rsidR="00CF4A24">
        <w:t>whilst</w:t>
      </w:r>
      <w:r w:rsidR="00257EB3">
        <w:t xml:space="preserve"> scarcely sufficient, is welcome</w:t>
      </w:r>
      <w:r w:rsidR="0073242B">
        <w:t xml:space="preserve"> nonetheless</w:t>
      </w:r>
      <w:r w:rsidR="00257EB3">
        <w:t xml:space="preserve">. </w:t>
      </w:r>
      <w:r w:rsidR="00924014">
        <w:t>However, i</w:t>
      </w:r>
      <w:r w:rsidR="00257EB3">
        <w:t xml:space="preserve">t is </w:t>
      </w:r>
      <w:r w:rsidR="00276EF8">
        <w:t>difficult</w:t>
      </w:r>
      <w:r w:rsidR="00924014">
        <w:t xml:space="preserve"> </w:t>
      </w:r>
      <w:r w:rsidR="00276EF8">
        <w:t xml:space="preserve">to uncouple support from control in </w:t>
      </w:r>
      <w:r w:rsidR="00924014">
        <w:t>parenting</w:t>
      </w:r>
      <w:r w:rsidR="00276EF8">
        <w:t xml:space="preserve"> interventions</w:t>
      </w:r>
      <w:r w:rsidR="00924014">
        <w:t xml:space="preserve"> (</w:t>
      </w:r>
      <w:proofErr w:type="spellStart"/>
      <w:r w:rsidR="00924014">
        <w:t>Henricson</w:t>
      </w:r>
      <w:proofErr w:type="spellEnd"/>
      <w:r w:rsidR="00924014">
        <w:t>, 2012).</w:t>
      </w:r>
      <w:r w:rsidR="0073242B">
        <w:t xml:space="preserve"> </w:t>
      </w:r>
      <w:r w:rsidR="00924014" w:rsidRPr="00924014">
        <w:t xml:space="preserve">The more extensive the support, the more intensive the regulation; particularly in a context where public policy is constrained by </w:t>
      </w:r>
      <w:r w:rsidR="0073242B">
        <w:t xml:space="preserve">constant </w:t>
      </w:r>
      <w:r w:rsidR="00924014" w:rsidRPr="00924014">
        <w:t>pressures to maximise impact and generate cost</w:t>
      </w:r>
      <w:r w:rsidR="0073242B">
        <w:t>-</w:t>
      </w:r>
      <w:r w:rsidR="00924014" w:rsidRPr="00924014">
        <w:lastRenderedPageBreak/>
        <w:t>effective returns</w:t>
      </w:r>
      <w:r w:rsidR="00924014">
        <w:t xml:space="preserve"> (</w:t>
      </w:r>
      <w:r w:rsidR="00485127">
        <w:t>Gillies, Edwards &amp; Horsley, 2017)</w:t>
      </w:r>
      <w:r w:rsidR="00924014" w:rsidRPr="00924014">
        <w:t>.</w:t>
      </w:r>
      <w:r w:rsidR="00485127">
        <w:t xml:space="preserve"> This i</w:t>
      </w:r>
      <w:r w:rsidR="0073242B">
        <w:t>n</w:t>
      </w:r>
      <w:r w:rsidR="00485127">
        <w:t>s</w:t>
      </w:r>
      <w:r w:rsidR="0073242B">
        <w:t xml:space="preserve">uperability lies at the heart of the parenting support agenda. It is </w:t>
      </w:r>
      <w:r w:rsidR="004715FB">
        <w:t xml:space="preserve">also </w:t>
      </w:r>
      <w:r w:rsidR="0073242B">
        <w:t>important to acknowledge parents’ agency, and, indeed, that of front-line staff delivering services (Barnes &amp; Prior, 2009)</w:t>
      </w:r>
      <w:r w:rsidR="00F67C5B">
        <w:t xml:space="preserve">. In the closing section, we </w:t>
      </w:r>
      <w:r w:rsidR="00AD33F1">
        <w:t xml:space="preserve">hence </w:t>
      </w:r>
      <w:r w:rsidR="00F67C5B">
        <w:t>explore the scope that remains within the programme for subversive ‘counter-agency’ (Prior, 2009).</w:t>
      </w:r>
    </w:p>
    <w:p w14:paraId="131DAEA0" w14:textId="77777777" w:rsidR="00211765" w:rsidRDefault="00211765" w:rsidP="00F910F2">
      <w:pPr>
        <w:jc w:val="both"/>
      </w:pPr>
    </w:p>
    <w:p w14:paraId="1189D815" w14:textId="77777777" w:rsidR="00E8734E" w:rsidRDefault="00E8734E" w:rsidP="00F910F2">
      <w:pPr>
        <w:jc w:val="both"/>
        <w:rPr>
          <w:b/>
          <w:sz w:val="28"/>
        </w:rPr>
      </w:pPr>
    </w:p>
    <w:p w14:paraId="6744A4B4" w14:textId="0D51ADEB" w:rsidR="00734324" w:rsidRDefault="00734324" w:rsidP="00F910F2">
      <w:pPr>
        <w:jc w:val="both"/>
        <w:rPr>
          <w:b/>
          <w:sz w:val="28"/>
        </w:rPr>
      </w:pPr>
      <w:r>
        <w:rPr>
          <w:b/>
          <w:sz w:val="28"/>
        </w:rPr>
        <w:t>Room for Resistance?</w:t>
      </w:r>
    </w:p>
    <w:p w14:paraId="7AC135BB" w14:textId="77777777" w:rsidR="00E8734E" w:rsidRDefault="00E8734E" w:rsidP="00F910F2">
      <w:pPr>
        <w:jc w:val="both"/>
      </w:pPr>
    </w:p>
    <w:p w14:paraId="333159F8" w14:textId="5F454734" w:rsidR="007D357C" w:rsidRDefault="0053233D" w:rsidP="00F910F2">
      <w:pPr>
        <w:jc w:val="both"/>
      </w:pPr>
      <w:r>
        <w:t>Neoliberal</w:t>
      </w:r>
      <w:r w:rsidR="00613B2B">
        <w:t xml:space="preserve">ism </w:t>
      </w:r>
      <w:r>
        <w:t>functions through the production of a certain kind of subject</w:t>
      </w:r>
      <w:r w:rsidR="00645F37">
        <w:t xml:space="preserve"> – the acquisitive, calculating, ‘free’</w:t>
      </w:r>
      <w:r w:rsidR="008A4ECE">
        <w:t>,</w:t>
      </w:r>
      <w:r w:rsidR="00645F37">
        <w:t xml:space="preserve"> and responsible subject; a subject perpetually accruing capital through self-investment (Brown, 2015). </w:t>
      </w:r>
      <w:r w:rsidR="000E3FB9">
        <w:t xml:space="preserve">The ‘ambitions of regulation’ are hence inscribed into ‘the very interior of our existence and experience as subjects’ (Rose, 1999a: 11). For Popkewitz and Bloch, </w:t>
      </w:r>
      <w:r w:rsidR="000E3FB9" w:rsidRPr="0075256E">
        <w:t xml:space="preserve">this makes possibilities for resistance ‘more distant and less plausible’ (2001: 109). </w:t>
      </w:r>
      <w:r w:rsidR="00425EF9">
        <w:t>However,</w:t>
      </w:r>
      <w:r w:rsidR="000E3FB9" w:rsidRPr="0075256E">
        <w:t xml:space="preserve"> </w:t>
      </w:r>
      <w:r w:rsidR="000A2785">
        <w:t>governing through trust</w:t>
      </w:r>
      <w:r w:rsidR="007D357C">
        <w:t xml:space="preserve"> </w:t>
      </w:r>
      <w:r w:rsidR="000A2785">
        <w:t>has</w:t>
      </w:r>
      <w:r w:rsidR="000E3FB9" w:rsidRPr="0075256E">
        <w:t xml:space="preserve"> a constitutive openness </w:t>
      </w:r>
      <w:r w:rsidR="007D357C">
        <w:t xml:space="preserve">which </w:t>
      </w:r>
      <w:r w:rsidR="00A648FB">
        <w:t>means resistance cannot be entirely foreclosed.</w:t>
      </w:r>
      <w:r w:rsidR="00542DBC">
        <w:t xml:space="preserve"> </w:t>
      </w:r>
      <w:r w:rsidR="007D357C">
        <w:t>Translation</w:t>
      </w:r>
      <w:r w:rsidR="0097386E">
        <w:t xml:space="preserve"> is not </w:t>
      </w:r>
      <w:r w:rsidR="000A2785">
        <w:t>a given</w:t>
      </w:r>
      <w:r w:rsidR="00F13D64">
        <w:t>.</w:t>
      </w:r>
      <w:r w:rsidR="0097386E">
        <w:t xml:space="preserve"> </w:t>
      </w:r>
      <w:r w:rsidR="00F13D64">
        <w:t>T</w:t>
      </w:r>
      <w:r w:rsidR="0097386E">
        <w:t xml:space="preserve">here is always the </w:t>
      </w:r>
      <w:r w:rsidR="007D357C">
        <w:t xml:space="preserve">possibility of </w:t>
      </w:r>
      <w:r w:rsidR="007D357C" w:rsidRPr="000A2785">
        <w:rPr>
          <w:i/>
        </w:rPr>
        <w:t>mistranslation</w:t>
      </w:r>
      <w:r w:rsidR="00A648FB">
        <w:t xml:space="preserve">. </w:t>
      </w:r>
      <w:r w:rsidR="007D357C" w:rsidRPr="0073242B">
        <w:t>Or</w:t>
      </w:r>
      <w:r w:rsidR="000A2785" w:rsidRPr="0073242B">
        <w:t>,</w:t>
      </w:r>
      <w:r w:rsidR="007D357C" w:rsidRPr="0073242B">
        <w:t xml:space="preserve"> to frame this another way, ‘government is a congenitally failing operation’ (Miller </w:t>
      </w:r>
      <w:r w:rsidR="002C7292" w:rsidRPr="00F67C5B">
        <w:t>&amp;</w:t>
      </w:r>
      <w:r w:rsidR="007D357C" w:rsidRPr="00F67C5B">
        <w:t xml:space="preserve"> Rose, 2008: 71)</w:t>
      </w:r>
      <w:r w:rsidR="00D822AC" w:rsidRPr="00F67C5B">
        <w:t>:</w:t>
      </w:r>
      <w:r w:rsidR="007D357C" w:rsidRPr="0075256E">
        <w:t xml:space="preserve"> between a plan, its implementation, and its expected outcomes, uncertainty</w:t>
      </w:r>
      <w:r w:rsidR="00115521">
        <w:t xml:space="preserve"> remain</w:t>
      </w:r>
      <w:r w:rsidR="00D116D9">
        <w:t>s</w:t>
      </w:r>
      <w:r w:rsidR="00425EF9">
        <w:t xml:space="preserve"> (Clarke </w:t>
      </w:r>
      <w:r w:rsidR="00425EF9" w:rsidRPr="008A469D">
        <w:rPr>
          <w:i/>
        </w:rPr>
        <w:t>et al.</w:t>
      </w:r>
      <w:r w:rsidR="00425EF9">
        <w:t>, 2015)</w:t>
      </w:r>
      <w:r w:rsidR="007D357C" w:rsidRPr="0075256E">
        <w:t xml:space="preserve">. Moreover, for programmes that </w:t>
      </w:r>
      <w:r w:rsidR="00B133A7">
        <w:t xml:space="preserve">rely on </w:t>
      </w:r>
      <w:r w:rsidR="007D357C" w:rsidRPr="0075256E">
        <w:t>mobilis</w:t>
      </w:r>
      <w:r w:rsidR="00B133A7">
        <w:t>ing</w:t>
      </w:r>
      <w:r w:rsidR="007D357C" w:rsidRPr="0075256E">
        <w:t xml:space="preserve"> the energies and agency of subjects there is always the </w:t>
      </w:r>
      <w:r w:rsidR="00B133A7">
        <w:t>danger</w:t>
      </w:r>
      <w:r w:rsidR="007D357C" w:rsidRPr="0075256E">
        <w:t xml:space="preserve"> that they might ‘overrun’ or exceed prescribed limits (Dean, 2010: 196).</w:t>
      </w:r>
    </w:p>
    <w:p w14:paraId="3DFA179C" w14:textId="40F6F316" w:rsidR="001F014B" w:rsidRDefault="00D822AC" w:rsidP="00F67C5B">
      <w:pPr>
        <w:jc w:val="both"/>
      </w:pPr>
      <w:r>
        <w:tab/>
      </w:r>
      <w:r w:rsidR="00F67C5B" w:rsidRPr="008A469D">
        <w:t>These processes are evident in</w:t>
      </w:r>
      <w:r w:rsidR="00425EF9">
        <w:t xml:space="preserve"> </w:t>
      </w:r>
      <w:r w:rsidR="008266EB">
        <w:t xml:space="preserve">an </w:t>
      </w:r>
      <w:r w:rsidR="00533F19">
        <w:t xml:space="preserve">exchange between </w:t>
      </w:r>
      <w:r w:rsidR="00C06402">
        <w:t>Lily and</w:t>
      </w:r>
      <w:r w:rsidR="003A5F6E">
        <w:t xml:space="preserve"> Alex</w:t>
      </w:r>
      <w:r w:rsidR="00C06402">
        <w:t>;</w:t>
      </w:r>
      <w:r w:rsidR="003A5F6E">
        <w:t xml:space="preserve"> two </w:t>
      </w:r>
      <w:r w:rsidR="00022284">
        <w:t xml:space="preserve">mothers </w:t>
      </w:r>
      <w:r w:rsidR="0072661F">
        <w:t xml:space="preserve">identified by the link workers as potential candidates </w:t>
      </w:r>
      <w:r w:rsidR="00F83A1F">
        <w:t xml:space="preserve">for an ambassadorial role </w:t>
      </w:r>
      <w:r w:rsidR="0072661F">
        <w:t>in the programme</w:t>
      </w:r>
      <w:r w:rsidR="00F83A1F">
        <w:t>, working with and recruiting other parents</w:t>
      </w:r>
      <w:r w:rsidR="003A5F6E">
        <w:t xml:space="preserve">. </w:t>
      </w:r>
      <w:r w:rsidR="005C7AA3">
        <w:t xml:space="preserve">Both spoke favourably of the project. Alex recounted, for instance, how the project had </w:t>
      </w:r>
      <w:r w:rsidR="00542DBC">
        <w:t>afforded</w:t>
      </w:r>
      <w:r w:rsidR="005C7AA3">
        <w:t xml:space="preserve"> her greater confidence in dealing with teachers:</w:t>
      </w:r>
      <w:r w:rsidR="003A5F6E">
        <w:t xml:space="preserve"> </w:t>
      </w:r>
      <w:r w:rsidR="001F014B">
        <w:t xml:space="preserve"> </w:t>
      </w:r>
    </w:p>
    <w:p w14:paraId="4A797413" w14:textId="3066E6A1" w:rsidR="001F014B" w:rsidRDefault="001F014B" w:rsidP="00F910F2">
      <w:pPr>
        <w:jc w:val="both"/>
      </w:pPr>
      <w:r>
        <w:tab/>
      </w:r>
    </w:p>
    <w:p w14:paraId="040847E3" w14:textId="3C8569AC" w:rsidR="005C7AA3" w:rsidRPr="005C7AA3" w:rsidRDefault="005C7AA3" w:rsidP="00F910F2">
      <w:pPr>
        <w:ind w:left="720"/>
        <w:jc w:val="both"/>
        <w:rPr>
          <w:sz w:val="20"/>
        </w:rPr>
      </w:pPr>
      <w:r w:rsidRPr="005C7AA3">
        <w:rPr>
          <w:sz w:val="20"/>
        </w:rPr>
        <w:t>I used to sit there really silent and just listen to it all and then I’d go home and think why didn’t I say that?  […] I would just sit there and fill myself up in a sweat because there were so many of them and it was – oh, I was just sitting and waiting for it to be finished and agreeing with everything they say.  Whereas now I don’t, I listen to it and I’ll question them on certain things.</w:t>
      </w:r>
      <w:r w:rsidR="003B2C9E">
        <w:rPr>
          <w:sz w:val="20"/>
        </w:rPr>
        <w:t xml:space="preserve"> (Alex)</w:t>
      </w:r>
    </w:p>
    <w:p w14:paraId="2B01A06E" w14:textId="77777777" w:rsidR="005C7AA3" w:rsidRDefault="005C7AA3" w:rsidP="00F910F2"/>
    <w:p w14:paraId="4F8F0A41" w14:textId="3E1AE801" w:rsidR="00D338EA" w:rsidRDefault="00AD33F1" w:rsidP="00F910F2">
      <w:pPr>
        <w:jc w:val="both"/>
      </w:pPr>
      <w:r>
        <w:t>Similarly, Lily</w:t>
      </w:r>
      <w:r w:rsidR="00080DD7">
        <w:t xml:space="preserve"> reported </w:t>
      </w:r>
      <w:r w:rsidR="003B2C9E">
        <w:t>no longer feeling ‘baffled’ by the school system and having greater confidence in dealing with ‘officials’:</w:t>
      </w:r>
    </w:p>
    <w:p w14:paraId="66D5B2A9" w14:textId="2F33E8B1" w:rsidR="003B2C9E" w:rsidRDefault="003B2C9E" w:rsidP="00F910F2">
      <w:pPr>
        <w:jc w:val="both"/>
      </w:pPr>
    </w:p>
    <w:p w14:paraId="79404F2A" w14:textId="31D4C61D" w:rsidR="003B2C9E" w:rsidRPr="003B2C9E" w:rsidRDefault="003B2C9E" w:rsidP="00F910F2">
      <w:pPr>
        <w:ind w:left="720"/>
        <w:jc w:val="both"/>
        <w:rPr>
          <w:sz w:val="20"/>
        </w:rPr>
      </w:pPr>
      <w:r w:rsidRPr="003B2C9E">
        <w:rPr>
          <w:sz w:val="20"/>
        </w:rPr>
        <w:t xml:space="preserve">I used to find that I would be </w:t>
      </w:r>
      <w:r w:rsidRPr="003B2C9E">
        <w:rPr>
          <w:i/>
          <w:sz w:val="20"/>
        </w:rPr>
        <w:t>very</w:t>
      </w:r>
      <w:r w:rsidRPr="003B2C9E">
        <w:rPr>
          <w:sz w:val="20"/>
        </w:rPr>
        <w:t xml:space="preserve"> quiet and just let people tell me things rather than giving my own opinion about stuff, which was really difficult. You know like I’d come away maybe before and think: ‘oh shit, I wish I’d had the guts to say that’. And now actually, you know, my opinion is as valid as a lot of these professionals and it’s, you know, promoted. </w:t>
      </w:r>
      <w:r>
        <w:rPr>
          <w:sz w:val="20"/>
        </w:rPr>
        <w:t>(Lily)</w:t>
      </w:r>
    </w:p>
    <w:p w14:paraId="1D1F9160" w14:textId="77777777" w:rsidR="008266EB" w:rsidRDefault="008266EB" w:rsidP="00F910F2">
      <w:pPr>
        <w:jc w:val="both"/>
      </w:pPr>
    </w:p>
    <w:p w14:paraId="6647A2FE" w14:textId="42F08608" w:rsidR="00A562AA" w:rsidRDefault="008628DF" w:rsidP="00F910F2">
      <w:pPr>
        <w:jc w:val="both"/>
      </w:pPr>
      <w:r>
        <w:t>B</w:t>
      </w:r>
      <w:r w:rsidR="00A562AA">
        <w:t xml:space="preserve">oth </w:t>
      </w:r>
      <w:r w:rsidR="00542DBC">
        <w:t>parents</w:t>
      </w:r>
      <w:r w:rsidR="00A562AA">
        <w:t xml:space="preserve"> </w:t>
      </w:r>
      <w:r w:rsidR="00D116D9">
        <w:t>assert</w:t>
      </w:r>
      <w:r w:rsidR="00A562AA">
        <w:t xml:space="preserve"> their self-worth </w:t>
      </w:r>
      <w:r w:rsidR="00A562AA" w:rsidRPr="00A562AA">
        <w:rPr>
          <w:i/>
        </w:rPr>
        <w:t xml:space="preserve">in </w:t>
      </w:r>
      <w:r w:rsidR="00D116D9">
        <w:rPr>
          <w:i/>
        </w:rPr>
        <w:t>opposition</w:t>
      </w:r>
      <w:r w:rsidR="00A562AA" w:rsidRPr="00A562AA">
        <w:rPr>
          <w:i/>
        </w:rPr>
        <w:t xml:space="preserve"> to</w:t>
      </w:r>
      <w:r w:rsidR="00A562AA">
        <w:t xml:space="preserve"> those with official status. And it is suggested that this is precisely what the </w:t>
      </w:r>
      <w:r w:rsidR="00F63BC2">
        <w:t xml:space="preserve">programme </w:t>
      </w:r>
      <w:r w:rsidR="00A562AA">
        <w:t xml:space="preserve">promotes. It is perceived as a </w:t>
      </w:r>
      <w:r w:rsidR="00865DE2">
        <w:t>desirable</w:t>
      </w:r>
      <w:r w:rsidR="00A562AA">
        <w:t xml:space="preserve"> outcome of their empowerment. But, and this is crucial, this reversal of power does not automatically translate into closer alignment with schools. </w:t>
      </w:r>
    </w:p>
    <w:p w14:paraId="2809423B" w14:textId="27B13975" w:rsidR="00A562AA" w:rsidRDefault="00A562AA" w:rsidP="00F910F2">
      <w:pPr>
        <w:jc w:val="both"/>
      </w:pPr>
      <w:r>
        <w:tab/>
        <w:t xml:space="preserve">The following exchange </w:t>
      </w:r>
      <w:r w:rsidR="002951F8">
        <w:t xml:space="preserve">illustrates Lily and Alex’s resurgent sense of power and the </w:t>
      </w:r>
      <w:r w:rsidR="00015FF4">
        <w:t>repercussions</w:t>
      </w:r>
      <w:r w:rsidR="002951F8">
        <w:t xml:space="preserve"> this has for their relationship with their children’s school:</w:t>
      </w:r>
    </w:p>
    <w:p w14:paraId="3302B0AB" w14:textId="094064B8" w:rsidR="002951F8" w:rsidRDefault="002951F8" w:rsidP="00F910F2">
      <w:pPr>
        <w:jc w:val="both"/>
      </w:pPr>
    </w:p>
    <w:p w14:paraId="0D9012E9" w14:textId="77777777" w:rsidR="002951F8" w:rsidRPr="002951F8" w:rsidRDefault="002951F8" w:rsidP="00F910F2">
      <w:pPr>
        <w:ind w:left="720"/>
        <w:jc w:val="both"/>
        <w:rPr>
          <w:b/>
          <w:sz w:val="20"/>
        </w:rPr>
      </w:pPr>
      <w:r w:rsidRPr="002951F8">
        <w:rPr>
          <w:b/>
          <w:sz w:val="20"/>
        </w:rPr>
        <w:t>In terms of the relationship with your school and your children’s education, do you think your relationship with the school has changed since being involved with the project?</w:t>
      </w:r>
    </w:p>
    <w:p w14:paraId="6B3222CC" w14:textId="77777777" w:rsidR="002951F8" w:rsidRPr="002951F8" w:rsidRDefault="002951F8" w:rsidP="00F910F2">
      <w:pPr>
        <w:jc w:val="both"/>
        <w:rPr>
          <w:sz w:val="20"/>
        </w:rPr>
      </w:pPr>
    </w:p>
    <w:p w14:paraId="7D6DE81D" w14:textId="77777777" w:rsidR="002951F8" w:rsidRPr="002951F8" w:rsidRDefault="002951F8" w:rsidP="00F910F2">
      <w:pPr>
        <w:ind w:left="720"/>
        <w:jc w:val="both"/>
        <w:rPr>
          <w:sz w:val="20"/>
        </w:rPr>
      </w:pPr>
      <w:r w:rsidRPr="002951F8">
        <w:rPr>
          <w:sz w:val="20"/>
        </w:rPr>
        <w:t xml:space="preserve">Alex: Yeah, they don’t like me more!  </w:t>
      </w:r>
    </w:p>
    <w:p w14:paraId="7C6E920C" w14:textId="77777777" w:rsidR="002951F8" w:rsidRPr="002951F8" w:rsidRDefault="002951F8" w:rsidP="00F910F2">
      <w:pPr>
        <w:ind w:left="720"/>
        <w:jc w:val="both"/>
        <w:rPr>
          <w:sz w:val="20"/>
        </w:rPr>
      </w:pPr>
    </w:p>
    <w:p w14:paraId="38E5DDC1" w14:textId="77777777" w:rsidR="002951F8" w:rsidRPr="002951F8" w:rsidRDefault="002951F8" w:rsidP="00F910F2">
      <w:pPr>
        <w:ind w:left="720"/>
        <w:jc w:val="both"/>
        <w:rPr>
          <w:sz w:val="20"/>
        </w:rPr>
      </w:pPr>
      <w:r w:rsidRPr="002951F8">
        <w:rPr>
          <w:sz w:val="20"/>
        </w:rPr>
        <w:t>Lily: But I don’t care!</w:t>
      </w:r>
    </w:p>
    <w:p w14:paraId="657917A4" w14:textId="77777777" w:rsidR="002951F8" w:rsidRPr="002951F8" w:rsidRDefault="002951F8" w:rsidP="00F910F2">
      <w:pPr>
        <w:ind w:left="720"/>
        <w:jc w:val="both"/>
        <w:rPr>
          <w:i/>
          <w:sz w:val="20"/>
        </w:rPr>
      </w:pPr>
    </w:p>
    <w:p w14:paraId="718CE94F" w14:textId="77777777" w:rsidR="002951F8" w:rsidRPr="002951F8" w:rsidRDefault="002951F8" w:rsidP="00F910F2">
      <w:pPr>
        <w:ind w:left="720"/>
        <w:jc w:val="both"/>
        <w:rPr>
          <w:i/>
          <w:sz w:val="20"/>
        </w:rPr>
      </w:pPr>
      <w:r w:rsidRPr="002951F8">
        <w:rPr>
          <w:i/>
          <w:sz w:val="20"/>
        </w:rPr>
        <w:t>Laughter</w:t>
      </w:r>
    </w:p>
    <w:p w14:paraId="45DF69C5" w14:textId="77777777" w:rsidR="002951F8" w:rsidRPr="002951F8" w:rsidRDefault="002951F8" w:rsidP="00F910F2">
      <w:pPr>
        <w:ind w:left="720"/>
        <w:jc w:val="both"/>
        <w:rPr>
          <w:sz w:val="20"/>
        </w:rPr>
      </w:pPr>
    </w:p>
    <w:p w14:paraId="26E97DF7" w14:textId="77777777" w:rsidR="002951F8" w:rsidRPr="002951F8" w:rsidRDefault="002951F8" w:rsidP="00F910F2">
      <w:pPr>
        <w:ind w:left="720"/>
        <w:jc w:val="both"/>
        <w:rPr>
          <w:sz w:val="20"/>
        </w:rPr>
      </w:pPr>
      <w:r w:rsidRPr="002951F8">
        <w:rPr>
          <w:sz w:val="20"/>
        </w:rPr>
        <w:t>Alex: Because I voice my opinion with huge confidence and they don’t like it, but I don’t care.</w:t>
      </w:r>
    </w:p>
    <w:p w14:paraId="66922693" w14:textId="77777777" w:rsidR="002951F8" w:rsidRPr="002951F8" w:rsidRDefault="002951F8" w:rsidP="00F910F2">
      <w:pPr>
        <w:ind w:left="720"/>
        <w:jc w:val="both"/>
        <w:rPr>
          <w:b/>
          <w:sz w:val="20"/>
        </w:rPr>
      </w:pPr>
    </w:p>
    <w:p w14:paraId="0FDEB7F0" w14:textId="77777777" w:rsidR="002951F8" w:rsidRPr="002951F8" w:rsidRDefault="002951F8" w:rsidP="00F910F2">
      <w:pPr>
        <w:ind w:left="720"/>
        <w:jc w:val="both"/>
        <w:rPr>
          <w:b/>
          <w:sz w:val="20"/>
        </w:rPr>
      </w:pPr>
      <w:r w:rsidRPr="002951F8">
        <w:rPr>
          <w:b/>
          <w:sz w:val="20"/>
        </w:rPr>
        <w:t>And how do you know they don’t like it?</w:t>
      </w:r>
    </w:p>
    <w:p w14:paraId="6E432031" w14:textId="77777777" w:rsidR="002951F8" w:rsidRPr="002951F8" w:rsidRDefault="002951F8" w:rsidP="00F910F2">
      <w:pPr>
        <w:ind w:left="720"/>
        <w:jc w:val="both"/>
        <w:rPr>
          <w:sz w:val="20"/>
        </w:rPr>
      </w:pPr>
    </w:p>
    <w:p w14:paraId="2036E5DF" w14:textId="124AB298" w:rsidR="002951F8" w:rsidRPr="002951F8" w:rsidRDefault="002951F8" w:rsidP="00F910F2">
      <w:pPr>
        <w:ind w:left="720"/>
        <w:jc w:val="both"/>
        <w:rPr>
          <w:sz w:val="20"/>
        </w:rPr>
      </w:pPr>
      <w:r w:rsidRPr="002951F8">
        <w:rPr>
          <w:sz w:val="20"/>
        </w:rPr>
        <w:t>Alex: Oh</w:t>
      </w:r>
      <w:r>
        <w:rPr>
          <w:sz w:val="20"/>
        </w:rPr>
        <w:t>,</w:t>
      </w:r>
      <w:r w:rsidRPr="002951F8">
        <w:rPr>
          <w:sz w:val="20"/>
        </w:rPr>
        <w:t xml:space="preserve"> you can tell, oh believe me you can tell!  They sort of just body language, they come back a little bit in their chairs rather than – throwing things at me verbally and me just sitting there and taking it, I now have a response back and say but hold on a minute, and then I’ll question them on whatever it is that they’ve just thrown at me.  </w:t>
      </w:r>
    </w:p>
    <w:p w14:paraId="751D6F67" w14:textId="77777777" w:rsidR="002951F8" w:rsidRPr="002951F8" w:rsidRDefault="002951F8" w:rsidP="00F910F2">
      <w:pPr>
        <w:ind w:left="720"/>
        <w:jc w:val="both"/>
        <w:rPr>
          <w:sz w:val="20"/>
        </w:rPr>
      </w:pPr>
    </w:p>
    <w:p w14:paraId="0547C8FE" w14:textId="77777777" w:rsidR="002951F8" w:rsidRPr="002951F8" w:rsidRDefault="002951F8" w:rsidP="00F910F2">
      <w:pPr>
        <w:ind w:left="720"/>
        <w:jc w:val="both"/>
        <w:rPr>
          <w:sz w:val="20"/>
        </w:rPr>
      </w:pPr>
      <w:r w:rsidRPr="002951F8">
        <w:rPr>
          <w:sz w:val="20"/>
        </w:rPr>
        <w:t>Lily: And I’ll refer this matter to the project, you know!</w:t>
      </w:r>
    </w:p>
    <w:p w14:paraId="06649D18" w14:textId="56B229F0" w:rsidR="002951F8" w:rsidRDefault="002951F8" w:rsidP="00F910F2">
      <w:pPr>
        <w:jc w:val="both"/>
      </w:pPr>
    </w:p>
    <w:p w14:paraId="0BFFC949" w14:textId="5901809D" w:rsidR="002951F8" w:rsidRDefault="00865DE2" w:rsidP="00F910F2">
      <w:pPr>
        <w:jc w:val="both"/>
      </w:pPr>
      <w:r>
        <w:t>In</w:t>
      </w:r>
      <w:r w:rsidR="002951F8">
        <w:t xml:space="preserve"> Lily and Alex</w:t>
      </w:r>
      <w:r>
        <w:t xml:space="preserve">’s case </w:t>
      </w:r>
      <w:r w:rsidR="002951F8">
        <w:t>the project has served less to realign home and school than it has afforded them tools for more forcefully defining and defending their own interests. If they have adopted ‘the right way’ of engaging with schools</w:t>
      </w:r>
      <w:r w:rsidR="007523D7">
        <w:t>,</w:t>
      </w:r>
      <w:r w:rsidR="002951F8">
        <w:t xml:space="preserve"> this has not led to greater receptivity</w:t>
      </w:r>
      <w:r w:rsidR="007523D7">
        <w:t xml:space="preserve"> on their part. On the contrary, antagonism persists, but</w:t>
      </w:r>
      <w:r w:rsidR="00EE0D96">
        <w:t xml:space="preserve"> </w:t>
      </w:r>
      <w:r w:rsidR="007523D7">
        <w:t xml:space="preserve">its character has shifted. The schools ‘like’ </w:t>
      </w:r>
      <w:r>
        <w:t>them</w:t>
      </w:r>
      <w:r w:rsidR="007523D7">
        <w:t xml:space="preserve"> even less now they are prepared to defend their corner, and </w:t>
      </w:r>
      <w:r>
        <w:t>they</w:t>
      </w:r>
      <w:r w:rsidR="007523D7">
        <w:t xml:space="preserve"> feel considerably more confident in doing </w:t>
      </w:r>
      <w:r w:rsidR="0097553F">
        <w:t>so</w:t>
      </w:r>
      <w:r>
        <w:t>,</w:t>
      </w:r>
      <w:r w:rsidR="007523D7">
        <w:t xml:space="preserve"> even appear</w:t>
      </w:r>
      <w:r>
        <w:t>ing</w:t>
      </w:r>
      <w:r w:rsidR="007523D7">
        <w:t xml:space="preserve"> to enjoy exercis</w:t>
      </w:r>
      <w:r w:rsidR="00FF65C6">
        <w:t>ing</w:t>
      </w:r>
      <w:r w:rsidR="007523D7">
        <w:t xml:space="preserve"> power. More than that, they use the </w:t>
      </w:r>
      <w:r w:rsidR="00F63BC2">
        <w:t xml:space="preserve">programme </w:t>
      </w:r>
      <w:r w:rsidR="007523D7">
        <w:t xml:space="preserve">as leverage to </w:t>
      </w:r>
      <w:r w:rsidR="00E97DDD">
        <w:t>legitimate</w:t>
      </w:r>
      <w:r w:rsidR="007523D7">
        <w:t xml:space="preserve"> their </w:t>
      </w:r>
      <w:r w:rsidR="00C06402">
        <w:t>recalcitrance</w:t>
      </w:r>
      <w:r w:rsidR="007523D7">
        <w:t>.</w:t>
      </w:r>
    </w:p>
    <w:p w14:paraId="4698EAD6" w14:textId="210589E5" w:rsidR="00C170E8" w:rsidRDefault="007523D7" w:rsidP="00F910F2">
      <w:pPr>
        <w:jc w:val="both"/>
      </w:pPr>
      <w:r>
        <w:tab/>
        <w:t>This exchange</w:t>
      </w:r>
      <w:r w:rsidR="003E0FE2">
        <w:t xml:space="preserve"> </w:t>
      </w:r>
      <w:r>
        <w:t xml:space="preserve">is significant for two reasons. First, it </w:t>
      </w:r>
      <w:r w:rsidR="00FF65C6">
        <w:t>demonstrates</w:t>
      </w:r>
      <w:r>
        <w:t xml:space="preserve"> that </w:t>
      </w:r>
      <w:r w:rsidR="00E97DDD">
        <w:t>the effect</w:t>
      </w:r>
      <w:r w:rsidR="00C06402">
        <w:t>s</w:t>
      </w:r>
      <w:r w:rsidR="00E97DDD">
        <w:t xml:space="preserve"> of such interventions </w:t>
      </w:r>
      <w:r>
        <w:t xml:space="preserve">cannot be entirely </w:t>
      </w:r>
      <w:r w:rsidR="00C06402">
        <w:t>contained</w:t>
      </w:r>
      <w:r w:rsidR="00973D1B">
        <w:t>; ‘unintended consequences’ are inevitable as policy is translated from one context to another (Clarke et al., 2015). And,</w:t>
      </w:r>
      <w:r>
        <w:t xml:space="preserve"> </w:t>
      </w:r>
      <w:r w:rsidR="00973D1B">
        <w:t>s</w:t>
      </w:r>
      <w:r>
        <w:t xml:space="preserve">econd, it </w:t>
      </w:r>
      <w:r w:rsidR="00FF65C6">
        <w:t>reveals the fragility of</w:t>
      </w:r>
      <w:r>
        <w:t xml:space="preserve"> this mode of governmentality. Governing through trust comes at the cost of being unable to firmly secure desired outcomes. </w:t>
      </w:r>
      <w:r w:rsidR="00C06402">
        <w:t>This</w:t>
      </w:r>
      <w:r>
        <w:t xml:space="preserve"> </w:t>
      </w:r>
      <w:r w:rsidR="00865DE2">
        <w:t>is because</w:t>
      </w:r>
      <w:r>
        <w:t xml:space="preserve"> parents are not directly subject to the authority of schools</w:t>
      </w:r>
      <w:r w:rsidR="00973D1B">
        <w:t xml:space="preserve"> or </w:t>
      </w:r>
      <w:r>
        <w:t>link workers</w:t>
      </w:r>
      <w:r w:rsidR="00C06402">
        <w:t xml:space="preserve">; </w:t>
      </w:r>
      <w:r>
        <w:t xml:space="preserve">they are simply </w:t>
      </w:r>
      <w:r w:rsidR="007B2C96">
        <w:t>nudged to act</w:t>
      </w:r>
      <w:r w:rsidR="00FA0F90">
        <w:t xml:space="preserve"> in certain ways</w:t>
      </w:r>
      <w:r w:rsidR="00C170E8">
        <w:t xml:space="preserve">. </w:t>
      </w:r>
      <w:r w:rsidR="00E97DDD">
        <w:t>As</w:t>
      </w:r>
      <w:r w:rsidR="00C170E8" w:rsidRPr="00C170E8">
        <w:t xml:space="preserve"> a result, resistance</w:t>
      </w:r>
      <w:r w:rsidR="00FF65C6">
        <w:t xml:space="preserve"> </w:t>
      </w:r>
      <w:r w:rsidR="00867148">
        <w:t xml:space="preserve">is </w:t>
      </w:r>
      <w:r w:rsidR="00F63BC2">
        <w:t>always</w:t>
      </w:r>
      <w:r w:rsidR="00316A08">
        <w:t xml:space="preserve"> </w:t>
      </w:r>
      <w:r w:rsidR="00F63BC2">
        <w:t>possible</w:t>
      </w:r>
      <w:r w:rsidR="00C170E8" w:rsidRPr="00C170E8">
        <w:t xml:space="preserve">. Governing through trust structures the possible field of parental action but does not strictly determine or delimit it. In fact, the very </w:t>
      </w:r>
      <w:r w:rsidR="00C06402">
        <w:t>strategies pursued by</w:t>
      </w:r>
      <w:r w:rsidR="00C170E8" w:rsidRPr="00C170E8">
        <w:t xml:space="preserve"> the programme free parents to challenge schools in ways not intended or desired by its organisers. </w:t>
      </w:r>
      <w:r w:rsidR="0025592E" w:rsidRPr="0025592E">
        <w:t xml:space="preserve">Examples like this highlight the ambiguities surrounding parental engagement and raise questions about what is really being sought in efforts to realign </w:t>
      </w:r>
      <w:r w:rsidR="007B2C96">
        <w:t>home and</w:t>
      </w:r>
      <w:r w:rsidR="0025592E" w:rsidRPr="0025592E">
        <w:t xml:space="preserve"> school. Empowering parents and encouraging active involvement can release effects that are inconsistent with pre-packaged plans about what constitutes effective parental engagement.</w:t>
      </w:r>
    </w:p>
    <w:p w14:paraId="7B72D075" w14:textId="06B0C3D3" w:rsidR="006A7CE6" w:rsidRDefault="0025592E" w:rsidP="000238AB">
      <w:pPr>
        <w:jc w:val="both"/>
      </w:pPr>
      <w:r>
        <w:tab/>
      </w:r>
      <w:r w:rsidR="007B2C96">
        <w:t>Some parents exercised counter-agency by resisting programme goals</w:t>
      </w:r>
      <w:r w:rsidR="006A7CE6">
        <w:t>,</w:t>
      </w:r>
      <w:r w:rsidR="001024E6">
        <w:t xml:space="preserve"> </w:t>
      </w:r>
      <w:r w:rsidR="00CF4A24">
        <w:t>whilst</w:t>
      </w:r>
      <w:r w:rsidR="007B2C96">
        <w:t xml:space="preserve"> </w:t>
      </w:r>
      <w:r w:rsidR="001024E6">
        <w:t>others</w:t>
      </w:r>
      <w:r w:rsidR="007B2C96">
        <w:t xml:space="preserve"> refus</w:t>
      </w:r>
      <w:r w:rsidR="001024E6">
        <w:t>ed</w:t>
      </w:r>
      <w:r w:rsidR="007B2C96">
        <w:t xml:space="preserve"> to participate. </w:t>
      </w:r>
      <w:r w:rsidR="00316A08">
        <w:t>Regarding</w:t>
      </w:r>
      <w:r w:rsidR="007B2C96">
        <w:t xml:space="preserve"> the link workers, however, there was little</w:t>
      </w:r>
      <w:r w:rsidR="00A61331">
        <w:t xml:space="preserve"> overt</w:t>
      </w:r>
      <w:r w:rsidR="007B2C96">
        <w:t xml:space="preserve"> evidence of subversion</w:t>
      </w:r>
      <w:r w:rsidR="00D118C6">
        <w:t>;</w:t>
      </w:r>
      <w:r w:rsidR="004B575A">
        <w:t xml:space="preserve"> </w:t>
      </w:r>
      <w:r w:rsidR="00D118C6">
        <w:t>a</w:t>
      </w:r>
      <w:r w:rsidR="004B575A">
        <w:t>t least in terms of Prior’s (2009) typology of counter-agency</w:t>
      </w:r>
      <w:r w:rsidR="00602BD2">
        <w:t xml:space="preserve">. </w:t>
      </w:r>
      <w:r w:rsidR="000238AB" w:rsidRPr="000238AB">
        <w:t>The inchoate</w:t>
      </w:r>
      <w:r w:rsidR="006A7CE6">
        <w:t xml:space="preserve">ness </w:t>
      </w:r>
      <w:r w:rsidR="000238AB" w:rsidRPr="000238AB">
        <w:t>of the programme –</w:t>
      </w:r>
      <w:r w:rsidR="002E3F2F">
        <w:t xml:space="preserve"> </w:t>
      </w:r>
      <w:r w:rsidR="000238AB" w:rsidRPr="000238AB">
        <w:t xml:space="preserve">link workers reported being given a ‘very unclear’ remit and a ‘blank page’ to </w:t>
      </w:r>
      <w:r w:rsidR="00D118C6">
        <w:t>construct</w:t>
      </w:r>
      <w:r w:rsidR="000238AB" w:rsidRPr="000238AB">
        <w:t xml:space="preserve"> their role –</w:t>
      </w:r>
      <w:r w:rsidR="00592E78">
        <w:t xml:space="preserve"> </w:t>
      </w:r>
      <w:r w:rsidR="00316A08">
        <w:t xml:space="preserve">afforded such latitude </w:t>
      </w:r>
      <w:r w:rsidR="00867148">
        <w:t xml:space="preserve">that </w:t>
      </w:r>
      <w:r w:rsidR="00316A08">
        <w:t>it</w:t>
      </w:r>
      <w:r w:rsidR="00F733ED">
        <w:t xml:space="preserve"> </w:t>
      </w:r>
      <w:r w:rsidR="00592E78">
        <w:t>limited</w:t>
      </w:r>
      <w:r w:rsidR="000238AB" w:rsidRPr="000238AB">
        <w:t xml:space="preserve"> </w:t>
      </w:r>
      <w:r w:rsidR="00592E78">
        <w:t>the scope</w:t>
      </w:r>
      <w:r w:rsidR="000238AB">
        <w:t xml:space="preserve"> for </w:t>
      </w:r>
      <w:r w:rsidR="002C46BF">
        <w:t>subversion</w:t>
      </w:r>
      <w:r w:rsidR="000238AB">
        <w:t xml:space="preserve">. Nevertheless, </w:t>
      </w:r>
      <w:r w:rsidR="002136B8">
        <w:t xml:space="preserve">there </w:t>
      </w:r>
      <w:r w:rsidR="004B575A">
        <w:t>was</w:t>
      </w:r>
      <w:r w:rsidR="002136B8">
        <w:t xml:space="preserve"> </w:t>
      </w:r>
      <w:r w:rsidR="004851B8">
        <w:t>evidence</w:t>
      </w:r>
      <w:r w:rsidR="002136B8">
        <w:t xml:space="preserve"> of </w:t>
      </w:r>
      <w:r w:rsidR="002E3F2F" w:rsidRPr="008A469D">
        <w:rPr>
          <w:i/>
        </w:rPr>
        <w:t>redirection</w:t>
      </w:r>
      <w:r w:rsidR="002E3F2F">
        <w:t xml:space="preserve">. </w:t>
      </w:r>
      <w:r w:rsidR="00035E25">
        <w:t xml:space="preserve">Extending Prior’s typology to </w:t>
      </w:r>
      <w:r w:rsidR="00592E78">
        <w:t>include</w:t>
      </w:r>
      <w:r w:rsidR="00035E25">
        <w:t xml:space="preserve"> the </w:t>
      </w:r>
      <w:r w:rsidR="000133BE">
        <w:t>(</w:t>
      </w:r>
      <w:r w:rsidR="00035E25">
        <w:t>mis</w:t>
      </w:r>
      <w:r w:rsidR="000133BE">
        <w:t>)</w:t>
      </w:r>
      <w:r w:rsidR="00035E25">
        <w:t xml:space="preserve">application of available resources, </w:t>
      </w:r>
      <w:r w:rsidR="00C42A5C">
        <w:t xml:space="preserve">we can say that </w:t>
      </w:r>
      <w:r w:rsidR="002C46BF">
        <w:t>whilst</w:t>
      </w:r>
      <w:r w:rsidR="00035E25">
        <w:t xml:space="preserve"> the link workers did not directly subvert programme goals, they did redirect resources (their time) </w:t>
      </w:r>
      <w:r w:rsidR="000133BE">
        <w:t xml:space="preserve">into endeavours unlikely to </w:t>
      </w:r>
      <w:r w:rsidR="00C42A5C">
        <w:t>warrant</w:t>
      </w:r>
      <w:r w:rsidR="000133BE">
        <w:t xml:space="preserve"> </w:t>
      </w:r>
      <w:r w:rsidR="002C46BF">
        <w:t>formal</w:t>
      </w:r>
      <w:r w:rsidR="000133BE">
        <w:t xml:space="preserve"> </w:t>
      </w:r>
      <w:r w:rsidR="00034027">
        <w:t>approval</w:t>
      </w:r>
      <w:r w:rsidR="000133BE">
        <w:t xml:space="preserve">: </w:t>
      </w:r>
      <w:r w:rsidR="002C46BF">
        <w:t xml:space="preserve"> providing childcare; taking children to/collecting them from school. </w:t>
      </w:r>
      <w:r w:rsidR="00C8580B">
        <w:t>The</w:t>
      </w:r>
      <w:r w:rsidR="00D118C6">
        <w:t>ir</w:t>
      </w:r>
      <w:r w:rsidR="00C42A5C">
        <w:t xml:space="preserve"> willingness to provide </w:t>
      </w:r>
      <w:r w:rsidR="00C8580B">
        <w:t xml:space="preserve">this </w:t>
      </w:r>
      <w:r w:rsidR="003B7CE3">
        <w:t>additional</w:t>
      </w:r>
      <w:r w:rsidR="00C42A5C">
        <w:t xml:space="preserve"> support</w:t>
      </w:r>
      <w:r w:rsidR="00E932FB">
        <w:t xml:space="preserve"> </w:t>
      </w:r>
      <w:r w:rsidR="00867148">
        <w:t>exemplifies</w:t>
      </w:r>
      <w:r w:rsidR="00E932FB">
        <w:t xml:space="preserve"> their dedication </w:t>
      </w:r>
      <w:r w:rsidR="00D118C6">
        <w:t xml:space="preserve">to the role </w:t>
      </w:r>
      <w:r w:rsidR="00E932FB">
        <w:t>and their understanding of</w:t>
      </w:r>
      <w:r w:rsidR="006A7CE6">
        <w:t>,</w:t>
      </w:r>
      <w:r w:rsidR="00E932FB">
        <w:t xml:space="preserve"> and empathy for</w:t>
      </w:r>
      <w:r w:rsidR="006A7CE6">
        <w:t>,</w:t>
      </w:r>
      <w:r w:rsidR="00E932FB">
        <w:t xml:space="preserve"> the complex issues </w:t>
      </w:r>
      <w:r w:rsidR="00D118C6">
        <w:t xml:space="preserve">parents </w:t>
      </w:r>
      <w:r w:rsidR="00E932FB">
        <w:t>faced</w:t>
      </w:r>
      <w:r w:rsidR="00C8580B">
        <w:t>; a</w:t>
      </w:r>
      <w:r w:rsidR="00E932FB">
        <w:t xml:space="preserve"> </w:t>
      </w:r>
      <w:r w:rsidR="00C8580B">
        <w:t>sensitivity rooted in their own class background and personal histories. It also highlights the tenuous nature of parenting support (Martinez-</w:t>
      </w:r>
      <w:proofErr w:type="spellStart"/>
      <w:r w:rsidR="00C8580B">
        <w:t>Cosio</w:t>
      </w:r>
      <w:proofErr w:type="spellEnd"/>
      <w:r w:rsidR="00C8580B">
        <w:t xml:space="preserve">, Martinez </w:t>
      </w:r>
      <w:proofErr w:type="spellStart"/>
      <w:r w:rsidR="00C8580B">
        <w:t>Iannacone</w:t>
      </w:r>
      <w:proofErr w:type="spellEnd"/>
      <w:r w:rsidR="00C8580B">
        <w:t xml:space="preserve">, 2007). </w:t>
      </w:r>
      <w:r w:rsidR="0021387C">
        <w:t xml:space="preserve">Operating between home and school, link workers </w:t>
      </w:r>
      <w:r w:rsidR="00592E78">
        <w:t>balance</w:t>
      </w:r>
      <w:r w:rsidR="0021387C">
        <w:t xml:space="preserve"> competing demands; serv</w:t>
      </w:r>
      <w:r w:rsidR="00867148">
        <w:t>ing</w:t>
      </w:r>
      <w:r w:rsidR="0021387C">
        <w:t xml:space="preserve"> </w:t>
      </w:r>
      <w:r w:rsidR="003C5061">
        <w:t>the needs of both parents and policy.</w:t>
      </w:r>
      <w:r w:rsidR="0021387C">
        <w:t xml:space="preserve"> </w:t>
      </w:r>
      <w:r w:rsidR="006A7CE6">
        <w:t xml:space="preserve">Ultimately, this proved impossible to </w:t>
      </w:r>
      <w:r w:rsidR="00046319">
        <w:t>maintain</w:t>
      </w:r>
      <w:r w:rsidR="006A7CE6">
        <w:t xml:space="preserve"> and </w:t>
      </w:r>
      <w:r w:rsidR="00F733ED">
        <w:t>by the end of</w:t>
      </w:r>
      <w:r w:rsidR="003B7CE3">
        <w:t xml:space="preserve"> the programme </w:t>
      </w:r>
      <w:r w:rsidR="00602BD2">
        <w:t>they</w:t>
      </w:r>
      <w:r w:rsidR="003B7CE3">
        <w:t xml:space="preserve"> </w:t>
      </w:r>
      <w:r w:rsidR="00F733ED">
        <w:t>had become</w:t>
      </w:r>
      <w:r w:rsidR="003B7CE3">
        <w:t xml:space="preserve"> incorporated </w:t>
      </w:r>
      <w:r w:rsidR="00867148">
        <w:t xml:space="preserve">in schools </w:t>
      </w:r>
      <w:r w:rsidR="00602BD2">
        <w:t xml:space="preserve">as auxiliary staff, </w:t>
      </w:r>
      <w:r w:rsidR="003C5061">
        <w:t xml:space="preserve">radically </w:t>
      </w:r>
      <w:r w:rsidR="003B7CE3">
        <w:t>transforming their role</w:t>
      </w:r>
      <w:r w:rsidR="00F733ED">
        <w:t xml:space="preserve"> in the process.</w:t>
      </w:r>
    </w:p>
    <w:p w14:paraId="7ADF5A78" w14:textId="77777777" w:rsidR="0021387C" w:rsidRDefault="0021387C" w:rsidP="000238AB">
      <w:pPr>
        <w:jc w:val="both"/>
      </w:pPr>
    </w:p>
    <w:p w14:paraId="1CDF876F" w14:textId="77777777" w:rsidR="00E8734E" w:rsidRDefault="00E8734E" w:rsidP="00F910F2">
      <w:pPr>
        <w:jc w:val="both"/>
        <w:rPr>
          <w:b/>
          <w:sz w:val="28"/>
        </w:rPr>
      </w:pPr>
    </w:p>
    <w:p w14:paraId="30D03A28" w14:textId="465B7B66" w:rsidR="007D3F40" w:rsidRPr="002D30BB" w:rsidRDefault="002D30BB" w:rsidP="00F910F2">
      <w:pPr>
        <w:jc w:val="both"/>
        <w:rPr>
          <w:b/>
          <w:sz w:val="28"/>
        </w:rPr>
      </w:pPr>
      <w:r w:rsidRPr="002D30BB">
        <w:rPr>
          <w:b/>
          <w:sz w:val="28"/>
        </w:rPr>
        <w:t>Conclusion</w:t>
      </w:r>
    </w:p>
    <w:p w14:paraId="11607F97" w14:textId="463FCB69" w:rsidR="00E8734E" w:rsidRDefault="00E8734E" w:rsidP="00F910F2">
      <w:pPr>
        <w:jc w:val="both"/>
      </w:pPr>
    </w:p>
    <w:p w14:paraId="240A3213" w14:textId="69DF710E" w:rsidR="0053233D" w:rsidRPr="0075256E" w:rsidRDefault="00735E95" w:rsidP="001D78C1">
      <w:pPr>
        <w:jc w:val="both"/>
      </w:pPr>
      <w:r>
        <w:lastRenderedPageBreak/>
        <w:t xml:space="preserve">Liberal-democratic states </w:t>
      </w:r>
      <w:r w:rsidR="0088037F">
        <w:t>govern at a distance by</w:t>
      </w:r>
      <w:r w:rsidR="001B2579">
        <w:t xml:space="preserve"> </w:t>
      </w:r>
      <w:r w:rsidR="00BC01DD">
        <w:t>aligning</w:t>
      </w:r>
      <w:r w:rsidR="0088037F">
        <w:t xml:space="preserve"> citizens’ </w:t>
      </w:r>
      <w:r w:rsidR="00DB1168">
        <w:t>conduct</w:t>
      </w:r>
      <w:r w:rsidR="00BC01DD">
        <w:t xml:space="preserve"> with </w:t>
      </w:r>
      <w:r w:rsidR="00E55C38">
        <w:t>wider</w:t>
      </w:r>
      <w:r w:rsidR="00BC01DD">
        <w:t xml:space="preserve"> political rationalities. </w:t>
      </w:r>
      <w:r w:rsidR="00046319">
        <w:t xml:space="preserve">The family is key to this ‘conduct of conduct’, serving as a privileged instrument for managing </w:t>
      </w:r>
      <w:r w:rsidR="003A3B3E">
        <w:t xml:space="preserve">social </w:t>
      </w:r>
      <w:r w:rsidR="00046319">
        <w:t>risk and moulding responsible citizens</w:t>
      </w:r>
      <w:r w:rsidR="0088037F">
        <w:t xml:space="preserve"> (Foucault, 2009</w:t>
      </w:r>
      <w:r w:rsidR="00030FCA">
        <w:t>; Rose, 1999a</w:t>
      </w:r>
      <w:r w:rsidR="0088037F">
        <w:t>)</w:t>
      </w:r>
      <w:r w:rsidR="00030FCA">
        <w:t xml:space="preserve">. </w:t>
      </w:r>
      <w:r w:rsidR="001D78C1">
        <w:t>Our intention has been to deepen understandings of governmentality and the contemporary politics of parenting by scrutinising an innovative regime for governing parents in educational settings. One that</w:t>
      </w:r>
      <w:r w:rsidR="00E55C38">
        <w:t xml:space="preserve"> eschews coercion and </w:t>
      </w:r>
      <w:r w:rsidR="001D78C1">
        <w:t xml:space="preserve">makes strategic use of trust to translate political imperatives into parental aspirations. </w:t>
      </w:r>
      <w:r w:rsidR="00E55C38">
        <w:t xml:space="preserve">As a technology of government, link </w:t>
      </w:r>
      <w:r w:rsidR="0053233D" w:rsidRPr="0075256E">
        <w:t>workers utilise</w:t>
      </w:r>
      <w:r w:rsidR="005D75AC">
        <w:t xml:space="preserve"> nudges and</w:t>
      </w:r>
      <w:r w:rsidR="0053233D" w:rsidRPr="0075256E">
        <w:t xml:space="preserve"> ‘non-coercive enticements’ to </w:t>
      </w:r>
      <w:r w:rsidR="00B76C8D">
        <w:t>shape</w:t>
      </w:r>
      <w:r w:rsidR="0053233D" w:rsidRPr="0075256E">
        <w:t xml:space="preserve"> </w:t>
      </w:r>
      <w:r w:rsidR="0097386E">
        <w:t>parent</w:t>
      </w:r>
      <w:r w:rsidR="0053233D" w:rsidRPr="0075256E">
        <w:t xml:space="preserve"> subjectivities. Through </w:t>
      </w:r>
      <w:r w:rsidR="001E754F">
        <w:t>micro-technologies</w:t>
      </w:r>
      <w:r w:rsidR="001E754F" w:rsidRPr="0075256E">
        <w:t xml:space="preserve"> </w:t>
      </w:r>
      <w:r w:rsidR="001E754F">
        <w:t>like</w:t>
      </w:r>
      <w:r w:rsidR="0053233D" w:rsidRPr="0075256E">
        <w:t xml:space="preserve"> contrived conviviality, distancing, and community connectedness, they </w:t>
      </w:r>
      <w:r w:rsidR="00923310">
        <w:t>seek</w:t>
      </w:r>
      <w:r w:rsidR="00602BD2">
        <w:t xml:space="preserve"> to </w:t>
      </w:r>
      <w:r w:rsidR="0053233D" w:rsidRPr="0075256E">
        <w:t xml:space="preserve">manufacture responsible self-disciplined agency in parents. Link workers are lay technicians of the soul. They have no professional status or standing, they are not ‘experts’ in any formal sense, but they are able to </w:t>
      </w:r>
      <w:r w:rsidR="00643CE1">
        <w:t xml:space="preserve">capitalise on personal qualities and an intimate knowledge of the community to </w:t>
      </w:r>
      <w:r w:rsidR="004B4F39">
        <w:t xml:space="preserve">steer </w:t>
      </w:r>
      <w:r w:rsidR="00643CE1">
        <w:t xml:space="preserve">parents’ conduct in desired directions. </w:t>
      </w:r>
      <w:r w:rsidR="0053233D" w:rsidRPr="0075256E">
        <w:t xml:space="preserve">Through their work on </w:t>
      </w:r>
      <w:r w:rsidR="00643CE1">
        <w:t>attitudes</w:t>
      </w:r>
      <w:r w:rsidR="0053233D" w:rsidRPr="0075256E">
        <w:t xml:space="preserve"> and a</w:t>
      </w:r>
      <w:r w:rsidR="00643CE1">
        <w:t>p</w:t>
      </w:r>
      <w:r w:rsidR="0053233D" w:rsidRPr="0075256E">
        <w:t xml:space="preserve">titudes they </w:t>
      </w:r>
      <w:r w:rsidR="00015FF4">
        <w:t>promote</w:t>
      </w:r>
      <w:r w:rsidR="0053233D" w:rsidRPr="0075256E">
        <w:t xml:space="preserve"> the neoliberal parental subject. </w:t>
      </w:r>
    </w:p>
    <w:p w14:paraId="27ED0E67" w14:textId="6DB4B919" w:rsidR="0012707F" w:rsidRDefault="00041F66" w:rsidP="00F910F2">
      <w:pPr>
        <w:jc w:val="both"/>
      </w:pPr>
      <w:r>
        <w:tab/>
        <w:t>Governing through trust</w:t>
      </w:r>
      <w:r w:rsidR="0012707F" w:rsidRPr="0012707F">
        <w:t xml:space="preserve"> may not be as crude as punitive methods </w:t>
      </w:r>
      <w:r w:rsidR="001E754F">
        <w:t>for regulating</w:t>
      </w:r>
      <w:r w:rsidR="0012707F" w:rsidRPr="0012707F">
        <w:t xml:space="preserve"> family life, but it is a form of control nonetheless. </w:t>
      </w:r>
      <w:r w:rsidR="00611FBA">
        <w:t>This is not to suggest</w:t>
      </w:r>
      <w:r w:rsidR="00BF072D">
        <w:t xml:space="preserve"> </w:t>
      </w:r>
      <w:r w:rsidR="00611FBA">
        <w:t xml:space="preserve">that the parenting support agenda is </w:t>
      </w:r>
      <w:r w:rsidR="001E754F">
        <w:t xml:space="preserve">entirely </w:t>
      </w:r>
      <w:r w:rsidR="00611FBA">
        <w:t xml:space="preserve">pernicious. </w:t>
      </w:r>
      <w:r w:rsidR="00624C04">
        <w:t xml:space="preserve">It </w:t>
      </w:r>
      <w:r w:rsidR="00611FBA" w:rsidRPr="0012707F">
        <w:t xml:space="preserve">can provide much needed </w:t>
      </w:r>
      <w:r w:rsidR="00B9317C">
        <w:t>assistance</w:t>
      </w:r>
      <w:r w:rsidR="00611FBA" w:rsidRPr="0012707F">
        <w:t xml:space="preserve"> to parents struggling in difficult circumstances and represents a welcome allocation of resources. </w:t>
      </w:r>
      <w:r w:rsidR="009973FA">
        <w:t>Rather, t</w:t>
      </w:r>
      <w:r w:rsidR="00624C04">
        <w:t xml:space="preserve">his </w:t>
      </w:r>
      <w:r w:rsidR="000B1542">
        <w:t>article</w:t>
      </w:r>
      <w:r w:rsidR="00624C04">
        <w:t xml:space="preserve"> raise</w:t>
      </w:r>
      <w:r w:rsidR="00015FF4">
        <w:t>s</w:t>
      </w:r>
      <w:r w:rsidR="00624C04">
        <w:t xml:space="preserve"> concerns about the </w:t>
      </w:r>
      <w:r w:rsidR="00B76C8D">
        <w:t xml:space="preserve">tendency </w:t>
      </w:r>
      <w:r w:rsidR="00643678">
        <w:t>of</w:t>
      </w:r>
      <w:r w:rsidR="00B76C8D">
        <w:t xml:space="preserve"> </w:t>
      </w:r>
      <w:r w:rsidR="00EB254D">
        <w:t>interventions</w:t>
      </w:r>
      <w:r w:rsidR="00B76C8D">
        <w:t xml:space="preserve"> to </w:t>
      </w:r>
      <w:proofErr w:type="spellStart"/>
      <w:r w:rsidR="00EB254D">
        <w:t>pathologise</w:t>
      </w:r>
      <w:proofErr w:type="spellEnd"/>
      <w:r w:rsidR="00EB254D">
        <w:t xml:space="preserve"> disadvantaged parents </w:t>
      </w:r>
      <w:r w:rsidR="00B76C8D">
        <w:t xml:space="preserve">and to escalate the excessive micro-management of intimate family life. </w:t>
      </w:r>
      <w:r w:rsidR="00611FBA" w:rsidRPr="0012707F">
        <w:t xml:space="preserve">However, if governing through trust </w:t>
      </w:r>
      <w:r w:rsidR="00624C04">
        <w:t xml:space="preserve">is </w:t>
      </w:r>
      <w:r w:rsidR="00611FBA" w:rsidRPr="0012707F">
        <w:t xml:space="preserve">a form of control, </w:t>
      </w:r>
      <w:r w:rsidR="00624C04">
        <w:t xml:space="preserve">then it is a gentle way to govern parents; </w:t>
      </w:r>
      <w:r w:rsidR="00611FBA" w:rsidRPr="0012707F">
        <w:t xml:space="preserve">a </w:t>
      </w:r>
      <w:r w:rsidR="00624C04">
        <w:t>mode</w:t>
      </w:r>
      <w:r w:rsidR="00611FBA" w:rsidRPr="0012707F">
        <w:t xml:space="preserve"> of government</w:t>
      </w:r>
      <w:r w:rsidR="00624C04">
        <w:t>ality</w:t>
      </w:r>
      <w:r w:rsidR="00611FBA" w:rsidRPr="0012707F">
        <w:t xml:space="preserve"> that is able to align the family with social, political, and economic imperatives whilst still preserving its autonomy</w:t>
      </w:r>
      <w:r w:rsidR="00923310">
        <w:t xml:space="preserve"> and allowing space for subversion and resistance.</w:t>
      </w:r>
      <w:r w:rsidR="00611FBA">
        <w:t xml:space="preserve"> </w:t>
      </w:r>
    </w:p>
    <w:p w14:paraId="3E490E30" w14:textId="0B0C74E0" w:rsidR="00611FBA" w:rsidRDefault="00611FBA" w:rsidP="00F910F2">
      <w:pPr>
        <w:jc w:val="both"/>
      </w:pPr>
    </w:p>
    <w:p w14:paraId="592FE693" w14:textId="77777777" w:rsidR="00E8734E" w:rsidRDefault="00E8734E" w:rsidP="00F910F2">
      <w:pPr>
        <w:jc w:val="both"/>
        <w:rPr>
          <w:b/>
          <w:sz w:val="28"/>
        </w:rPr>
      </w:pPr>
    </w:p>
    <w:p w14:paraId="77EC6613" w14:textId="3E0B790E" w:rsidR="00EE6338" w:rsidRPr="00F157E0" w:rsidRDefault="00F157E0" w:rsidP="00F910F2">
      <w:pPr>
        <w:jc w:val="both"/>
        <w:rPr>
          <w:b/>
          <w:sz w:val="28"/>
        </w:rPr>
      </w:pPr>
      <w:r w:rsidRPr="00F157E0">
        <w:rPr>
          <w:b/>
          <w:sz w:val="28"/>
        </w:rPr>
        <w:t>Acknowledgements</w:t>
      </w:r>
    </w:p>
    <w:p w14:paraId="248B2CED" w14:textId="77777777" w:rsidR="00E8734E" w:rsidRDefault="00E8734E" w:rsidP="00F910F2">
      <w:pPr>
        <w:jc w:val="both"/>
      </w:pPr>
    </w:p>
    <w:p w14:paraId="14548429" w14:textId="3133BE4C" w:rsidR="00EE6338" w:rsidRDefault="00AC7625" w:rsidP="00F910F2">
      <w:pPr>
        <w:jc w:val="both"/>
      </w:pPr>
      <w:r>
        <w:t>Thanks are due to</w:t>
      </w:r>
      <w:r w:rsidR="00F157E0">
        <w:t xml:space="preserve"> the local authority </w:t>
      </w:r>
      <w:r>
        <w:t xml:space="preserve">that </w:t>
      </w:r>
      <w:r w:rsidR="00F157E0">
        <w:t>commissioned the evaluation</w:t>
      </w:r>
      <w:r>
        <w:t xml:space="preserve"> and </w:t>
      </w:r>
      <w:r w:rsidR="00F157E0">
        <w:t xml:space="preserve">the participants </w:t>
      </w:r>
      <w:r>
        <w:t>for sharing</w:t>
      </w:r>
      <w:r w:rsidR="00F157E0">
        <w:t xml:space="preserve"> their experiences with us.</w:t>
      </w:r>
      <w:r>
        <w:t xml:space="preserve"> Thanks also to the reviewers and Lee Jerome for their </w:t>
      </w:r>
      <w:r w:rsidR="00F63BC2">
        <w:t>valuable</w:t>
      </w:r>
      <w:r>
        <w:t xml:space="preserve"> comments.</w:t>
      </w:r>
    </w:p>
    <w:p w14:paraId="17CCE7EA" w14:textId="2AE9C37E" w:rsidR="00EE6338" w:rsidRDefault="00EE6338" w:rsidP="00F910F2">
      <w:pPr>
        <w:jc w:val="both"/>
      </w:pPr>
    </w:p>
    <w:p w14:paraId="6B91DD8B" w14:textId="77777777" w:rsidR="00E8734E" w:rsidRDefault="00E8734E" w:rsidP="00F910F2">
      <w:pPr>
        <w:jc w:val="both"/>
        <w:rPr>
          <w:b/>
          <w:sz w:val="28"/>
        </w:rPr>
      </w:pPr>
    </w:p>
    <w:p w14:paraId="1107B436" w14:textId="0A474795" w:rsidR="00EE6338" w:rsidRPr="00F157E0" w:rsidRDefault="00F157E0" w:rsidP="00F910F2">
      <w:pPr>
        <w:jc w:val="both"/>
        <w:rPr>
          <w:b/>
          <w:sz w:val="28"/>
        </w:rPr>
      </w:pPr>
      <w:r w:rsidRPr="00F157E0">
        <w:rPr>
          <w:b/>
          <w:sz w:val="28"/>
        </w:rPr>
        <w:t>Notes</w:t>
      </w:r>
    </w:p>
    <w:p w14:paraId="621B041D" w14:textId="5D3275C1" w:rsidR="00EE6338" w:rsidRDefault="00F157E0" w:rsidP="00F910F2">
      <w:pPr>
        <w:pStyle w:val="ListParagraph"/>
        <w:numPr>
          <w:ilvl w:val="0"/>
          <w:numId w:val="3"/>
        </w:numPr>
        <w:jc w:val="both"/>
      </w:pPr>
      <w:r>
        <w:t xml:space="preserve">To preserve </w:t>
      </w:r>
      <w:r w:rsidR="00AC7625">
        <w:t xml:space="preserve">participants’ </w:t>
      </w:r>
      <w:r>
        <w:t xml:space="preserve">anonymity the identity of the Borough, and hence the </w:t>
      </w:r>
      <w:r w:rsidR="00AE7D87">
        <w:t>funder</w:t>
      </w:r>
      <w:r>
        <w:t>, has not been disclosed.</w:t>
      </w:r>
    </w:p>
    <w:p w14:paraId="1BB710DA" w14:textId="1DD906E5" w:rsidR="00EE6338" w:rsidRPr="0012707F" w:rsidRDefault="00EE6338" w:rsidP="00F910F2"/>
    <w:p w14:paraId="009CBB9D" w14:textId="77777777" w:rsidR="00E8734E" w:rsidRDefault="00E8734E" w:rsidP="00F910F2">
      <w:pPr>
        <w:jc w:val="both"/>
        <w:rPr>
          <w:b/>
          <w:sz w:val="28"/>
        </w:rPr>
      </w:pPr>
    </w:p>
    <w:p w14:paraId="0F75E5A8" w14:textId="55ED0319" w:rsidR="007D3F40" w:rsidRPr="003C3D5D" w:rsidRDefault="00015FF4" w:rsidP="00F910F2">
      <w:pPr>
        <w:jc w:val="both"/>
        <w:rPr>
          <w:b/>
          <w:sz w:val="28"/>
        </w:rPr>
      </w:pPr>
      <w:r>
        <w:rPr>
          <w:b/>
          <w:sz w:val="28"/>
        </w:rPr>
        <w:t>References</w:t>
      </w:r>
    </w:p>
    <w:p w14:paraId="0EB8701E" w14:textId="77777777" w:rsidR="00E8734E" w:rsidRDefault="00E8734E" w:rsidP="00F910F2">
      <w:pPr>
        <w:ind w:left="720" w:hanging="720"/>
        <w:jc w:val="both"/>
        <w:rPr>
          <w:rFonts w:eastAsia="SimSun"/>
          <w:lang w:eastAsia="ja-JP"/>
        </w:rPr>
      </w:pPr>
    </w:p>
    <w:p w14:paraId="3F1F6FF2" w14:textId="17D62E3C" w:rsidR="00EE6338" w:rsidRPr="00643678" w:rsidRDefault="00EE6338" w:rsidP="00F910F2">
      <w:pPr>
        <w:ind w:left="720" w:hanging="720"/>
        <w:jc w:val="both"/>
        <w:rPr>
          <w:rFonts w:eastAsia="SimSun"/>
          <w:lang w:eastAsia="ja-JP"/>
        </w:rPr>
      </w:pPr>
      <w:r w:rsidRPr="00643678">
        <w:rPr>
          <w:rFonts w:eastAsia="SimSun"/>
          <w:lang w:eastAsia="ja-JP"/>
        </w:rPr>
        <w:t xml:space="preserve">Allen, G. (2011) </w:t>
      </w:r>
      <w:r w:rsidRPr="00643678">
        <w:rPr>
          <w:rFonts w:eastAsia="SimSun"/>
          <w:i/>
          <w:lang w:eastAsia="ja-JP"/>
        </w:rPr>
        <w:t>Early Intervention: The next steps. An Independent Report to Her Majesty’s Government</w:t>
      </w:r>
      <w:r w:rsidR="00A81E6E">
        <w:rPr>
          <w:rFonts w:eastAsia="SimSun"/>
          <w:lang w:eastAsia="ja-JP"/>
        </w:rPr>
        <w:t xml:space="preserve"> (</w:t>
      </w:r>
      <w:r w:rsidRPr="00643678">
        <w:rPr>
          <w:rFonts w:eastAsia="SimSun"/>
          <w:lang w:eastAsia="ja-JP"/>
        </w:rPr>
        <w:t>London</w:t>
      </w:r>
      <w:r w:rsidR="003B296D">
        <w:rPr>
          <w:rFonts w:eastAsia="SimSun"/>
          <w:lang w:eastAsia="ja-JP"/>
        </w:rPr>
        <w:t>,</w:t>
      </w:r>
      <w:r w:rsidRPr="00643678">
        <w:rPr>
          <w:rFonts w:eastAsia="SimSun"/>
          <w:lang w:eastAsia="ja-JP"/>
        </w:rPr>
        <w:t xml:space="preserve"> Crown Copyright</w:t>
      </w:r>
      <w:r w:rsidR="003B296D">
        <w:rPr>
          <w:rFonts w:eastAsia="SimSun"/>
          <w:lang w:eastAsia="ja-JP"/>
        </w:rPr>
        <w:t>)</w:t>
      </w:r>
      <w:r w:rsidRPr="00643678">
        <w:rPr>
          <w:rFonts w:eastAsia="SimSun"/>
          <w:lang w:eastAsia="ja-JP"/>
        </w:rPr>
        <w:t xml:space="preserve">. </w:t>
      </w:r>
    </w:p>
    <w:p w14:paraId="5A41412F" w14:textId="7294E2B0" w:rsidR="00EE6338" w:rsidRPr="00643678" w:rsidRDefault="00EE6338" w:rsidP="00F910F2">
      <w:pPr>
        <w:ind w:left="720" w:hanging="720"/>
        <w:jc w:val="both"/>
        <w:rPr>
          <w:rFonts w:eastAsia="SimSun"/>
          <w:lang w:eastAsia="ja-JP"/>
        </w:rPr>
      </w:pPr>
      <w:r w:rsidRPr="00643678">
        <w:t xml:space="preserve">Baez, B. </w:t>
      </w:r>
      <w:r w:rsidR="007C7511">
        <w:t>&amp;</w:t>
      </w:r>
      <w:r w:rsidRPr="00643678">
        <w:t xml:space="preserve"> </w:t>
      </w:r>
      <w:proofErr w:type="spellStart"/>
      <w:r w:rsidRPr="00643678">
        <w:t>Talburt</w:t>
      </w:r>
      <w:proofErr w:type="spellEnd"/>
      <w:r w:rsidRPr="00643678">
        <w:t>, S. (2008) Governing for responsibility and with love: Parents and children between home and school</w:t>
      </w:r>
      <w:r w:rsidR="003B296D">
        <w:t>,</w:t>
      </w:r>
      <w:r w:rsidRPr="00643678">
        <w:t xml:space="preserve"> </w:t>
      </w:r>
      <w:r w:rsidRPr="00643678">
        <w:rPr>
          <w:i/>
        </w:rPr>
        <w:t>Educational Theory</w:t>
      </w:r>
      <w:r w:rsidRPr="00643678">
        <w:t xml:space="preserve">, 58(1), 25-43. </w:t>
      </w:r>
    </w:p>
    <w:p w14:paraId="2BA7F39D" w14:textId="06EEA3C3" w:rsidR="007D77C2" w:rsidRDefault="007D77C2" w:rsidP="00F910F2">
      <w:pPr>
        <w:ind w:left="720" w:hanging="720"/>
      </w:pPr>
      <w:r w:rsidRPr="007D77C2">
        <w:t xml:space="preserve">Barnes, M. &amp; Prior, D. (2009) </w:t>
      </w:r>
      <w:bookmarkStart w:id="3" w:name="_Hlk517470095"/>
      <w:r w:rsidRPr="008A469D">
        <w:rPr>
          <w:i/>
        </w:rPr>
        <w:t>Subversive Citizens: Power, agency and resistance in public services</w:t>
      </w:r>
      <w:r w:rsidRPr="007D77C2">
        <w:t xml:space="preserve"> </w:t>
      </w:r>
      <w:r>
        <w:t>(</w:t>
      </w:r>
      <w:r w:rsidRPr="007D77C2">
        <w:t>Bristol</w:t>
      </w:r>
      <w:r>
        <w:t>,</w:t>
      </w:r>
      <w:r w:rsidRPr="007D77C2">
        <w:t xml:space="preserve"> Policy Press</w:t>
      </w:r>
      <w:r>
        <w:t>).</w:t>
      </w:r>
      <w:bookmarkEnd w:id="3"/>
    </w:p>
    <w:p w14:paraId="55E802F8" w14:textId="5EDDC3D3" w:rsidR="00EE6338" w:rsidRPr="00643678" w:rsidRDefault="00EE6338" w:rsidP="00F910F2">
      <w:pPr>
        <w:ind w:left="720" w:hanging="720"/>
        <w:jc w:val="both"/>
        <w:rPr>
          <w:rFonts w:eastAsia="SimSun"/>
          <w:lang w:eastAsia="ja-JP"/>
        </w:rPr>
      </w:pPr>
      <w:r w:rsidRPr="00643678">
        <w:rPr>
          <w:rFonts w:eastAsia="SimSun"/>
          <w:lang w:eastAsia="ja-JP"/>
        </w:rPr>
        <w:t xml:space="preserve">Brown, W. (2015) </w:t>
      </w:r>
      <w:r w:rsidRPr="00643678">
        <w:rPr>
          <w:rFonts w:eastAsia="SimSun"/>
          <w:i/>
          <w:lang w:eastAsia="ja-JP"/>
        </w:rPr>
        <w:t>Undoing the Demos: Neoliberalism’s Stealth Revolution</w:t>
      </w:r>
      <w:r w:rsidRPr="00643678">
        <w:rPr>
          <w:rFonts w:eastAsia="SimSun"/>
          <w:lang w:eastAsia="ja-JP"/>
        </w:rPr>
        <w:t xml:space="preserve"> </w:t>
      </w:r>
      <w:r w:rsidR="003B296D">
        <w:rPr>
          <w:rFonts w:eastAsia="SimSun"/>
          <w:lang w:eastAsia="ja-JP"/>
        </w:rPr>
        <w:t>(</w:t>
      </w:r>
      <w:r w:rsidRPr="00643678">
        <w:rPr>
          <w:rFonts w:eastAsia="SimSun"/>
          <w:lang w:eastAsia="ja-JP"/>
        </w:rPr>
        <w:t>New York</w:t>
      </w:r>
      <w:r w:rsidR="003B296D">
        <w:rPr>
          <w:rFonts w:eastAsia="SimSun"/>
          <w:lang w:eastAsia="ja-JP"/>
        </w:rPr>
        <w:t>,</w:t>
      </w:r>
      <w:r w:rsidRPr="00643678">
        <w:rPr>
          <w:rFonts w:eastAsia="SimSun"/>
          <w:lang w:eastAsia="ja-JP"/>
        </w:rPr>
        <w:t xml:space="preserve"> Zone Books</w:t>
      </w:r>
      <w:r w:rsidR="003B296D">
        <w:rPr>
          <w:rFonts w:eastAsia="SimSun"/>
          <w:lang w:eastAsia="ja-JP"/>
        </w:rPr>
        <w:t>)</w:t>
      </w:r>
      <w:r w:rsidRPr="00643678">
        <w:rPr>
          <w:rFonts w:eastAsia="SimSun"/>
          <w:lang w:eastAsia="ja-JP"/>
        </w:rPr>
        <w:t>.</w:t>
      </w:r>
    </w:p>
    <w:p w14:paraId="75D11364" w14:textId="1174D4A4" w:rsidR="00EE6338" w:rsidRPr="00643678" w:rsidRDefault="00EE6338" w:rsidP="00F910F2">
      <w:pPr>
        <w:ind w:left="720" w:hanging="720"/>
        <w:jc w:val="both"/>
        <w:rPr>
          <w:rFonts w:eastAsia="SimSun"/>
          <w:lang w:eastAsia="ja-JP"/>
        </w:rPr>
      </w:pPr>
      <w:r w:rsidRPr="00643678">
        <w:rPr>
          <w:rFonts w:eastAsia="SimSun"/>
          <w:lang w:eastAsia="ja-JP"/>
        </w:rPr>
        <w:t xml:space="preserve">Bryk, A. &amp; Schneider, B. (2002) </w:t>
      </w:r>
      <w:r w:rsidRPr="00643678">
        <w:rPr>
          <w:rFonts w:eastAsia="SimSun"/>
          <w:i/>
          <w:lang w:eastAsia="ja-JP"/>
        </w:rPr>
        <w:t>Trust in Schools: A core resource for improvement</w:t>
      </w:r>
      <w:r w:rsidR="003B296D">
        <w:rPr>
          <w:rFonts w:eastAsia="SimSun"/>
          <w:lang w:eastAsia="ja-JP"/>
        </w:rPr>
        <w:t xml:space="preserve"> (</w:t>
      </w:r>
      <w:r w:rsidRPr="00643678">
        <w:rPr>
          <w:rFonts w:eastAsia="SimSun"/>
          <w:lang w:eastAsia="ja-JP"/>
        </w:rPr>
        <w:t>New York</w:t>
      </w:r>
      <w:r w:rsidR="003B296D">
        <w:rPr>
          <w:rFonts w:eastAsia="SimSun"/>
          <w:lang w:eastAsia="ja-JP"/>
        </w:rPr>
        <w:t>,</w:t>
      </w:r>
      <w:r w:rsidRPr="00643678">
        <w:rPr>
          <w:rFonts w:eastAsia="SimSun"/>
          <w:lang w:eastAsia="ja-JP"/>
        </w:rPr>
        <w:t xml:space="preserve"> Russell Sage</w:t>
      </w:r>
      <w:r w:rsidR="003B296D">
        <w:rPr>
          <w:rFonts w:eastAsia="SimSun"/>
          <w:lang w:eastAsia="ja-JP"/>
        </w:rPr>
        <w:t>)</w:t>
      </w:r>
      <w:r w:rsidRPr="00643678">
        <w:rPr>
          <w:rFonts w:eastAsia="SimSun"/>
          <w:lang w:eastAsia="ja-JP"/>
        </w:rPr>
        <w:t xml:space="preserve">.  </w:t>
      </w:r>
    </w:p>
    <w:p w14:paraId="70E1EB65" w14:textId="26FB077D" w:rsidR="00EE6338" w:rsidRPr="00643678" w:rsidRDefault="00EE6338" w:rsidP="00F910F2">
      <w:pPr>
        <w:ind w:left="720" w:hanging="720"/>
        <w:jc w:val="both"/>
        <w:rPr>
          <w:rFonts w:eastAsia="SimSun"/>
          <w:lang w:eastAsia="zh-CN"/>
        </w:rPr>
      </w:pPr>
      <w:r w:rsidRPr="00643678">
        <w:rPr>
          <w:rFonts w:eastAsia="SimSun"/>
          <w:lang w:eastAsia="zh-CN"/>
        </w:rPr>
        <w:t xml:space="preserve">Cameron, D. (2016) </w:t>
      </w:r>
      <w:r w:rsidRPr="00643678">
        <w:rPr>
          <w:rFonts w:eastAsia="SimSun"/>
          <w:i/>
          <w:lang w:eastAsia="zh-CN"/>
        </w:rPr>
        <w:t>Prime Minister’s speech on life chances</w:t>
      </w:r>
      <w:r w:rsidRPr="00643678">
        <w:rPr>
          <w:rFonts w:eastAsia="SimSun"/>
          <w:lang w:eastAsia="zh-CN"/>
        </w:rPr>
        <w:t xml:space="preserve">. Available </w:t>
      </w:r>
      <w:r w:rsidR="000C439F">
        <w:rPr>
          <w:rFonts w:eastAsia="SimSun"/>
          <w:lang w:eastAsia="zh-CN"/>
        </w:rPr>
        <w:t xml:space="preserve">online </w:t>
      </w:r>
      <w:r w:rsidRPr="00643678">
        <w:rPr>
          <w:rFonts w:eastAsia="SimSun"/>
          <w:lang w:eastAsia="zh-CN"/>
        </w:rPr>
        <w:t xml:space="preserve">at: </w:t>
      </w:r>
    </w:p>
    <w:p w14:paraId="26107C80" w14:textId="1F7D5A39" w:rsidR="00EE6338" w:rsidRPr="00643678" w:rsidRDefault="00164979" w:rsidP="00F910F2">
      <w:pPr>
        <w:ind w:left="720"/>
        <w:jc w:val="both"/>
        <w:rPr>
          <w:rFonts w:eastAsia="SimSun"/>
          <w:lang w:eastAsia="zh-CN"/>
        </w:rPr>
      </w:pPr>
      <w:hyperlink r:id="rId9" w:history="1">
        <w:r w:rsidR="00EE6338" w:rsidRPr="00643678">
          <w:rPr>
            <w:rStyle w:val="Hyperlink"/>
            <w:rFonts w:eastAsia="SimSun"/>
            <w:lang w:eastAsia="zh-CN"/>
          </w:rPr>
          <w:t>https://www.gov.uk/government/speeches/prime-ministers-speech-on-life-chances</w:t>
        </w:r>
      </w:hyperlink>
      <w:r w:rsidR="00EE6338" w:rsidRPr="00643678">
        <w:rPr>
          <w:rFonts w:eastAsia="SimSun"/>
          <w:lang w:eastAsia="zh-CN"/>
        </w:rPr>
        <w:t xml:space="preserve"> </w:t>
      </w:r>
      <w:r w:rsidR="000C439F">
        <w:rPr>
          <w:rFonts w:eastAsia="SimSun"/>
          <w:lang w:eastAsia="zh-CN"/>
        </w:rPr>
        <w:t>(accessed 31 August 2016).</w:t>
      </w:r>
    </w:p>
    <w:p w14:paraId="6185093F" w14:textId="7C9AF1D3" w:rsidR="00EE6338" w:rsidRPr="00643678" w:rsidRDefault="00EE6338" w:rsidP="00F910F2">
      <w:pPr>
        <w:ind w:left="720" w:hanging="720"/>
        <w:jc w:val="both"/>
        <w:rPr>
          <w:rFonts w:eastAsia="SimSun"/>
          <w:lang w:eastAsia="zh-CN"/>
        </w:rPr>
      </w:pPr>
      <w:r w:rsidRPr="00643678">
        <w:rPr>
          <w:rFonts w:eastAsia="SimSun"/>
          <w:lang w:eastAsia="zh-CN"/>
        </w:rPr>
        <w:lastRenderedPageBreak/>
        <w:t xml:space="preserve">Churchill. H. </w:t>
      </w:r>
      <w:r w:rsidR="002C7292">
        <w:rPr>
          <w:rFonts w:eastAsia="SimSun"/>
          <w:lang w:eastAsia="zh-CN"/>
        </w:rPr>
        <w:t>&amp;</w:t>
      </w:r>
      <w:r w:rsidRPr="00643678">
        <w:rPr>
          <w:rFonts w:eastAsia="SimSun"/>
          <w:lang w:eastAsia="zh-CN"/>
        </w:rPr>
        <w:t xml:space="preserve"> Clarke, K. (2010) Investing in parenting education: a critical review of policy and provision in England</w:t>
      </w:r>
      <w:r w:rsidR="000C439F">
        <w:rPr>
          <w:rFonts w:eastAsia="SimSun"/>
          <w:lang w:eastAsia="zh-CN"/>
        </w:rPr>
        <w:t>,</w:t>
      </w:r>
      <w:r w:rsidRPr="00643678">
        <w:rPr>
          <w:rFonts w:eastAsia="SimSun"/>
          <w:lang w:eastAsia="zh-CN"/>
        </w:rPr>
        <w:t xml:space="preserve"> </w:t>
      </w:r>
      <w:r w:rsidRPr="00643678">
        <w:rPr>
          <w:rFonts w:eastAsia="SimSun"/>
          <w:i/>
          <w:lang w:eastAsia="zh-CN"/>
        </w:rPr>
        <w:t>Social Policy &amp; Society</w:t>
      </w:r>
      <w:r w:rsidRPr="00643678">
        <w:rPr>
          <w:rFonts w:eastAsia="SimSun"/>
          <w:lang w:eastAsia="zh-CN"/>
        </w:rPr>
        <w:t>, 9(1), 39-53.</w:t>
      </w:r>
    </w:p>
    <w:p w14:paraId="5F92D59B" w14:textId="4F86B33D" w:rsidR="00A93A4B" w:rsidRPr="00643678" w:rsidRDefault="00A93A4B" w:rsidP="00F910F2">
      <w:pPr>
        <w:ind w:left="720" w:hanging="720"/>
        <w:jc w:val="both"/>
        <w:rPr>
          <w:rFonts w:eastAsia="SimSun"/>
          <w:lang w:eastAsia="zh-CN"/>
        </w:rPr>
      </w:pPr>
      <w:r w:rsidRPr="00A93A4B">
        <w:rPr>
          <w:rFonts w:eastAsia="SimSun"/>
          <w:lang w:eastAsia="zh-CN"/>
        </w:rPr>
        <w:t xml:space="preserve">Clarke, J., </w:t>
      </w:r>
      <w:proofErr w:type="spellStart"/>
      <w:r w:rsidRPr="00A93A4B">
        <w:rPr>
          <w:rFonts w:eastAsia="SimSun"/>
          <w:lang w:eastAsia="zh-CN"/>
        </w:rPr>
        <w:t>Bainton</w:t>
      </w:r>
      <w:proofErr w:type="spellEnd"/>
      <w:r w:rsidRPr="00A93A4B">
        <w:rPr>
          <w:rFonts w:eastAsia="SimSun"/>
          <w:lang w:eastAsia="zh-CN"/>
        </w:rPr>
        <w:t xml:space="preserve">, D., </w:t>
      </w:r>
      <w:proofErr w:type="spellStart"/>
      <w:r w:rsidRPr="00A93A4B">
        <w:rPr>
          <w:rFonts w:eastAsia="SimSun"/>
          <w:lang w:eastAsia="zh-CN"/>
        </w:rPr>
        <w:t>Lendvai</w:t>
      </w:r>
      <w:proofErr w:type="spellEnd"/>
      <w:r w:rsidRPr="00A93A4B">
        <w:rPr>
          <w:rFonts w:eastAsia="SimSun"/>
          <w:lang w:eastAsia="zh-CN"/>
        </w:rPr>
        <w:t xml:space="preserve">, N. &amp; Stubbs, P. (2015) </w:t>
      </w:r>
      <w:r w:rsidRPr="008A469D">
        <w:rPr>
          <w:rFonts w:eastAsia="SimSun"/>
          <w:i/>
          <w:lang w:eastAsia="zh-CN"/>
        </w:rPr>
        <w:t>Making Policy Move: Towards a politics of translation and assemblage</w:t>
      </w:r>
      <w:r>
        <w:rPr>
          <w:rFonts w:eastAsia="SimSun"/>
          <w:lang w:eastAsia="zh-CN"/>
        </w:rPr>
        <w:t xml:space="preserve"> (</w:t>
      </w:r>
      <w:r w:rsidRPr="00A93A4B">
        <w:rPr>
          <w:rFonts w:eastAsia="SimSun"/>
          <w:lang w:eastAsia="zh-CN"/>
        </w:rPr>
        <w:t>Bristol</w:t>
      </w:r>
      <w:r>
        <w:rPr>
          <w:rFonts w:eastAsia="SimSun"/>
          <w:lang w:eastAsia="zh-CN"/>
        </w:rPr>
        <w:t>,</w:t>
      </w:r>
      <w:r w:rsidRPr="00A93A4B">
        <w:rPr>
          <w:rFonts w:eastAsia="SimSun"/>
          <w:lang w:eastAsia="zh-CN"/>
        </w:rPr>
        <w:t xml:space="preserve"> Policy Press</w:t>
      </w:r>
      <w:r>
        <w:rPr>
          <w:rFonts w:eastAsia="SimSun"/>
          <w:lang w:eastAsia="zh-CN"/>
        </w:rPr>
        <w:t>)</w:t>
      </w:r>
      <w:r w:rsidRPr="00A93A4B">
        <w:rPr>
          <w:rFonts w:eastAsia="SimSun"/>
          <w:lang w:eastAsia="zh-CN"/>
        </w:rPr>
        <w:t>.</w:t>
      </w:r>
    </w:p>
    <w:p w14:paraId="25413B4B" w14:textId="20D29C2A" w:rsidR="00EE6338" w:rsidRPr="00643678" w:rsidRDefault="00EE6338" w:rsidP="00F910F2">
      <w:pPr>
        <w:ind w:left="720" w:hanging="720"/>
        <w:jc w:val="both"/>
        <w:rPr>
          <w:rFonts w:eastAsia="SimSun"/>
          <w:lang w:eastAsia="zh-CN"/>
        </w:rPr>
      </w:pPr>
      <w:r w:rsidRPr="00643678">
        <w:t xml:space="preserve">Crozier, G. </w:t>
      </w:r>
      <w:r w:rsidR="002C7292">
        <w:t>&amp;</w:t>
      </w:r>
      <w:r w:rsidRPr="00643678">
        <w:t xml:space="preserve"> Davies, J. (2007) Hard to reach parents or hard to reach schools? A discussion of home-school relations, with particular reference to Bangladeshi and Pakistani parents</w:t>
      </w:r>
      <w:r w:rsidR="003A1A04">
        <w:t>,</w:t>
      </w:r>
      <w:r w:rsidRPr="00643678">
        <w:t xml:space="preserve"> </w:t>
      </w:r>
      <w:r w:rsidRPr="00643678">
        <w:rPr>
          <w:i/>
        </w:rPr>
        <w:t>British Educational Research Journal</w:t>
      </w:r>
      <w:r w:rsidRPr="00643678">
        <w:t>, 33(3), 295-313.</w:t>
      </w:r>
    </w:p>
    <w:p w14:paraId="33A33206" w14:textId="5B9E8341" w:rsidR="0013255A" w:rsidRPr="00643678" w:rsidRDefault="0013255A" w:rsidP="00F910F2">
      <w:pPr>
        <w:ind w:left="720" w:hanging="720"/>
        <w:jc w:val="both"/>
        <w:rPr>
          <w:rFonts w:eastAsia="SimSun"/>
          <w:lang w:eastAsia="zh-CN"/>
        </w:rPr>
      </w:pPr>
      <w:r w:rsidRPr="00643678">
        <w:rPr>
          <w:rFonts w:eastAsia="SimSun"/>
          <w:lang w:eastAsia="zh-CN"/>
        </w:rPr>
        <w:t xml:space="preserve">Cullen, S.M., Cullen, M-A. </w:t>
      </w:r>
      <w:r w:rsidR="002C7292">
        <w:rPr>
          <w:rFonts w:eastAsia="SimSun"/>
          <w:lang w:eastAsia="zh-CN"/>
        </w:rPr>
        <w:t>&amp;</w:t>
      </w:r>
      <w:r w:rsidRPr="00643678">
        <w:rPr>
          <w:rFonts w:eastAsia="SimSun"/>
          <w:lang w:eastAsia="zh-CN"/>
        </w:rPr>
        <w:t xml:space="preserve"> Lindsay, G. (2013) ‘I’m just there to ease the burden’: the parent support adviser role in English schools and the question of emotional labour</w:t>
      </w:r>
      <w:r w:rsidR="003A1A04">
        <w:rPr>
          <w:rFonts w:eastAsia="SimSun"/>
          <w:lang w:eastAsia="zh-CN"/>
        </w:rPr>
        <w:t>,</w:t>
      </w:r>
      <w:r w:rsidRPr="00643678">
        <w:rPr>
          <w:rFonts w:eastAsia="SimSun"/>
          <w:lang w:eastAsia="zh-CN"/>
        </w:rPr>
        <w:t xml:space="preserve"> </w:t>
      </w:r>
      <w:r w:rsidRPr="00643678">
        <w:rPr>
          <w:rFonts w:eastAsia="SimSun"/>
          <w:i/>
          <w:lang w:eastAsia="zh-CN"/>
        </w:rPr>
        <w:t>British Educational Research Journal</w:t>
      </w:r>
      <w:r w:rsidRPr="00643678">
        <w:rPr>
          <w:rFonts w:eastAsia="SimSun"/>
          <w:lang w:eastAsia="zh-CN"/>
        </w:rPr>
        <w:t xml:space="preserve">, 39(2), 302-319. </w:t>
      </w:r>
    </w:p>
    <w:p w14:paraId="528C681D" w14:textId="6EFAE1AB" w:rsidR="00EE6338" w:rsidRPr="00643678" w:rsidRDefault="00EE6338" w:rsidP="00F910F2">
      <w:pPr>
        <w:ind w:left="720" w:hanging="720"/>
        <w:jc w:val="both"/>
        <w:rPr>
          <w:rFonts w:eastAsia="SimSun"/>
          <w:lang w:eastAsia="zh-CN"/>
        </w:rPr>
      </w:pPr>
      <w:proofErr w:type="spellStart"/>
      <w:r w:rsidRPr="00643678">
        <w:rPr>
          <w:rFonts w:eastAsia="SimSun"/>
          <w:lang w:eastAsia="zh-CN"/>
        </w:rPr>
        <w:t>Dahlstedt</w:t>
      </w:r>
      <w:proofErr w:type="spellEnd"/>
      <w:r w:rsidRPr="00643678">
        <w:rPr>
          <w:rFonts w:eastAsia="SimSun"/>
          <w:lang w:eastAsia="zh-CN"/>
        </w:rPr>
        <w:t>, M. (2009) Parental governmentality: involving ‘immigrant parents’ in Swedish schools</w:t>
      </w:r>
      <w:r w:rsidR="003A1A04">
        <w:rPr>
          <w:rFonts w:eastAsia="SimSun"/>
          <w:lang w:eastAsia="zh-CN"/>
        </w:rPr>
        <w:t>,</w:t>
      </w:r>
      <w:r w:rsidRPr="00643678">
        <w:rPr>
          <w:rFonts w:eastAsia="SimSun"/>
          <w:lang w:eastAsia="zh-CN"/>
        </w:rPr>
        <w:t xml:space="preserve"> </w:t>
      </w:r>
      <w:r w:rsidRPr="00643678">
        <w:rPr>
          <w:rFonts w:eastAsia="SimSun"/>
          <w:i/>
          <w:lang w:eastAsia="zh-CN"/>
        </w:rPr>
        <w:t>British Journal of Sociology of Education</w:t>
      </w:r>
      <w:r w:rsidRPr="00643678">
        <w:rPr>
          <w:rFonts w:eastAsia="SimSun"/>
          <w:lang w:eastAsia="zh-CN"/>
        </w:rPr>
        <w:t>, 30(2), 193-205.</w:t>
      </w:r>
    </w:p>
    <w:p w14:paraId="6F82FF64" w14:textId="29B053CF" w:rsidR="00EE6338" w:rsidRPr="00643678" w:rsidRDefault="00EE6338" w:rsidP="00F910F2">
      <w:pPr>
        <w:ind w:left="720" w:hanging="720"/>
        <w:jc w:val="both"/>
        <w:rPr>
          <w:rFonts w:eastAsia="SimSun"/>
          <w:lang w:eastAsia="zh-CN"/>
        </w:rPr>
      </w:pPr>
      <w:r w:rsidRPr="00643678">
        <w:rPr>
          <w:rFonts w:eastAsia="SimSun"/>
          <w:lang w:eastAsia="zh-CN"/>
        </w:rPr>
        <w:t xml:space="preserve">Daly, M. (2015) Parenting Support as Policy Field: An Analytic Framework’. </w:t>
      </w:r>
      <w:r w:rsidRPr="00643678">
        <w:rPr>
          <w:rFonts w:eastAsia="SimSun"/>
          <w:i/>
          <w:lang w:eastAsia="zh-CN"/>
        </w:rPr>
        <w:t>Social Policy &amp; Society</w:t>
      </w:r>
      <w:r w:rsidRPr="00643678">
        <w:rPr>
          <w:rFonts w:eastAsia="SimSun"/>
          <w:lang w:eastAsia="zh-CN"/>
        </w:rPr>
        <w:t>, 14(4), 597-608.</w:t>
      </w:r>
    </w:p>
    <w:p w14:paraId="0F8C9DE3" w14:textId="1C151C9F" w:rsidR="00EE6338" w:rsidRPr="00643678" w:rsidRDefault="00EE6338" w:rsidP="00F910F2">
      <w:pPr>
        <w:ind w:left="720" w:hanging="720"/>
        <w:jc w:val="both"/>
        <w:rPr>
          <w:rFonts w:eastAsia="SimSun"/>
          <w:lang w:eastAsia="zh-CN"/>
        </w:rPr>
      </w:pPr>
      <w:r w:rsidRPr="00643678">
        <w:rPr>
          <w:rFonts w:eastAsia="SimSun"/>
          <w:lang w:eastAsia="zh-CN"/>
        </w:rPr>
        <w:t xml:space="preserve">Daly, M. </w:t>
      </w:r>
      <w:r w:rsidR="002C7292">
        <w:rPr>
          <w:rFonts w:eastAsia="SimSun"/>
          <w:lang w:eastAsia="zh-CN"/>
        </w:rPr>
        <w:t>&amp;</w:t>
      </w:r>
      <w:r w:rsidRPr="00643678">
        <w:rPr>
          <w:rFonts w:eastAsia="SimSun"/>
          <w:lang w:eastAsia="zh-CN"/>
        </w:rPr>
        <w:t xml:space="preserve"> Bray, R. (2015) ‘Parenting Support in England: The Bedding Down of a New Policy</w:t>
      </w:r>
      <w:r w:rsidR="003A1A04">
        <w:rPr>
          <w:rFonts w:eastAsia="SimSun"/>
          <w:lang w:eastAsia="zh-CN"/>
        </w:rPr>
        <w:t>,</w:t>
      </w:r>
      <w:r w:rsidRPr="00643678">
        <w:rPr>
          <w:rFonts w:eastAsia="SimSun"/>
          <w:lang w:eastAsia="zh-CN"/>
        </w:rPr>
        <w:t xml:space="preserve"> </w:t>
      </w:r>
      <w:r w:rsidRPr="00643678">
        <w:rPr>
          <w:rFonts w:eastAsia="SimSun"/>
          <w:i/>
          <w:lang w:eastAsia="zh-CN"/>
        </w:rPr>
        <w:t>Social Policy &amp; Society</w:t>
      </w:r>
      <w:r w:rsidRPr="00643678">
        <w:rPr>
          <w:rFonts w:eastAsia="SimSun"/>
          <w:lang w:eastAsia="zh-CN"/>
        </w:rPr>
        <w:t>, 14(4), 633-644.</w:t>
      </w:r>
    </w:p>
    <w:p w14:paraId="17837005" w14:textId="6E8C764E" w:rsidR="00550539" w:rsidRPr="00643678" w:rsidRDefault="00550539" w:rsidP="00F910F2">
      <w:pPr>
        <w:ind w:left="720" w:hanging="720"/>
        <w:jc w:val="both"/>
        <w:rPr>
          <w:rFonts w:eastAsia="SimSun"/>
          <w:lang w:eastAsia="zh-CN"/>
        </w:rPr>
      </w:pPr>
      <w:r w:rsidRPr="00643678">
        <w:rPr>
          <w:rFonts w:eastAsia="SimSun"/>
          <w:lang w:eastAsia="zh-CN"/>
        </w:rPr>
        <w:t xml:space="preserve">Dean, M. (2010) </w:t>
      </w:r>
      <w:r w:rsidRPr="00643678">
        <w:rPr>
          <w:rFonts w:eastAsia="SimSun"/>
          <w:i/>
          <w:iCs/>
          <w:lang w:eastAsia="zh-CN"/>
        </w:rPr>
        <w:t>Governmentality: Power and Rule in Modern Society</w:t>
      </w:r>
      <w:r w:rsidRPr="00643678">
        <w:rPr>
          <w:rFonts w:eastAsia="SimSun"/>
          <w:lang w:eastAsia="zh-CN"/>
        </w:rPr>
        <w:t xml:space="preserve"> </w:t>
      </w:r>
      <w:r w:rsidR="00154068">
        <w:rPr>
          <w:rFonts w:eastAsia="SimSun"/>
          <w:lang w:eastAsia="zh-CN"/>
        </w:rPr>
        <w:t>2</w:t>
      </w:r>
      <w:r w:rsidR="00154068" w:rsidRPr="00154068">
        <w:rPr>
          <w:rFonts w:eastAsia="SimSun"/>
          <w:vertAlign w:val="superscript"/>
          <w:lang w:eastAsia="zh-CN"/>
        </w:rPr>
        <w:t>nd</w:t>
      </w:r>
      <w:r w:rsidR="00154068">
        <w:rPr>
          <w:rFonts w:eastAsia="SimSun"/>
          <w:lang w:eastAsia="zh-CN"/>
        </w:rPr>
        <w:t xml:space="preserve"> ed </w:t>
      </w:r>
      <w:r w:rsidR="003A1A04">
        <w:rPr>
          <w:rFonts w:eastAsia="SimSun"/>
          <w:lang w:eastAsia="zh-CN"/>
        </w:rPr>
        <w:t>(</w:t>
      </w:r>
      <w:r w:rsidRPr="00643678">
        <w:rPr>
          <w:rFonts w:eastAsia="SimSun"/>
          <w:lang w:eastAsia="zh-CN"/>
        </w:rPr>
        <w:t>London</w:t>
      </w:r>
      <w:r w:rsidR="003A1A04">
        <w:rPr>
          <w:rFonts w:eastAsia="SimSun"/>
          <w:lang w:eastAsia="zh-CN"/>
        </w:rPr>
        <w:t>,</w:t>
      </w:r>
      <w:r w:rsidRPr="00643678">
        <w:rPr>
          <w:rFonts w:eastAsia="SimSun"/>
          <w:lang w:eastAsia="zh-CN"/>
        </w:rPr>
        <w:t xml:space="preserve"> Sage</w:t>
      </w:r>
      <w:r w:rsidR="003A1A04">
        <w:rPr>
          <w:rFonts w:eastAsia="SimSun"/>
          <w:lang w:eastAsia="zh-CN"/>
        </w:rPr>
        <w:t>)</w:t>
      </w:r>
      <w:r w:rsidRPr="00643678">
        <w:rPr>
          <w:rFonts w:eastAsia="SimSun"/>
          <w:lang w:eastAsia="zh-CN"/>
        </w:rPr>
        <w:t>.</w:t>
      </w:r>
    </w:p>
    <w:p w14:paraId="035E1EB1" w14:textId="428ADE8C" w:rsidR="00EE6338" w:rsidRPr="00643678" w:rsidRDefault="00EE6338" w:rsidP="00F910F2">
      <w:pPr>
        <w:ind w:left="720" w:hanging="720"/>
        <w:jc w:val="both"/>
      </w:pPr>
      <w:r w:rsidRPr="00643678">
        <w:t xml:space="preserve">de </w:t>
      </w:r>
      <w:proofErr w:type="spellStart"/>
      <w:r w:rsidRPr="00643678">
        <w:t>Benedictis</w:t>
      </w:r>
      <w:proofErr w:type="spellEnd"/>
      <w:r w:rsidRPr="00643678">
        <w:t>, S. (2012) ‘Feral’ Parents: Austerity parenting under neoliberalism</w:t>
      </w:r>
      <w:r w:rsidR="003A1A04">
        <w:t>,</w:t>
      </w:r>
      <w:r w:rsidRPr="00643678">
        <w:t xml:space="preserve"> </w:t>
      </w:r>
      <w:r w:rsidRPr="00643678">
        <w:rPr>
          <w:i/>
        </w:rPr>
        <w:t>Studies in the Maternal</w:t>
      </w:r>
      <w:r w:rsidRPr="00643678">
        <w:t>, 4(2)</w:t>
      </w:r>
      <w:r w:rsidR="00BC3E6E">
        <w:t>.</w:t>
      </w:r>
    </w:p>
    <w:p w14:paraId="4BFA9D56" w14:textId="077202CC" w:rsidR="00EE6338" w:rsidRPr="00643678" w:rsidRDefault="00EE6338" w:rsidP="00F910F2">
      <w:pPr>
        <w:ind w:left="720" w:hanging="720"/>
        <w:jc w:val="both"/>
      </w:pPr>
      <w:r w:rsidRPr="00643678">
        <w:t xml:space="preserve">Dermott, E. (2012) ‘Poverty’ versus ‘Parenting’: </w:t>
      </w:r>
      <w:r w:rsidR="00A7162E" w:rsidRPr="00643678">
        <w:t>A</w:t>
      </w:r>
      <w:r w:rsidRPr="00643678">
        <w:t>n Emergent Dichotomy</w:t>
      </w:r>
      <w:r w:rsidR="00BC3E6E">
        <w:t>,</w:t>
      </w:r>
      <w:r w:rsidRPr="00643678">
        <w:t xml:space="preserve"> </w:t>
      </w:r>
      <w:r w:rsidRPr="00643678">
        <w:rPr>
          <w:i/>
        </w:rPr>
        <w:t>Studies in the Maternal</w:t>
      </w:r>
      <w:r w:rsidRPr="00643678">
        <w:t xml:space="preserve">, 4(2).  </w:t>
      </w:r>
    </w:p>
    <w:p w14:paraId="0C0AC1C6" w14:textId="4A87B219" w:rsidR="00855E7B" w:rsidRDefault="00855E7B" w:rsidP="00F910F2">
      <w:pPr>
        <w:ind w:left="720" w:hanging="720"/>
        <w:jc w:val="both"/>
      </w:pPr>
      <w:r>
        <w:t xml:space="preserve">DfES (Department for Education and Skills) (2007) </w:t>
      </w:r>
      <w:r w:rsidRPr="008A469D">
        <w:rPr>
          <w:i/>
        </w:rPr>
        <w:t>Every Parent Matters</w:t>
      </w:r>
      <w:r>
        <w:t xml:space="preserve"> (London, DfES).</w:t>
      </w:r>
    </w:p>
    <w:p w14:paraId="6872DC08" w14:textId="1CB94EA5" w:rsidR="00EE6338" w:rsidRPr="00643678" w:rsidRDefault="00EE6338" w:rsidP="00F910F2">
      <w:pPr>
        <w:ind w:left="720" w:hanging="720"/>
        <w:jc w:val="both"/>
      </w:pPr>
      <w:proofErr w:type="spellStart"/>
      <w:r w:rsidRPr="00643678">
        <w:t>Donzelot</w:t>
      </w:r>
      <w:proofErr w:type="spellEnd"/>
      <w:r w:rsidRPr="00643678">
        <w:t xml:space="preserve">, J. (1979) </w:t>
      </w:r>
      <w:r w:rsidRPr="00643678">
        <w:rPr>
          <w:i/>
        </w:rPr>
        <w:t>The Policing of Families</w:t>
      </w:r>
      <w:r w:rsidRPr="00643678">
        <w:t xml:space="preserve"> </w:t>
      </w:r>
      <w:r w:rsidR="00BC3E6E">
        <w:t>(</w:t>
      </w:r>
      <w:r w:rsidRPr="00643678">
        <w:t>New York</w:t>
      </w:r>
      <w:r w:rsidR="00BC3E6E">
        <w:t>,</w:t>
      </w:r>
      <w:r w:rsidRPr="00643678">
        <w:t xml:space="preserve"> Pantheon Books</w:t>
      </w:r>
      <w:r w:rsidR="00BC3E6E">
        <w:t>)</w:t>
      </w:r>
      <w:r w:rsidRPr="00643678">
        <w:t>.</w:t>
      </w:r>
    </w:p>
    <w:p w14:paraId="10D24D6D" w14:textId="1EFA73CA" w:rsidR="00EE6338" w:rsidRPr="00643678" w:rsidRDefault="00EE6338" w:rsidP="00F910F2">
      <w:pPr>
        <w:ind w:left="720" w:hanging="720"/>
        <w:jc w:val="both"/>
      </w:pPr>
      <w:r w:rsidRPr="00643678">
        <w:t>Edwards, R. &amp; Gillies, V. (2012) Farewell to family? Notes on an argument for retaining the concept</w:t>
      </w:r>
      <w:r w:rsidR="00BC3E6E">
        <w:t>,</w:t>
      </w:r>
      <w:r w:rsidRPr="00643678">
        <w:t xml:space="preserve"> </w:t>
      </w:r>
      <w:r w:rsidRPr="00643678">
        <w:rPr>
          <w:i/>
        </w:rPr>
        <w:t>Families, Relationships and Societies</w:t>
      </w:r>
      <w:r w:rsidRPr="00643678">
        <w:t>, 1(1)</w:t>
      </w:r>
      <w:r w:rsidR="00BC3E6E">
        <w:t>,</w:t>
      </w:r>
      <w:r w:rsidRPr="00643678">
        <w:t xml:space="preserve"> 63-69.</w:t>
      </w:r>
    </w:p>
    <w:p w14:paraId="11E8C772" w14:textId="71217A19" w:rsidR="00EE6338" w:rsidRPr="00643678" w:rsidRDefault="00EE6338" w:rsidP="00F910F2">
      <w:pPr>
        <w:ind w:left="720" w:hanging="720"/>
        <w:jc w:val="both"/>
      </w:pPr>
      <w:r w:rsidRPr="00643678">
        <w:t xml:space="preserve">Family and Childcare Trust (2015) </w:t>
      </w:r>
      <w:r w:rsidRPr="00643678">
        <w:rPr>
          <w:i/>
        </w:rPr>
        <w:t>The Parliamentary Inquiry into Parenting and Social Mobility: Enhancing parent support across the UK</w:t>
      </w:r>
      <w:r w:rsidR="00154068">
        <w:t xml:space="preserve"> (</w:t>
      </w:r>
      <w:r w:rsidRPr="00643678">
        <w:t>London</w:t>
      </w:r>
      <w:r w:rsidR="00154068">
        <w:t>,</w:t>
      </w:r>
      <w:r w:rsidRPr="00643678">
        <w:t xml:space="preserve"> Family and Childcare Trust</w:t>
      </w:r>
      <w:r w:rsidR="00154068">
        <w:t>).</w:t>
      </w:r>
    </w:p>
    <w:p w14:paraId="469BE9C4" w14:textId="00A587E7" w:rsidR="00EE6338" w:rsidRPr="00643678" w:rsidRDefault="00EE6338" w:rsidP="00F910F2">
      <w:pPr>
        <w:ind w:left="720" w:hanging="720"/>
        <w:jc w:val="both"/>
        <w:rPr>
          <w:rFonts w:eastAsia="SimSun"/>
          <w:lang w:eastAsia="zh-CN"/>
        </w:rPr>
      </w:pPr>
      <w:r w:rsidRPr="00643678">
        <w:t xml:space="preserve">Field, F. (2010) </w:t>
      </w:r>
      <w:r w:rsidRPr="00643678">
        <w:rPr>
          <w:i/>
        </w:rPr>
        <w:t>The Foundation Years: Preventing poor children become poor adults</w:t>
      </w:r>
      <w:r w:rsidRPr="00643678">
        <w:t xml:space="preserve"> </w:t>
      </w:r>
      <w:r w:rsidR="00B035F9">
        <w:t>(</w:t>
      </w:r>
      <w:r w:rsidRPr="00643678">
        <w:t>London</w:t>
      </w:r>
      <w:r w:rsidR="00B035F9">
        <w:t>,</w:t>
      </w:r>
      <w:r w:rsidRPr="00643678">
        <w:t xml:space="preserve"> Crown Copyright</w:t>
      </w:r>
      <w:r w:rsidR="00B035F9">
        <w:t>).</w:t>
      </w:r>
    </w:p>
    <w:p w14:paraId="6663CF21" w14:textId="35B2392F" w:rsidR="00EE6338" w:rsidRPr="00643678" w:rsidRDefault="00EE6338" w:rsidP="00F910F2">
      <w:pPr>
        <w:ind w:left="720" w:hanging="720"/>
        <w:jc w:val="both"/>
        <w:rPr>
          <w:rFonts w:eastAsia="SimSun"/>
          <w:lang w:eastAsia="zh-CN"/>
        </w:rPr>
      </w:pPr>
      <w:r w:rsidRPr="00643678">
        <w:rPr>
          <w:rFonts w:eastAsia="SimSun"/>
          <w:lang w:eastAsia="zh-CN"/>
        </w:rPr>
        <w:t>Foucault, M. (2002)</w:t>
      </w:r>
      <w:r w:rsidR="00A7162E" w:rsidRPr="00643678">
        <w:rPr>
          <w:rFonts w:eastAsia="SimSun"/>
          <w:lang w:eastAsia="zh-CN"/>
        </w:rPr>
        <w:t xml:space="preserve"> </w:t>
      </w:r>
      <w:r w:rsidRPr="00643678">
        <w:rPr>
          <w:rFonts w:eastAsia="SimSun"/>
          <w:i/>
          <w:lang w:eastAsia="zh-CN"/>
        </w:rPr>
        <w:t>Power. Essential works of Foucault 1954-84: Volume 3</w:t>
      </w:r>
      <w:r w:rsidR="00B035F9">
        <w:rPr>
          <w:rFonts w:eastAsia="SimSun"/>
          <w:lang w:eastAsia="zh-CN"/>
        </w:rPr>
        <w:t xml:space="preserve"> (</w:t>
      </w:r>
      <w:r w:rsidRPr="00643678">
        <w:rPr>
          <w:rFonts w:eastAsia="SimSun"/>
          <w:lang w:eastAsia="zh-CN"/>
        </w:rPr>
        <w:t>London</w:t>
      </w:r>
      <w:r w:rsidR="00B035F9">
        <w:rPr>
          <w:rFonts w:eastAsia="SimSun"/>
          <w:lang w:eastAsia="zh-CN"/>
        </w:rPr>
        <w:t>,</w:t>
      </w:r>
      <w:r w:rsidRPr="00643678">
        <w:rPr>
          <w:rFonts w:eastAsia="SimSun"/>
          <w:lang w:eastAsia="zh-CN"/>
        </w:rPr>
        <w:t xml:space="preserve"> Penguin</w:t>
      </w:r>
      <w:r w:rsidR="00B035F9">
        <w:rPr>
          <w:rFonts w:eastAsia="SimSun"/>
          <w:lang w:eastAsia="zh-CN"/>
        </w:rPr>
        <w:t>).</w:t>
      </w:r>
      <w:r w:rsidRPr="00643678">
        <w:rPr>
          <w:rFonts w:eastAsia="SimSun"/>
          <w:lang w:eastAsia="zh-CN"/>
        </w:rPr>
        <w:t xml:space="preserve"> </w:t>
      </w:r>
    </w:p>
    <w:p w14:paraId="5257D177" w14:textId="027C37DC" w:rsidR="00EE6338" w:rsidRPr="00643678" w:rsidRDefault="00EE6338" w:rsidP="00F910F2">
      <w:pPr>
        <w:ind w:left="720" w:hanging="720"/>
        <w:jc w:val="both"/>
        <w:rPr>
          <w:rFonts w:eastAsia="SimSun"/>
          <w:lang w:eastAsia="zh-CN"/>
        </w:rPr>
      </w:pPr>
      <w:r w:rsidRPr="00643678">
        <w:rPr>
          <w:rFonts w:eastAsia="SimSun"/>
          <w:lang w:eastAsia="zh-CN"/>
        </w:rPr>
        <w:t xml:space="preserve">Foucault, M. (2009) </w:t>
      </w:r>
      <w:r w:rsidRPr="00643678">
        <w:rPr>
          <w:rFonts w:eastAsia="SimSun"/>
          <w:i/>
          <w:iCs/>
          <w:lang w:eastAsia="zh-CN"/>
        </w:rPr>
        <w:t>Security, Territory, Population: Lectures at Collège de France 1977-1978</w:t>
      </w:r>
      <w:r w:rsidRPr="00643678">
        <w:rPr>
          <w:rFonts w:eastAsia="SimSun"/>
          <w:lang w:eastAsia="zh-CN"/>
        </w:rPr>
        <w:t xml:space="preserve"> </w:t>
      </w:r>
      <w:r w:rsidR="00B035F9">
        <w:rPr>
          <w:rFonts w:eastAsia="SimSun"/>
          <w:lang w:eastAsia="zh-CN"/>
        </w:rPr>
        <w:t>(</w:t>
      </w:r>
      <w:r w:rsidRPr="00643678">
        <w:rPr>
          <w:rFonts w:eastAsia="SimSun"/>
          <w:lang w:eastAsia="zh-CN"/>
        </w:rPr>
        <w:t>Basingstoke</w:t>
      </w:r>
      <w:r w:rsidR="00B035F9">
        <w:rPr>
          <w:rFonts w:eastAsia="SimSun"/>
          <w:lang w:eastAsia="zh-CN"/>
        </w:rPr>
        <w:t>,</w:t>
      </w:r>
      <w:r w:rsidRPr="00643678">
        <w:rPr>
          <w:rFonts w:eastAsia="SimSun"/>
          <w:lang w:eastAsia="zh-CN"/>
        </w:rPr>
        <w:t xml:space="preserve"> Palgrave Macmillan</w:t>
      </w:r>
      <w:r w:rsidR="00B035F9">
        <w:rPr>
          <w:rFonts w:eastAsia="SimSun"/>
          <w:lang w:eastAsia="zh-CN"/>
        </w:rPr>
        <w:t>)</w:t>
      </w:r>
      <w:r w:rsidRPr="00643678">
        <w:rPr>
          <w:rFonts w:eastAsia="SimSun"/>
          <w:lang w:eastAsia="zh-CN"/>
        </w:rPr>
        <w:t>.</w:t>
      </w:r>
    </w:p>
    <w:p w14:paraId="6DDC96CE" w14:textId="57535F4A" w:rsidR="00EE6338" w:rsidRPr="00643678" w:rsidRDefault="00EE6338" w:rsidP="00F910F2">
      <w:pPr>
        <w:ind w:left="720" w:hanging="720"/>
        <w:jc w:val="both"/>
        <w:rPr>
          <w:rFonts w:eastAsia="SimSun"/>
          <w:lang w:eastAsia="ja-JP"/>
        </w:rPr>
      </w:pPr>
      <w:r w:rsidRPr="00643678">
        <w:rPr>
          <w:rFonts w:eastAsia="SimSun"/>
          <w:lang w:eastAsia="ja-JP"/>
        </w:rPr>
        <w:t xml:space="preserve">Gillies, V. (2007) </w:t>
      </w:r>
      <w:r w:rsidRPr="00643678">
        <w:rPr>
          <w:rFonts w:eastAsia="SimSun"/>
          <w:i/>
          <w:lang w:eastAsia="ja-JP"/>
        </w:rPr>
        <w:t>Marginalised Mothers: Exploring working-class experiences of parenting</w:t>
      </w:r>
      <w:r w:rsidRPr="00643678">
        <w:rPr>
          <w:rFonts w:eastAsia="SimSun"/>
          <w:lang w:eastAsia="ja-JP"/>
        </w:rPr>
        <w:t xml:space="preserve"> </w:t>
      </w:r>
      <w:r w:rsidR="00B035F9">
        <w:rPr>
          <w:rFonts w:eastAsia="SimSun"/>
          <w:lang w:eastAsia="ja-JP"/>
        </w:rPr>
        <w:t>(</w:t>
      </w:r>
      <w:r w:rsidRPr="00643678">
        <w:rPr>
          <w:rFonts w:eastAsia="SimSun"/>
          <w:lang w:eastAsia="ja-JP"/>
        </w:rPr>
        <w:t>Abingdon</w:t>
      </w:r>
      <w:r w:rsidR="00B035F9">
        <w:rPr>
          <w:rFonts w:eastAsia="SimSun"/>
          <w:lang w:eastAsia="ja-JP"/>
        </w:rPr>
        <w:t>,</w:t>
      </w:r>
      <w:r w:rsidRPr="00643678">
        <w:rPr>
          <w:rFonts w:eastAsia="SimSun"/>
          <w:lang w:eastAsia="ja-JP"/>
        </w:rPr>
        <w:t xml:space="preserve"> Routledge</w:t>
      </w:r>
      <w:r w:rsidR="00B035F9">
        <w:rPr>
          <w:rFonts w:eastAsia="SimSun"/>
          <w:lang w:eastAsia="ja-JP"/>
        </w:rPr>
        <w:t>)</w:t>
      </w:r>
      <w:r w:rsidRPr="00643678">
        <w:rPr>
          <w:rFonts w:eastAsia="SimSun"/>
          <w:lang w:eastAsia="ja-JP"/>
        </w:rPr>
        <w:t>.</w:t>
      </w:r>
    </w:p>
    <w:p w14:paraId="42924895" w14:textId="45D8D40A" w:rsidR="00EE6338" w:rsidRPr="00643678" w:rsidRDefault="00EE6338" w:rsidP="00F910F2">
      <w:pPr>
        <w:ind w:left="720" w:hanging="720"/>
        <w:jc w:val="both"/>
        <w:rPr>
          <w:rFonts w:eastAsia="SimSun"/>
          <w:lang w:eastAsia="zh-CN"/>
        </w:rPr>
      </w:pPr>
      <w:r w:rsidRPr="00643678">
        <w:rPr>
          <w:rFonts w:eastAsia="SimSun"/>
          <w:lang w:eastAsia="ja-JP"/>
        </w:rPr>
        <w:t>Gillies, V. (2008) Childrearing, class and the new politics of parenting</w:t>
      </w:r>
      <w:r w:rsidR="00B035F9">
        <w:rPr>
          <w:rFonts w:eastAsia="SimSun"/>
          <w:lang w:eastAsia="ja-JP"/>
        </w:rPr>
        <w:t>,</w:t>
      </w:r>
      <w:r w:rsidRPr="00643678">
        <w:rPr>
          <w:rFonts w:eastAsia="SimSun"/>
          <w:lang w:eastAsia="ja-JP"/>
        </w:rPr>
        <w:t xml:space="preserve"> </w:t>
      </w:r>
      <w:r w:rsidRPr="00643678">
        <w:rPr>
          <w:rFonts w:eastAsia="SimSun"/>
          <w:i/>
          <w:lang w:eastAsia="ja-JP"/>
        </w:rPr>
        <w:t>Sociology Compass</w:t>
      </w:r>
      <w:r w:rsidRPr="00643678">
        <w:rPr>
          <w:rFonts w:eastAsia="SimSun"/>
          <w:lang w:eastAsia="ja-JP"/>
        </w:rPr>
        <w:t>, 2/3, 1079-1095.</w:t>
      </w:r>
    </w:p>
    <w:p w14:paraId="00F75DC4" w14:textId="7E05AA6D" w:rsidR="00EE6338" w:rsidRPr="00643678" w:rsidRDefault="00EE6338" w:rsidP="00F910F2">
      <w:pPr>
        <w:ind w:left="720" w:hanging="720"/>
        <w:jc w:val="both"/>
        <w:rPr>
          <w:rFonts w:eastAsia="SimSun"/>
          <w:lang w:eastAsia="zh-CN"/>
        </w:rPr>
      </w:pPr>
      <w:r w:rsidRPr="00643678">
        <w:t>Gillies, V. (2011) From function to competence: engaging with the new politics of the family</w:t>
      </w:r>
      <w:r w:rsidR="00B035F9">
        <w:t>,</w:t>
      </w:r>
      <w:r w:rsidRPr="00643678">
        <w:t xml:space="preserve"> </w:t>
      </w:r>
      <w:r w:rsidRPr="00643678">
        <w:rPr>
          <w:i/>
          <w:iCs/>
        </w:rPr>
        <w:t>Sociological Research Online</w:t>
      </w:r>
      <w:r w:rsidRPr="00643678">
        <w:t>, 16(4).</w:t>
      </w:r>
    </w:p>
    <w:p w14:paraId="757F4998" w14:textId="1C7D4BBA" w:rsidR="00EE6338" w:rsidRPr="00643678" w:rsidRDefault="00EE6338" w:rsidP="00F910F2">
      <w:pPr>
        <w:ind w:left="720" w:hanging="720"/>
        <w:jc w:val="both"/>
        <w:rPr>
          <w:rFonts w:eastAsia="SimSun"/>
          <w:lang w:eastAsia="zh-CN"/>
        </w:rPr>
      </w:pPr>
      <w:proofErr w:type="spellStart"/>
      <w:r w:rsidRPr="00643678">
        <w:rPr>
          <w:rFonts w:eastAsia="SimSun"/>
          <w:lang w:eastAsia="zh-CN"/>
        </w:rPr>
        <w:t>Hartas</w:t>
      </w:r>
      <w:proofErr w:type="spellEnd"/>
      <w:r w:rsidRPr="00643678">
        <w:rPr>
          <w:rFonts w:eastAsia="SimSun"/>
          <w:lang w:eastAsia="zh-CN"/>
        </w:rPr>
        <w:t xml:space="preserve">, D. (2014) </w:t>
      </w:r>
      <w:r w:rsidRPr="00643678">
        <w:rPr>
          <w:rFonts w:eastAsia="SimSun"/>
          <w:i/>
          <w:lang w:eastAsia="zh-CN"/>
        </w:rPr>
        <w:t>Parenting, Family Policy and Children’s Well-Being in an Unequal Society: A New Culture War for Parents</w:t>
      </w:r>
      <w:r w:rsidRPr="00643678">
        <w:rPr>
          <w:rFonts w:eastAsia="SimSun"/>
          <w:lang w:eastAsia="zh-CN"/>
        </w:rPr>
        <w:t xml:space="preserve"> </w:t>
      </w:r>
      <w:r w:rsidR="00B035F9">
        <w:rPr>
          <w:rFonts w:eastAsia="SimSun"/>
          <w:lang w:eastAsia="zh-CN"/>
        </w:rPr>
        <w:t>(</w:t>
      </w:r>
      <w:r w:rsidRPr="00643678">
        <w:rPr>
          <w:rFonts w:eastAsia="SimSun"/>
          <w:lang w:eastAsia="zh-CN"/>
        </w:rPr>
        <w:t>Basingstoke</w:t>
      </w:r>
      <w:r w:rsidR="00B035F9">
        <w:rPr>
          <w:rFonts w:eastAsia="SimSun"/>
          <w:lang w:eastAsia="zh-CN"/>
        </w:rPr>
        <w:t>,</w:t>
      </w:r>
      <w:r w:rsidRPr="00643678">
        <w:rPr>
          <w:rFonts w:eastAsia="SimSun"/>
          <w:lang w:eastAsia="zh-CN"/>
        </w:rPr>
        <w:t xml:space="preserve"> Palgrave Macmillan</w:t>
      </w:r>
      <w:r w:rsidR="00B035F9">
        <w:rPr>
          <w:rFonts w:eastAsia="SimSun"/>
          <w:lang w:eastAsia="zh-CN"/>
        </w:rPr>
        <w:t>)</w:t>
      </w:r>
      <w:r w:rsidRPr="00643678">
        <w:rPr>
          <w:rFonts w:eastAsia="SimSun"/>
          <w:lang w:eastAsia="zh-CN"/>
        </w:rPr>
        <w:t xml:space="preserve">. </w:t>
      </w:r>
    </w:p>
    <w:p w14:paraId="2F374DFF" w14:textId="3039A7B5" w:rsidR="00EE6338" w:rsidRPr="00643678" w:rsidRDefault="00EE6338" w:rsidP="00F910F2">
      <w:pPr>
        <w:ind w:left="720" w:hanging="720"/>
        <w:jc w:val="both"/>
        <w:rPr>
          <w:rFonts w:eastAsia="SimSun"/>
          <w:lang w:eastAsia="zh-CN"/>
        </w:rPr>
      </w:pPr>
      <w:r w:rsidRPr="00643678">
        <w:rPr>
          <w:rFonts w:eastAsia="SimSun"/>
          <w:lang w:eastAsia="zh-CN"/>
        </w:rPr>
        <w:t xml:space="preserve">Harvey, C. (2005) </w:t>
      </w:r>
      <w:r w:rsidRPr="00643678">
        <w:rPr>
          <w:rFonts w:eastAsia="SimSun"/>
          <w:i/>
          <w:lang w:eastAsia="zh-CN"/>
        </w:rPr>
        <w:t>A Brief History of Neoliberalism</w:t>
      </w:r>
      <w:r w:rsidRPr="00643678">
        <w:rPr>
          <w:rFonts w:eastAsia="SimSun"/>
          <w:lang w:eastAsia="zh-CN"/>
        </w:rPr>
        <w:t xml:space="preserve"> </w:t>
      </w:r>
      <w:r w:rsidR="00B035F9">
        <w:rPr>
          <w:rFonts w:eastAsia="SimSun"/>
          <w:lang w:eastAsia="zh-CN"/>
        </w:rPr>
        <w:t>(</w:t>
      </w:r>
      <w:r w:rsidRPr="00643678">
        <w:rPr>
          <w:rFonts w:eastAsia="SimSun"/>
          <w:lang w:eastAsia="zh-CN"/>
        </w:rPr>
        <w:t>Oxford</w:t>
      </w:r>
      <w:r w:rsidR="00B035F9">
        <w:rPr>
          <w:rFonts w:eastAsia="SimSun"/>
          <w:lang w:eastAsia="zh-CN"/>
        </w:rPr>
        <w:t>,</w:t>
      </w:r>
      <w:r w:rsidRPr="00643678">
        <w:rPr>
          <w:rFonts w:eastAsia="SimSun"/>
          <w:lang w:eastAsia="zh-CN"/>
        </w:rPr>
        <w:t xml:space="preserve"> Oxford University Press</w:t>
      </w:r>
      <w:r w:rsidR="00B035F9">
        <w:rPr>
          <w:rFonts w:eastAsia="SimSun"/>
          <w:lang w:eastAsia="zh-CN"/>
        </w:rPr>
        <w:t>)</w:t>
      </w:r>
      <w:r w:rsidRPr="00643678">
        <w:rPr>
          <w:rFonts w:eastAsia="SimSun"/>
          <w:lang w:eastAsia="zh-CN"/>
        </w:rPr>
        <w:t xml:space="preserve">. </w:t>
      </w:r>
    </w:p>
    <w:p w14:paraId="1FAE3DEE" w14:textId="4DA6D770" w:rsidR="00276EF8" w:rsidRDefault="00276EF8" w:rsidP="00F910F2">
      <w:pPr>
        <w:ind w:left="720" w:hanging="720"/>
        <w:jc w:val="both"/>
        <w:rPr>
          <w:rFonts w:eastAsia="SimSun"/>
          <w:lang w:eastAsia="zh-CN"/>
        </w:rPr>
      </w:pPr>
      <w:proofErr w:type="spellStart"/>
      <w:r w:rsidRPr="00276EF8">
        <w:rPr>
          <w:rFonts w:eastAsia="SimSun"/>
          <w:lang w:eastAsia="zh-CN"/>
        </w:rPr>
        <w:t>Henricson</w:t>
      </w:r>
      <w:proofErr w:type="spellEnd"/>
      <w:r w:rsidRPr="00276EF8">
        <w:rPr>
          <w:rFonts w:eastAsia="SimSun"/>
          <w:lang w:eastAsia="zh-CN"/>
        </w:rPr>
        <w:t xml:space="preserve">, C. (2012) </w:t>
      </w:r>
      <w:r w:rsidRPr="008A469D">
        <w:rPr>
          <w:rFonts w:eastAsia="SimSun"/>
          <w:i/>
          <w:lang w:eastAsia="zh-CN"/>
        </w:rPr>
        <w:t>A Revolution in Family Policy: Where we should go from here</w:t>
      </w:r>
      <w:r w:rsidRPr="00276EF8">
        <w:rPr>
          <w:rFonts w:eastAsia="SimSun"/>
          <w:lang w:eastAsia="zh-CN"/>
        </w:rPr>
        <w:t xml:space="preserve"> </w:t>
      </w:r>
      <w:r>
        <w:rPr>
          <w:rFonts w:eastAsia="SimSun"/>
          <w:lang w:eastAsia="zh-CN"/>
        </w:rPr>
        <w:t>(</w:t>
      </w:r>
      <w:r w:rsidRPr="00276EF8">
        <w:rPr>
          <w:rFonts w:eastAsia="SimSun"/>
          <w:lang w:eastAsia="zh-CN"/>
        </w:rPr>
        <w:t>Bristol</w:t>
      </w:r>
      <w:r>
        <w:rPr>
          <w:rFonts w:eastAsia="SimSun"/>
          <w:lang w:eastAsia="zh-CN"/>
        </w:rPr>
        <w:t>,</w:t>
      </w:r>
      <w:r w:rsidRPr="00276EF8">
        <w:rPr>
          <w:rFonts w:eastAsia="SimSun"/>
          <w:lang w:eastAsia="zh-CN"/>
        </w:rPr>
        <w:t xml:space="preserve"> Policy Press</w:t>
      </w:r>
      <w:r>
        <w:rPr>
          <w:rFonts w:eastAsia="SimSun"/>
          <w:lang w:eastAsia="zh-CN"/>
        </w:rPr>
        <w:t>).</w:t>
      </w:r>
    </w:p>
    <w:p w14:paraId="6805F95F" w14:textId="68ECE573" w:rsidR="00EE6338" w:rsidRPr="00643678" w:rsidRDefault="00EE6338" w:rsidP="00F910F2">
      <w:pPr>
        <w:ind w:left="720" w:hanging="720"/>
        <w:jc w:val="both"/>
        <w:rPr>
          <w:rFonts w:eastAsia="SimSun"/>
          <w:lang w:eastAsia="zh-CN"/>
        </w:rPr>
      </w:pPr>
      <w:r w:rsidRPr="00643678">
        <w:rPr>
          <w:rFonts w:eastAsia="SimSun"/>
          <w:lang w:eastAsia="zh-CN"/>
        </w:rPr>
        <w:t>Home Office (</w:t>
      </w:r>
      <w:r w:rsidR="00F16742">
        <w:rPr>
          <w:rFonts w:eastAsia="SimSun"/>
          <w:lang w:eastAsia="zh-CN"/>
        </w:rPr>
        <w:t>1998)</w:t>
      </w:r>
      <w:r w:rsidRPr="00643678">
        <w:rPr>
          <w:rFonts w:eastAsia="SimSun"/>
          <w:lang w:eastAsia="zh-CN"/>
        </w:rPr>
        <w:t xml:space="preserve">) </w:t>
      </w:r>
      <w:r w:rsidR="00F16742">
        <w:rPr>
          <w:rFonts w:eastAsia="SimSun"/>
          <w:i/>
          <w:lang w:eastAsia="zh-CN"/>
        </w:rPr>
        <w:t xml:space="preserve">Supporting Families: A consultation document </w:t>
      </w:r>
      <w:r w:rsidR="00B035F9">
        <w:rPr>
          <w:rFonts w:eastAsia="SimSun"/>
          <w:lang w:eastAsia="zh-CN"/>
        </w:rPr>
        <w:t>(</w:t>
      </w:r>
      <w:r w:rsidRPr="00643678">
        <w:rPr>
          <w:rFonts w:eastAsia="SimSun"/>
          <w:lang w:eastAsia="zh-CN"/>
        </w:rPr>
        <w:t>London</w:t>
      </w:r>
      <w:r w:rsidR="00F16742">
        <w:rPr>
          <w:rFonts w:eastAsia="SimSun"/>
          <w:lang w:eastAsia="zh-CN"/>
        </w:rPr>
        <w:t>,</w:t>
      </w:r>
      <w:r w:rsidRPr="00643678">
        <w:rPr>
          <w:rFonts w:eastAsia="SimSun"/>
          <w:lang w:eastAsia="zh-CN"/>
        </w:rPr>
        <w:t xml:space="preserve"> </w:t>
      </w:r>
      <w:r w:rsidR="00F16742">
        <w:rPr>
          <w:rFonts w:eastAsia="SimSun"/>
          <w:lang w:eastAsia="zh-CN"/>
        </w:rPr>
        <w:t>TSO</w:t>
      </w:r>
      <w:r w:rsidR="00B035F9">
        <w:rPr>
          <w:rFonts w:eastAsia="SimSun"/>
          <w:lang w:eastAsia="zh-CN"/>
        </w:rPr>
        <w:t>)</w:t>
      </w:r>
      <w:r w:rsidRPr="00643678">
        <w:rPr>
          <w:rFonts w:eastAsia="SimSun"/>
          <w:lang w:eastAsia="zh-CN"/>
        </w:rPr>
        <w:t xml:space="preserve">. </w:t>
      </w:r>
    </w:p>
    <w:p w14:paraId="00772B26" w14:textId="6632FEF3" w:rsidR="00491046" w:rsidRPr="00643678" w:rsidRDefault="00491046" w:rsidP="00F910F2">
      <w:pPr>
        <w:ind w:left="720" w:hanging="720"/>
      </w:pPr>
      <w:r w:rsidRPr="00643678">
        <w:t xml:space="preserve">Howland, A., Anderson, J.A., Smiley, A.D. </w:t>
      </w:r>
      <w:r w:rsidR="002C7292">
        <w:t>&amp;</w:t>
      </w:r>
      <w:r w:rsidRPr="00643678">
        <w:t xml:space="preserve"> Abbot, D.J. (2006) School Liaisons: Bridging the Gap between Home and School</w:t>
      </w:r>
      <w:r w:rsidR="00B035F9">
        <w:t>,</w:t>
      </w:r>
      <w:r w:rsidRPr="00643678">
        <w:t xml:space="preserve"> </w:t>
      </w:r>
      <w:r w:rsidRPr="00643678">
        <w:rPr>
          <w:i/>
        </w:rPr>
        <w:t>The School Community Journal</w:t>
      </w:r>
      <w:r w:rsidRPr="00643678">
        <w:t>, 16(2),</w:t>
      </w:r>
      <w:r w:rsidR="004B26BC">
        <w:t xml:space="preserve"> </w:t>
      </w:r>
      <w:r w:rsidRPr="00643678">
        <w:t>47-68.</w:t>
      </w:r>
    </w:p>
    <w:p w14:paraId="2F644E35" w14:textId="1D5587B6" w:rsidR="00504610" w:rsidRDefault="00504610" w:rsidP="00F910F2">
      <w:pPr>
        <w:ind w:left="720" w:hanging="720"/>
      </w:pPr>
      <w:r w:rsidRPr="00504610">
        <w:t xml:space="preserve">Jensen, T. (2010) Warmth and Wealth: re-imagining social class in taxonomies of good parenting. </w:t>
      </w:r>
      <w:r w:rsidRPr="00504610">
        <w:rPr>
          <w:i/>
        </w:rPr>
        <w:t>Studies in the Maternal</w:t>
      </w:r>
      <w:r w:rsidRPr="00504610">
        <w:t>, 2(1)</w:t>
      </w:r>
      <w:r>
        <w:t>.</w:t>
      </w:r>
    </w:p>
    <w:p w14:paraId="4996CD45" w14:textId="7C22F90E" w:rsidR="008278D5" w:rsidRDefault="008278D5" w:rsidP="00F910F2">
      <w:pPr>
        <w:ind w:left="720" w:hanging="720"/>
      </w:pPr>
      <w:r>
        <w:t xml:space="preserve">Jensen, T. (2018) </w:t>
      </w:r>
      <w:r w:rsidRPr="008278D5">
        <w:rPr>
          <w:i/>
        </w:rPr>
        <w:t>Parenting the Crisis: The cultural politics of parent-blame</w:t>
      </w:r>
      <w:r>
        <w:t xml:space="preserve"> (Bristol, Policy Press).</w:t>
      </w:r>
    </w:p>
    <w:p w14:paraId="3CB8227E" w14:textId="0D4FCDCC" w:rsidR="00016244" w:rsidRPr="00643678" w:rsidRDefault="00016244" w:rsidP="00F910F2">
      <w:pPr>
        <w:ind w:left="720" w:hanging="720"/>
      </w:pPr>
      <w:r w:rsidRPr="00643678">
        <w:t xml:space="preserve">Jensen, T. &amp; Tyler, I., (2012) Austerity Parenting: new economies of parent-citizenship. </w:t>
      </w:r>
      <w:r w:rsidRPr="00643678">
        <w:rPr>
          <w:i/>
        </w:rPr>
        <w:t>Studies in the Maternal</w:t>
      </w:r>
      <w:r w:rsidRPr="00643678">
        <w:t>, 4(2)</w:t>
      </w:r>
      <w:r w:rsidR="00B035F9">
        <w:t>.</w:t>
      </w:r>
    </w:p>
    <w:p w14:paraId="151FB590" w14:textId="1A686128" w:rsidR="0073260A" w:rsidRDefault="0073260A" w:rsidP="0073260A">
      <w:pPr>
        <w:ind w:left="720" w:hanging="720"/>
      </w:pPr>
      <w:r w:rsidRPr="0073260A">
        <w:lastRenderedPageBreak/>
        <w:t xml:space="preserve">Jones, R., </w:t>
      </w:r>
      <w:proofErr w:type="spellStart"/>
      <w:r w:rsidRPr="0073260A">
        <w:t>Pykett</w:t>
      </w:r>
      <w:proofErr w:type="spellEnd"/>
      <w:r w:rsidRPr="0073260A">
        <w:t xml:space="preserve">, J. &amp; Whitehead, M. (2013) </w:t>
      </w:r>
      <w:r w:rsidRPr="0073260A">
        <w:rPr>
          <w:i/>
        </w:rPr>
        <w:t>Changing Behaviours: On the Rise of the Psychological State</w:t>
      </w:r>
      <w:r w:rsidRPr="0073260A">
        <w:t xml:space="preserve"> </w:t>
      </w:r>
      <w:r>
        <w:t>(</w:t>
      </w:r>
      <w:r w:rsidRPr="0073260A">
        <w:t>Cheltenham</w:t>
      </w:r>
      <w:r>
        <w:t>,</w:t>
      </w:r>
      <w:r w:rsidRPr="0073260A">
        <w:t xml:space="preserve"> Edward Elgar</w:t>
      </w:r>
      <w:r>
        <w:t>)</w:t>
      </w:r>
    </w:p>
    <w:p w14:paraId="66C9713D" w14:textId="077E58C2" w:rsidR="00B61187" w:rsidRDefault="00B61187" w:rsidP="00F910F2">
      <w:pPr>
        <w:ind w:left="720" w:hanging="720"/>
      </w:pPr>
      <w:r>
        <w:t xml:space="preserve">Kenway, J., Fahey, J., Epstein, D., Koh, A., McCarthy, C. &amp; Rizvi, F. (2017) </w:t>
      </w:r>
      <w:r w:rsidRPr="00B61187">
        <w:rPr>
          <w:i/>
        </w:rPr>
        <w:t>Class Choreographies: Elite Schools and Globalization</w:t>
      </w:r>
      <w:r>
        <w:t xml:space="preserve"> (London, Palgrave Macmillan).</w:t>
      </w:r>
    </w:p>
    <w:p w14:paraId="588574D6" w14:textId="099888ED" w:rsidR="00252A92" w:rsidRDefault="00252A92" w:rsidP="00F910F2">
      <w:pPr>
        <w:ind w:left="720" w:hanging="720"/>
      </w:pPr>
      <w:r>
        <w:t xml:space="preserve">Lawler, S. (2000) </w:t>
      </w:r>
      <w:r w:rsidRPr="008A469D">
        <w:rPr>
          <w:i/>
        </w:rPr>
        <w:t>Mothering the Self: Mothers, daughters, subjects</w:t>
      </w:r>
      <w:r>
        <w:t xml:space="preserve"> (Abingdon, Routledge).</w:t>
      </w:r>
    </w:p>
    <w:p w14:paraId="7BB90495" w14:textId="6F66DEFD" w:rsidR="0073260A" w:rsidRDefault="0073260A" w:rsidP="00F910F2">
      <w:pPr>
        <w:ind w:left="720" w:hanging="720"/>
      </w:pPr>
      <w:r>
        <w:t xml:space="preserve">Lemke, T. (2010) Foucault’s Hypothesis: From the critique of the </w:t>
      </w:r>
      <w:proofErr w:type="spellStart"/>
      <w:r>
        <w:t>juridico</w:t>
      </w:r>
      <w:proofErr w:type="spellEnd"/>
      <w:r>
        <w:t xml:space="preserve">-discursive concept of power to </w:t>
      </w:r>
      <w:proofErr w:type="gramStart"/>
      <w:r>
        <w:t>an analytics of government</w:t>
      </w:r>
      <w:proofErr w:type="gramEnd"/>
      <w:r>
        <w:t xml:space="preserve">, </w:t>
      </w:r>
      <w:r w:rsidRPr="008A469D">
        <w:rPr>
          <w:i/>
        </w:rPr>
        <w:t>Parrhesia</w:t>
      </w:r>
      <w:r>
        <w:t>, 9, 31-43.</w:t>
      </w:r>
    </w:p>
    <w:p w14:paraId="16C70514" w14:textId="501CCB88" w:rsidR="00EE6338" w:rsidRPr="00643678" w:rsidRDefault="00EE6338" w:rsidP="00F910F2">
      <w:pPr>
        <w:ind w:left="720" w:hanging="720"/>
      </w:pPr>
      <w:r w:rsidRPr="00643678">
        <w:t>Lewis, J. (2011) Parenting Programmes in England: policy development and implementation issues 2005-2010</w:t>
      </w:r>
      <w:r w:rsidR="00B035F9">
        <w:t>,</w:t>
      </w:r>
      <w:r w:rsidRPr="00643678">
        <w:t xml:space="preserve"> </w:t>
      </w:r>
      <w:r w:rsidRPr="00643678">
        <w:rPr>
          <w:i/>
        </w:rPr>
        <w:t>Journal of Social Welfare &amp; Family Law</w:t>
      </w:r>
      <w:r w:rsidRPr="00643678">
        <w:t>, 33(2), 107-121.</w:t>
      </w:r>
    </w:p>
    <w:p w14:paraId="633402A0" w14:textId="0E0D179F" w:rsidR="00491046" w:rsidRPr="00643678" w:rsidRDefault="00491046" w:rsidP="00F910F2">
      <w:pPr>
        <w:ind w:left="720" w:hanging="720"/>
      </w:pPr>
      <w:proofErr w:type="spellStart"/>
      <w:r w:rsidRPr="00643678">
        <w:t>Martinzez-Cosio</w:t>
      </w:r>
      <w:proofErr w:type="spellEnd"/>
      <w:r w:rsidRPr="00643678">
        <w:t xml:space="preserve">, M. </w:t>
      </w:r>
      <w:r w:rsidR="002C7292">
        <w:t>&amp;</w:t>
      </w:r>
      <w:r w:rsidRPr="00643678">
        <w:t xml:space="preserve"> Martinez </w:t>
      </w:r>
      <w:proofErr w:type="spellStart"/>
      <w:r w:rsidRPr="00643678">
        <w:t>Iannacone</w:t>
      </w:r>
      <w:proofErr w:type="spellEnd"/>
      <w:r w:rsidRPr="00643678">
        <w:t>, R. (2007) The Tenuous Role of Institutional Agents: Parent Liaisons as Cultural Brokers</w:t>
      </w:r>
      <w:r w:rsidR="00B035F9">
        <w:t>,</w:t>
      </w:r>
      <w:r w:rsidRPr="00643678">
        <w:t xml:space="preserve"> </w:t>
      </w:r>
      <w:r w:rsidRPr="00643678">
        <w:rPr>
          <w:i/>
        </w:rPr>
        <w:t>Education and Urban Society</w:t>
      </w:r>
      <w:r w:rsidRPr="00643678">
        <w:t>, 39(3), 349-369.</w:t>
      </w:r>
    </w:p>
    <w:p w14:paraId="3C484F16" w14:textId="3FFF7B9D" w:rsidR="00EE6338" w:rsidRPr="00643678" w:rsidRDefault="00EE6338" w:rsidP="00F910F2">
      <w:pPr>
        <w:ind w:left="720" w:hanging="720"/>
      </w:pPr>
      <w:r w:rsidRPr="00643678">
        <w:t xml:space="preserve">Miller, P. </w:t>
      </w:r>
      <w:r w:rsidR="002C7292">
        <w:t>&amp;</w:t>
      </w:r>
      <w:r w:rsidRPr="00643678">
        <w:t xml:space="preserve"> Rose, N. (2008) </w:t>
      </w:r>
      <w:r w:rsidRPr="00643678">
        <w:rPr>
          <w:i/>
        </w:rPr>
        <w:t>Governing the Present: Administering Economic, Social and Personal Life</w:t>
      </w:r>
      <w:r w:rsidRPr="00643678">
        <w:t xml:space="preserve"> </w:t>
      </w:r>
      <w:r w:rsidR="00B035F9">
        <w:t>(</w:t>
      </w:r>
      <w:r w:rsidRPr="00643678">
        <w:t>Cambridge</w:t>
      </w:r>
      <w:r w:rsidR="00B035F9">
        <w:t>,</w:t>
      </w:r>
      <w:r w:rsidRPr="00643678">
        <w:t xml:space="preserve"> Polity</w:t>
      </w:r>
      <w:r w:rsidR="00B035F9">
        <w:t>)</w:t>
      </w:r>
      <w:r w:rsidRPr="00643678">
        <w:t>.</w:t>
      </w:r>
    </w:p>
    <w:p w14:paraId="3098B817" w14:textId="76157D6E" w:rsidR="0073260A" w:rsidRDefault="0073260A" w:rsidP="00F910F2">
      <w:pPr>
        <w:ind w:left="720" w:hanging="720"/>
        <w:rPr>
          <w:rFonts w:eastAsia="Times New Roman" w:cs="Times New Roman"/>
          <w:szCs w:val="24"/>
          <w:lang w:eastAsia="en-GB"/>
        </w:rPr>
      </w:pPr>
      <w:r w:rsidRPr="0073260A">
        <w:rPr>
          <w:rFonts w:eastAsia="Times New Roman" w:cs="Times New Roman"/>
          <w:szCs w:val="24"/>
          <w:lang w:eastAsia="en-GB"/>
        </w:rPr>
        <w:t xml:space="preserve">Olmedo, A. </w:t>
      </w:r>
      <w:r w:rsidR="00A93A4B">
        <w:rPr>
          <w:rFonts w:eastAsia="Times New Roman" w:cs="Times New Roman"/>
          <w:szCs w:val="24"/>
          <w:lang w:eastAsia="en-GB"/>
        </w:rPr>
        <w:t>&amp;</w:t>
      </w:r>
      <w:r w:rsidRPr="0073260A">
        <w:rPr>
          <w:rFonts w:eastAsia="Times New Roman" w:cs="Times New Roman"/>
          <w:szCs w:val="24"/>
          <w:lang w:eastAsia="en-GB"/>
        </w:rPr>
        <w:t xml:space="preserve"> Wilkins, A. (2017) Governing through Parents: a genealogical enquiry of education policy and the construction of neoliberal subjectivities in England, </w:t>
      </w:r>
      <w:r w:rsidRPr="0073260A">
        <w:rPr>
          <w:rFonts w:eastAsia="Times New Roman" w:cs="Times New Roman"/>
          <w:i/>
          <w:szCs w:val="24"/>
          <w:lang w:eastAsia="en-GB"/>
        </w:rPr>
        <w:t>Discourse: Studies in the Cultural Politics of Education</w:t>
      </w:r>
      <w:r w:rsidRPr="0073260A">
        <w:rPr>
          <w:rFonts w:eastAsia="Times New Roman" w:cs="Times New Roman"/>
          <w:szCs w:val="24"/>
          <w:lang w:eastAsia="en-GB"/>
        </w:rPr>
        <w:t>, 38(4), 573-589.</w:t>
      </w:r>
    </w:p>
    <w:p w14:paraId="5FDEC62E" w14:textId="5D480FF3" w:rsidR="00367C36" w:rsidRDefault="00367C36" w:rsidP="00F910F2">
      <w:pPr>
        <w:ind w:left="720" w:hanging="720"/>
        <w:rPr>
          <w:rFonts w:eastAsia="Times New Roman" w:cs="Times New Roman"/>
          <w:szCs w:val="24"/>
          <w:lang w:eastAsia="en-GB"/>
        </w:rPr>
      </w:pPr>
      <w:r w:rsidRPr="00367C36">
        <w:rPr>
          <w:rFonts w:eastAsia="Times New Roman" w:cs="Times New Roman"/>
          <w:szCs w:val="24"/>
          <w:lang w:eastAsia="en-GB"/>
        </w:rPr>
        <w:t>Osgood, J. Allen, K. Albon, D. &amp; Hollingworth,</w:t>
      </w:r>
      <w:r>
        <w:rPr>
          <w:rFonts w:eastAsia="Times New Roman" w:cs="Times New Roman"/>
          <w:szCs w:val="24"/>
          <w:lang w:eastAsia="en-GB"/>
        </w:rPr>
        <w:t xml:space="preserve"> </w:t>
      </w:r>
      <w:r w:rsidRPr="00367C36">
        <w:rPr>
          <w:rFonts w:eastAsia="Times New Roman" w:cs="Times New Roman"/>
          <w:szCs w:val="24"/>
          <w:lang w:eastAsia="en-GB"/>
        </w:rPr>
        <w:t>S</w:t>
      </w:r>
      <w:r>
        <w:rPr>
          <w:rFonts w:eastAsia="Times New Roman" w:cs="Times New Roman"/>
          <w:szCs w:val="24"/>
          <w:lang w:eastAsia="en-GB"/>
        </w:rPr>
        <w:t>.</w:t>
      </w:r>
      <w:r w:rsidRPr="00367C36">
        <w:rPr>
          <w:rFonts w:eastAsia="Times New Roman" w:cs="Times New Roman"/>
          <w:szCs w:val="24"/>
          <w:lang w:eastAsia="en-GB"/>
        </w:rPr>
        <w:t xml:space="preserve"> (2013) ‘Hard to Reach’ or Nomadic Resistance? Families ‘Choosing’ Not to Participate in Early Childhood Services</w:t>
      </w:r>
      <w:r w:rsidR="00B035F9">
        <w:rPr>
          <w:rFonts w:eastAsia="Times New Roman" w:cs="Times New Roman"/>
          <w:szCs w:val="24"/>
          <w:lang w:eastAsia="en-GB"/>
        </w:rPr>
        <w:t>,</w:t>
      </w:r>
      <w:r w:rsidRPr="00367C36">
        <w:rPr>
          <w:rFonts w:eastAsia="Times New Roman" w:cs="Times New Roman"/>
          <w:szCs w:val="24"/>
          <w:lang w:eastAsia="en-GB"/>
        </w:rPr>
        <w:t xml:space="preserve"> </w:t>
      </w:r>
      <w:r w:rsidRPr="00367C36">
        <w:rPr>
          <w:rFonts w:eastAsia="Times New Roman" w:cs="Times New Roman"/>
          <w:i/>
          <w:szCs w:val="24"/>
          <w:lang w:eastAsia="en-GB"/>
        </w:rPr>
        <w:t>Global Studies of Childhood</w:t>
      </w:r>
      <w:r w:rsidRPr="00367C36">
        <w:rPr>
          <w:rFonts w:eastAsia="Times New Roman" w:cs="Times New Roman"/>
          <w:szCs w:val="24"/>
          <w:lang w:eastAsia="en-GB"/>
        </w:rPr>
        <w:t>, 3(3)</w:t>
      </w:r>
      <w:r>
        <w:rPr>
          <w:rFonts w:eastAsia="Times New Roman" w:cs="Times New Roman"/>
          <w:szCs w:val="24"/>
          <w:lang w:eastAsia="en-GB"/>
        </w:rPr>
        <w:t>:</w:t>
      </w:r>
      <w:r w:rsidRPr="00367C36">
        <w:rPr>
          <w:rFonts w:eastAsia="Times New Roman" w:cs="Times New Roman"/>
          <w:szCs w:val="24"/>
          <w:lang w:eastAsia="en-GB"/>
        </w:rPr>
        <w:t xml:space="preserve"> 208-220.</w:t>
      </w:r>
    </w:p>
    <w:p w14:paraId="5447B9E1" w14:textId="7E75A41A" w:rsidR="00EE6338" w:rsidRPr="00643678" w:rsidRDefault="00EE6338" w:rsidP="00F910F2">
      <w:pPr>
        <w:ind w:left="720" w:hanging="720"/>
      </w:pPr>
      <w:r w:rsidRPr="00643678">
        <w:t xml:space="preserve">Paterson, C. (2011) </w:t>
      </w:r>
      <w:r w:rsidRPr="00643678">
        <w:rPr>
          <w:i/>
        </w:rPr>
        <w:t>Parenting Matters: early years and social mobility</w:t>
      </w:r>
      <w:r w:rsidRPr="00643678">
        <w:t xml:space="preserve"> </w:t>
      </w:r>
      <w:r w:rsidR="00B035F9">
        <w:t>(</w:t>
      </w:r>
      <w:r w:rsidRPr="00643678">
        <w:t>London</w:t>
      </w:r>
      <w:r w:rsidR="00B035F9">
        <w:t>,</w:t>
      </w:r>
      <w:r w:rsidRPr="00643678">
        <w:t xml:space="preserve"> </w:t>
      </w:r>
      <w:proofErr w:type="spellStart"/>
      <w:r w:rsidRPr="00643678">
        <w:t>CentreForum</w:t>
      </w:r>
      <w:proofErr w:type="spellEnd"/>
      <w:r w:rsidR="00B035F9">
        <w:t>)</w:t>
      </w:r>
      <w:r w:rsidRPr="00643678">
        <w:t>.</w:t>
      </w:r>
    </w:p>
    <w:p w14:paraId="65439F02" w14:textId="5E7BC7A4" w:rsidR="00276EF8" w:rsidRDefault="00276EF8" w:rsidP="00F910F2">
      <w:pPr>
        <w:ind w:left="720" w:hanging="720"/>
      </w:pPr>
      <w:r w:rsidRPr="00276EF8">
        <w:t>Pestaña</w:t>
      </w:r>
      <w:r>
        <w:t xml:space="preserve">, J.L.M. (2012) Jacques </w:t>
      </w:r>
      <w:proofErr w:type="spellStart"/>
      <w:r>
        <w:t>Donzelot’s</w:t>
      </w:r>
      <w:proofErr w:type="spellEnd"/>
      <w:r>
        <w:t xml:space="preserve"> </w:t>
      </w:r>
      <w:r w:rsidRPr="00276EF8">
        <w:rPr>
          <w:i/>
        </w:rPr>
        <w:t>The Policing of Families</w:t>
      </w:r>
      <w:r>
        <w:t xml:space="preserve"> (1977) in Context, in: R. </w:t>
      </w:r>
      <w:proofErr w:type="spellStart"/>
      <w:r>
        <w:t>Duschinsky</w:t>
      </w:r>
      <w:proofErr w:type="spellEnd"/>
      <w:r>
        <w:t xml:space="preserve"> &amp; L.A. Rocha (Eds) </w:t>
      </w:r>
      <w:r w:rsidRPr="00276EF8">
        <w:rPr>
          <w:i/>
        </w:rPr>
        <w:t>Foucault, the Family and Politics</w:t>
      </w:r>
      <w:r>
        <w:t xml:space="preserve"> (Basingstoke, Palgrave Macmillan).</w:t>
      </w:r>
    </w:p>
    <w:p w14:paraId="45006AC8" w14:textId="36E40940" w:rsidR="00EE6338" w:rsidRPr="00643678" w:rsidRDefault="00EE6338" w:rsidP="00F910F2">
      <w:pPr>
        <w:ind w:left="720" w:hanging="720"/>
      </w:pPr>
      <w:proofErr w:type="spellStart"/>
      <w:r w:rsidRPr="00643678">
        <w:t>Popkewitz</w:t>
      </w:r>
      <w:proofErr w:type="spellEnd"/>
      <w:r w:rsidRPr="00643678">
        <w:t>, T.S. &amp; Bloch, M.N. (2001) Administering Freedom: A History of the Present. Rescuing the Parent to Rescue the Child for Society</w:t>
      </w:r>
      <w:r w:rsidR="00B035F9">
        <w:t>,</w:t>
      </w:r>
      <w:r w:rsidRPr="00643678">
        <w:t xml:space="preserve"> in</w:t>
      </w:r>
      <w:r w:rsidR="00B035F9">
        <w:t>:</w:t>
      </w:r>
      <w:r w:rsidRPr="00643678">
        <w:t xml:space="preserve"> K. </w:t>
      </w:r>
      <w:proofErr w:type="spellStart"/>
      <w:r w:rsidRPr="00643678">
        <w:t>Hultqvist</w:t>
      </w:r>
      <w:proofErr w:type="spellEnd"/>
      <w:r w:rsidRPr="00643678">
        <w:t xml:space="preserve"> &amp; G. Dahlberg (</w:t>
      </w:r>
      <w:r w:rsidR="004B26BC">
        <w:t xml:space="preserve">Eds) </w:t>
      </w:r>
      <w:r w:rsidRPr="00643678">
        <w:rPr>
          <w:i/>
        </w:rPr>
        <w:t>Governing the Child in the New Millennium</w:t>
      </w:r>
      <w:r w:rsidRPr="00643678">
        <w:t xml:space="preserve"> </w:t>
      </w:r>
      <w:r w:rsidR="00B035F9">
        <w:t>(</w:t>
      </w:r>
      <w:r w:rsidRPr="00643678">
        <w:t>London</w:t>
      </w:r>
      <w:r w:rsidR="00B035F9">
        <w:t>,</w:t>
      </w:r>
      <w:r w:rsidRPr="00643678">
        <w:t xml:space="preserve"> </w:t>
      </w:r>
      <w:proofErr w:type="spellStart"/>
      <w:r w:rsidRPr="00643678">
        <w:t>RoutledgeFalmer</w:t>
      </w:r>
      <w:proofErr w:type="spellEnd"/>
      <w:r w:rsidR="00B035F9">
        <w:t>)</w:t>
      </w:r>
      <w:r w:rsidRPr="00643678">
        <w:t>.</w:t>
      </w:r>
    </w:p>
    <w:p w14:paraId="7127540A" w14:textId="65A4BC00" w:rsidR="007D77C2" w:rsidRDefault="007D77C2" w:rsidP="00F910F2">
      <w:pPr>
        <w:ind w:left="720" w:hanging="720"/>
      </w:pPr>
      <w:r>
        <w:t xml:space="preserve">Prior, D. (2009) Policy, power and the potential for counter-agency, in: M. Barnes &amp; D. Prior (Eds) </w:t>
      </w:r>
      <w:r w:rsidRPr="007D77C2">
        <w:rPr>
          <w:i/>
        </w:rPr>
        <w:t>Subversive Citizens: Power, agency and resistance in public services</w:t>
      </w:r>
      <w:r w:rsidRPr="007D77C2">
        <w:t xml:space="preserve"> (Bristol, Policy Press).</w:t>
      </w:r>
    </w:p>
    <w:p w14:paraId="4FADF90E" w14:textId="789689A6" w:rsidR="00EE6338" w:rsidRPr="00643678" w:rsidRDefault="00EE6338" w:rsidP="00F910F2">
      <w:pPr>
        <w:ind w:left="720" w:hanging="720"/>
      </w:pPr>
      <w:r w:rsidRPr="00643678">
        <w:t xml:space="preserve">Rose, N. (1999a) </w:t>
      </w:r>
      <w:r w:rsidRPr="00643678">
        <w:rPr>
          <w:i/>
          <w:iCs/>
        </w:rPr>
        <w:t>Governing the Soul: The Shaping of the Private Self</w:t>
      </w:r>
      <w:r w:rsidR="00B035F9">
        <w:t xml:space="preserve"> 2</w:t>
      </w:r>
      <w:r w:rsidR="00B035F9" w:rsidRPr="00B035F9">
        <w:rPr>
          <w:vertAlign w:val="superscript"/>
        </w:rPr>
        <w:t>nd</w:t>
      </w:r>
      <w:r w:rsidR="00B035F9">
        <w:t xml:space="preserve"> ed</w:t>
      </w:r>
      <w:r w:rsidRPr="00643678">
        <w:t xml:space="preserve"> </w:t>
      </w:r>
      <w:r w:rsidR="00B035F9">
        <w:t>(</w:t>
      </w:r>
      <w:r w:rsidRPr="00643678">
        <w:t>London</w:t>
      </w:r>
      <w:r w:rsidR="00B035F9">
        <w:t>,</w:t>
      </w:r>
      <w:r w:rsidRPr="00643678">
        <w:t xml:space="preserve"> Free Association Boo</w:t>
      </w:r>
      <w:r w:rsidR="00B035F9">
        <w:t>ks)</w:t>
      </w:r>
      <w:r w:rsidRPr="00643678">
        <w:t>.</w:t>
      </w:r>
    </w:p>
    <w:p w14:paraId="60386FF1" w14:textId="4EDA8241" w:rsidR="00EE6338" w:rsidRPr="00643678" w:rsidRDefault="00EE6338" w:rsidP="00F910F2">
      <w:pPr>
        <w:ind w:left="720" w:hanging="720"/>
        <w:rPr>
          <w:bCs/>
        </w:rPr>
      </w:pPr>
      <w:r w:rsidRPr="00643678">
        <w:rPr>
          <w:bCs/>
        </w:rPr>
        <w:t xml:space="preserve">Rose, N. (1999b) </w:t>
      </w:r>
      <w:r w:rsidRPr="00643678">
        <w:rPr>
          <w:bCs/>
          <w:i/>
          <w:iCs/>
        </w:rPr>
        <w:t>Powers of Freedom: Reframing Political Thought</w:t>
      </w:r>
      <w:r w:rsidRPr="00643678">
        <w:rPr>
          <w:bCs/>
        </w:rPr>
        <w:t xml:space="preserve"> </w:t>
      </w:r>
      <w:r w:rsidR="00B035F9">
        <w:rPr>
          <w:bCs/>
        </w:rPr>
        <w:t>(</w:t>
      </w:r>
      <w:r w:rsidRPr="00643678">
        <w:rPr>
          <w:bCs/>
        </w:rPr>
        <w:t>Cambridge</w:t>
      </w:r>
      <w:r w:rsidR="00B035F9">
        <w:rPr>
          <w:bCs/>
        </w:rPr>
        <w:t>,</w:t>
      </w:r>
      <w:r w:rsidRPr="00643678">
        <w:rPr>
          <w:bCs/>
        </w:rPr>
        <w:t xml:space="preserve"> Cambridge University Press</w:t>
      </w:r>
      <w:r w:rsidR="00B035F9">
        <w:rPr>
          <w:bCs/>
        </w:rPr>
        <w:t>)</w:t>
      </w:r>
      <w:r w:rsidRPr="00643678">
        <w:rPr>
          <w:bCs/>
        </w:rPr>
        <w:t>.</w:t>
      </w:r>
    </w:p>
    <w:p w14:paraId="23B55CFC" w14:textId="7FD4748F" w:rsidR="00491046" w:rsidRPr="00643678" w:rsidRDefault="00491046" w:rsidP="00F910F2">
      <w:pPr>
        <w:ind w:left="720" w:hanging="720"/>
        <w:rPr>
          <w:bCs/>
        </w:rPr>
      </w:pPr>
      <w:r w:rsidRPr="00643678">
        <w:rPr>
          <w:bCs/>
        </w:rPr>
        <w:t>Rose, R. (2008)</w:t>
      </w:r>
      <w:r w:rsidR="0013255A" w:rsidRPr="00643678">
        <w:rPr>
          <w:bCs/>
        </w:rPr>
        <w:t xml:space="preserve"> Encouraging Engagement: an emerging role for </w:t>
      </w:r>
      <w:proofErr w:type="gramStart"/>
      <w:r w:rsidR="0013255A" w:rsidRPr="00643678">
        <w:rPr>
          <w:bCs/>
        </w:rPr>
        <w:t>school based</w:t>
      </w:r>
      <w:proofErr w:type="gramEnd"/>
      <w:r w:rsidR="0013255A" w:rsidRPr="00643678">
        <w:rPr>
          <w:bCs/>
        </w:rPr>
        <w:t xml:space="preserve"> family workers in English secondary schools</w:t>
      </w:r>
      <w:r w:rsidR="00B035F9">
        <w:rPr>
          <w:bCs/>
        </w:rPr>
        <w:t>,</w:t>
      </w:r>
      <w:r w:rsidRPr="00643678">
        <w:rPr>
          <w:bCs/>
        </w:rPr>
        <w:t xml:space="preserve"> </w:t>
      </w:r>
      <w:r w:rsidRPr="00643678">
        <w:rPr>
          <w:bCs/>
          <w:i/>
        </w:rPr>
        <w:t>The International Journal on School Disaffection</w:t>
      </w:r>
      <w:r w:rsidRPr="00643678">
        <w:rPr>
          <w:bCs/>
        </w:rPr>
        <w:t>, 6(1), 5-11.</w:t>
      </w:r>
    </w:p>
    <w:p w14:paraId="4B96E4BC" w14:textId="376DF40C" w:rsidR="00491046" w:rsidRPr="00643678" w:rsidRDefault="00491046" w:rsidP="00F910F2">
      <w:pPr>
        <w:ind w:left="720" w:hanging="720"/>
        <w:rPr>
          <w:bCs/>
        </w:rPr>
      </w:pPr>
      <w:r w:rsidRPr="00643678">
        <w:rPr>
          <w:bCs/>
        </w:rPr>
        <w:t>Sanders, M.G. (2008) How Parent Liaisons Can Help Bridge the Home-School Gap</w:t>
      </w:r>
      <w:r w:rsidR="00B035F9">
        <w:rPr>
          <w:bCs/>
        </w:rPr>
        <w:t>,</w:t>
      </w:r>
      <w:r w:rsidRPr="00643678">
        <w:rPr>
          <w:bCs/>
        </w:rPr>
        <w:t xml:space="preserve"> </w:t>
      </w:r>
      <w:r w:rsidRPr="00643678">
        <w:rPr>
          <w:bCs/>
          <w:i/>
        </w:rPr>
        <w:t>The Journal of Educational Research</w:t>
      </w:r>
      <w:r w:rsidRPr="00643678">
        <w:rPr>
          <w:bCs/>
        </w:rPr>
        <w:t>, 101(5), 287-298.</w:t>
      </w:r>
    </w:p>
    <w:p w14:paraId="60DF5E2C" w14:textId="37354741" w:rsidR="00F34A1D" w:rsidRDefault="00F34A1D" w:rsidP="00F910F2">
      <w:pPr>
        <w:ind w:left="720" w:hanging="720"/>
        <w:jc w:val="both"/>
      </w:pPr>
      <w:r>
        <w:t xml:space="preserve">Starkey, P. (2000) </w:t>
      </w:r>
      <w:r w:rsidRPr="008A469D">
        <w:rPr>
          <w:i/>
        </w:rPr>
        <w:t>Families and Social Workers: The work of Family Service Units 1940-1985</w:t>
      </w:r>
      <w:r>
        <w:t xml:space="preserve"> (Liverpool, Liverpool University Press).</w:t>
      </w:r>
    </w:p>
    <w:p w14:paraId="3198CEA9" w14:textId="6376D53D" w:rsidR="00EE6338" w:rsidRPr="00643678" w:rsidRDefault="00EE6338" w:rsidP="00F910F2">
      <w:pPr>
        <w:ind w:left="720" w:hanging="720"/>
        <w:jc w:val="both"/>
      </w:pPr>
      <w:proofErr w:type="spellStart"/>
      <w:r w:rsidRPr="00643678">
        <w:t>Strier</w:t>
      </w:r>
      <w:proofErr w:type="spellEnd"/>
      <w:r w:rsidRPr="00643678">
        <w:t>, M. &amp; Katz, H. (2016) Trust and parents’ involvement in schools of choice</w:t>
      </w:r>
      <w:r w:rsidR="00B035F9">
        <w:t>,</w:t>
      </w:r>
      <w:r w:rsidRPr="00643678">
        <w:t xml:space="preserve"> </w:t>
      </w:r>
      <w:r w:rsidRPr="00643678">
        <w:rPr>
          <w:i/>
        </w:rPr>
        <w:t>Educational Management Administration &amp; Leadership</w:t>
      </w:r>
      <w:r w:rsidRPr="00643678">
        <w:t>, 44(3), 363-379.</w:t>
      </w:r>
    </w:p>
    <w:p w14:paraId="6174A5BB" w14:textId="0467CB3E" w:rsidR="0073260A" w:rsidRDefault="0073260A" w:rsidP="00F910F2">
      <w:pPr>
        <w:ind w:left="720" w:hanging="720"/>
        <w:rPr>
          <w:bCs/>
        </w:rPr>
      </w:pPr>
      <w:bookmarkStart w:id="4" w:name="_Hlk484695750"/>
      <w:r>
        <w:rPr>
          <w:bCs/>
        </w:rPr>
        <w:t xml:space="preserve">Thaler, </w:t>
      </w:r>
      <w:r w:rsidR="00A93A4B">
        <w:rPr>
          <w:bCs/>
        </w:rPr>
        <w:t xml:space="preserve">R.H. &amp; Sunstein, C.R. (2009) </w:t>
      </w:r>
      <w:r w:rsidR="00A93A4B" w:rsidRPr="008A469D">
        <w:rPr>
          <w:bCs/>
          <w:i/>
        </w:rPr>
        <w:t>Nudge: Improving decisions about health, wealth</w:t>
      </w:r>
      <w:r w:rsidR="00A93A4B">
        <w:rPr>
          <w:bCs/>
          <w:i/>
        </w:rPr>
        <w:t>,</w:t>
      </w:r>
      <w:r w:rsidR="00A93A4B" w:rsidRPr="008A469D">
        <w:rPr>
          <w:bCs/>
          <w:i/>
        </w:rPr>
        <w:t xml:space="preserve"> and happiness</w:t>
      </w:r>
      <w:r w:rsidR="00A93A4B">
        <w:rPr>
          <w:bCs/>
        </w:rPr>
        <w:t xml:space="preserve"> (London, Penguin).</w:t>
      </w:r>
    </w:p>
    <w:p w14:paraId="15AA8B9A" w14:textId="3163EC80" w:rsidR="00EE6338" w:rsidRPr="00643678" w:rsidRDefault="00EE6338" w:rsidP="00F910F2">
      <w:pPr>
        <w:ind w:left="720" w:hanging="720"/>
        <w:rPr>
          <w:bCs/>
        </w:rPr>
      </w:pPr>
      <w:r w:rsidRPr="00643678">
        <w:rPr>
          <w:bCs/>
        </w:rPr>
        <w:t xml:space="preserve">Tyler, I. (2008) </w:t>
      </w:r>
      <w:bookmarkEnd w:id="4"/>
      <w:r w:rsidRPr="00643678">
        <w:rPr>
          <w:bCs/>
        </w:rPr>
        <w:t>Chav Mum Chav Scum</w:t>
      </w:r>
      <w:r w:rsidR="00B035F9">
        <w:rPr>
          <w:bCs/>
        </w:rPr>
        <w:t>,</w:t>
      </w:r>
      <w:r w:rsidRPr="00643678">
        <w:rPr>
          <w:bCs/>
        </w:rPr>
        <w:t xml:space="preserve"> </w:t>
      </w:r>
      <w:r w:rsidRPr="00643678">
        <w:rPr>
          <w:bCs/>
          <w:i/>
        </w:rPr>
        <w:t>Feminist Media Studies</w:t>
      </w:r>
      <w:r w:rsidRPr="00643678">
        <w:rPr>
          <w:bCs/>
        </w:rPr>
        <w:t>, 8(1), 17-34.</w:t>
      </w:r>
    </w:p>
    <w:p w14:paraId="6976D486" w14:textId="59A677EE" w:rsidR="00EE6338" w:rsidRPr="00643678" w:rsidRDefault="00EE6338" w:rsidP="00F910F2">
      <w:pPr>
        <w:ind w:left="720" w:hanging="720"/>
        <w:rPr>
          <w:bCs/>
        </w:rPr>
      </w:pPr>
      <w:r w:rsidRPr="00643678">
        <w:rPr>
          <w:bCs/>
        </w:rPr>
        <w:t xml:space="preserve">Vincent, C. (2012) </w:t>
      </w:r>
      <w:r w:rsidRPr="00643678">
        <w:rPr>
          <w:bCs/>
          <w:i/>
        </w:rPr>
        <w:t>Parenting: Responsibilities, risks and respect</w:t>
      </w:r>
      <w:r w:rsidRPr="00643678">
        <w:rPr>
          <w:bCs/>
        </w:rPr>
        <w:t xml:space="preserve"> </w:t>
      </w:r>
      <w:r w:rsidR="00B035F9">
        <w:rPr>
          <w:bCs/>
        </w:rPr>
        <w:t>(</w:t>
      </w:r>
      <w:r w:rsidRPr="00643678">
        <w:rPr>
          <w:bCs/>
        </w:rPr>
        <w:t>London</w:t>
      </w:r>
      <w:r w:rsidR="00B035F9">
        <w:rPr>
          <w:bCs/>
        </w:rPr>
        <w:t>,</w:t>
      </w:r>
      <w:r w:rsidRPr="00643678">
        <w:rPr>
          <w:bCs/>
        </w:rPr>
        <w:t xml:space="preserve"> Institute of Education</w:t>
      </w:r>
      <w:r w:rsidR="00B035F9">
        <w:rPr>
          <w:bCs/>
        </w:rPr>
        <w:t>)</w:t>
      </w:r>
      <w:r w:rsidRPr="00643678">
        <w:rPr>
          <w:bCs/>
        </w:rPr>
        <w:t>.</w:t>
      </w:r>
    </w:p>
    <w:p w14:paraId="0EC3F55F" w14:textId="32788BD9" w:rsidR="00EE6338" w:rsidRPr="00643678" w:rsidRDefault="00EE6338" w:rsidP="00F910F2">
      <w:pPr>
        <w:ind w:left="720" w:hanging="720"/>
        <w:rPr>
          <w:bCs/>
        </w:rPr>
      </w:pPr>
      <w:r w:rsidRPr="00643678">
        <w:rPr>
          <w:bCs/>
        </w:rPr>
        <w:t>Vincent, C. (2017) ‘The children have only got one education and you have to make sure it’s a good one’: parenting and parent-school relations in a neoliberal age</w:t>
      </w:r>
      <w:r w:rsidR="00B035F9">
        <w:rPr>
          <w:bCs/>
        </w:rPr>
        <w:t>,</w:t>
      </w:r>
      <w:r w:rsidRPr="00643678">
        <w:rPr>
          <w:bCs/>
        </w:rPr>
        <w:t xml:space="preserve"> </w:t>
      </w:r>
      <w:r w:rsidRPr="00643678">
        <w:rPr>
          <w:bCs/>
          <w:i/>
        </w:rPr>
        <w:t>Gender and Education</w:t>
      </w:r>
      <w:r w:rsidRPr="00643678">
        <w:rPr>
          <w:bCs/>
        </w:rPr>
        <w:t>, 29(5), 541-557.</w:t>
      </w:r>
    </w:p>
    <w:p w14:paraId="0EA8E514" w14:textId="05224A11" w:rsidR="00EE6338" w:rsidRPr="00643678" w:rsidRDefault="00EE6338" w:rsidP="00F910F2">
      <w:pPr>
        <w:ind w:left="720" w:hanging="720"/>
        <w:rPr>
          <w:bCs/>
        </w:rPr>
      </w:pPr>
      <w:r w:rsidRPr="00643678">
        <w:rPr>
          <w:bCs/>
        </w:rPr>
        <w:t>Vincent, C. &amp; Maxwell, C. (2016) Parenting Priorities and Pressures: Furthering Understanding of ‘Concerted Cultivation’</w:t>
      </w:r>
      <w:r w:rsidR="003F4612">
        <w:rPr>
          <w:bCs/>
        </w:rPr>
        <w:t>,</w:t>
      </w:r>
      <w:r w:rsidRPr="00643678">
        <w:rPr>
          <w:bCs/>
        </w:rPr>
        <w:t xml:space="preserve"> </w:t>
      </w:r>
      <w:r w:rsidRPr="00643678">
        <w:rPr>
          <w:bCs/>
          <w:i/>
        </w:rPr>
        <w:t>Discourse: Cultural Politics in Education</w:t>
      </w:r>
      <w:r w:rsidRPr="00643678">
        <w:rPr>
          <w:bCs/>
        </w:rPr>
        <w:t>, 37(2), 269-281</w:t>
      </w:r>
      <w:r w:rsidR="003F4612">
        <w:rPr>
          <w:bCs/>
        </w:rPr>
        <w:t>.</w:t>
      </w:r>
    </w:p>
    <w:p w14:paraId="021ED2AB" w14:textId="4828E21A" w:rsidR="00F34A1D" w:rsidRDefault="00F34A1D" w:rsidP="00F910F2">
      <w:pPr>
        <w:ind w:left="720" w:hanging="720"/>
      </w:pPr>
      <w:r w:rsidRPr="00F34A1D">
        <w:lastRenderedPageBreak/>
        <w:t xml:space="preserve">Wainwright, E. &amp; </w:t>
      </w:r>
      <w:proofErr w:type="spellStart"/>
      <w:r w:rsidRPr="00F34A1D">
        <w:t>Marandet</w:t>
      </w:r>
      <w:proofErr w:type="spellEnd"/>
      <w:r w:rsidRPr="00F34A1D">
        <w:t xml:space="preserve">, E. (2013) Family learning and the socio-spatial practice of ‘supportive’ power, </w:t>
      </w:r>
      <w:r w:rsidRPr="008A469D">
        <w:rPr>
          <w:i/>
        </w:rPr>
        <w:t>British Journal of Sociology of Sociology of Education</w:t>
      </w:r>
      <w:r w:rsidRPr="00F34A1D">
        <w:t>, 34(4), 504-524.</w:t>
      </w:r>
    </w:p>
    <w:p w14:paraId="2484ACB1" w14:textId="56291BDD" w:rsidR="008242E6" w:rsidRDefault="008242E6" w:rsidP="00F910F2">
      <w:pPr>
        <w:ind w:left="720" w:hanging="720"/>
      </w:pPr>
      <w:r>
        <w:t xml:space="preserve">Wainwright, E. </w:t>
      </w:r>
      <w:r w:rsidR="002C7292">
        <w:t>&amp;</w:t>
      </w:r>
      <w:r>
        <w:t xml:space="preserve"> </w:t>
      </w:r>
      <w:proofErr w:type="spellStart"/>
      <w:r>
        <w:t>Marandet</w:t>
      </w:r>
      <w:proofErr w:type="spellEnd"/>
      <w:r>
        <w:t>, E. (2017) Education, parenting and family: The social geographies of family learning</w:t>
      </w:r>
      <w:r w:rsidR="003F4612">
        <w:t>,</w:t>
      </w:r>
      <w:r>
        <w:t xml:space="preserve"> </w:t>
      </w:r>
      <w:r w:rsidRPr="008242E6">
        <w:rPr>
          <w:i/>
        </w:rPr>
        <w:t>British Educational Research Journal</w:t>
      </w:r>
      <w:r>
        <w:t>, 43(2), 213-229.</w:t>
      </w:r>
    </w:p>
    <w:p w14:paraId="497122F7" w14:textId="46EE6F28" w:rsidR="00EE6338" w:rsidRPr="0002676B" w:rsidRDefault="00EE6338" w:rsidP="00F910F2">
      <w:pPr>
        <w:ind w:left="720" w:hanging="720"/>
        <w:rPr>
          <w:bCs/>
        </w:rPr>
      </w:pPr>
      <w:r w:rsidRPr="00643678">
        <w:rPr>
          <w:bCs/>
        </w:rPr>
        <w:t xml:space="preserve">Welshman, J. (2013) </w:t>
      </w:r>
      <w:r w:rsidRPr="00643678">
        <w:rPr>
          <w:bCs/>
          <w:i/>
        </w:rPr>
        <w:t xml:space="preserve">Underclass: A history of the excluded since 1880 </w:t>
      </w:r>
      <w:r w:rsidR="003F4612">
        <w:rPr>
          <w:bCs/>
        </w:rPr>
        <w:t>2</w:t>
      </w:r>
      <w:r w:rsidR="003F4612" w:rsidRPr="003F4612">
        <w:rPr>
          <w:bCs/>
          <w:vertAlign w:val="superscript"/>
        </w:rPr>
        <w:t>nd</w:t>
      </w:r>
      <w:r w:rsidR="003F4612">
        <w:rPr>
          <w:bCs/>
        </w:rPr>
        <w:t xml:space="preserve"> ed (</w:t>
      </w:r>
      <w:r w:rsidRPr="00643678">
        <w:rPr>
          <w:bCs/>
        </w:rPr>
        <w:t>London</w:t>
      </w:r>
      <w:r w:rsidR="003F4612">
        <w:rPr>
          <w:bCs/>
        </w:rPr>
        <w:t>,</w:t>
      </w:r>
      <w:r w:rsidRPr="00643678">
        <w:rPr>
          <w:bCs/>
        </w:rPr>
        <w:t xml:space="preserve"> Bloomsbury</w:t>
      </w:r>
      <w:r w:rsidR="003F4612">
        <w:rPr>
          <w:bCs/>
        </w:rPr>
        <w:t>)</w:t>
      </w:r>
      <w:r w:rsidRPr="00643678">
        <w:rPr>
          <w:bCs/>
        </w:rPr>
        <w:t>.</w:t>
      </w:r>
    </w:p>
    <w:p w14:paraId="7383989A" w14:textId="77777777" w:rsidR="00EE6338" w:rsidRDefault="00EE6338" w:rsidP="00F910F2"/>
    <w:p w14:paraId="3E01767D" w14:textId="592B763F" w:rsidR="003C3D5D" w:rsidRDefault="003C3D5D" w:rsidP="00F910F2">
      <w:pPr>
        <w:jc w:val="both"/>
      </w:pPr>
    </w:p>
    <w:p w14:paraId="73642ABF" w14:textId="77777777" w:rsidR="003C3D5D" w:rsidRDefault="003C3D5D" w:rsidP="00F910F2">
      <w:pPr>
        <w:jc w:val="both"/>
      </w:pPr>
    </w:p>
    <w:p w14:paraId="1EBC05CC" w14:textId="2E373801" w:rsidR="007D3F40" w:rsidRDefault="007D3F40" w:rsidP="00F910F2">
      <w:pPr>
        <w:jc w:val="both"/>
      </w:pPr>
    </w:p>
    <w:p w14:paraId="176C507D" w14:textId="315881E2" w:rsidR="007D3F40" w:rsidRDefault="007D3F40" w:rsidP="00F910F2">
      <w:pPr>
        <w:jc w:val="both"/>
      </w:pPr>
    </w:p>
    <w:p w14:paraId="2B7B96F7" w14:textId="3F5B4FBB" w:rsidR="007D3F40" w:rsidRDefault="007D3F40" w:rsidP="00F910F2">
      <w:pPr>
        <w:jc w:val="both"/>
      </w:pPr>
    </w:p>
    <w:p w14:paraId="2D0E9625" w14:textId="23A2E1C9" w:rsidR="007D3F40" w:rsidRDefault="007D3F40" w:rsidP="00F910F2">
      <w:pPr>
        <w:jc w:val="both"/>
      </w:pPr>
    </w:p>
    <w:p w14:paraId="3ABC956A" w14:textId="6FBCE297" w:rsidR="007D3F40" w:rsidRDefault="007D3F40" w:rsidP="00F910F2">
      <w:pPr>
        <w:jc w:val="both"/>
      </w:pPr>
    </w:p>
    <w:p w14:paraId="3C4DA7F4" w14:textId="0A31011A" w:rsidR="007D3F40" w:rsidRDefault="007D3F40" w:rsidP="00F910F2">
      <w:pPr>
        <w:jc w:val="both"/>
      </w:pPr>
    </w:p>
    <w:p w14:paraId="65CF4C24" w14:textId="77777777" w:rsidR="007D3F40" w:rsidRDefault="007D3F40" w:rsidP="00F910F2">
      <w:pPr>
        <w:jc w:val="both"/>
      </w:pPr>
    </w:p>
    <w:sectPr w:rsidR="007D3F4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69840" w14:textId="77777777" w:rsidR="00164979" w:rsidRDefault="00164979" w:rsidP="007D3F40">
      <w:r>
        <w:separator/>
      </w:r>
    </w:p>
  </w:endnote>
  <w:endnote w:type="continuationSeparator" w:id="0">
    <w:p w14:paraId="33954295" w14:textId="77777777" w:rsidR="00164979" w:rsidRDefault="00164979" w:rsidP="007D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BAAC" w14:textId="77777777" w:rsidR="000F669C" w:rsidRDefault="000F6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384662"/>
      <w:docPartObj>
        <w:docPartGallery w:val="Page Numbers (Bottom of Page)"/>
        <w:docPartUnique/>
      </w:docPartObj>
    </w:sdtPr>
    <w:sdtEndPr>
      <w:rPr>
        <w:noProof/>
      </w:rPr>
    </w:sdtEndPr>
    <w:sdtContent>
      <w:p w14:paraId="2C0419A7" w14:textId="5382DB40" w:rsidR="00BC3E6E" w:rsidRDefault="00BC3E6E">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E6690A3" w14:textId="77777777" w:rsidR="00BC3E6E" w:rsidRDefault="00BC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691E" w14:textId="77777777" w:rsidR="000F669C" w:rsidRDefault="000F6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43869" w14:textId="77777777" w:rsidR="00164979" w:rsidRDefault="00164979" w:rsidP="007D3F40">
      <w:r>
        <w:separator/>
      </w:r>
    </w:p>
  </w:footnote>
  <w:footnote w:type="continuationSeparator" w:id="0">
    <w:p w14:paraId="5A9FB584" w14:textId="77777777" w:rsidR="00164979" w:rsidRDefault="00164979" w:rsidP="007D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BADEC" w14:textId="77777777" w:rsidR="000F669C" w:rsidRDefault="000F6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C502" w14:textId="5547B8AF" w:rsidR="000F669C" w:rsidRPr="00AB168C" w:rsidRDefault="00AB168C" w:rsidP="00AB168C">
    <w:pPr>
      <w:pStyle w:val="Header"/>
    </w:pPr>
    <w:r>
      <w:rPr>
        <w:rFonts w:ascii="Trebuchet MS" w:hAnsi="Trebuchet MS"/>
        <w:bCs/>
        <w:iCs/>
        <w:color w:val="333333"/>
        <w:sz w:val="16"/>
        <w:szCs w:val="21"/>
        <w:shd w:val="clear" w:color="auto" w:fill="FFFFFF"/>
      </w:rPr>
      <w:t xml:space="preserve">This is the </w:t>
    </w:r>
    <w:r>
      <w:rPr>
        <w:rFonts w:ascii="Trebuchet MS" w:hAnsi="Trebuchet MS"/>
        <w:bCs/>
        <w:iCs/>
        <w:color w:val="333333"/>
        <w:sz w:val="16"/>
        <w:szCs w:val="21"/>
        <w:shd w:val="clear" w:color="auto" w:fill="FFFFFF"/>
      </w:rPr>
      <w:t>accepted</w:t>
    </w:r>
    <w:bookmarkStart w:id="5" w:name="_GoBack"/>
    <w:bookmarkEnd w:id="5"/>
    <w:r>
      <w:rPr>
        <w:rFonts w:ascii="Trebuchet MS" w:hAnsi="Trebuchet MS"/>
        <w:bCs/>
        <w:iCs/>
        <w:color w:val="333333"/>
        <w:sz w:val="16"/>
        <w:szCs w:val="21"/>
        <w:shd w:val="clear" w:color="auto" w:fill="FFFFFF"/>
      </w:rPr>
      <w:t xml:space="preserve"> version of the article, which has been published in final form at </w:t>
    </w:r>
    <w:hyperlink r:id="rId1" w:history="1">
      <w:r>
        <w:rPr>
          <w:rStyle w:val="Hyperlink"/>
          <w:rFonts w:ascii="Trebuchet MS" w:hAnsi="Trebuchet MS"/>
          <w:bCs/>
          <w:iCs/>
          <w:sz w:val="16"/>
          <w:szCs w:val="21"/>
          <w:shd w:val="clear" w:color="auto" w:fill="FFFFFF"/>
        </w:rPr>
        <w:t>DOI:10.1002/berj.3478</w:t>
      </w:r>
    </w:hyperlink>
    <w:r>
      <w:rPr>
        <w:rFonts w:ascii="Trebuchet MS" w:hAnsi="Trebuchet MS"/>
        <w:bCs/>
        <w:iCs/>
        <w:color w:val="333333"/>
        <w:sz w:val="16"/>
        <w:szCs w:val="21"/>
        <w:shd w:val="clear" w:color="auto" w:fill="FFFFF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CD60" w14:textId="77777777" w:rsidR="000F669C" w:rsidRDefault="000F6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273A"/>
    <w:multiLevelType w:val="hybridMultilevel"/>
    <w:tmpl w:val="3C9EF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377F68"/>
    <w:multiLevelType w:val="hybridMultilevel"/>
    <w:tmpl w:val="0FE4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E10F5A"/>
    <w:multiLevelType w:val="hybridMultilevel"/>
    <w:tmpl w:val="30F44746"/>
    <w:lvl w:ilvl="0" w:tplc="399C7F2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12"/>
    <w:rsid w:val="0000230B"/>
    <w:rsid w:val="00003071"/>
    <w:rsid w:val="00003915"/>
    <w:rsid w:val="00006AA2"/>
    <w:rsid w:val="00006E38"/>
    <w:rsid w:val="000115D4"/>
    <w:rsid w:val="000133BE"/>
    <w:rsid w:val="00013CE4"/>
    <w:rsid w:val="00015FF4"/>
    <w:rsid w:val="00016244"/>
    <w:rsid w:val="000166B4"/>
    <w:rsid w:val="00022284"/>
    <w:rsid w:val="000238AB"/>
    <w:rsid w:val="00023912"/>
    <w:rsid w:val="00024E5D"/>
    <w:rsid w:val="0002533B"/>
    <w:rsid w:val="0002676B"/>
    <w:rsid w:val="00030FCA"/>
    <w:rsid w:val="00034027"/>
    <w:rsid w:val="00035E25"/>
    <w:rsid w:val="00041F66"/>
    <w:rsid w:val="000461E6"/>
    <w:rsid w:val="00046319"/>
    <w:rsid w:val="00051CC4"/>
    <w:rsid w:val="00053A31"/>
    <w:rsid w:val="00054E3A"/>
    <w:rsid w:val="000613A2"/>
    <w:rsid w:val="0006305D"/>
    <w:rsid w:val="00070426"/>
    <w:rsid w:val="0007306E"/>
    <w:rsid w:val="00080DD7"/>
    <w:rsid w:val="000A0A13"/>
    <w:rsid w:val="000A2785"/>
    <w:rsid w:val="000A3B55"/>
    <w:rsid w:val="000A683B"/>
    <w:rsid w:val="000B012F"/>
    <w:rsid w:val="000B1542"/>
    <w:rsid w:val="000B2EEB"/>
    <w:rsid w:val="000B3F86"/>
    <w:rsid w:val="000C439F"/>
    <w:rsid w:val="000C4E16"/>
    <w:rsid w:val="000D2C61"/>
    <w:rsid w:val="000D39BF"/>
    <w:rsid w:val="000D663C"/>
    <w:rsid w:val="000E00EC"/>
    <w:rsid w:val="000E3FB9"/>
    <w:rsid w:val="000E6712"/>
    <w:rsid w:val="000F0542"/>
    <w:rsid w:val="000F1C5A"/>
    <w:rsid w:val="000F29A3"/>
    <w:rsid w:val="000F2C00"/>
    <w:rsid w:val="000F30DC"/>
    <w:rsid w:val="000F5A01"/>
    <w:rsid w:val="000F669C"/>
    <w:rsid w:val="000F68D8"/>
    <w:rsid w:val="001024E6"/>
    <w:rsid w:val="00102BA4"/>
    <w:rsid w:val="00107BA1"/>
    <w:rsid w:val="001105CA"/>
    <w:rsid w:val="00115521"/>
    <w:rsid w:val="001161C3"/>
    <w:rsid w:val="00126730"/>
    <w:rsid w:val="0012707F"/>
    <w:rsid w:val="0013255A"/>
    <w:rsid w:val="00137CAF"/>
    <w:rsid w:val="001403C3"/>
    <w:rsid w:val="001416D4"/>
    <w:rsid w:val="001473E3"/>
    <w:rsid w:val="00152C57"/>
    <w:rsid w:val="00154068"/>
    <w:rsid w:val="001558E5"/>
    <w:rsid w:val="00155980"/>
    <w:rsid w:val="00157AAD"/>
    <w:rsid w:val="00161C62"/>
    <w:rsid w:val="00164979"/>
    <w:rsid w:val="00165F17"/>
    <w:rsid w:val="00166478"/>
    <w:rsid w:val="001811DA"/>
    <w:rsid w:val="00186D45"/>
    <w:rsid w:val="0019120F"/>
    <w:rsid w:val="00192028"/>
    <w:rsid w:val="0019324B"/>
    <w:rsid w:val="0019483F"/>
    <w:rsid w:val="001B0BE3"/>
    <w:rsid w:val="001B2579"/>
    <w:rsid w:val="001B28F8"/>
    <w:rsid w:val="001B5CFD"/>
    <w:rsid w:val="001C2731"/>
    <w:rsid w:val="001C401F"/>
    <w:rsid w:val="001D1AF5"/>
    <w:rsid w:val="001D524F"/>
    <w:rsid w:val="001D7581"/>
    <w:rsid w:val="001D78C1"/>
    <w:rsid w:val="001E0A9A"/>
    <w:rsid w:val="001E3BBB"/>
    <w:rsid w:val="001E754F"/>
    <w:rsid w:val="001F014B"/>
    <w:rsid w:val="001F11D5"/>
    <w:rsid w:val="001F26AA"/>
    <w:rsid w:val="001F48B4"/>
    <w:rsid w:val="001F593C"/>
    <w:rsid w:val="0020003F"/>
    <w:rsid w:val="002018B4"/>
    <w:rsid w:val="0020297D"/>
    <w:rsid w:val="002101C9"/>
    <w:rsid w:val="00211765"/>
    <w:rsid w:val="002136B8"/>
    <w:rsid w:val="0021387C"/>
    <w:rsid w:val="0021399E"/>
    <w:rsid w:val="00215469"/>
    <w:rsid w:val="00215D12"/>
    <w:rsid w:val="002365E8"/>
    <w:rsid w:val="00241791"/>
    <w:rsid w:val="0024423C"/>
    <w:rsid w:val="00244F37"/>
    <w:rsid w:val="002461AA"/>
    <w:rsid w:val="00250816"/>
    <w:rsid w:val="002518F0"/>
    <w:rsid w:val="00252A92"/>
    <w:rsid w:val="00253539"/>
    <w:rsid w:val="0025592E"/>
    <w:rsid w:val="00257EB3"/>
    <w:rsid w:val="00263E40"/>
    <w:rsid w:val="00271C43"/>
    <w:rsid w:val="00273A1E"/>
    <w:rsid w:val="00273C70"/>
    <w:rsid w:val="00276EF8"/>
    <w:rsid w:val="00277571"/>
    <w:rsid w:val="00282AFD"/>
    <w:rsid w:val="0028318B"/>
    <w:rsid w:val="002845C8"/>
    <w:rsid w:val="002913B5"/>
    <w:rsid w:val="0029153B"/>
    <w:rsid w:val="00291973"/>
    <w:rsid w:val="002951F8"/>
    <w:rsid w:val="0029635D"/>
    <w:rsid w:val="002A2829"/>
    <w:rsid w:val="002A2C38"/>
    <w:rsid w:val="002B7B8C"/>
    <w:rsid w:val="002C0D06"/>
    <w:rsid w:val="002C46BF"/>
    <w:rsid w:val="002C6DEE"/>
    <w:rsid w:val="002C7292"/>
    <w:rsid w:val="002C778C"/>
    <w:rsid w:val="002D2316"/>
    <w:rsid w:val="002D30BB"/>
    <w:rsid w:val="002D3E0B"/>
    <w:rsid w:val="002D60E7"/>
    <w:rsid w:val="002E1D62"/>
    <w:rsid w:val="002E3F2F"/>
    <w:rsid w:val="002E45DB"/>
    <w:rsid w:val="002F35B1"/>
    <w:rsid w:val="00301F84"/>
    <w:rsid w:val="00302A45"/>
    <w:rsid w:val="00303868"/>
    <w:rsid w:val="00304FC2"/>
    <w:rsid w:val="0030635E"/>
    <w:rsid w:val="0031384F"/>
    <w:rsid w:val="00316A08"/>
    <w:rsid w:val="003214E7"/>
    <w:rsid w:val="003278CF"/>
    <w:rsid w:val="00327B9F"/>
    <w:rsid w:val="00331575"/>
    <w:rsid w:val="00331D74"/>
    <w:rsid w:val="00332146"/>
    <w:rsid w:val="0033368E"/>
    <w:rsid w:val="00335245"/>
    <w:rsid w:val="003353D5"/>
    <w:rsid w:val="00345A93"/>
    <w:rsid w:val="003525B6"/>
    <w:rsid w:val="0035260C"/>
    <w:rsid w:val="003528B5"/>
    <w:rsid w:val="00355E1A"/>
    <w:rsid w:val="0035691F"/>
    <w:rsid w:val="00363A1F"/>
    <w:rsid w:val="0036632A"/>
    <w:rsid w:val="00366A19"/>
    <w:rsid w:val="00366CEF"/>
    <w:rsid w:val="00367C36"/>
    <w:rsid w:val="00372F0E"/>
    <w:rsid w:val="00386BFD"/>
    <w:rsid w:val="00390BCE"/>
    <w:rsid w:val="00390F91"/>
    <w:rsid w:val="0039491E"/>
    <w:rsid w:val="00394939"/>
    <w:rsid w:val="003960FB"/>
    <w:rsid w:val="003A1A04"/>
    <w:rsid w:val="003A3B3E"/>
    <w:rsid w:val="003A53AF"/>
    <w:rsid w:val="003A542F"/>
    <w:rsid w:val="003A5F6E"/>
    <w:rsid w:val="003A61FC"/>
    <w:rsid w:val="003B04E9"/>
    <w:rsid w:val="003B296D"/>
    <w:rsid w:val="003B2C9E"/>
    <w:rsid w:val="003B5C35"/>
    <w:rsid w:val="003B65DE"/>
    <w:rsid w:val="003B7CE3"/>
    <w:rsid w:val="003B7EC8"/>
    <w:rsid w:val="003C1537"/>
    <w:rsid w:val="003C3D5D"/>
    <w:rsid w:val="003C5061"/>
    <w:rsid w:val="003D5BFE"/>
    <w:rsid w:val="003E0FE2"/>
    <w:rsid w:val="003E4D07"/>
    <w:rsid w:val="003E6569"/>
    <w:rsid w:val="003E703C"/>
    <w:rsid w:val="003F3B5E"/>
    <w:rsid w:val="003F4612"/>
    <w:rsid w:val="00400586"/>
    <w:rsid w:val="00401D4C"/>
    <w:rsid w:val="00407C1D"/>
    <w:rsid w:val="004133B2"/>
    <w:rsid w:val="00421ED2"/>
    <w:rsid w:val="00423930"/>
    <w:rsid w:val="00425EF9"/>
    <w:rsid w:val="004352DE"/>
    <w:rsid w:val="00436D2D"/>
    <w:rsid w:val="004443FD"/>
    <w:rsid w:val="00451265"/>
    <w:rsid w:val="004549A7"/>
    <w:rsid w:val="004600F9"/>
    <w:rsid w:val="0046595E"/>
    <w:rsid w:val="004715FB"/>
    <w:rsid w:val="00475653"/>
    <w:rsid w:val="0047714C"/>
    <w:rsid w:val="00484A76"/>
    <w:rsid w:val="00485127"/>
    <w:rsid w:val="004851B8"/>
    <w:rsid w:val="004854FA"/>
    <w:rsid w:val="00490145"/>
    <w:rsid w:val="00491046"/>
    <w:rsid w:val="0049239F"/>
    <w:rsid w:val="00492C84"/>
    <w:rsid w:val="00493FF9"/>
    <w:rsid w:val="004A0D73"/>
    <w:rsid w:val="004A0EB3"/>
    <w:rsid w:val="004A1522"/>
    <w:rsid w:val="004A5A01"/>
    <w:rsid w:val="004B26BC"/>
    <w:rsid w:val="004B4573"/>
    <w:rsid w:val="004B46AD"/>
    <w:rsid w:val="004B4F39"/>
    <w:rsid w:val="004B575A"/>
    <w:rsid w:val="004C2AC3"/>
    <w:rsid w:val="004C41CE"/>
    <w:rsid w:val="004D4525"/>
    <w:rsid w:val="004E165F"/>
    <w:rsid w:val="004E1EB0"/>
    <w:rsid w:val="004E4523"/>
    <w:rsid w:val="004E5A69"/>
    <w:rsid w:val="004E6220"/>
    <w:rsid w:val="004E6999"/>
    <w:rsid w:val="004F26F9"/>
    <w:rsid w:val="004F38A8"/>
    <w:rsid w:val="005008CA"/>
    <w:rsid w:val="00500949"/>
    <w:rsid w:val="0050131A"/>
    <w:rsid w:val="00504610"/>
    <w:rsid w:val="00506A12"/>
    <w:rsid w:val="0050787F"/>
    <w:rsid w:val="005122D6"/>
    <w:rsid w:val="005131A8"/>
    <w:rsid w:val="00515951"/>
    <w:rsid w:val="00516ECF"/>
    <w:rsid w:val="0052126F"/>
    <w:rsid w:val="00521CAB"/>
    <w:rsid w:val="00522C79"/>
    <w:rsid w:val="00523777"/>
    <w:rsid w:val="005252B4"/>
    <w:rsid w:val="00526519"/>
    <w:rsid w:val="0053233D"/>
    <w:rsid w:val="00533F19"/>
    <w:rsid w:val="00536C02"/>
    <w:rsid w:val="00540ABD"/>
    <w:rsid w:val="00540F97"/>
    <w:rsid w:val="00542DBC"/>
    <w:rsid w:val="00543189"/>
    <w:rsid w:val="0054344D"/>
    <w:rsid w:val="00543DE4"/>
    <w:rsid w:val="00550539"/>
    <w:rsid w:val="005519E7"/>
    <w:rsid w:val="00555023"/>
    <w:rsid w:val="00556270"/>
    <w:rsid w:val="00561465"/>
    <w:rsid w:val="00562EBF"/>
    <w:rsid w:val="005747B5"/>
    <w:rsid w:val="0057518E"/>
    <w:rsid w:val="00576457"/>
    <w:rsid w:val="0057739C"/>
    <w:rsid w:val="005814E2"/>
    <w:rsid w:val="0058167A"/>
    <w:rsid w:val="00581BF5"/>
    <w:rsid w:val="005842EE"/>
    <w:rsid w:val="0058606E"/>
    <w:rsid w:val="00592E78"/>
    <w:rsid w:val="00594F2A"/>
    <w:rsid w:val="0059629F"/>
    <w:rsid w:val="005A4A18"/>
    <w:rsid w:val="005A5309"/>
    <w:rsid w:val="005A6CFE"/>
    <w:rsid w:val="005C50BC"/>
    <w:rsid w:val="005C711D"/>
    <w:rsid w:val="005C7AA3"/>
    <w:rsid w:val="005D75AC"/>
    <w:rsid w:val="005E0E4B"/>
    <w:rsid w:val="005F131E"/>
    <w:rsid w:val="005F25F3"/>
    <w:rsid w:val="005F522B"/>
    <w:rsid w:val="005F63AD"/>
    <w:rsid w:val="00602BD2"/>
    <w:rsid w:val="006067C5"/>
    <w:rsid w:val="00607684"/>
    <w:rsid w:val="0061050B"/>
    <w:rsid w:val="0061065D"/>
    <w:rsid w:val="00611FBA"/>
    <w:rsid w:val="00613B2B"/>
    <w:rsid w:val="0062073E"/>
    <w:rsid w:val="00624C04"/>
    <w:rsid w:val="00630000"/>
    <w:rsid w:val="00641561"/>
    <w:rsid w:val="00643678"/>
    <w:rsid w:val="00643CE1"/>
    <w:rsid w:val="00643DB8"/>
    <w:rsid w:val="00644299"/>
    <w:rsid w:val="00645F37"/>
    <w:rsid w:val="00650B53"/>
    <w:rsid w:val="00652846"/>
    <w:rsid w:val="00653403"/>
    <w:rsid w:val="006546F1"/>
    <w:rsid w:val="00657433"/>
    <w:rsid w:val="00660EDE"/>
    <w:rsid w:val="00664773"/>
    <w:rsid w:val="00666DB8"/>
    <w:rsid w:val="00666F41"/>
    <w:rsid w:val="00677074"/>
    <w:rsid w:val="00677BAB"/>
    <w:rsid w:val="00684768"/>
    <w:rsid w:val="006901E9"/>
    <w:rsid w:val="00690F48"/>
    <w:rsid w:val="00692EE5"/>
    <w:rsid w:val="006961A4"/>
    <w:rsid w:val="006A4B13"/>
    <w:rsid w:val="006A52D6"/>
    <w:rsid w:val="006A7A57"/>
    <w:rsid w:val="006A7CE6"/>
    <w:rsid w:val="006B05AA"/>
    <w:rsid w:val="006B0A02"/>
    <w:rsid w:val="006B134C"/>
    <w:rsid w:val="006C37BC"/>
    <w:rsid w:val="006E1046"/>
    <w:rsid w:val="006E31E9"/>
    <w:rsid w:val="006E3CA4"/>
    <w:rsid w:val="006E668D"/>
    <w:rsid w:val="006E7354"/>
    <w:rsid w:val="006F4527"/>
    <w:rsid w:val="006F6A04"/>
    <w:rsid w:val="00703933"/>
    <w:rsid w:val="0070551D"/>
    <w:rsid w:val="007078F8"/>
    <w:rsid w:val="007204B3"/>
    <w:rsid w:val="00722E36"/>
    <w:rsid w:val="0072577B"/>
    <w:rsid w:val="0072661F"/>
    <w:rsid w:val="0073242B"/>
    <w:rsid w:val="0073260A"/>
    <w:rsid w:val="00734324"/>
    <w:rsid w:val="0073436D"/>
    <w:rsid w:val="00735B29"/>
    <w:rsid w:val="00735E95"/>
    <w:rsid w:val="00741903"/>
    <w:rsid w:val="00743AA3"/>
    <w:rsid w:val="007454FF"/>
    <w:rsid w:val="00745DF9"/>
    <w:rsid w:val="00745EE9"/>
    <w:rsid w:val="00751D84"/>
    <w:rsid w:val="00752099"/>
    <w:rsid w:val="007523D7"/>
    <w:rsid w:val="00754139"/>
    <w:rsid w:val="007546C3"/>
    <w:rsid w:val="00770F65"/>
    <w:rsid w:val="00775055"/>
    <w:rsid w:val="0078080F"/>
    <w:rsid w:val="007A174F"/>
    <w:rsid w:val="007B2C96"/>
    <w:rsid w:val="007B5CD5"/>
    <w:rsid w:val="007C33FD"/>
    <w:rsid w:val="007C527F"/>
    <w:rsid w:val="007C5D11"/>
    <w:rsid w:val="007C67A1"/>
    <w:rsid w:val="007C7511"/>
    <w:rsid w:val="007D13F9"/>
    <w:rsid w:val="007D252F"/>
    <w:rsid w:val="007D357C"/>
    <w:rsid w:val="007D3F40"/>
    <w:rsid w:val="007D6A93"/>
    <w:rsid w:val="007D6EE2"/>
    <w:rsid w:val="007D77C2"/>
    <w:rsid w:val="007E0776"/>
    <w:rsid w:val="008002CB"/>
    <w:rsid w:val="00803078"/>
    <w:rsid w:val="00807A43"/>
    <w:rsid w:val="0081383D"/>
    <w:rsid w:val="008139E3"/>
    <w:rsid w:val="00814412"/>
    <w:rsid w:val="008156A6"/>
    <w:rsid w:val="00815C48"/>
    <w:rsid w:val="00820F20"/>
    <w:rsid w:val="008242E6"/>
    <w:rsid w:val="008266EB"/>
    <w:rsid w:val="00826941"/>
    <w:rsid w:val="008278D5"/>
    <w:rsid w:val="00833C6E"/>
    <w:rsid w:val="00837179"/>
    <w:rsid w:val="00851A09"/>
    <w:rsid w:val="00855B5E"/>
    <w:rsid w:val="00855E7B"/>
    <w:rsid w:val="008628DF"/>
    <w:rsid w:val="00865DE2"/>
    <w:rsid w:val="00867148"/>
    <w:rsid w:val="00867DCE"/>
    <w:rsid w:val="00870AA2"/>
    <w:rsid w:val="0087297E"/>
    <w:rsid w:val="0088037F"/>
    <w:rsid w:val="00882BAF"/>
    <w:rsid w:val="00886A33"/>
    <w:rsid w:val="00886BC0"/>
    <w:rsid w:val="00893176"/>
    <w:rsid w:val="008A469D"/>
    <w:rsid w:val="008A4ECE"/>
    <w:rsid w:val="008A73FE"/>
    <w:rsid w:val="008B42BA"/>
    <w:rsid w:val="008C10C7"/>
    <w:rsid w:val="008C14B4"/>
    <w:rsid w:val="008D01C6"/>
    <w:rsid w:val="008D0B2E"/>
    <w:rsid w:val="008D14F9"/>
    <w:rsid w:val="008D41E6"/>
    <w:rsid w:val="008D46F8"/>
    <w:rsid w:val="008D6ED0"/>
    <w:rsid w:val="008F2C4F"/>
    <w:rsid w:val="008F3011"/>
    <w:rsid w:val="008F5642"/>
    <w:rsid w:val="008F61E3"/>
    <w:rsid w:val="008F67A1"/>
    <w:rsid w:val="00902571"/>
    <w:rsid w:val="009047F6"/>
    <w:rsid w:val="0091035E"/>
    <w:rsid w:val="00911B13"/>
    <w:rsid w:val="00914DFF"/>
    <w:rsid w:val="00923310"/>
    <w:rsid w:val="00923561"/>
    <w:rsid w:val="00924014"/>
    <w:rsid w:val="00926CB0"/>
    <w:rsid w:val="00931FEC"/>
    <w:rsid w:val="00933347"/>
    <w:rsid w:val="00937110"/>
    <w:rsid w:val="0094043B"/>
    <w:rsid w:val="00946836"/>
    <w:rsid w:val="00951397"/>
    <w:rsid w:val="009530B9"/>
    <w:rsid w:val="00955D18"/>
    <w:rsid w:val="00963B94"/>
    <w:rsid w:val="009647D8"/>
    <w:rsid w:val="00965791"/>
    <w:rsid w:val="009670ED"/>
    <w:rsid w:val="00972106"/>
    <w:rsid w:val="00973158"/>
    <w:rsid w:val="0097386E"/>
    <w:rsid w:val="00973D1B"/>
    <w:rsid w:val="00974208"/>
    <w:rsid w:val="0097553F"/>
    <w:rsid w:val="0099174B"/>
    <w:rsid w:val="00994620"/>
    <w:rsid w:val="00995458"/>
    <w:rsid w:val="009955FD"/>
    <w:rsid w:val="009973FA"/>
    <w:rsid w:val="009A210B"/>
    <w:rsid w:val="009A242E"/>
    <w:rsid w:val="009A306A"/>
    <w:rsid w:val="009A45A9"/>
    <w:rsid w:val="009D06EA"/>
    <w:rsid w:val="009D1594"/>
    <w:rsid w:val="009D2E05"/>
    <w:rsid w:val="009D3805"/>
    <w:rsid w:val="009D436D"/>
    <w:rsid w:val="009D4765"/>
    <w:rsid w:val="009D57A4"/>
    <w:rsid w:val="009D5DCA"/>
    <w:rsid w:val="009F5F39"/>
    <w:rsid w:val="00A01948"/>
    <w:rsid w:val="00A0479F"/>
    <w:rsid w:val="00A05C04"/>
    <w:rsid w:val="00A06AE5"/>
    <w:rsid w:val="00A1240B"/>
    <w:rsid w:val="00A13349"/>
    <w:rsid w:val="00A144FC"/>
    <w:rsid w:val="00A16048"/>
    <w:rsid w:val="00A178B5"/>
    <w:rsid w:val="00A212B5"/>
    <w:rsid w:val="00A21FC4"/>
    <w:rsid w:val="00A27481"/>
    <w:rsid w:val="00A3304C"/>
    <w:rsid w:val="00A33B19"/>
    <w:rsid w:val="00A34ABC"/>
    <w:rsid w:val="00A36634"/>
    <w:rsid w:val="00A37030"/>
    <w:rsid w:val="00A442A3"/>
    <w:rsid w:val="00A450CC"/>
    <w:rsid w:val="00A4656F"/>
    <w:rsid w:val="00A510BD"/>
    <w:rsid w:val="00A54082"/>
    <w:rsid w:val="00A562AA"/>
    <w:rsid w:val="00A60E7B"/>
    <w:rsid w:val="00A61331"/>
    <w:rsid w:val="00A61ED9"/>
    <w:rsid w:val="00A648FB"/>
    <w:rsid w:val="00A66206"/>
    <w:rsid w:val="00A7162E"/>
    <w:rsid w:val="00A77769"/>
    <w:rsid w:val="00A80BBC"/>
    <w:rsid w:val="00A81E6E"/>
    <w:rsid w:val="00A830B5"/>
    <w:rsid w:val="00A83E1A"/>
    <w:rsid w:val="00A85790"/>
    <w:rsid w:val="00A91610"/>
    <w:rsid w:val="00A9264D"/>
    <w:rsid w:val="00A932F5"/>
    <w:rsid w:val="00A93A4B"/>
    <w:rsid w:val="00A949E0"/>
    <w:rsid w:val="00A970E9"/>
    <w:rsid w:val="00AA02D9"/>
    <w:rsid w:val="00AA2014"/>
    <w:rsid w:val="00AA4A17"/>
    <w:rsid w:val="00AA6876"/>
    <w:rsid w:val="00AB168C"/>
    <w:rsid w:val="00AB42C1"/>
    <w:rsid w:val="00AB53F6"/>
    <w:rsid w:val="00AB73FB"/>
    <w:rsid w:val="00AC0FAD"/>
    <w:rsid w:val="00AC3E6F"/>
    <w:rsid w:val="00AC7625"/>
    <w:rsid w:val="00AD33F1"/>
    <w:rsid w:val="00AD4762"/>
    <w:rsid w:val="00AE0EB8"/>
    <w:rsid w:val="00AE390F"/>
    <w:rsid w:val="00AE3918"/>
    <w:rsid w:val="00AE57E3"/>
    <w:rsid w:val="00AE7D87"/>
    <w:rsid w:val="00AF3275"/>
    <w:rsid w:val="00AF60CF"/>
    <w:rsid w:val="00B03400"/>
    <w:rsid w:val="00B035F9"/>
    <w:rsid w:val="00B064DD"/>
    <w:rsid w:val="00B133A7"/>
    <w:rsid w:val="00B1519E"/>
    <w:rsid w:val="00B217D5"/>
    <w:rsid w:val="00B3512F"/>
    <w:rsid w:val="00B35A49"/>
    <w:rsid w:val="00B35BA3"/>
    <w:rsid w:val="00B40EF4"/>
    <w:rsid w:val="00B42A76"/>
    <w:rsid w:val="00B45B20"/>
    <w:rsid w:val="00B464A6"/>
    <w:rsid w:val="00B50D79"/>
    <w:rsid w:val="00B53725"/>
    <w:rsid w:val="00B53F86"/>
    <w:rsid w:val="00B57132"/>
    <w:rsid w:val="00B57B09"/>
    <w:rsid w:val="00B61187"/>
    <w:rsid w:val="00B62CEE"/>
    <w:rsid w:val="00B62E36"/>
    <w:rsid w:val="00B673C8"/>
    <w:rsid w:val="00B67D9A"/>
    <w:rsid w:val="00B708E0"/>
    <w:rsid w:val="00B72632"/>
    <w:rsid w:val="00B762BB"/>
    <w:rsid w:val="00B76C8D"/>
    <w:rsid w:val="00B82ED9"/>
    <w:rsid w:val="00B8413F"/>
    <w:rsid w:val="00B85014"/>
    <w:rsid w:val="00B86D65"/>
    <w:rsid w:val="00B9317C"/>
    <w:rsid w:val="00B93799"/>
    <w:rsid w:val="00B97446"/>
    <w:rsid w:val="00B97B5B"/>
    <w:rsid w:val="00BA1E44"/>
    <w:rsid w:val="00BB00DB"/>
    <w:rsid w:val="00BB0DF0"/>
    <w:rsid w:val="00BB14CF"/>
    <w:rsid w:val="00BB1B5F"/>
    <w:rsid w:val="00BB2278"/>
    <w:rsid w:val="00BB4437"/>
    <w:rsid w:val="00BC01DD"/>
    <w:rsid w:val="00BC04CE"/>
    <w:rsid w:val="00BC373C"/>
    <w:rsid w:val="00BC3E6E"/>
    <w:rsid w:val="00BC5EC1"/>
    <w:rsid w:val="00BC7F42"/>
    <w:rsid w:val="00BD1BB1"/>
    <w:rsid w:val="00BD363A"/>
    <w:rsid w:val="00BD4DB9"/>
    <w:rsid w:val="00BE105E"/>
    <w:rsid w:val="00BE2FE3"/>
    <w:rsid w:val="00BE56B2"/>
    <w:rsid w:val="00BF072D"/>
    <w:rsid w:val="00BF5156"/>
    <w:rsid w:val="00C00FEE"/>
    <w:rsid w:val="00C06024"/>
    <w:rsid w:val="00C06402"/>
    <w:rsid w:val="00C06E31"/>
    <w:rsid w:val="00C13EB7"/>
    <w:rsid w:val="00C1595E"/>
    <w:rsid w:val="00C170E8"/>
    <w:rsid w:val="00C206A6"/>
    <w:rsid w:val="00C20A46"/>
    <w:rsid w:val="00C2133B"/>
    <w:rsid w:val="00C22223"/>
    <w:rsid w:val="00C33DA4"/>
    <w:rsid w:val="00C36DA8"/>
    <w:rsid w:val="00C42A5C"/>
    <w:rsid w:val="00C43630"/>
    <w:rsid w:val="00C46B1F"/>
    <w:rsid w:val="00C539D5"/>
    <w:rsid w:val="00C5477A"/>
    <w:rsid w:val="00C61040"/>
    <w:rsid w:val="00C6298A"/>
    <w:rsid w:val="00C648B6"/>
    <w:rsid w:val="00C658E4"/>
    <w:rsid w:val="00C65B42"/>
    <w:rsid w:val="00C71D7A"/>
    <w:rsid w:val="00C77722"/>
    <w:rsid w:val="00C83908"/>
    <w:rsid w:val="00C8580B"/>
    <w:rsid w:val="00C86531"/>
    <w:rsid w:val="00C91C5D"/>
    <w:rsid w:val="00C933F9"/>
    <w:rsid w:val="00C93A46"/>
    <w:rsid w:val="00C950B1"/>
    <w:rsid w:val="00CA0165"/>
    <w:rsid w:val="00CA29A7"/>
    <w:rsid w:val="00CA4765"/>
    <w:rsid w:val="00CC229C"/>
    <w:rsid w:val="00CC3E43"/>
    <w:rsid w:val="00CC4EA4"/>
    <w:rsid w:val="00CD00D4"/>
    <w:rsid w:val="00CD1E13"/>
    <w:rsid w:val="00CD7D61"/>
    <w:rsid w:val="00CE1BF7"/>
    <w:rsid w:val="00CE5BF5"/>
    <w:rsid w:val="00CE7269"/>
    <w:rsid w:val="00CF055A"/>
    <w:rsid w:val="00CF1BED"/>
    <w:rsid w:val="00CF4442"/>
    <w:rsid w:val="00CF4A24"/>
    <w:rsid w:val="00CF548F"/>
    <w:rsid w:val="00CF7820"/>
    <w:rsid w:val="00D0030D"/>
    <w:rsid w:val="00D017E4"/>
    <w:rsid w:val="00D05525"/>
    <w:rsid w:val="00D06113"/>
    <w:rsid w:val="00D116D9"/>
    <w:rsid w:val="00D118C6"/>
    <w:rsid w:val="00D11A27"/>
    <w:rsid w:val="00D124E1"/>
    <w:rsid w:val="00D12EA0"/>
    <w:rsid w:val="00D172AA"/>
    <w:rsid w:val="00D20565"/>
    <w:rsid w:val="00D229CD"/>
    <w:rsid w:val="00D338EA"/>
    <w:rsid w:val="00D33982"/>
    <w:rsid w:val="00D34563"/>
    <w:rsid w:val="00D35142"/>
    <w:rsid w:val="00D4047E"/>
    <w:rsid w:val="00D42E95"/>
    <w:rsid w:val="00D459F1"/>
    <w:rsid w:val="00D474BB"/>
    <w:rsid w:val="00D50F1B"/>
    <w:rsid w:val="00D56541"/>
    <w:rsid w:val="00D63818"/>
    <w:rsid w:val="00D66B00"/>
    <w:rsid w:val="00D70D7A"/>
    <w:rsid w:val="00D73DEE"/>
    <w:rsid w:val="00D822AC"/>
    <w:rsid w:val="00D833ED"/>
    <w:rsid w:val="00D868A8"/>
    <w:rsid w:val="00D90324"/>
    <w:rsid w:val="00D926DB"/>
    <w:rsid w:val="00D943A0"/>
    <w:rsid w:val="00D95935"/>
    <w:rsid w:val="00DA2D16"/>
    <w:rsid w:val="00DA39FA"/>
    <w:rsid w:val="00DB1168"/>
    <w:rsid w:val="00DC5B91"/>
    <w:rsid w:val="00DC6431"/>
    <w:rsid w:val="00DD02D4"/>
    <w:rsid w:val="00DD6CF5"/>
    <w:rsid w:val="00DD7E95"/>
    <w:rsid w:val="00DE0176"/>
    <w:rsid w:val="00DE5607"/>
    <w:rsid w:val="00DF0221"/>
    <w:rsid w:val="00DF55B9"/>
    <w:rsid w:val="00DF682E"/>
    <w:rsid w:val="00E01015"/>
    <w:rsid w:val="00E032EE"/>
    <w:rsid w:val="00E10980"/>
    <w:rsid w:val="00E359CB"/>
    <w:rsid w:val="00E373A2"/>
    <w:rsid w:val="00E37C22"/>
    <w:rsid w:val="00E40789"/>
    <w:rsid w:val="00E40DA9"/>
    <w:rsid w:val="00E41CB0"/>
    <w:rsid w:val="00E433D8"/>
    <w:rsid w:val="00E4762D"/>
    <w:rsid w:val="00E50306"/>
    <w:rsid w:val="00E55C38"/>
    <w:rsid w:val="00E55DB8"/>
    <w:rsid w:val="00E56159"/>
    <w:rsid w:val="00E573D6"/>
    <w:rsid w:val="00E64397"/>
    <w:rsid w:val="00E70463"/>
    <w:rsid w:val="00E7301B"/>
    <w:rsid w:val="00E765E7"/>
    <w:rsid w:val="00E76794"/>
    <w:rsid w:val="00E8734E"/>
    <w:rsid w:val="00E90F8A"/>
    <w:rsid w:val="00E932FB"/>
    <w:rsid w:val="00E942E1"/>
    <w:rsid w:val="00E97DDD"/>
    <w:rsid w:val="00EA32C6"/>
    <w:rsid w:val="00EA3B36"/>
    <w:rsid w:val="00EA5786"/>
    <w:rsid w:val="00EB02BC"/>
    <w:rsid w:val="00EB254D"/>
    <w:rsid w:val="00EB2A09"/>
    <w:rsid w:val="00EC0840"/>
    <w:rsid w:val="00EC2731"/>
    <w:rsid w:val="00EC6022"/>
    <w:rsid w:val="00ED18CE"/>
    <w:rsid w:val="00ED74DF"/>
    <w:rsid w:val="00ED7ECE"/>
    <w:rsid w:val="00EE0D96"/>
    <w:rsid w:val="00EE2F62"/>
    <w:rsid w:val="00EE6338"/>
    <w:rsid w:val="00EE7014"/>
    <w:rsid w:val="00EF31D4"/>
    <w:rsid w:val="00EF7E53"/>
    <w:rsid w:val="00F008BB"/>
    <w:rsid w:val="00F062D0"/>
    <w:rsid w:val="00F106D0"/>
    <w:rsid w:val="00F112F9"/>
    <w:rsid w:val="00F11593"/>
    <w:rsid w:val="00F13D64"/>
    <w:rsid w:val="00F157E0"/>
    <w:rsid w:val="00F16742"/>
    <w:rsid w:val="00F17EE6"/>
    <w:rsid w:val="00F2004F"/>
    <w:rsid w:val="00F25D5B"/>
    <w:rsid w:val="00F26023"/>
    <w:rsid w:val="00F264E0"/>
    <w:rsid w:val="00F34A1D"/>
    <w:rsid w:val="00F41F66"/>
    <w:rsid w:val="00F45072"/>
    <w:rsid w:val="00F457F0"/>
    <w:rsid w:val="00F4760B"/>
    <w:rsid w:val="00F50882"/>
    <w:rsid w:val="00F5277C"/>
    <w:rsid w:val="00F555BD"/>
    <w:rsid w:val="00F560D5"/>
    <w:rsid w:val="00F63BC2"/>
    <w:rsid w:val="00F664BA"/>
    <w:rsid w:val="00F67C5B"/>
    <w:rsid w:val="00F67FF6"/>
    <w:rsid w:val="00F733ED"/>
    <w:rsid w:val="00F742E9"/>
    <w:rsid w:val="00F75A61"/>
    <w:rsid w:val="00F821AA"/>
    <w:rsid w:val="00F824B1"/>
    <w:rsid w:val="00F83A1F"/>
    <w:rsid w:val="00F8418F"/>
    <w:rsid w:val="00F87ACF"/>
    <w:rsid w:val="00F910F2"/>
    <w:rsid w:val="00F9327C"/>
    <w:rsid w:val="00F93390"/>
    <w:rsid w:val="00F93721"/>
    <w:rsid w:val="00F96D13"/>
    <w:rsid w:val="00FA0F90"/>
    <w:rsid w:val="00FA385E"/>
    <w:rsid w:val="00FB01E5"/>
    <w:rsid w:val="00FB2AD5"/>
    <w:rsid w:val="00FB3114"/>
    <w:rsid w:val="00FC0710"/>
    <w:rsid w:val="00FD480B"/>
    <w:rsid w:val="00FD6439"/>
    <w:rsid w:val="00FE0FFF"/>
    <w:rsid w:val="00FE2E11"/>
    <w:rsid w:val="00FE7364"/>
    <w:rsid w:val="00FF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D4103"/>
  <w15:chartTrackingRefBased/>
  <w15:docId w15:val="{E8D75688-3E7C-4EFB-B2D3-2CFBB3F2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3F40"/>
    <w:rPr>
      <w:rFonts w:ascii="Calibri" w:eastAsia="SimSun" w:hAnsi="Calibri"/>
      <w:sz w:val="20"/>
      <w:szCs w:val="20"/>
      <w:lang w:eastAsia="zh-CN"/>
    </w:rPr>
  </w:style>
  <w:style w:type="character" w:customStyle="1" w:styleId="FootnoteTextChar">
    <w:name w:val="Footnote Text Char"/>
    <w:basedOn w:val="DefaultParagraphFont"/>
    <w:link w:val="FootnoteText"/>
    <w:uiPriority w:val="99"/>
    <w:semiHidden/>
    <w:rsid w:val="007D3F40"/>
    <w:rPr>
      <w:rFonts w:ascii="Calibri" w:eastAsia="SimSun" w:hAnsi="Calibri"/>
      <w:sz w:val="20"/>
      <w:szCs w:val="20"/>
      <w:lang w:eastAsia="zh-CN"/>
    </w:rPr>
  </w:style>
  <w:style w:type="character" w:styleId="FootnoteReference">
    <w:name w:val="footnote reference"/>
    <w:basedOn w:val="DefaultParagraphFont"/>
    <w:uiPriority w:val="99"/>
    <w:semiHidden/>
    <w:unhideWhenUsed/>
    <w:rsid w:val="007D3F40"/>
    <w:rPr>
      <w:vertAlign w:val="superscript"/>
    </w:rPr>
  </w:style>
  <w:style w:type="paragraph" w:styleId="ListParagraph">
    <w:name w:val="List Paragraph"/>
    <w:basedOn w:val="Normal"/>
    <w:uiPriority w:val="34"/>
    <w:qFormat/>
    <w:rsid w:val="00630000"/>
    <w:pPr>
      <w:ind w:left="720"/>
      <w:contextualSpacing/>
    </w:pPr>
  </w:style>
  <w:style w:type="paragraph" w:styleId="EndnoteText">
    <w:name w:val="endnote text"/>
    <w:basedOn w:val="Normal"/>
    <w:link w:val="EndnoteTextChar"/>
    <w:uiPriority w:val="99"/>
    <w:semiHidden/>
    <w:unhideWhenUsed/>
    <w:rsid w:val="004B46AD"/>
    <w:rPr>
      <w:sz w:val="20"/>
      <w:szCs w:val="20"/>
    </w:rPr>
  </w:style>
  <w:style w:type="character" w:customStyle="1" w:styleId="EndnoteTextChar">
    <w:name w:val="Endnote Text Char"/>
    <w:basedOn w:val="DefaultParagraphFont"/>
    <w:link w:val="EndnoteText"/>
    <w:uiPriority w:val="99"/>
    <w:semiHidden/>
    <w:rsid w:val="004B46AD"/>
    <w:rPr>
      <w:sz w:val="20"/>
      <w:szCs w:val="20"/>
    </w:rPr>
  </w:style>
  <w:style w:type="character" w:styleId="EndnoteReference">
    <w:name w:val="endnote reference"/>
    <w:basedOn w:val="DefaultParagraphFont"/>
    <w:uiPriority w:val="99"/>
    <w:semiHidden/>
    <w:unhideWhenUsed/>
    <w:rsid w:val="004B46AD"/>
    <w:rPr>
      <w:vertAlign w:val="superscript"/>
    </w:rPr>
  </w:style>
  <w:style w:type="character" w:styleId="Hyperlink">
    <w:name w:val="Hyperlink"/>
    <w:basedOn w:val="DefaultParagraphFont"/>
    <w:uiPriority w:val="99"/>
    <w:unhideWhenUsed/>
    <w:rsid w:val="00EE6338"/>
    <w:rPr>
      <w:color w:val="0563C1" w:themeColor="hyperlink"/>
      <w:u w:val="single"/>
    </w:rPr>
  </w:style>
  <w:style w:type="character" w:styleId="UnresolvedMention">
    <w:name w:val="Unresolved Mention"/>
    <w:basedOn w:val="DefaultParagraphFont"/>
    <w:uiPriority w:val="99"/>
    <w:semiHidden/>
    <w:unhideWhenUsed/>
    <w:rsid w:val="002461AA"/>
    <w:rPr>
      <w:color w:val="808080"/>
      <w:shd w:val="clear" w:color="auto" w:fill="E6E6E6"/>
    </w:rPr>
  </w:style>
  <w:style w:type="paragraph" w:styleId="Header">
    <w:name w:val="header"/>
    <w:basedOn w:val="Normal"/>
    <w:link w:val="HeaderChar"/>
    <w:uiPriority w:val="99"/>
    <w:unhideWhenUsed/>
    <w:rsid w:val="0033368E"/>
    <w:pPr>
      <w:tabs>
        <w:tab w:val="center" w:pos="4513"/>
        <w:tab w:val="right" w:pos="9026"/>
      </w:tabs>
    </w:pPr>
  </w:style>
  <w:style w:type="character" w:customStyle="1" w:styleId="HeaderChar">
    <w:name w:val="Header Char"/>
    <w:basedOn w:val="DefaultParagraphFont"/>
    <w:link w:val="Header"/>
    <w:uiPriority w:val="99"/>
    <w:rsid w:val="0033368E"/>
  </w:style>
  <w:style w:type="paragraph" w:styleId="Footer">
    <w:name w:val="footer"/>
    <w:basedOn w:val="Normal"/>
    <w:link w:val="FooterChar"/>
    <w:uiPriority w:val="99"/>
    <w:unhideWhenUsed/>
    <w:rsid w:val="0033368E"/>
    <w:pPr>
      <w:tabs>
        <w:tab w:val="center" w:pos="4513"/>
        <w:tab w:val="right" w:pos="9026"/>
      </w:tabs>
    </w:pPr>
  </w:style>
  <w:style w:type="character" w:customStyle="1" w:styleId="FooterChar">
    <w:name w:val="Footer Char"/>
    <w:basedOn w:val="DefaultParagraphFont"/>
    <w:link w:val="Footer"/>
    <w:uiPriority w:val="99"/>
    <w:rsid w:val="0033368E"/>
  </w:style>
  <w:style w:type="paragraph" w:styleId="BalloonText">
    <w:name w:val="Balloon Text"/>
    <w:basedOn w:val="Normal"/>
    <w:link w:val="BalloonTextChar"/>
    <w:uiPriority w:val="99"/>
    <w:semiHidden/>
    <w:unhideWhenUsed/>
    <w:rsid w:val="00333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68E"/>
    <w:rPr>
      <w:rFonts w:ascii="Segoe UI" w:hAnsi="Segoe UI" w:cs="Segoe UI"/>
      <w:sz w:val="18"/>
      <w:szCs w:val="18"/>
    </w:rPr>
  </w:style>
  <w:style w:type="character" w:styleId="CommentReference">
    <w:name w:val="annotation reference"/>
    <w:basedOn w:val="DefaultParagraphFont"/>
    <w:uiPriority w:val="99"/>
    <w:semiHidden/>
    <w:unhideWhenUsed/>
    <w:rsid w:val="00425EF9"/>
    <w:rPr>
      <w:sz w:val="16"/>
      <w:szCs w:val="16"/>
    </w:rPr>
  </w:style>
  <w:style w:type="paragraph" w:styleId="CommentText">
    <w:name w:val="annotation text"/>
    <w:basedOn w:val="Normal"/>
    <w:link w:val="CommentTextChar"/>
    <w:uiPriority w:val="99"/>
    <w:semiHidden/>
    <w:unhideWhenUsed/>
    <w:rsid w:val="00425EF9"/>
    <w:rPr>
      <w:sz w:val="20"/>
      <w:szCs w:val="20"/>
    </w:rPr>
  </w:style>
  <w:style w:type="character" w:customStyle="1" w:styleId="CommentTextChar">
    <w:name w:val="Comment Text Char"/>
    <w:basedOn w:val="DefaultParagraphFont"/>
    <w:link w:val="CommentText"/>
    <w:uiPriority w:val="99"/>
    <w:semiHidden/>
    <w:rsid w:val="00425EF9"/>
    <w:rPr>
      <w:sz w:val="20"/>
      <w:szCs w:val="20"/>
    </w:rPr>
  </w:style>
  <w:style w:type="paragraph" w:styleId="CommentSubject">
    <w:name w:val="annotation subject"/>
    <w:basedOn w:val="CommentText"/>
    <w:next w:val="CommentText"/>
    <w:link w:val="CommentSubjectChar"/>
    <w:uiPriority w:val="99"/>
    <w:semiHidden/>
    <w:unhideWhenUsed/>
    <w:rsid w:val="00425EF9"/>
    <w:rPr>
      <w:b/>
      <w:bCs/>
    </w:rPr>
  </w:style>
  <w:style w:type="character" w:customStyle="1" w:styleId="CommentSubjectChar">
    <w:name w:val="Comment Subject Char"/>
    <w:basedOn w:val="CommentTextChar"/>
    <w:link w:val="CommentSubject"/>
    <w:uiPriority w:val="99"/>
    <w:semiHidden/>
    <w:rsid w:val="00425EF9"/>
    <w:rPr>
      <w:b/>
      <w:bCs/>
      <w:sz w:val="20"/>
      <w:szCs w:val="20"/>
    </w:rPr>
  </w:style>
  <w:style w:type="paragraph" w:styleId="Revision">
    <w:name w:val="Revision"/>
    <w:hidden/>
    <w:uiPriority w:val="99"/>
    <w:semiHidden/>
    <w:rsid w:val="00B1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8833">
      <w:bodyDiv w:val="1"/>
      <w:marLeft w:val="0"/>
      <w:marRight w:val="0"/>
      <w:marTop w:val="0"/>
      <w:marBottom w:val="0"/>
      <w:divBdr>
        <w:top w:val="none" w:sz="0" w:space="0" w:color="auto"/>
        <w:left w:val="none" w:sz="0" w:space="0" w:color="auto"/>
        <w:bottom w:val="none" w:sz="0" w:space="0" w:color="auto"/>
        <w:right w:val="none" w:sz="0" w:space="0" w:color="auto"/>
      </w:divBdr>
    </w:div>
    <w:div w:id="796291228">
      <w:bodyDiv w:val="1"/>
      <w:marLeft w:val="0"/>
      <w:marRight w:val="0"/>
      <w:marTop w:val="0"/>
      <w:marBottom w:val="0"/>
      <w:divBdr>
        <w:top w:val="none" w:sz="0" w:space="0" w:color="auto"/>
        <w:left w:val="none" w:sz="0" w:space="0" w:color="auto"/>
        <w:bottom w:val="none" w:sz="0" w:space="0" w:color="auto"/>
        <w:right w:val="none" w:sz="0" w:space="0" w:color="auto"/>
      </w:divBdr>
    </w:div>
    <w:div w:id="936720061">
      <w:bodyDiv w:val="1"/>
      <w:marLeft w:val="0"/>
      <w:marRight w:val="0"/>
      <w:marTop w:val="0"/>
      <w:marBottom w:val="0"/>
      <w:divBdr>
        <w:top w:val="none" w:sz="0" w:space="0" w:color="auto"/>
        <w:left w:val="none" w:sz="0" w:space="0" w:color="auto"/>
        <w:bottom w:val="none" w:sz="0" w:space="0" w:color="auto"/>
        <w:right w:val="none" w:sz="0" w:space="0" w:color="auto"/>
      </w:divBdr>
    </w:div>
    <w:div w:id="1005009586">
      <w:bodyDiv w:val="1"/>
      <w:marLeft w:val="0"/>
      <w:marRight w:val="0"/>
      <w:marTop w:val="0"/>
      <w:marBottom w:val="0"/>
      <w:divBdr>
        <w:top w:val="none" w:sz="0" w:space="0" w:color="auto"/>
        <w:left w:val="none" w:sz="0" w:space="0" w:color="auto"/>
        <w:bottom w:val="none" w:sz="0" w:space="0" w:color="auto"/>
        <w:right w:val="none" w:sz="0" w:space="0" w:color="auto"/>
      </w:divBdr>
    </w:div>
    <w:div w:id="1124428250">
      <w:bodyDiv w:val="1"/>
      <w:marLeft w:val="0"/>
      <w:marRight w:val="0"/>
      <w:marTop w:val="0"/>
      <w:marBottom w:val="0"/>
      <w:divBdr>
        <w:top w:val="none" w:sz="0" w:space="0" w:color="auto"/>
        <w:left w:val="none" w:sz="0" w:space="0" w:color="auto"/>
        <w:bottom w:val="none" w:sz="0" w:space="0" w:color="auto"/>
        <w:right w:val="none" w:sz="0" w:space="0" w:color="auto"/>
      </w:divBdr>
    </w:div>
    <w:div w:id="1203323907">
      <w:bodyDiv w:val="1"/>
      <w:marLeft w:val="0"/>
      <w:marRight w:val="0"/>
      <w:marTop w:val="0"/>
      <w:marBottom w:val="0"/>
      <w:divBdr>
        <w:top w:val="none" w:sz="0" w:space="0" w:color="auto"/>
        <w:left w:val="none" w:sz="0" w:space="0" w:color="auto"/>
        <w:bottom w:val="none" w:sz="0" w:space="0" w:color="auto"/>
        <w:right w:val="none" w:sz="0" w:space="0" w:color="auto"/>
      </w:divBdr>
    </w:div>
    <w:div w:id="1248921908">
      <w:bodyDiv w:val="1"/>
      <w:marLeft w:val="0"/>
      <w:marRight w:val="0"/>
      <w:marTop w:val="0"/>
      <w:marBottom w:val="0"/>
      <w:divBdr>
        <w:top w:val="none" w:sz="0" w:space="0" w:color="auto"/>
        <w:left w:val="none" w:sz="0" w:space="0" w:color="auto"/>
        <w:bottom w:val="none" w:sz="0" w:space="0" w:color="auto"/>
        <w:right w:val="none" w:sz="0" w:space="0" w:color="auto"/>
      </w:divBdr>
    </w:div>
    <w:div w:id="1281841407">
      <w:bodyDiv w:val="1"/>
      <w:marLeft w:val="0"/>
      <w:marRight w:val="0"/>
      <w:marTop w:val="0"/>
      <w:marBottom w:val="0"/>
      <w:divBdr>
        <w:top w:val="none" w:sz="0" w:space="0" w:color="auto"/>
        <w:left w:val="none" w:sz="0" w:space="0" w:color="auto"/>
        <w:bottom w:val="none" w:sz="0" w:space="0" w:color="auto"/>
        <w:right w:val="none" w:sz="0" w:space="0" w:color="auto"/>
      </w:divBdr>
    </w:div>
    <w:div w:id="1462193134">
      <w:bodyDiv w:val="1"/>
      <w:marLeft w:val="0"/>
      <w:marRight w:val="0"/>
      <w:marTop w:val="0"/>
      <w:marBottom w:val="0"/>
      <w:divBdr>
        <w:top w:val="none" w:sz="0" w:space="0" w:color="auto"/>
        <w:left w:val="none" w:sz="0" w:space="0" w:color="auto"/>
        <w:bottom w:val="none" w:sz="0" w:space="0" w:color="auto"/>
        <w:right w:val="none" w:sz="0" w:space="0" w:color="auto"/>
      </w:divBdr>
    </w:div>
    <w:div w:id="1594241288">
      <w:bodyDiv w:val="1"/>
      <w:marLeft w:val="0"/>
      <w:marRight w:val="0"/>
      <w:marTop w:val="0"/>
      <w:marBottom w:val="0"/>
      <w:divBdr>
        <w:top w:val="none" w:sz="0" w:space="0" w:color="auto"/>
        <w:left w:val="none" w:sz="0" w:space="0" w:color="auto"/>
        <w:bottom w:val="none" w:sz="0" w:space="0" w:color="auto"/>
        <w:right w:val="none" w:sz="0" w:space="0" w:color="auto"/>
      </w:divBdr>
    </w:div>
    <w:div w:id="1683898377">
      <w:bodyDiv w:val="1"/>
      <w:marLeft w:val="0"/>
      <w:marRight w:val="0"/>
      <w:marTop w:val="0"/>
      <w:marBottom w:val="0"/>
      <w:divBdr>
        <w:top w:val="none" w:sz="0" w:space="0" w:color="auto"/>
        <w:left w:val="none" w:sz="0" w:space="0" w:color="auto"/>
        <w:bottom w:val="none" w:sz="0" w:space="0" w:color="auto"/>
        <w:right w:val="none" w:sz="0" w:space="0" w:color="auto"/>
      </w:divBdr>
    </w:div>
    <w:div w:id="19267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retwell@mdx.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speeches/prime-ministers-speech-on-life-chanc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onlinelibrary.wiley.com/doi/abs/10.1002/berj.3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8B04-96EF-42E5-B43C-8CD39B64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8375</Words>
  <Characters>47744</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Fretwell</dc:creator>
  <cp:keywords/>
  <dc:description/>
  <cp:lastModifiedBy>Nathan Fretwell</cp:lastModifiedBy>
  <cp:revision>4</cp:revision>
  <cp:lastPrinted>2018-07-04T14:47:00Z</cp:lastPrinted>
  <dcterms:created xsi:type="dcterms:W3CDTF">2018-07-13T14:44:00Z</dcterms:created>
  <dcterms:modified xsi:type="dcterms:W3CDTF">2018-12-17T20:44:00Z</dcterms:modified>
</cp:coreProperties>
</file>