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5FB443" w14:textId="0A4D58B3" w:rsidR="007902B7" w:rsidRDefault="00A13564" w:rsidP="00AE55D6">
      <w:pPr>
        <w:pStyle w:val="Abstract"/>
        <w:spacing w:before="0" w:after="0" w:line="240" w:lineRule="auto"/>
        <w:ind w:firstLine="720"/>
        <w:rPr>
          <w:b/>
          <w:sz w:val="28"/>
          <w:lang w:val="en-CA"/>
        </w:rPr>
      </w:pPr>
      <w:r w:rsidRPr="00A36E44">
        <w:rPr>
          <w:b/>
          <w:sz w:val="28"/>
          <w:lang w:val="en-CA"/>
        </w:rPr>
        <w:t>Flood Risk Manageme</w:t>
      </w:r>
      <w:r w:rsidR="000E1564">
        <w:rPr>
          <w:b/>
          <w:sz w:val="28"/>
          <w:lang w:val="en-CA"/>
        </w:rPr>
        <w:t>n</w:t>
      </w:r>
      <w:r w:rsidRPr="00A36E44">
        <w:rPr>
          <w:b/>
          <w:sz w:val="28"/>
          <w:lang w:val="en-CA"/>
        </w:rPr>
        <w:t>t u</w:t>
      </w:r>
      <w:r w:rsidR="008A2F8D">
        <w:rPr>
          <w:b/>
          <w:sz w:val="28"/>
          <w:lang w:val="en-CA"/>
        </w:rPr>
        <w:t>n</w:t>
      </w:r>
      <w:r w:rsidRPr="00A36E44">
        <w:rPr>
          <w:b/>
          <w:sz w:val="28"/>
          <w:lang w:val="en-CA"/>
        </w:rPr>
        <w:t>der Uncertainty in Transboundary</w:t>
      </w:r>
      <w:r w:rsidR="00627069">
        <w:rPr>
          <w:b/>
          <w:sz w:val="28"/>
          <w:lang w:val="en-CA"/>
        </w:rPr>
        <w:t xml:space="preserve"> Basins</w:t>
      </w:r>
      <w:r w:rsidRPr="00A36E44">
        <w:rPr>
          <w:b/>
          <w:sz w:val="28"/>
          <w:lang w:val="en-CA"/>
        </w:rPr>
        <w:t>: A delicate balancing act</w:t>
      </w:r>
      <w:r w:rsidR="003377F3">
        <w:rPr>
          <w:b/>
          <w:sz w:val="28"/>
          <w:lang w:val="en-CA"/>
        </w:rPr>
        <w:t xml:space="preserve"> </w:t>
      </w:r>
    </w:p>
    <w:p w14:paraId="22E9CBC0" w14:textId="7E3A39A5" w:rsidR="00C50CEF" w:rsidRDefault="00C50CEF" w:rsidP="00C50CEF">
      <w:pPr>
        <w:rPr>
          <w:lang w:eastAsia="en-GB"/>
        </w:rPr>
      </w:pPr>
    </w:p>
    <w:p w14:paraId="7BAD8FE3" w14:textId="77777777" w:rsidR="00C50CEF" w:rsidRDefault="00C50CEF" w:rsidP="00C50CEF">
      <w:pPr>
        <w:pStyle w:val="Authornames"/>
        <w:jc w:val="center"/>
      </w:pPr>
      <w:r>
        <w:t xml:space="preserve">Dorothy F. </w:t>
      </w:r>
      <w:bookmarkStart w:id="0" w:name="_GoBack"/>
      <w:r>
        <w:t>Heinrich</w:t>
      </w:r>
      <w:bookmarkEnd w:id="0"/>
      <w:r>
        <w:rPr>
          <w:vertAlign w:val="superscript"/>
        </w:rPr>
        <w:t>a</w:t>
      </w:r>
      <w:r>
        <w:t xml:space="preserve"> and Edmund C. Penning-Rowsell</w:t>
      </w:r>
      <w:r>
        <w:rPr>
          <w:vertAlign w:val="superscript"/>
        </w:rPr>
        <w:t>b</w:t>
      </w:r>
      <w:r>
        <w:rPr>
          <w:rStyle w:val="FootnoteReference"/>
        </w:rPr>
        <w:footnoteReference w:id="1"/>
      </w:r>
    </w:p>
    <w:p w14:paraId="4C75F08C" w14:textId="77777777" w:rsidR="00C50CEF" w:rsidRDefault="00C50CEF" w:rsidP="00C50CEF">
      <w:pPr>
        <w:pStyle w:val="Affiliation"/>
      </w:pPr>
      <w:r>
        <w:rPr>
          <w:vertAlign w:val="superscript"/>
        </w:rPr>
        <w:t>a</w:t>
      </w:r>
      <w:r>
        <w:t xml:space="preserve">School of Geography and the Environment, University of Oxford, South Parks Road, Oxford, </w:t>
      </w:r>
      <w:r>
        <w:rPr>
          <w:rFonts w:ascii="Arial" w:hAnsi="Arial" w:cs="Arial"/>
          <w:color w:val="222222"/>
          <w:sz w:val="21"/>
          <w:szCs w:val="21"/>
          <w:shd w:val="clear" w:color="auto" w:fill="FFFFFF"/>
        </w:rPr>
        <w:t>OX1 3QY,</w:t>
      </w:r>
      <w:r>
        <w:t xml:space="preserve"> United Kingdom. </w:t>
      </w:r>
    </w:p>
    <w:p w14:paraId="639A1914" w14:textId="77777777" w:rsidR="00C50CEF" w:rsidRDefault="00C50CEF" w:rsidP="00C50CEF">
      <w:pPr>
        <w:pStyle w:val="Affiliation"/>
      </w:pPr>
      <w:r>
        <w:rPr>
          <w:vertAlign w:val="superscript"/>
        </w:rPr>
        <w:t>b</w:t>
      </w:r>
      <w:r>
        <w:t xml:space="preserve">Flood Hazard Research Centre, Middlesex University, The Burroughs, London, NW44BT, United Kingdom. </w:t>
      </w:r>
    </w:p>
    <w:p w14:paraId="1AC2784A" w14:textId="77777777" w:rsidR="00C50CEF" w:rsidRPr="00C50CEF" w:rsidRDefault="00C50CEF" w:rsidP="00C50CEF">
      <w:pPr>
        <w:rPr>
          <w:lang w:eastAsia="en-GB"/>
        </w:rPr>
      </w:pPr>
    </w:p>
    <w:p w14:paraId="01F6D836" w14:textId="5F095A98" w:rsidR="00E40325" w:rsidRPr="00A36E44" w:rsidRDefault="00E40325" w:rsidP="00C60901">
      <w:pPr>
        <w:ind w:left="709" w:right="1422" w:firstLine="720"/>
        <w:rPr>
          <w:rFonts w:eastAsia="Calibri"/>
          <w:sz w:val="22"/>
          <w:szCs w:val="22"/>
        </w:rPr>
      </w:pPr>
      <w:bookmarkStart w:id="1" w:name="_heading=h.gjdgxs" w:colFirst="0" w:colLast="0"/>
      <w:bookmarkEnd w:id="1"/>
      <w:r w:rsidRPr="00A36E44">
        <w:rPr>
          <w:rFonts w:eastAsia="Calibri"/>
          <w:sz w:val="22"/>
          <w:szCs w:val="22"/>
        </w:rPr>
        <w:t xml:space="preserve">Flooding is an inherently uncertain hydrometeorological phenomenon. When it occurs in transboundary </w:t>
      </w:r>
      <w:r w:rsidR="00627069">
        <w:rPr>
          <w:rFonts w:eastAsia="Calibri"/>
          <w:sz w:val="22"/>
          <w:szCs w:val="22"/>
        </w:rPr>
        <w:t>basin</w:t>
      </w:r>
      <w:r w:rsidRPr="00A36E44">
        <w:rPr>
          <w:rFonts w:eastAsia="Calibri"/>
          <w:sz w:val="22"/>
          <w:szCs w:val="22"/>
        </w:rPr>
        <w:t xml:space="preserve">s, the complexity of its management is amplified by international treaties and needs for political accountability. </w:t>
      </w:r>
      <w:r w:rsidR="00AA7379">
        <w:rPr>
          <w:rFonts w:eastAsia="Calibri"/>
          <w:sz w:val="22"/>
          <w:szCs w:val="22"/>
        </w:rPr>
        <w:t>L</w:t>
      </w:r>
      <w:r w:rsidRPr="00A36E44">
        <w:rPr>
          <w:rFonts w:eastAsia="Calibri"/>
          <w:sz w:val="22"/>
          <w:szCs w:val="22"/>
        </w:rPr>
        <w:t xml:space="preserve">ittle has been written </w:t>
      </w:r>
      <w:r w:rsidR="00AD2A2A">
        <w:rPr>
          <w:rFonts w:eastAsia="Calibri"/>
          <w:sz w:val="22"/>
          <w:szCs w:val="22"/>
        </w:rPr>
        <w:t xml:space="preserve">about FRM under </w:t>
      </w:r>
      <w:r w:rsidR="00AA7379">
        <w:rPr>
          <w:rFonts w:eastAsia="Calibri"/>
          <w:sz w:val="22"/>
          <w:szCs w:val="22"/>
        </w:rPr>
        <w:t xml:space="preserve">the inevitable </w:t>
      </w:r>
      <w:r w:rsidR="00130760" w:rsidRPr="00A36E44">
        <w:rPr>
          <w:rFonts w:eastAsia="Calibri"/>
          <w:sz w:val="22"/>
          <w:szCs w:val="22"/>
        </w:rPr>
        <w:t xml:space="preserve">uncertainty </w:t>
      </w:r>
      <w:r w:rsidRPr="00A36E44">
        <w:rPr>
          <w:rFonts w:eastAsia="Calibri"/>
          <w:sz w:val="22"/>
          <w:szCs w:val="22"/>
        </w:rPr>
        <w:t xml:space="preserve">in </w:t>
      </w:r>
      <w:r w:rsidR="00AA7379">
        <w:rPr>
          <w:rFonts w:eastAsia="Calibri"/>
          <w:sz w:val="22"/>
          <w:szCs w:val="22"/>
        </w:rPr>
        <w:t xml:space="preserve">these </w:t>
      </w:r>
      <w:r w:rsidRPr="00A36E44">
        <w:rPr>
          <w:rFonts w:eastAsia="Calibri"/>
          <w:sz w:val="22"/>
          <w:szCs w:val="22"/>
        </w:rPr>
        <w:t xml:space="preserve">transboundary contexts. This paper addresses this gap through an exploratory case study of a new FRM plan (Plan 2014) in the Great Lake Ontario and St. Lawrence River </w:t>
      </w:r>
      <w:r w:rsidR="00F00039" w:rsidRPr="00A36E44">
        <w:rPr>
          <w:rFonts w:eastAsia="Calibri"/>
          <w:sz w:val="22"/>
          <w:szCs w:val="22"/>
        </w:rPr>
        <w:t>system</w:t>
      </w:r>
      <w:r w:rsidRPr="00A36E44">
        <w:rPr>
          <w:rFonts w:eastAsia="Calibri"/>
          <w:sz w:val="22"/>
          <w:szCs w:val="22"/>
        </w:rPr>
        <w:t xml:space="preserve"> in North Americ</w:t>
      </w:r>
      <w:r w:rsidR="00195347" w:rsidRPr="00A36E44">
        <w:rPr>
          <w:rFonts w:eastAsia="Calibri"/>
          <w:sz w:val="22"/>
          <w:szCs w:val="22"/>
        </w:rPr>
        <w:t>a</w:t>
      </w:r>
      <w:r w:rsidR="00AD1169">
        <w:rPr>
          <w:rFonts w:eastAsia="Calibri"/>
          <w:sz w:val="22"/>
          <w:szCs w:val="22"/>
        </w:rPr>
        <w:t xml:space="preserve">. </w:t>
      </w:r>
      <w:r w:rsidR="00195347" w:rsidRPr="00A36E44">
        <w:rPr>
          <w:rFonts w:eastAsia="Calibri"/>
          <w:sz w:val="22"/>
          <w:szCs w:val="22"/>
        </w:rPr>
        <w:t xml:space="preserve"> </w:t>
      </w:r>
      <w:r w:rsidR="00AD1169">
        <w:rPr>
          <w:rFonts w:eastAsia="Calibri"/>
          <w:sz w:val="22"/>
          <w:szCs w:val="22"/>
        </w:rPr>
        <w:t>W</w:t>
      </w:r>
      <w:r w:rsidRPr="00A36E44">
        <w:rPr>
          <w:rFonts w:eastAsia="Calibri"/>
          <w:sz w:val="22"/>
          <w:szCs w:val="22"/>
        </w:rPr>
        <w:t>e examine the evolving nature of contemporary FRM towards more flexible approaches in the face of increasing uncertainty. When</w:t>
      </w:r>
      <w:r w:rsidR="001A087A" w:rsidRPr="00A36E44">
        <w:rPr>
          <w:rFonts w:eastAsia="Calibri"/>
          <w:sz w:val="22"/>
          <w:szCs w:val="22"/>
        </w:rPr>
        <w:t xml:space="preserve"> </w:t>
      </w:r>
      <w:r w:rsidR="0037098B" w:rsidRPr="00A36E44">
        <w:rPr>
          <w:rFonts w:eastAsia="Calibri"/>
          <w:sz w:val="22"/>
          <w:szCs w:val="22"/>
        </w:rPr>
        <w:t xml:space="preserve">this </w:t>
      </w:r>
      <w:r w:rsidRPr="00A36E44">
        <w:rPr>
          <w:rFonts w:eastAsia="Calibri"/>
          <w:sz w:val="22"/>
          <w:szCs w:val="22"/>
        </w:rPr>
        <w:t xml:space="preserve">new </w:t>
      </w:r>
      <w:r w:rsidR="00B94692" w:rsidRPr="00A36E44">
        <w:rPr>
          <w:rFonts w:eastAsia="Calibri"/>
          <w:sz w:val="22"/>
          <w:szCs w:val="22"/>
        </w:rPr>
        <w:t>management pla</w:t>
      </w:r>
      <w:r w:rsidR="00D70039" w:rsidRPr="00A36E44">
        <w:rPr>
          <w:rFonts w:eastAsia="Calibri"/>
          <w:sz w:val="22"/>
          <w:szCs w:val="22"/>
        </w:rPr>
        <w:t>n</w:t>
      </w:r>
      <w:r w:rsidRPr="00A36E44">
        <w:rPr>
          <w:rFonts w:eastAsia="Calibri"/>
          <w:sz w:val="22"/>
          <w:szCs w:val="22"/>
        </w:rPr>
        <w:t xml:space="preserve"> coincided with severe transboundary flooding, this highlighted deep tensions, notably between upstream and downstream communities, expert and lay opinion</w:t>
      </w:r>
      <w:r w:rsidR="00AA7379">
        <w:rPr>
          <w:rFonts w:eastAsia="Calibri"/>
          <w:sz w:val="22"/>
          <w:szCs w:val="22"/>
        </w:rPr>
        <w:t xml:space="preserve">, and between the planners setting rules and the operators </w:t>
      </w:r>
      <w:r w:rsidR="000B0A1E">
        <w:rPr>
          <w:rFonts w:eastAsia="Calibri"/>
          <w:sz w:val="22"/>
          <w:szCs w:val="22"/>
        </w:rPr>
        <w:t>using</w:t>
      </w:r>
      <w:r w:rsidR="00AA7379">
        <w:rPr>
          <w:rFonts w:eastAsia="Calibri"/>
          <w:sz w:val="22"/>
          <w:szCs w:val="22"/>
        </w:rPr>
        <w:t xml:space="preserve"> those rules</w:t>
      </w:r>
      <w:r w:rsidRPr="00A36E44">
        <w:rPr>
          <w:rFonts w:eastAsia="Calibri"/>
          <w:sz w:val="22"/>
          <w:szCs w:val="22"/>
        </w:rPr>
        <w:t xml:space="preserve">. This story also showcases the complex balancing act faced by flood risk managers operating across national boundaries who are asked to contend with hydrological variability as well as public needs for certainty. We contend that the negotiation </w:t>
      </w:r>
      <w:r w:rsidR="00AD1169">
        <w:rPr>
          <w:rFonts w:eastAsia="Calibri"/>
          <w:sz w:val="22"/>
          <w:szCs w:val="22"/>
        </w:rPr>
        <w:t xml:space="preserve">and agreed dispute resolution processes </w:t>
      </w:r>
      <w:r w:rsidRPr="00A36E44">
        <w:rPr>
          <w:rFonts w:eastAsia="Calibri"/>
          <w:sz w:val="22"/>
          <w:szCs w:val="22"/>
        </w:rPr>
        <w:t xml:space="preserve">surrounding these tensions is a fundamental component of FRM in international </w:t>
      </w:r>
      <w:r w:rsidR="00627069">
        <w:rPr>
          <w:rFonts w:eastAsia="Calibri"/>
          <w:sz w:val="22"/>
          <w:szCs w:val="22"/>
        </w:rPr>
        <w:t>basin</w:t>
      </w:r>
      <w:r w:rsidRPr="00A36E44">
        <w:rPr>
          <w:rFonts w:eastAsia="Calibri"/>
          <w:sz w:val="22"/>
          <w:szCs w:val="22"/>
        </w:rPr>
        <w:t xml:space="preserve">s, and one that may become ever more important as climate change </w:t>
      </w:r>
      <w:r w:rsidR="00AD1169">
        <w:rPr>
          <w:rFonts w:eastAsia="Calibri"/>
          <w:sz w:val="22"/>
          <w:szCs w:val="22"/>
        </w:rPr>
        <w:t xml:space="preserve">further </w:t>
      </w:r>
      <w:r w:rsidRPr="00A36E44">
        <w:rPr>
          <w:rFonts w:eastAsia="Calibri"/>
          <w:sz w:val="22"/>
          <w:szCs w:val="22"/>
        </w:rPr>
        <w:t xml:space="preserve">increases the </w:t>
      </w:r>
      <w:r w:rsidR="00AD1169">
        <w:rPr>
          <w:rFonts w:eastAsia="Calibri"/>
          <w:sz w:val="22"/>
          <w:szCs w:val="22"/>
        </w:rPr>
        <w:t xml:space="preserve">uncertainty regarding these </w:t>
      </w:r>
      <w:r w:rsidRPr="00A36E44">
        <w:rPr>
          <w:rFonts w:eastAsia="Calibri"/>
          <w:sz w:val="22"/>
          <w:szCs w:val="22"/>
        </w:rPr>
        <w:t xml:space="preserve">hydrometeorological hazards. </w:t>
      </w:r>
    </w:p>
    <w:p w14:paraId="07F0725F" w14:textId="77777777" w:rsidR="00A36E44" w:rsidRPr="00A36E44" w:rsidRDefault="00A36E44" w:rsidP="00AE55D6">
      <w:pPr>
        <w:ind w:left="709" w:right="1422" w:firstLine="720"/>
        <w:rPr>
          <w:rFonts w:eastAsia="Calibri"/>
          <w:sz w:val="22"/>
          <w:szCs w:val="22"/>
        </w:rPr>
      </w:pPr>
    </w:p>
    <w:p w14:paraId="7E9AD2CA" w14:textId="4927A9DF" w:rsidR="003A6EBF" w:rsidRDefault="00A36E44" w:rsidP="00AE55D6">
      <w:pPr>
        <w:pStyle w:val="Keywords"/>
        <w:spacing w:before="0" w:after="0" w:line="240" w:lineRule="auto"/>
        <w:ind w:firstLine="720"/>
      </w:pPr>
      <w:r w:rsidRPr="00045DC0">
        <w:t xml:space="preserve">Keywords: </w:t>
      </w:r>
      <w:r w:rsidR="00617643" w:rsidRPr="00045DC0">
        <w:t xml:space="preserve">flooding; transboundary </w:t>
      </w:r>
      <w:r w:rsidR="00D84C38">
        <w:t>b</w:t>
      </w:r>
      <w:r w:rsidR="00627069">
        <w:t>asin</w:t>
      </w:r>
      <w:r w:rsidR="00FE521F">
        <w:t>s</w:t>
      </w:r>
      <w:r w:rsidR="00617643" w:rsidRPr="00045DC0">
        <w:t xml:space="preserve">; </w:t>
      </w:r>
      <w:r w:rsidR="00C966F6" w:rsidRPr="00045DC0">
        <w:t xml:space="preserve">uncertainty; </w:t>
      </w:r>
      <w:r w:rsidR="00617643" w:rsidRPr="00045DC0">
        <w:t xml:space="preserve">strict/flexible </w:t>
      </w:r>
      <w:r w:rsidR="00045DC0" w:rsidRPr="00045DC0">
        <w:t xml:space="preserve">risk </w:t>
      </w:r>
      <w:r w:rsidR="00617643" w:rsidRPr="00045DC0">
        <w:t>management</w:t>
      </w:r>
      <w:r w:rsidRPr="00045DC0">
        <w:t>;</w:t>
      </w:r>
      <w:r w:rsidR="00617643" w:rsidRPr="00045DC0">
        <w:t xml:space="preserve"> lay/expert opi</w:t>
      </w:r>
      <w:r w:rsidR="00D62F13" w:rsidRPr="00045DC0">
        <w:t>ni</w:t>
      </w:r>
      <w:r w:rsidR="00617643" w:rsidRPr="00045DC0">
        <w:t>o</w:t>
      </w:r>
      <w:r w:rsidR="00D62F13" w:rsidRPr="00045DC0">
        <w:t xml:space="preserve">n; </w:t>
      </w:r>
      <w:r w:rsidR="00D84C38">
        <w:t xml:space="preserve">planners/operators; </w:t>
      </w:r>
      <w:r w:rsidR="00D62F13" w:rsidRPr="00045DC0">
        <w:t xml:space="preserve">upstream/downstream; </w:t>
      </w:r>
      <w:r w:rsidR="0010480F" w:rsidRPr="00045DC0">
        <w:t>USA/Canada</w:t>
      </w:r>
    </w:p>
    <w:p w14:paraId="133DDCA8" w14:textId="77777777" w:rsidR="003A6EBF" w:rsidRPr="003A6EBF" w:rsidRDefault="003A6EBF" w:rsidP="00AE55D6">
      <w:pPr>
        <w:ind w:firstLine="720"/>
        <w:rPr>
          <w:lang w:val="en-GB" w:eastAsia="en-GB"/>
        </w:rPr>
      </w:pPr>
    </w:p>
    <w:p w14:paraId="76EC37BB" w14:textId="4CA204B1" w:rsidR="00A36E44" w:rsidRPr="00A36E44" w:rsidRDefault="00A36E44" w:rsidP="00F07948">
      <w:pPr>
        <w:pStyle w:val="Heading1"/>
        <w:rPr>
          <w:b w:val="0"/>
        </w:rPr>
      </w:pPr>
      <w:r w:rsidRPr="00A36E44">
        <w:t xml:space="preserve">Introduction </w:t>
      </w:r>
    </w:p>
    <w:p w14:paraId="1949095F" w14:textId="4B5350EB" w:rsidR="00E40325" w:rsidRPr="00A36E44" w:rsidRDefault="00E40325" w:rsidP="00AE55D6">
      <w:pPr>
        <w:tabs>
          <w:tab w:val="left" w:pos="142"/>
        </w:tabs>
        <w:ind w:right="855" w:firstLine="720"/>
        <w:rPr>
          <w:rFonts w:eastAsia="Calibri"/>
        </w:rPr>
      </w:pPr>
      <w:r w:rsidRPr="00A36E44">
        <w:rPr>
          <w:rFonts w:eastAsia="Calibri"/>
        </w:rPr>
        <w:t xml:space="preserve">When water bodies are </w:t>
      </w:r>
      <w:r w:rsidR="00C4479D" w:rsidRPr="00A36E44">
        <w:rPr>
          <w:rFonts w:eastAsia="Calibri"/>
        </w:rPr>
        <w:t>divided by</w:t>
      </w:r>
      <w:r w:rsidRPr="00A36E44">
        <w:rPr>
          <w:rFonts w:eastAsia="Calibri"/>
        </w:rPr>
        <w:t xml:space="preserve"> international boundaries, their management becomes more complex. Many international systems have been created to govern these issues but they are almost always confronted with complexity regarding hydrological interdependence and the competing interests of different stakeholders. </w:t>
      </w:r>
      <w:r w:rsidR="00B448AD" w:rsidRPr="00A36E44">
        <w:rPr>
          <w:rFonts w:eastAsia="Calibri"/>
        </w:rPr>
        <w:t>F</w:t>
      </w:r>
      <w:r w:rsidRPr="00A36E44">
        <w:rPr>
          <w:rFonts w:eastAsia="Calibri"/>
        </w:rPr>
        <w:t xml:space="preserve">lood risk is particularly difficult to mitigate in these contexts because management of the river basin requires cooperation across different national contexts, and between their upstream and downstream riparian communities. The inherent unpredictability of flooding also makes </w:t>
      </w:r>
      <w:r w:rsidRPr="00A36E44">
        <w:rPr>
          <w:rFonts w:eastAsia="Calibri"/>
        </w:rPr>
        <w:lastRenderedPageBreak/>
        <w:t xml:space="preserve">its management across borders particularly problematic. Indeed, </w:t>
      </w:r>
      <w:r w:rsidR="00C10B14">
        <w:rPr>
          <w:rFonts w:eastAsia="Calibri"/>
        </w:rPr>
        <w:t>decision-makers</w:t>
      </w:r>
      <w:r w:rsidRPr="00A36E44">
        <w:rPr>
          <w:rFonts w:eastAsia="Calibri"/>
        </w:rPr>
        <w:t xml:space="preserve"> must </w:t>
      </w:r>
      <w:r w:rsidR="00826F97">
        <w:rPr>
          <w:rFonts w:eastAsia="Calibri"/>
        </w:rPr>
        <w:t>design</w:t>
      </w:r>
      <w:r w:rsidRPr="00A36E44">
        <w:rPr>
          <w:rFonts w:eastAsia="Calibri"/>
        </w:rPr>
        <w:t xml:space="preserve"> systems that are flexible enough to account for the variation and unpredictability of flooding as well as juggle political needs for stable</w:t>
      </w:r>
      <w:r w:rsidR="0055784C" w:rsidRPr="00A36E44">
        <w:rPr>
          <w:rFonts w:eastAsia="Calibri"/>
        </w:rPr>
        <w:t xml:space="preserve">, </w:t>
      </w:r>
      <w:r w:rsidRPr="00A36E44">
        <w:rPr>
          <w:rFonts w:eastAsia="Calibri"/>
        </w:rPr>
        <w:t xml:space="preserve">unambiguous procedures and public accountability. </w:t>
      </w:r>
    </w:p>
    <w:p w14:paraId="684824E3" w14:textId="3E88B43C" w:rsidR="007C17CA" w:rsidRDefault="00E40325" w:rsidP="00AE55D6">
      <w:pPr>
        <w:tabs>
          <w:tab w:val="left" w:pos="142"/>
        </w:tabs>
        <w:ind w:right="855" w:firstLine="720"/>
        <w:rPr>
          <w:rFonts w:eastAsia="Calibri"/>
        </w:rPr>
      </w:pPr>
      <w:r w:rsidRPr="00A36E44">
        <w:rPr>
          <w:rFonts w:eastAsia="Calibri"/>
        </w:rPr>
        <w:t xml:space="preserve">On the border between Canada and the United States of America, transboundary water issues have been managed since the 1970s by the International Joint Commission </w:t>
      </w:r>
      <w:r w:rsidRPr="00CB40BA">
        <w:rPr>
          <w:rFonts w:eastAsia="Calibri"/>
        </w:rPr>
        <w:t>(IJC)</w:t>
      </w:r>
      <w:r w:rsidR="00514F75" w:rsidRPr="00CB40BA">
        <w:rPr>
          <w:rFonts w:eastAsia="Calibri"/>
        </w:rPr>
        <w:t xml:space="preserve">, which is headed by </w:t>
      </w:r>
      <w:r w:rsidR="00AB6DA2" w:rsidRPr="00CB40BA">
        <w:rPr>
          <w:rFonts w:eastAsia="Calibri"/>
        </w:rPr>
        <w:t xml:space="preserve">six </w:t>
      </w:r>
      <w:r w:rsidR="00E81AE6" w:rsidRPr="00CB40BA">
        <w:rPr>
          <w:rFonts w:eastAsia="Calibri"/>
        </w:rPr>
        <w:t>C</w:t>
      </w:r>
      <w:r w:rsidR="00AB6DA2" w:rsidRPr="00CB40BA">
        <w:rPr>
          <w:rFonts w:eastAsia="Calibri"/>
        </w:rPr>
        <w:t>ommissioners, three</w:t>
      </w:r>
      <w:r w:rsidR="00514F75" w:rsidRPr="00CB40BA">
        <w:rPr>
          <w:rFonts w:eastAsia="Calibri"/>
        </w:rPr>
        <w:t xml:space="preserve"> </w:t>
      </w:r>
      <w:r w:rsidR="00AB6DA2" w:rsidRPr="00CB40BA">
        <w:rPr>
          <w:rFonts w:eastAsia="Calibri"/>
        </w:rPr>
        <w:t xml:space="preserve">from each </w:t>
      </w:r>
      <w:r w:rsidR="00514F75" w:rsidRPr="00CB40BA">
        <w:rPr>
          <w:rFonts w:eastAsia="Calibri"/>
        </w:rPr>
        <w:t>countr</w:t>
      </w:r>
      <w:r w:rsidR="00596723" w:rsidRPr="00CB40BA">
        <w:rPr>
          <w:rFonts w:eastAsia="Calibri"/>
        </w:rPr>
        <w:t>y</w:t>
      </w:r>
      <w:r w:rsidRPr="00CB40BA">
        <w:rPr>
          <w:rFonts w:eastAsia="Calibri"/>
        </w:rPr>
        <w:t>. In the</w:t>
      </w:r>
      <w:r w:rsidRPr="00A36E44">
        <w:rPr>
          <w:rFonts w:eastAsia="Calibri"/>
        </w:rPr>
        <w:t xml:space="preserve"> past, the IJC has regulated transboundary water quantities through control structures such as dams and </w:t>
      </w:r>
      <w:r w:rsidR="000B0A1E">
        <w:rPr>
          <w:rFonts w:eastAsia="Calibri"/>
        </w:rPr>
        <w:t xml:space="preserve">their </w:t>
      </w:r>
      <w:r w:rsidRPr="00A36E44">
        <w:rPr>
          <w:rFonts w:eastAsia="Calibri"/>
        </w:rPr>
        <w:t xml:space="preserve">strict water release rules. However, recent recognition of </w:t>
      </w:r>
      <w:r w:rsidR="00AD1169">
        <w:rPr>
          <w:rFonts w:eastAsia="Calibri"/>
        </w:rPr>
        <w:t>problems</w:t>
      </w:r>
      <w:r w:rsidRPr="00A36E44">
        <w:rPr>
          <w:rFonts w:eastAsia="Calibri"/>
        </w:rPr>
        <w:t xml:space="preserve"> with this system has led to new flood risk management practices that are more flexible and designed to bring hydrological systems closer to their natural characteristics.</w:t>
      </w:r>
      <w:r w:rsidR="00AA7935">
        <w:rPr>
          <w:rFonts w:eastAsia="Calibri"/>
        </w:rPr>
        <w:t xml:space="preserve"> </w:t>
      </w:r>
    </w:p>
    <w:p w14:paraId="17A8FD4B" w14:textId="7C2F4E8E" w:rsidR="00E40325" w:rsidRPr="00A36E44" w:rsidRDefault="00E40325" w:rsidP="00AE55D6">
      <w:pPr>
        <w:tabs>
          <w:tab w:val="left" w:pos="142"/>
        </w:tabs>
        <w:ind w:right="855" w:firstLine="720"/>
        <w:rPr>
          <w:rFonts w:eastAsia="Calibri"/>
        </w:rPr>
      </w:pPr>
      <w:r w:rsidRPr="00A36E44">
        <w:rPr>
          <w:rFonts w:eastAsia="Calibri"/>
        </w:rPr>
        <w:t xml:space="preserve">For the Great Lake Ontario and the </w:t>
      </w:r>
      <w:r w:rsidR="00F41668" w:rsidRPr="00A36E44">
        <w:rPr>
          <w:rFonts w:eastAsia="Calibri"/>
        </w:rPr>
        <w:t>St. Lawrence river</w:t>
      </w:r>
      <w:r w:rsidR="00F41668" w:rsidRPr="00A36E44" w:rsidDel="00F41668">
        <w:rPr>
          <w:rFonts w:eastAsia="Calibri"/>
        </w:rPr>
        <w:t xml:space="preserve"> </w:t>
      </w:r>
      <w:r w:rsidRPr="00A36E44">
        <w:rPr>
          <w:rFonts w:eastAsia="Calibri"/>
        </w:rPr>
        <w:t xml:space="preserve">basin, in Eastern North America, </w:t>
      </w:r>
      <w:r w:rsidRPr="00A36E44">
        <w:rPr>
          <w:rFonts w:eastAsia="Calibri"/>
          <w:i/>
        </w:rPr>
        <w:t>Plan 2014</w:t>
      </w:r>
      <w:r w:rsidRPr="00A36E44">
        <w:rPr>
          <w:rFonts w:eastAsia="Calibri"/>
        </w:rPr>
        <w:t xml:space="preserve"> is one such strategy devised to better manage water issues in the river basin</w:t>
      </w:r>
      <w:r w:rsidR="000B0A1E">
        <w:rPr>
          <w:rFonts w:eastAsia="Calibri"/>
        </w:rPr>
        <w:t>, including in the operation of the Moses-Saunders dam</w:t>
      </w:r>
      <w:r w:rsidR="00AD1169">
        <w:rPr>
          <w:rFonts w:eastAsia="Calibri"/>
        </w:rPr>
        <w:t xml:space="preserve"> (see below)</w:t>
      </w:r>
      <w:r w:rsidRPr="00A36E44">
        <w:rPr>
          <w:rFonts w:eastAsia="Calibri"/>
        </w:rPr>
        <w:t xml:space="preserve">. This </w:t>
      </w:r>
      <w:r w:rsidR="00AD1169">
        <w:rPr>
          <w:rFonts w:eastAsia="Calibri"/>
        </w:rPr>
        <w:t xml:space="preserve">Plan </w:t>
      </w:r>
      <w:r w:rsidRPr="00A36E44">
        <w:rPr>
          <w:rFonts w:eastAsia="Calibri"/>
        </w:rPr>
        <w:t>was created in part to address failures in previous systems by accounting for hydro-climatic uncertainty in the basin and promoting more natural flood regimes and ecological status. Years of negotiation backed with cutting-edge scientific discussions were required to develop this plan.</w:t>
      </w:r>
      <w:r w:rsidR="007C17CA">
        <w:rPr>
          <w:rFonts w:eastAsia="Calibri"/>
        </w:rPr>
        <w:t xml:space="preserve"> </w:t>
      </w:r>
      <w:r w:rsidRPr="00A36E44">
        <w:rPr>
          <w:rFonts w:eastAsia="Calibri"/>
        </w:rPr>
        <w:t xml:space="preserve">Unfortunately for the IJC, two extreme flooding seasons occurred in the region </w:t>
      </w:r>
      <w:r w:rsidR="00AD1169">
        <w:rPr>
          <w:rFonts w:eastAsia="Calibri"/>
        </w:rPr>
        <w:t xml:space="preserve">in 2017 and 2019, </w:t>
      </w:r>
      <w:r w:rsidRPr="00A36E44">
        <w:rPr>
          <w:rFonts w:eastAsia="Calibri"/>
        </w:rPr>
        <w:t xml:space="preserve">following the implementation of </w:t>
      </w:r>
      <w:r w:rsidRPr="00A36E44">
        <w:rPr>
          <w:rFonts w:eastAsia="Calibri"/>
          <w:i/>
        </w:rPr>
        <w:t>Plan 2014</w:t>
      </w:r>
      <w:r w:rsidR="005552F6">
        <w:rPr>
          <w:rFonts w:eastAsia="Calibri"/>
          <w:i/>
        </w:rPr>
        <w:t xml:space="preserve"> </w:t>
      </w:r>
      <w:r w:rsidR="005552F6" w:rsidRPr="005552F6">
        <w:rPr>
          <w:rFonts w:eastAsia="Calibri"/>
          <w:iCs/>
        </w:rPr>
        <w:t>in December 2016</w:t>
      </w:r>
      <w:r w:rsidRPr="00A36E44">
        <w:rPr>
          <w:rFonts w:eastAsia="Calibri"/>
        </w:rPr>
        <w:t xml:space="preserve">. This was a catalyst to debate the value of such a paradigm shift that illustrates the political risk of framing uncertainty in transboundary flood risk management (FRM), a topic that has yet to be properly discussed in academic literature. The new framework of </w:t>
      </w:r>
      <w:r w:rsidRPr="00A36E44">
        <w:rPr>
          <w:rFonts w:eastAsia="Calibri"/>
          <w:i/>
        </w:rPr>
        <w:t>Plan 2014</w:t>
      </w:r>
      <w:r w:rsidRPr="00A36E44">
        <w:rPr>
          <w:rFonts w:eastAsia="Calibri"/>
        </w:rPr>
        <w:t xml:space="preserve"> brought to light key issues of reconciling national interests with modern flood risk management practices within complex environmental and political contexts where lay opinions and expert judgements can sometimes be in conflict. </w:t>
      </w:r>
    </w:p>
    <w:p w14:paraId="20172FA2" w14:textId="3B1EAF7B" w:rsidR="00585059" w:rsidRDefault="00E40325" w:rsidP="00AE55D6">
      <w:pPr>
        <w:tabs>
          <w:tab w:val="left" w:pos="142"/>
        </w:tabs>
        <w:ind w:right="855" w:firstLine="720"/>
        <w:rPr>
          <w:rFonts w:eastAsia="Calibri"/>
        </w:rPr>
      </w:pPr>
      <w:r w:rsidRPr="00A36E44">
        <w:rPr>
          <w:rFonts w:eastAsia="Calibri"/>
        </w:rPr>
        <w:t xml:space="preserve">This paper examines </w:t>
      </w:r>
      <w:r w:rsidR="00736D46" w:rsidRPr="00A36E44">
        <w:rPr>
          <w:rFonts w:eastAsia="Calibri"/>
        </w:rPr>
        <w:t>the</w:t>
      </w:r>
      <w:r w:rsidRPr="00A36E44">
        <w:rPr>
          <w:rFonts w:eastAsia="Calibri"/>
        </w:rPr>
        <w:t xml:space="preserve"> issues surrounding flood </w:t>
      </w:r>
      <w:r w:rsidR="00CD0033" w:rsidRPr="00A36E44">
        <w:rPr>
          <w:rFonts w:eastAsia="Calibri"/>
        </w:rPr>
        <w:t xml:space="preserve">risk </w:t>
      </w:r>
      <w:r w:rsidRPr="00A36E44">
        <w:rPr>
          <w:rFonts w:eastAsia="Calibri"/>
        </w:rPr>
        <w:t xml:space="preserve">management in international </w:t>
      </w:r>
      <w:r w:rsidR="00627069">
        <w:rPr>
          <w:rFonts w:eastAsia="Calibri"/>
        </w:rPr>
        <w:t>basin</w:t>
      </w:r>
      <w:r w:rsidR="00FE521F">
        <w:rPr>
          <w:rFonts w:eastAsia="Calibri"/>
        </w:rPr>
        <w:t xml:space="preserve">s or </w:t>
      </w:r>
      <w:r w:rsidRPr="00A36E44">
        <w:rPr>
          <w:rFonts w:eastAsia="Calibri"/>
        </w:rPr>
        <w:t xml:space="preserve">river basins through </w:t>
      </w:r>
      <w:r w:rsidR="00FC52D2" w:rsidRPr="00A36E44">
        <w:rPr>
          <w:rFonts w:eastAsia="Calibri"/>
        </w:rPr>
        <w:t>this example</w:t>
      </w:r>
      <w:r w:rsidRPr="00A36E44">
        <w:rPr>
          <w:rFonts w:eastAsia="Calibri"/>
        </w:rPr>
        <w:t xml:space="preserve">, providing what we suggest </w:t>
      </w:r>
      <w:r w:rsidR="00A61B90" w:rsidRPr="00A36E44">
        <w:rPr>
          <w:rFonts w:eastAsia="Calibri"/>
        </w:rPr>
        <w:t>to be</w:t>
      </w:r>
      <w:r w:rsidRPr="00A36E44">
        <w:rPr>
          <w:rFonts w:eastAsia="Calibri"/>
        </w:rPr>
        <w:t xml:space="preserve"> one of the first analyses of uncertainty in transboundary flood risk management. The uncertainty we are analysing here surrounds decisions on how best to manage the Lake Ontario/St Lawrence system today, given the inherently unpredictable nature of flooding and </w:t>
      </w:r>
      <w:r w:rsidR="00B448AD" w:rsidRPr="00A36E44">
        <w:rPr>
          <w:rFonts w:eastAsia="Calibri"/>
        </w:rPr>
        <w:t xml:space="preserve">the </w:t>
      </w:r>
      <w:r w:rsidRPr="00A36E44">
        <w:rPr>
          <w:rFonts w:eastAsia="Calibri"/>
        </w:rPr>
        <w:t xml:space="preserve">even greater hydrometeorological uncertainties we might expect in the future given climate change and urban development. Methodologically, the research design is one of an exploratory case study </w:t>
      </w:r>
      <w:r w:rsidR="002521BA" w:rsidRPr="00A36E44">
        <w:rPr>
          <w:rFonts w:eastAsia="Calibri"/>
        </w:rPr>
        <w:fldChar w:fldCharType="begin"/>
      </w:r>
      <w:r w:rsidR="002521BA" w:rsidRPr="00A36E44">
        <w:rPr>
          <w:rFonts w:eastAsia="Calibri"/>
        </w:rPr>
        <w:instrText xml:space="preserve"> ADDIN ZOTERO_ITEM CSL_CITATION {"citationID":"rPAgDrfy","properties":{"formattedCitation":"(Yin, 2009)","plainCitation":"(Yin, 2009)","noteIndex":0},"citationItems":[{"id":2327,"uris":["http://zotero.org/users/local/LV0ujPfY/items/3F97W5F4"],"uri":["http://zotero.org/users/local/LV0ujPfY/items/3F97W5F4"],"itemData":{"id":2327,"type":"book","edition":"4th Edition","event-place":"Los Angeles and London","publisher":"SAGE","publisher-place":"Los Angeles and London","title":"Case study research: Design and methods","author":[{"family":"Yin","given":"R.K`"}],"issued":{"date-parts":[["2009"]]}}}],"schema":"https://github.com/citation-style-language/schema/raw/master/csl-citation.json"} </w:instrText>
      </w:r>
      <w:r w:rsidR="002521BA" w:rsidRPr="00A36E44">
        <w:rPr>
          <w:rFonts w:eastAsia="Calibri"/>
        </w:rPr>
        <w:fldChar w:fldCharType="separate"/>
      </w:r>
      <w:r w:rsidR="00D03D37" w:rsidRPr="00A36E44">
        <w:rPr>
          <w:rFonts w:eastAsia="Calibri"/>
          <w:noProof/>
        </w:rPr>
        <w:t>(Yin, 2009)</w:t>
      </w:r>
      <w:r w:rsidR="002521BA" w:rsidRPr="00A36E44">
        <w:rPr>
          <w:rFonts w:eastAsia="Calibri"/>
        </w:rPr>
        <w:fldChar w:fldCharType="end"/>
      </w:r>
      <w:r w:rsidR="00B448AD" w:rsidRPr="00A36E44">
        <w:rPr>
          <w:rFonts w:eastAsia="Calibri"/>
        </w:rPr>
        <w:t>, but preceded and followed by an analysis of the issues in a wider international context. T</w:t>
      </w:r>
      <w:r w:rsidRPr="00A36E44">
        <w:rPr>
          <w:rFonts w:eastAsia="Calibri"/>
        </w:rPr>
        <w:t xml:space="preserve">he information we have used </w:t>
      </w:r>
      <w:r w:rsidR="00B448AD" w:rsidRPr="00A36E44">
        <w:rPr>
          <w:rFonts w:eastAsia="Calibri"/>
        </w:rPr>
        <w:t xml:space="preserve">in the case study </w:t>
      </w:r>
      <w:r w:rsidRPr="00A36E44">
        <w:rPr>
          <w:rFonts w:eastAsia="Calibri"/>
        </w:rPr>
        <w:t xml:space="preserve">comes from a variety of sources, including both academic and ‘grey’ literature such as policy reports and contemporary news articles that </w:t>
      </w:r>
      <w:sdt>
        <w:sdtPr>
          <w:tag w:val="goog_rdk_0"/>
          <w:id w:val="74945260"/>
        </w:sdtPr>
        <w:sdtEndPr/>
        <w:sdtContent/>
      </w:sdt>
      <w:sdt>
        <w:sdtPr>
          <w:tag w:val="goog_rdk_1"/>
          <w:id w:val="-875685725"/>
        </w:sdtPr>
        <w:sdtEndPr/>
        <w:sdtContent/>
      </w:sdt>
      <w:r w:rsidRPr="00A36E44">
        <w:rPr>
          <w:rFonts w:eastAsia="Calibri"/>
        </w:rPr>
        <w:t xml:space="preserve">describe the nature of </w:t>
      </w:r>
      <w:r w:rsidR="008C5D88" w:rsidRPr="00A36E44">
        <w:rPr>
          <w:rFonts w:eastAsia="Calibri"/>
        </w:rPr>
        <w:t xml:space="preserve">management </w:t>
      </w:r>
      <w:r w:rsidRPr="00A36E44">
        <w:rPr>
          <w:rFonts w:eastAsia="Calibri"/>
        </w:rPr>
        <w:t xml:space="preserve">decisions and the historical context in which they were made. </w:t>
      </w:r>
    </w:p>
    <w:p w14:paraId="1945E7A4" w14:textId="0FB7DB32" w:rsidR="00E40325" w:rsidRPr="00F07948" w:rsidRDefault="00E40325" w:rsidP="00F07948">
      <w:pPr>
        <w:pStyle w:val="Heading1"/>
      </w:pPr>
      <w:r w:rsidRPr="00F07948">
        <w:t xml:space="preserve">Uncertainty in </w:t>
      </w:r>
      <w:r w:rsidR="00D4792F" w:rsidRPr="00F07948">
        <w:t>transboundary</w:t>
      </w:r>
      <w:r w:rsidRPr="00F07948">
        <w:t xml:space="preserve"> flood risk management</w:t>
      </w:r>
    </w:p>
    <w:p w14:paraId="27204132" w14:textId="69216A7F" w:rsidR="00D2782A" w:rsidRDefault="00E40325" w:rsidP="00AE55D6">
      <w:pPr>
        <w:pBdr>
          <w:top w:val="nil"/>
          <w:left w:val="nil"/>
          <w:bottom w:val="nil"/>
          <w:right w:val="nil"/>
          <w:between w:val="nil"/>
        </w:pBdr>
        <w:tabs>
          <w:tab w:val="left" w:pos="142"/>
        </w:tabs>
        <w:ind w:right="855" w:firstLine="720"/>
        <w:rPr>
          <w:rFonts w:eastAsia="Calibri"/>
          <w:color w:val="000000"/>
        </w:rPr>
      </w:pPr>
      <w:r w:rsidRPr="00A36E44">
        <w:rPr>
          <w:rFonts w:eastAsia="Calibri"/>
          <w:color w:val="000000"/>
        </w:rPr>
        <w:t xml:space="preserve">Uncertainty is a measure of the unknown where information is lacking or debated </w:t>
      </w:r>
      <w:r w:rsidR="00B00F8A" w:rsidRPr="00A36E44">
        <w:rPr>
          <w:rFonts w:eastAsia="Calibri"/>
          <w:color w:val="000000"/>
        </w:rPr>
        <w:fldChar w:fldCharType="begin"/>
      </w:r>
      <w:r w:rsidR="006E6A2C">
        <w:rPr>
          <w:rFonts w:eastAsia="Calibri"/>
          <w:color w:val="000000"/>
        </w:rPr>
        <w:instrText xml:space="preserve"> ADDIN ZOTERO_ITEM CSL_CITATION {"citationID":"HMp5Tx6C","properties":{"formattedCitation":"(Hall, 2014)","plainCitation":"(Hall, 2014)","noteIndex":0},"citationItems":[{"id":2346,"uris":["http://zotero.org/users/local/LV0ujPfY/items/9LIE4JUF"],"uri":["http://zotero.org/users/local/LV0ujPfY/items/9LIE4JUF"],"itemData":{"id":2346,"type":"chapter","abstract":"This volume provides an introduction for flood risk management practitioners, up-to-date methods for analysis of uncertainty and its use in risk-based decision making. It addresses decision making for both short-term (real-time forecasting) and long-term (flood risk planning under change) situations. It aims primarily at technical practitioners involved in flood risk analysis and flood warning, including hydrologists, engineers, flood modelers, risk analysts and those involved in the design and operation of flood warning systems. Many experienced practitioners are now expected to modify their way of working to fit into the new philosophy of flood risk management. This volume helps them to undertake that task with appropriate attention to the surrounding uncertainties. The book will also interest and benefit researchers and graduate students hoping to improve their knowledge of modern uncertainty analysis.","archive":"eBook Collection (EBSCOhost)","container-title":"Applied Uncertainty Analysis For Flood Risk Management","event-place":"London","ISBN":"978-1-84816-270-9","language":"English","publisher":"Imperial College Press","publisher-place":"London","source":"EBSCOhost","title":"Chapter 1:  Flood Risk Management: Decision Making Under Uncertainty","author":[{"family":"Hall","given":"J."}],"editor":[{"family":"Beven","given":"K.J"},{"family":"Hall","given":"J."}],"issued":{"date-parts":[["2014"]]}}}],"schema":"https://github.com/citation-style-language/schema/raw/master/csl-citation.json"} </w:instrText>
      </w:r>
      <w:r w:rsidR="00B00F8A" w:rsidRPr="00A36E44">
        <w:rPr>
          <w:rFonts w:eastAsia="Calibri"/>
          <w:color w:val="000000"/>
        </w:rPr>
        <w:fldChar w:fldCharType="separate"/>
      </w:r>
      <w:r w:rsidR="00B00F8A" w:rsidRPr="00A36E44">
        <w:rPr>
          <w:rFonts w:eastAsia="Calibri"/>
          <w:noProof/>
          <w:color w:val="000000"/>
        </w:rPr>
        <w:t>(Hall, 2014)</w:t>
      </w:r>
      <w:r w:rsidR="00B00F8A" w:rsidRPr="00A36E44">
        <w:rPr>
          <w:rFonts w:eastAsia="Calibri"/>
          <w:color w:val="000000"/>
        </w:rPr>
        <w:fldChar w:fldCharType="end"/>
      </w:r>
      <w:r w:rsidR="00070D9A" w:rsidRPr="00A36E44">
        <w:rPr>
          <w:rFonts w:eastAsia="Calibri"/>
          <w:color w:val="000000"/>
        </w:rPr>
        <w:t xml:space="preserve">. </w:t>
      </w:r>
      <w:r w:rsidR="004B2597" w:rsidRPr="00A36E44">
        <w:rPr>
          <w:rFonts w:eastAsia="Calibri"/>
          <w:color w:val="000000"/>
        </w:rPr>
        <w:t>In t</w:t>
      </w:r>
      <w:r w:rsidRPr="00A36E44">
        <w:rPr>
          <w:rFonts w:eastAsia="Calibri"/>
          <w:color w:val="000000"/>
        </w:rPr>
        <w:t xml:space="preserve">he world of environmental discourse, there are many definitions of the term, stemming from two fundamental sources, </w:t>
      </w:r>
      <w:r w:rsidR="005D041A" w:rsidRPr="00A36E44">
        <w:rPr>
          <w:rFonts w:eastAsia="Calibri"/>
          <w:color w:val="000000"/>
        </w:rPr>
        <w:t xml:space="preserve">notably </w:t>
      </w:r>
      <w:r w:rsidRPr="00A36E44">
        <w:rPr>
          <w:rFonts w:eastAsia="Calibri"/>
          <w:color w:val="000000"/>
        </w:rPr>
        <w:t>as classified by Walker et al.</w:t>
      </w:r>
      <w:r w:rsidR="006210E9" w:rsidRPr="00A36E44">
        <w:rPr>
          <w:rFonts w:eastAsia="Calibri"/>
          <w:color w:val="000000"/>
        </w:rPr>
        <w:t xml:space="preserve"> </w:t>
      </w:r>
      <w:r w:rsidR="00664152" w:rsidRPr="00A36E44">
        <w:rPr>
          <w:rFonts w:eastAsia="Calibri"/>
          <w:color w:val="000000"/>
        </w:rPr>
        <w:fldChar w:fldCharType="begin"/>
      </w:r>
      <w:r w:rsidR="00664152" w:rsidRPr="00A36E44">
        <w:rPr>
          <w:rFonts w:eastAsia="Calibri"/>
          <w:color w:val="000000"/>
        </w:rPr>
        <w:instrText xml:space="preserve"> ADDIN ZOTERO_ITEM CSL_CITATION {"citationID":"7uCfWOA5","properties":{"formattedCitation":"(2003)","plainCitation":"(2003)","noteIndex":0},"citationItems":[{"id":2328,"uris":["http://zotero.org/users/local/LV0ujPfY/items/MJXBA9UR"],"uri":["http://zotero.org/users/local/LV0ujPfY/items/MJXBA9UR"],"itemData":{"id":2328,"type":"article-journal","container-title":"Integrated assessment","ISSN":"1389-5176","issue":"1","journalAbbreviation":"Integrated assessment","note":"publisher: Taylor &amp; Francis","page":"5-17","title":"Defining uncertainty: a conceptual basis for uncertainty management in model-based decision support","volume":"4","author":[{"family":"Walker","given":"Warren E"},{"family":"Harremoës","given":"Poul"},{"family":"Rotmans","given":"Jan"},{"family":"Van Der Sluijs","given":"Jeroen P"},{"family":"Van Asselt","given":"Marjolein BA"},{"family":"Janssen","given":"Peter"},{"family":"Krayer von Krauss","given":"Martin P"}],"issued":{"date-parts":[["2003"]]}},"suppress-author":true}],"schema":"https://github.com/citation-style-language/schema/raw/master/csl-citation.json"} </w:instrText>
      </w:r>
      <w:r w:rsidR="00664152" w:rsidRPr="00A36E44">
        <w:rPr>
          <w:rFonts w:eastAsia="Calibri"/>
          <w:color w:val="000000"/>
        </w:rPr>
        <w:fldChar w:fldCharType="separate"/>
      </w:r>
      <w:r w:rsidR="00664152" w:rsidRPr="00A36E44">
        <w:rPr>
          <w:rFonts w:eastAsia="Calibri"/>
          <w:noProof/>
          <w:color w:val="000000"/>
        </w:rPr>
        <w:t>(2003)</w:t>
      </w:r>
      <w:r w:rsidR="00664152" w:rsidRPr="00A36E44">
        <w:rPr>
          <w:rFonts w:eastAsia="Calibri"/>
          <w:color w:val="000000"/>
        </w:rPr>
        <w:fldChar w:fldCharType="end"/>
      </w:r>
      <w:r w:rsidR="00F8356B" w:rsidRPr="00A36E44">
        <w:rPr>
          <w:rFonts w:eastAsia="Calibri"/>
          <w:color w:val="000000"/>
        </w:rPr>
        <w:fldChar w:fldCharType="begin"/>
      </w:r>
      <w:r w:rsidR="00664152" w:rsidRPr="00A36E44">
        <w:rPr>
          <w:rFonts w:eastAsia="Calibri"/>
          <w:color w:val="000000"/>
        </w:rPr>
        <w:instrText xml:space="preserve"> ADDIN ZOTERO_ITEM CSL_CITATION {"citationID":"niILBUPL","properties":{"formattedCitation":"(2003)","plainCitation":"(2003)","dontUpdate":true,"noteIndex":0},"citationItems":[{"id":2328,"uris":["http://zotero.org/users/local/LV0ujPfY/items/MJXBA9UR"],"uri":["http://zotero.org/users/local/LV0ujPfY/items/MJXBA9UR"],"itemData":{"id":2328,"type":"article-journal","container-title":"Integrated assessment","ISSN":"1389-5176","issue":"1","journalAbbreviation":"Integrated assessment","note":"publisher: Taylor &amp; Francis","page":"5-17","title":"Defining uncertainty: a conceptual basis for uncertainty management in model-based decision support","volume":"4","author":[{"family":"Walker","given":"Warren E"},{"family":"Harremoës","given":"Poul"},{"family":"Rotmans","given":"Jan"},{"family":"Van Der Sluijs","given":"Jeroen P"},{"family":"Van Asselt","given":"Marjolein BA"},{"family":"Janssen","given":"Peter"},{"family":"Krayer von Krauss","given":"Martin P"}],"issued":{"date-parts":[["2003"]]}},"suppress-author":true}],"schema":"https://github.com/citation-style-language/schema/raw/master/csl-citation.json"} </w:instrText>
      </w:r>
      <w:r w:rsidR="00F8356B" w:rsidRPr="00A36E44">
        <w:rPr>
          <w:rFonts w:eastAsia="Calibri"/>
          <w:color w:val="000000"/>
        </w:rPr>
        <w:fldChar w:fldCharType="end"/>
      </w:r>
      <w:r w:rsidRPr="00A36E44">
        <w:rPr>
          <w:rFonts w:eastAsia="Calibri"/>
          <w:color w:val="000000"/>
        </w:rPr>
        <w:t xml:space="preserve"> and as used by the IJC </w:t>
      </w:r>
      <w:r w:rsidRPr="00A36E44">
        <w:rPr>
          <w:rFonts w:eastAsia="Calibri"/>
        </w:rPr>
        <w:t>in its logic underpinning of Plan 2014 (Table 1)</w:t>
      </w:r>
      <w:r w:rsidRPr="00A36E44">
        <w:rPr>
          <w:rFonts w:eastAsia="Calibri"/>
          <w:color w:val="000000"/>
        </w:rPr>
        <w:t xml:space="preserve">. First, </w:t>
      </w:r>
      <w:r w:rsidRPr="00A36E44">
        <w:rPr>
          <w:rFonts w:eastAsia="Calibri"/>
          <w:i/>
          <w:color w:val="000000"/>
        </w:rPr>
        <w:t>ontological</w:t>
      </w:r>
      <w:r w:rsidR="001A56D9" w:rsidRPr="00A36E44">
        <w:rPr>
          <w:rFonts w:eastAsia="Calibri"/>
          <w:i/>
          <w:color w:val="000000"/>
        </w:rPr>
        <w:t xml:space="preserve"> </w:t>
      </w:r>
      <w:r w:rsidR="001A56D9" w:rsidRPr="00A36E44">
        <w:rPr>
          <w:rFonts w:eastAsia="Calibri"/>
          <w:color w:val="000000"/>
        </w:rPr>
        <w:t>(or variability)</w:t>
      </w:r>
      <w:r w:rsidRPr="00A36E44">
        <w:rPr>
          <w:rFonts w:eastAsia="Calibri"/>
          <w:color w:val="000000"/>
        </w:rPr>
        <w:t xml:space="preserve"> </w:t>
      </w:r>
      <w:r w:rsidRPr="00A36E44">
        <w:rPr>
          <w:rFonts w:eastAsia="Calibri"/>
          <w:i/>
          <w:color w:val="000000"/>
        </w:rPr>
        <w:t>uncertainty</w:t>
      </w:r>
      <w:r w:rsidRPr="00A36E44">
        <w:rPr>
          <w:rFonts w:eastAsia="Calibri"/>
          <w:color w:val="000000"/>
        </w:rPr>
        <w:t xml:space="preserve"> exists due to the inherent complexity and variation of a particular </w:t>
      </w:r>
      <w:r w:rsidR="00E974BB" w:rsidRPr="00A36E44">
        <w:rPr>
          <w:rFonts w:eastAsia="Calibri"/>
          <w:color w:val="000000"/>
        </w:rPr>
        <w:t xml:space="preserve">environmental </w:t>
      </w:r>
      <w:r w:rsidRPr="00A36E44">
        <w:rPr>
          <w:rFonts w:eastAsia="Calibri"/>
          <w:color w:val="000000"/>
        </w:rPr>
        <w:t xml:space="preserve">system. Next, </w:t>
      </w:r>
      <w:r w:rsidRPr="00A36E44">
        <w:rPr>
          <w:rFonts w:eastAsia="Calibri"/>
          <w:i/>
          <w:color w:val="000000"/>
        </w:rPr>
        <w:t xml:space="preserve">epistemic </w:t>
      </w:r>
      <w:r w:rsidRPr="00A36E44">
        <w:rPr>
          <w:rFonts w:eastAsia="Calibri"/>
          <w:i/>
          <w:color w:val="000000"/>
        </w:rPr>
        <w:lastRenderedPageBreak/>
        <w:t xml:space="preserve">uncertainty </w:t>
      </w:r>
      <w:r w:rsidRPr="00A36E44">
        <w:rPr>
          <w:rFonts w:eastAsia="Calibri"/>
          <w:color w:val="000000"/>
        </w:rPr>
        <w:t xml:space="preserve">is a product of imperfect information and knowledge gaps, and can therefore potentially be reduced through the gaining of new knowledge </w:t>
      </w:r>
      <w:r w:rsidR="00016950" w:rsidRPr="00A36E44">
        <w:rPr>
          <w:rFonts w:eastAsia="Calibri"/>
          <w:color w:val="000000"/>
        </w:rPr>
        <w:fldChar w:fldCharType="begin"/>
      </w:r>
      <w:r w:rsidR="00A12A9D">
        <w:rPr>
          <w:rFonts w:eastAsia="Calibri"/>
          <w:color w:val="000000"/>
        </w:rPr>
        <w:instrText xml:space="preserve"> ADDIN ZOTERO_ITEM CSL_CITATION {"citationID":"EgiQlB9g","properties":{"formattedCitation":"(van der Keur {\\i{}et al.}, 2008)","plainCitation":"(van der Keur et al., 2008)","noteIndex":0},"citationItems":[{"id":2282,"uris":["http://zotero.org/users/local/LV0ujPfY/items/TP8FLP2U"],"uri":["http://zotero.org/users/local/LV0ujPfY/items/TP8FLP2U"],"itemData":{"id":2282,"type":"article-journal","container-title":"Water Resources Management","title":"Identification of Major Sources of Uncertainty in Current IWRM Practice. Illustrated for the Rhine Basin","author":[{"family":"Keur","given":"P.","non-dropping-particle":"van der"},{"family":"Henriksen","given":"H.J."},{"family":"Refsgaard","given":"J.C."},{"family":"Brugnach","given":"M."},{"family":"Pahl-Wostl","given":"C."},{"family":"Dewulf","given":"A."},{"family":"Buiteveld","given":"H."}],"issued":{"date-parts":[["2008"]]}}}],"schema":"https://github.com/citation-style-language/schema/raw/master/csl-citation.json"} </w:instrText>
      </w:r>
      <w:r w:rsidR="00016950" w:rsidRPr="00A36E44">
        <w:rPr>
          <w:rFonts w:eastAsia="Calibri"/>
          <w:color w:val="000000"/>
        </w:rPr>
        <w:fldChar w:fldCharType="separate"/>
      </w:r>
      <w:r w:rsidR="00D03D37" w:rsidRPr="00A36E44">
        <w:rPr>
          <w:color w:val="000000"/>
          <w:lang w:val="en-US"/>
        </w:rPr>
        <w:t xml:space="preserve">(van der Keur </w:t>
      </w:r>
      <w:r w:rsidR="00D03D37" w:rsidRPr="00A36E44">
        <w:rPr>
          <w:i/>
          <w:iCs/>
          <w:color w:val="000000"/>
          <w:lang w:val="en-US"/>
        </w:rPr>
        <w:t>et al.</w:t>
      </w:r>
      <w:r w:rsidR="00D03D37" w:rsidRPr="00A36E44">
        <w:rPr>
          <w:color w:val="000000"/>
          <w:lang w:val="en-US"/>
        </w:rPr>
        <w:t>, 2008)</w:t>
      </w:r>
      <w:r w:rsidR="00016950" w:rsidRPr="00A36E44">
        <w:rPr>
          <w:rFonts w:eastAsia="Calibri"/>
          <w:color w:val="000000"/>
        </w:rPr>
        <w:fldChar w:fldCharType="end"/>
      </w:r>
      <w:r w:rsidR="00016950" w:rsidRPr="00A36E44">
        <w:rPr>
          <w:rFonts w:eastAsia="Calibri"/>
          <w:color w:val="000000"/>
        </w:rPr>
        <w:t xml:space="preserve">. </w:t>
      </w:r>
      <w:r w:rsidRPr="00A36E44">
        <w:rPr>
          <w:rFonts w:eastAsia="Calibri"/>
          <w:color w:val="000000"/>
        </w:rPr>
        <w:t xml:space="preserve"> </w:t>
      </w:r>
    </w:p>
    <w:p w14:paraId="6423C237" w14:textId="77777777" w:rsidR="00AC62B7" w:rsidRDefault="00AC62B7" w:rsidP="00AE55D6">
      <w:pPr>
        <w:pBdr>
          <w:top w:val="nil"/>
          <w:left w:val="nil"/>
          <w:bottom w:val="nil"/>
          <w:right w:val="nil"/>
          <w:between w:val="nil"/>
        </w:pBdr>
        <w:tabs>
          <w:tab w:val="left" w:pos="142"/>
        </w:tabs>
        <w:ind w:right="855" w:firstLine="720"/>
        <w:rPr>
          <w:rFonts w:eastAsia="Calibri"/>
          <w:color w:val="000000"/>
        </w:rPr>
      </w:pPr>
    </w:p>
    <w:p w14:paraId="039C5702" w14:textId="63A7E6B2" w:rsidR="00AA7DE6" w:rsidRPr="00FD04DE" w:rsidRDefault="00AA7DE6" w:rsidP="00491C69">
      <w:pPr>
        <w:pBdr>
          <w:top w:val="nil"/>
          <w:left w:val="nil"/>
          <w:bottom w:val="nil"/>
          <w:right w:val="nil"/>
          <w:between w:val="nil"/>
        </w:pBdr>
        <w:tabs>
          <w:tab w:val="left" w:pos="142"/>
        </w:tabs>
        <w:ind w:right="855"/>
        <w:rPr>
          <w:rFonts w:eastAsia="Calibri"/>
          <w:b/>
          <w:i/>
          <w:color w:val="000000"/>
        </w:rPr>
      </w:pPr>
      <w:r w:rsidRPr="00FD04DE">
        <w:rPr>
          <w:rFonts w:eastAsia="Calibri"/>
          <w:b/>
          <w:i/>
          <w:color w:val="000000"/>
        </w:rPr>
        <w:t>Flood risk and uncertainty</w:t>
      </w:r>
    </w:p>
    <w:p w14:paraId="70C6439F" w14:textId="5CDE4235" w:rsidR="00D2782A" w:rsidRPr="00A36E44" w:rsidRDefault="00E40325" w:rsidP="00AE55D6">
      <w:pPr>
        <w:pBdr>
          <w:top w:val="nil"/>
          <w:left w:val="nil"/>
          <w:bottom w:val="nil"/>
          <w:right w:val="nil"/>
          <w:between w:val="nil"/>
        </w:pBdr>
        <w:tabs>
          <w:tab w:val="left" w:pos="142"/>
        </w:tabs>
        <w:ind w:right="855" w:firstLine="720"/>
        <w:rPr>
          <w:rFonts w:eastAsia="Calibri"/>
          <w:color w:val="000000"/>
        </w:rPr>
      </w:pPr>
      <w:r w:rsidRPr="00A36E44">
        <w:rPr>
          <w:rFonts w:eastAsia="Calibri"/>
          <w:color w:val="000000"/>
        </w:rPr>
        <w:t xml:space="preserve">Flood risk and its management involve both </w:t>
      </w:r>
      <w:r w:rsidR="00AF6D8A" w:rsidRPr="00A36E44">
        <w:rPr>
          <w:rFonts w:eastAsia="Calibri"/>
          <w:color w:val="000000"/>
        </w:rPr>
        <w:t xml:space="preserve">these types of </w:t>
      </w:r>
      <w:r w:rsidRPr="00A36E44">
        <w:rPr>
          <w:rFonts w:eastAsia="Calibri"/>
          <w:color w:val="000000"/>
        </w:rPr>
        <w:t xml:space="preserve">uncertainty. </w:t>
      </w:r>
      <w:r w:rsidR="001F3B8E" w:rsidRPr="00A36E44">
        <w:rPr>
          <w:rFonts w:eastAsia="Calibri"/>
          <w:color w:val="000000"/>
        </w:rPr>
        <w:t>The</w:t>
      </w:r>
      <w:r w:rsidRPr="00A36E44">
        <w:rPr>
          <w:rFonts w:eastAsia="Calibri"/>
          <w:color w:val="000000"/>
        </w:rPr>
        <w:t xml:space="preserve"> two categories often reinforce one another and can </w:t>
      </w:r>
      <w:r w:rsidRPr="00A36E44">
        <w:rPr>
          <w:rFonts w:eastAsia="Calibri"/>
        </w:rPr>
        <w:t>increase</w:t>
      </w:r>
      <w:r w:rsidRPr="00A36E44">
        <w:rPr>
          <w:rFonts w:eastAsia="Calibri"/>
          <w:color w:val="000000"/>
        </w:rPr>
        <w:t xml:space="preserve"> over time, unpredictability affecting the time-scales of scientific canon and policy development </w:t>
      </w:r>
      <w:r w:rsidR="00256932" w:rsidRPr="00A36E44">
        <w:rPr>
          <w:rFonts w:eastAsia="Calibri"/>
          <w:color w:val="000000"/>
        </w:rPr>
        <w:fldChar w:fldCharType="begin"/>
      </w:r>
      <w:r w:rsidR="00D03D37" w:rsidRPr="00A36E44">
        <w:rPr>
          <w:rFonts w:eastAsia="Calibri"/>
          <w:color w:val="000000"/>
        </w:rPr>
        <w:instrText xml:space="preserve"> ADDIN ZOTERO_ITEM CSL_CITATION {"citationID":"m3OxrvV1","properties":{"formattedCitation":"(Ranger {\\i{}et al.}, 2010)","plainCitation":"(Ranger et al., 2010)","noteIndex":0},"citationItems":[{"id":610,"uris":["http://zotero.org/users/local/LV0ujPfY/items/2XBEFD3I"],"uri":["http://zotero.org/users/local/LV0ujPfY/items/2XBEFD3I"],"itemData":{"id":610,"type":"report","publisher":"Environment Agency. Grantham Research Institute on Climate Change and the Environment and Centre for Climate Change Economics and Policy","title":"Adaptation in the UK: a decision-making process","author":[{"family":"Ranger","given":"Nicola"},{"family":"Millner","given":"Anthony"},{"family":"Dietz","given":"Simon"},{"family":"Lopez","given":"Ana"},{"family":"Ruta","given":"Giovanni"}],"issued":{"date-parts":[["2010"]]}}}],"schema":"https://github.com/citation-style-language/schema/raw/master/csl-citation.json"} </w:instrText>
      </w:r>
      <w:r w:rsidR="00256932" w:rsidRPr="00A36E44">
        <w:rPr>
          <w:rFonts w:eastAsia="Calibri"/>
          <w:color w:val="000000"/>
        </w:rPr>
        <w:fldChar w:fldCharType="separate"/>
      </w:r>
      <w:r w:rsidR="00D03D37" w:rsidRPr="00A36E44">
        <w:rPr>
          <w:color w:val="000000"/>
          <w:lang w:val="en-US"/>
        </w:rPr>
        <w:t xml:space="preserve">(Ranger </w:t>
      </w:r>
      <w:r w:rsidR="00D03D37" w:rsidRPr="00A36E44">
        <w:rPr>
          <w:i/>
          <w:iCs/>
          <w:color w:val="000000"/>
          <w:lang w:val="en-US"/>
        </w:rPr>
        <w:t>et al.</w:t>
      </w:r>
      <w:r w:rsidR="00D03D37" w:rsidRPr="00A36E44">
        <w:rPr>
          <w:color w:val="000000"/>
          <w:lang w:val="en-US"/>
        </w:rPr>
        <w:t>, 2010)</w:t>
      </w:r>
      <w:r w:rsidR="00256932" w:rsidRPr="00A36E44">
        <w:rPr>
          <w:rFonts w:eastAsia="Calibri"/>
          <w:color w:val="000000"/>
        </w:rPr>
        <w:fldChar w:fldCharType="end"/>
      </w:r>
      <w:r w:rsidR="00256932" w:rsidRPr="00A36E44">
        <w:rPr>
          <w:rFonts w:eastAsia="Calibri"/>
          <w:color w:val="000000"/>
        </w:rPr>
        <w:t xml:space="preserve">. </w:t>
      </w:r>
      <w:r w:rsidRPr="00A36E44">
        <w:rPr>
          <w:rFonts w:eastAsia="Calibri"/>
          <w:color w:val="000000"/>
        </w:rPr>
        <w:t>However, policy</w:t>
      </w:r>
      <w:r w:rsidRPr="00A36E44">
        <w:rPr>
          <w:rFonts w:eastAsia="Calibri"/>
        </w:rPr>
        <w:t>-</w:t>
      </w:r>
      <w:r w:rsidRPr="00A36E44">
        <w:rPr>
          <w:rFonts w:eastAsia="Calibri"/>
          <w:color w:val="000000"/>
        </w:rPr>
        <w:t xml:space="preserve">making often requires clear, binary, solutions that have no room for </w:t>
      </w:r>
      <w:r w:rsidR="007256F2" w:rsidRPr="00A36E44">
        <w:rPr>
          <w:rFonts w:eastAsia="Calibri"/>
          <w:color w:val="000000"/>
        </w:rPr>
        <w:t>‘</w:t>
      </w:r>
      <w:r w:rsidRPr="00A36E44">
        <w:rPr>
          <w:rFonts w:eastAsia="Calibri"/>
          <w:color w:val="000000"/>
        </w:rPr>
        <w:t>shades of grey</w:t>
      </w:r>
      <w:r w:rsidR="007256F2" w:rsidRPr="00A36E44">
        <w:rPr>
          <w:rFonts w:eastAsia="Calibri"/>
          <w:color w:val="000000"/>
        </w:rPr>
        <w:t>’</w:t>
      </w:r>
      <w:r w:rsidRPr="00A36E44">
        <w:rPr>
          <w:rFonts w:eastAsia="Calibri"/>
          <w:color w:val="000000"/>
        </w:rPr>
        <w:t>, in particular in situations where loss of life or damage to property can occur</w:t>
      </w:r>
      <w:r w:rsidR="00E41849" w:rsidRPr="00A36E44">
        <w:rPr>
          <w:rFonts w:eastAsia="Calibri"/>
          <w:color w:val="000000"/>
        </w:rPr>
        <w:t xml:space="preserve">. </w:t>
      </w:r>
      <w:r w:rsidRPr="00A36E44">
        <w:rPr>
          <w:rFonts w:eastAsia="Calibri"/>
          <w:color w:val="000000"/>
        </w:rPr>
        <w:t xml:space="preserve">Several ideas have been developed to guide decisions about unknown or uncertain outcomes, such as the precautionary principle </w:t>
      </w:r>
      <w:r w:rsidR="001443D7">
        <w:rPr>
          <w:rFonts w:eastAsia="Calibri"/>
          <w:color w:val="000000"/>
        </w:rPr>
        <w:fldChar w:fldCharType="begin"/>
      </w:r>
      <w:r w:rsidR="006E6A2C">
        <w:rPr>
          <w:rFonts w:eastAsia="Calibri"/>
          <w:color w:val="000000"/>
        </w:rPr>
        <w:instrText xml:space="preserve"> ADDIN ZOTERO_ITEM CSL_CITATION {"citationID":"hm19j3DD","properties":{"formattedCitation":"(van Asselt &amp; Vos, 2006)","plainCitation":"(van Asselt &amp; Vos, 2006)","noteIndex":0},"citationItems":[{"id":2352,"uris":["http://zotero.org/users/local/LV0ujPfY/items/6CD48NID"],"uri":["http://zotero.org/users/local/LV0ujPfY/items/6CD48NID"],"itemData":{"id":2352,"type":"article-journal","container-title":"Journal of Risk Research","issue":"4","journalAbbreviation":"Journal of Risk Research","note":"publisher: Routledge","page":"313-336","title":"The Precautionary Principle and the Uncertainty Paradox","volume":"9","author":[{"family":"Asselt","given":"Marjolein B.. A.","non-dropping-particle":"van"},{"family":"Vos","given":"Ellen"}],"issued":{"date-parts":[["2006",6,1]]}}}],"schema":"https://github.com/citation-style-language/schema/raw/master/csl-citation.json"} </w:instrText>
      </w:r>
      <w:r w:rsidR="001443D7">
        <w:rPr>
          <w:rFonts w:eastAsia="Calibri"/>
          <w:color w:val="000000"/>
        </w:rPr>
        <w:fldChar w:fldCharType="separate"/>
      </w:r>
      <w:r w:rsidR="001443D7">
        <w:rPr>
          <w:rFonts w:eastAsia="Calibri"/>
          <w:noProof/>
          <w:color w:val="000000"/>
        </w:rPr>
        <w:t>(van Asselt &amp; Vos, 2006)</w:t>
      </w:r>
      <w:r w:rsidR="001443D7">
        <w:rPr>
          <w:rFonts w:eastAsia="Calibri"/>
          <w:color w:val="000000"/>
        </w:rPr>
        <w:fldChar w:fldCharType="end"/>
      </w:r>
      <w:r w:rsidR="000F3EA5" w:rsidRPr="00A36E44">
        <w:rPr>
          <w:rFonts w:eastAsia="Calibri"/>
          <w:color w:val="000000"/>
        </w:rPr>
        <w:fldChar w:fldCharType="begin"/>
      </w:r>
      <w:r w:rsidR="00282473">
        <w:rPr>
          <w:rFonts w:eastAsia="Calibri"/>
          <w:color w:val="000000"/>
        </w:rPr>
        <w:instrText xml:space="preserve"> ADDIN ZOTERO_ITEM CSL_CITATION {"citationID":"O8PXu4gp","properties":{"formattedCitation":"(European Commission Environment, 2003)","plainCitation":"(European Commission Environment, 2003)","dontUpdate":true,"noteIndex":0},"citationItems":[{"id":651,"uris":["http://zotero.org/users/local/LV0ujPfY/items/2KFYIXFY"],"uri":["http://zotero.org/users/local/LV0ujPfY/items/2KFYIXFY"],"itemData":{"id":651,"type":"report","title":"Best Practices on Flood Prevention, Protection, and Mitigation","author":[{"family":"European Commission Environment","given":""}],"issued":{"date-parts":[["2003"]]}}}],"schema":"https://github.com/citation-style-language/schema/raw/master/csl-citation.json"} </w:instrText>
      </w:r>
      <w:r w:rsidR="000F3EA5" w:rsidRPr="00A36E44">
        <w:rPr>
          <w:rFonts w:eastAsia="Calibri"/>
          <w:color w:val="000000"/>
        </w:rPr>
        <w:fldChar w:fldCharType="end"/>
      </w:r>
      <w:r w:rsidRPr="00A36E44">
        <w:rPr>
          <w:rFonts w:eastAsia="Calibri"/>
          <w:color w:val="000000"/>
        </w:rPr>
        <w:t xml:space="preserve">. Additionally, criteria have been developed to provide quantitative decision-making tools such as multi-attribute theory or multicriteria analysis (MAUT or MCA) that allow decisions to be weighed against each other to guide and justify the choice of one option over another </w:t>
      </w:r>
      <w:r w:rsidR="00B52FC0" w:rsidRPr="00A36E44">
        <w:rPr>
          <w:rFonts w:eastAsia="Calibri"/>
          <w:color w:val="000000"/>
        </w:rPr>
        <w:fldChar w:fldCharType="begin"/>
      </w:r>
      <w:r w:rsidR="006E6A2C">
        <w:rPr>
          <w:rFonts w:eastAsia="Calibri"/>
          <w:color w:val="000000"/>
        </w:rPr>
        <w:instrText xml:space="preserve"> ADDIN ZOTERO_ITEM CSL_CITATION {"citationID":"DJ4z8sg9","properties":{"formattedCitation":"(Green &amp; Weatherhead, 2014)","plainCitation":"(Green &amp; Weatherhead, 2014)","noteIndex":0},"citationItems":[{"id":541,"uris":["http://zotero.org/users/local/LV0ujPfY/items/2C7BNHIN"],"uri":["http://zotero.org/users/local/LV0ujPfY/items/2C7BNHIN"],"itemData":{"id":541,"type":"article-journal","abstract":"Despite information on the beneﬁts of climate change adaptation planning being widely available and well documented, in the UK at least relatively few real-world cases of scenario led adaptation have been documented. This limited uptake has been attributed to a variety of factors including the vast uncertainties faced, a lack of resources and potentially the absence of probabilities assigned to current climate change projections, thereby hampering conventional approaches to decision making under risk. Decision criteria for problems of uncertainty have been criticised for being too restrictive, crude, overly pessimistic, and data intensive. Furthermore, many cannot be reproduced reliably from subsamples of the UKCP09 probabilistic dataset.","container-title":"Climate Risk Management","language":"en","page":"63-75","source":"Crossref","title":"Coping with Climate Change Uncertainty for Adaptation Planning: An Improved Criterion for Decision Making under Uncertainty Using UKCP09","title-short":"Coping with climate change uncertainty for adaptation planning","volume":"1","author":[{"family":"Green","given":"M."},{"family":"Weatherhead","given":"E.K."}],"issued":{"date-parts":[["2014"]]}}}],"schema":"https://github.com/citation-style-language/schema/raw/master/csl-citation.json"} </w:instrText>
      </w:r>
      <w:r w:rsidR="00B52FC0" w:rsidRPr="00A36E44">
        <w:rPr>
          <w:rFonts w:eastAsia="Calibri"/>
          <w:color w:val="000000"/>
        </w:rPr>
        <w:fldChar w:fldCharType="separate"/>
      </w:r>
      <w:r w:rsidR="00D03D37" w:rsidRPr="00A36E44">
        <w:rPr>
          <w:rFonts w:eastAsia="Calibri"/>
          <w:noProof/>
          <w:color w:val="000000"/>
        </w:rPr>
        <w:t>(Green &amp; Weatherhead, 2014)</w:t>
      </w:r>
      <w:r w:rsidR="00B52FC0" w:rsidRPr="00A36E44">
        <w:rPr>
          <w:rFonts w:eastAsia="Calibri"/>
          <w:color w:val="000000"/>
        </w:rPr>
        <w:fldChar w:fldCharType="end"/>
      </w:r>
      <w:r w:rsidRPr="00A36E44">
        <w:rPr>
          <w:rFonts w:eastAsia="Calibri"/>
          <w:color w:val="000000"/>
        </w:rPr>
        <w:t xml:space="preserve">. </w:t>
      </w:r>
      <w:r w:rsidRPr="00A36E44">
        <w:rPr>
          <w:rFonts w:eastAsia="Calibri"/>
        </w:rPr>
        <w:t>However, t</w:t>
      </w:r>
      <w:r w:rsidRPr="00A36E44">
        <w:rPr>
          <w:rFonts w:eastAsia="Calibri"/>
          <w:color w:val="000000"/>
        </w:rPr>
        <w:t xml:space="preserve">ranslating quantitative measures of uncertainty for policy making and for the public can be difficult. To this end, it is necessary to build trust, greater political acceptability and </w:t>
      </w:r>
      <w:r w:rsidRPr="00A36E44">
        <w:rPr>
          <w:rFonts w:eastAsia="Calibri"/>
        </w:rPr>
        <w:t>flexible</w:t>
      </w:r>
      <w:r w:rsidRPr="00A36E44">
        <w:rPr>
          <w:rFonts w:eastAsia="Calibri"/>
          <w:color w:val="000000"/>
        </w:rPr>
        <w:t xml:space="preserve"> opportunities for policy change </w:t>
      </w:r>
      <w:r w:rsidR="005C3F9A" w:rsidRPr="00A36E44">
        <w:rPr>
          <w:rFonts w:eastAsia="Calibri"/>
          <w:color w:val="000000"/>
        </w:rPr>
        <w:fldChar w:fldCharType="begin"/>
      </w:r>
      <w:r w:rsidR="006E6A2C">
        <w:rPr>
          <w:rFonts w:eastAsia="Calibri"/>
          <w:color w:val="000000"/>
        </w:rPr>
        <w:instrText xml:space="preserve"> ADDIN ZOTERO_ITEM CSL_CITATION {"citationID":"qCO0dUyV","properties":{"formattedCitation":"(van der Bles {\\i{}et al.}, 2019)","plainCitation":"(van der Bles et al., 2019)","noteIndex":0},"citationItems":[{"id":2333,"uris":["http://zotero.org/users/local/LV0ujPfY/items/EE784JHA"],"uri":["http://zotero.org/users/local/LV0ujPfY/items/EE784JHA"],"itemData":{"id":2333,"type":"article-journal","abstract":"Uncertainty is an inherent part of knowledge, and yet in an era of contested expertise, many shy away from openly communicating their uncertainty about what they know, fearful of their audience's reaction. But what effect does communication of such epistemic uncertainty have? Empirical research is widely scattered across many disciplines. This interdisciplinary review structures and summarizes current practice and research across domains, combining a statistical and psychological perspective. This informs a framework for uncertainty communication in which we identify three objects of uncertainty—facts, numbers and science—and two levels of uncertainty: direct and indirect. An examination of current practices provides a scale of nine expressions of direct uncertainty. We discuss attempts to codify indirect uncertainty in terms of quality of the underlying evidence. We review the limited literature about the effects of communicating epistemic uncertainty on cognition, affect, trust and decision-making. While there is some evidence that communicating epistemic uncertainty does not necessarily affect audiences negatively, impact can vary between individuals and communication formats. Case studies in economic statistics and climate change illustrate our framework in action. We conclude with advice to guide both communicators and future researchers in this important but so far rather neglected field.","container-title":"Royal Society Open Science","issue":"5","journalAbbreviation":"R. Soc. open sci.","language":"en","page":"181870","source":"DOI.org (Crossref)","title":"Communicating uncertainty about facts, numbers and science","volume":"6","author":[{"family":"Bles","given":"Anne Marthe","non-dropping-particle":"van der"},{"family":"Linden","given":"Sander","non-dropping-particle":"van der"},{"family":"Freeman","given":"Alexandra L. J."},{"family":"Mitchell","given":"James"},{"family":"Galvao","given":"Ana B."},{"family":"Zaval","given":"Lisa"},{"family":"Spiegelhalter","given":"David J."}],"issued":{"date-parts":[["2019",5]]}}}],"schema":"https://github.com/citation-style-language/schema/raw/master/csl-citation.json"} </w:instrText>
      </w:r>
      <w:r w:rsidR="005C3F9A" w:rsidRPr="00A36E44">
        <w:rPr>
          <w:rFonts w:eastAsia="Calibri"/>
          <w:color w:val="000000"/>
        </w:rPr>
        <w:fldChar w:fldCharType="separate"/>
      </w:r>
      <w:r w:rsidR="00D03D37" w:rsidRPr="00A36E44">
        <w:rPr>
          <w:color w:val="000000"/>
          <w:lang w:val="en-US"/>
        </w:rPr>
        <w:t xml:space="preserve">(van der Bles </w:t>
      </w:r>
      <w:r w:rsidR="00D03D37" w:rsidRPr="00A36E44">
        <w:rPr>
          <w:i/>
          <w:iCs/>
          <w:color w:val="000000"/>
          <w:lang w:val="en-US"/>
        </w:rPr>
        <w:t>et al.</w:t>
      </w:r>
      <w:r w:rsidR="00D03D37" w:rsidRPr="00A36E44">
        <w:rPr>
          <w:color w:val="000000"/>
          <w:lang w:val="en-US"/>
        </w:rPr>
        <w:t>, 2019)</w:t>
      </w:r>
      <w:r w:rsidR="005C3F9A" w:rsidRPr="00A36E44">
        <w:rPr>
          <w:rFonts w:eastAsia="Calibri"/>
          <w:color w:val="000000"/>
        </w:rPr>
        <w:fldChar w:fldCharType="end"/>
      </w:r>
      <w:r w:rsidRPr="00A36E44">
        <w:rPr>
          <w:rFonts w:eastAsia="Calibri"/>
          <w:color w:val="000000"/>
        </w:rPr>
        <w:t xml:space="preserve">. Seminal work on the communication of uncertainty can provide some effective tools to this end. Notably, it has been argued that communication should be tailored to contexts, using local knowledge and involving communities through the decision-making process </w:t>
      </w:r>
      <w:r w:rsidR="00B448AD" w:rsidRPr="00A36E44">
        <w:rPr>
          <w:rFonts w:eastAsia="Calibri"/>
          <w:color w:val="000000"/>
        </w:rPr>
        <w:t>via</w:t>
      </w:r>
      <w:r w:rsidRPr="00A36E44">
        <w:rPr>
          <w:rFonts w:eastAsia="Calibri"/>
          <w:color w:val="000000"/>
        </w:rPr>
        <w:t xml:space="preserve"> close consultation and partnership </w:t>
      </w:r>
      <w:r w:rsidR="00196FD7" w:rsidRPr="00A36E44">
        <w:rPr>
          <w:rFonts w:eastAsia="Calibri"/>
          <w:color w:val="000000"/>
        </w:rPr>
        <w:fldChar w:fldCharType="begin"/>
      </w:r>
      <w:r w:rsidR="006E6A2C">
        <w:rPr>
          <w:rFonts w:eastAsia="Calibri"/>
          <w:color w:val="000000"/>
        </w:rPr>
        <w:instrText xml:space="preserve"> ADDIN ZOTERO_ITEM CSL_CITATION {"citationID":"JAHCYzT4","properties":{"formattedCitation":"(Basic, 2009; Chao, Hobbs &amp; Venkatesh, 1999; Norman &amp; Bakker, 2013)","plainCitation":"(Basic, 2009; Chao, Hobbs &amp; Venkatesh, 1999; Norman &amp; Bakker, 2013)","noteIndex":0},"citationItems":[{"id":538,"uris":["http://zotero.org/users/local/LV0ujPfY/items/TPX3DVLU"],"uri":["http://zotero.org/users/local/LV0ujPfY/items/TPX3DVLU"],"itemData":{"id":538,"type":"thesis","abstract":"This research investigates whether the use of online, geographic visualisation tools designed for communicating flood risks could improve the public’s understanding and response to flood warnings. Flood warning is a vital part of flood management and mitigation. It deals with technology as well as social and community mechanisms. Much attention is given to technocratic aspects of the flood warning process while socially oriented aspects such as risk communication and community awareness are neglected. As a consequence, warning messages often fail to reach the majority of those at risk of flooding in time to ensure that informed safety and damage prevention decisions are made. The research presented is this thesis addresses this problem by developing and testing a method of improving the clarity, quality and efficiency of the delivery of flood warning messages, with the assistance of Internet technology. The method is set out in a framework designed as part of this research. The fundamental basis of the framework is to provide flood warnings and risk communication to the public using a graphic interface (maps), via the Internet. An advantage of using graphics is that they are a universal language that transcend language barriers and can help ‘show’ (not tell) those at risk the situation they may be facing. In addition to this, the use of maps allows flood information to be organised on a map so that it is specific to properties and somewhat ‘personalised’. Interactivity, aesthetically appealing messages, and the use of 3D are also suggested in the framework.","event-place":"Melbourne, Australia","genre":"PhD","publisher":"RMIT University","publisher-place":"Melbourne, Australia","title":"Geographic Visualisation Tools for Communicating Flood Risks to the Public","author":[{"family":"Basic","given":"Fatima"}],"issued":{"date-parts":[["2009"]]}}},{"id":539,"uris":["http://zotero.org/users/local/LV0ujPfY/items/WPED9YU3"],"uri":["http://zotero.org/users/local/LV0ujPfY/items/WPED9YU3"],"itemData":{"id":539,"type":"article-journal","container-title":"Journal of the American Water Resources Association","issue":"6","language":"en","page":"1485-1497","source":"Crossref","title":"How Climate Uncertainty Should be Included in Great Lakes Management: Modeling Workshop Results","volume":"35","author":[{"family":"Chao","given":"Philip T."},{"family":"Hobbs","given":"Benjamin F."},{"family":"Venkatesh","given":"Boddu N."}],"issued":{"date-parts":[["1999"]]}}},{"id":632,"uris":["http://zotero.org/users/local/LV0ujPfY/items/UAB2CA7H"],"uri":["http://zotero.org/users/local/LV0ujPfY/items/UAB2CA7H"],"itemData":{"id":632,"type":"chapter","container-title":"Water Without Borders : Canada, the United States, and Shared Waters","event-place":"Toronto, Canada","ISBN":"978-1-4426-4393-2","page":"47 - 69","publisher":"University of Toronto Press","publisher-place":"Toronto, Canada","title":"Rise of the Local? Delegation and Devolution in Transboundary Water Governance","author":[{"family":"Norman","given":"Emma S."},{"family":"Bakker","given":"Karen"}],"issued":{"date-parts":[["2013"]]}}}],"schema":"https://github.com/citation-style-language/schema/raw/master/csl-citation.json"} </w:instrText>
      </w:r>
      <w:r w:rsidR="00196FD7" w:rsidRPr="00A36E44">
        <w:rPr>
          <w:rFonts w:eastAsia="Calibri"/>
          <w:color w:val="000000"/>
        </w:rPr>
        <w:fldChar w:fldCharType="separate"/>
      </w:r>
      <w:r w:rsidR="00D03D37" w:rsidRPr="00A36E44">
        <w:rPr>
          <w:rFonts w:eastAsia="Calibri"/>
          <w:noProof/>
          <w:color w:val="000000"/>
        </w:rPr>
        <w:t>(Basic, 2009; Chao, Hobbs &amp; Venkatesh, 1999; Norman &amp; Bakker, 2013)</w:t>
      </w:r>
      <w:r w:rsidR="00196FD7" w:rsidRPr="00A36E44">
        <w:rPr>
          <w:rFonts w:eastAsia="Calibri"/>
          <w:color w:val="000000"/>
        </w:rPr>
        <w:fldChar w:fldCharType="end"/>
      </w:r>
      <w:r w:rsidR="00196FD7" w:rsidRPr="00A36E44">
        <w:rPr>
          <w:rFonts w:eastAsia="Calibri"/>
          <w:color w:val="000000"/>
        </w:rPr>
        <w:t xml:space="preserve">. </w:t>
      </w:r>
      <w:r w:rsidRPr="00A36E44">
        <w:rPr>
          <w:rFonts w:eastAsia="Calibri"/>
          <w:color w:val="000000"/>
        </w:rPr>
        <w:t xml:space="preserve"> </w:t>
      </w:r>
    </w:p>
    <w:p w14:paraId="412290B1" w14:textId="098C4E9B" w:rsidR="008C41DF" w:rsidRDefault="00E40325" w:rsidP="00AE55D6">
      <w:pPr>
        <w:tabs>
          <w:tab w:val="left" w:pos="142"/>
        </w:tabs>
        <w:ind w:right="855" w:firstLine="720"/>
        <w:rPr>
          <w:rFonts w:eastAsia="Calibri"/>
        </w:rPr>
      </w:pPr>
      <w:r w:rsidRPr="00A36E44">
        <w:rPr>
          <w:rFonts w:eastAsia="Calibri"/>
          <w:color w:val="000000"/>
        </w:rPr>
        <w:t xml:space="preserve">Serious flooding is generally associated with extreme weather which is uncertain by definition, occurring at the tail of probability distributions. Indeed, </w:t>
      </w:r>
      <w:r w:rsidRPr="00A36E44">
        <w:rPr>
          <w:rFonts w:eastAsia="Calibri"/>
        </w:rPr>
        <w:t>h</w:t>
      </w:r>
      <w:r w:rsidRPr="00A36E44">
        <w:rPr>
          <w:rFonts w:eastAsia="Calibri"/>
          <w:color w:val="000000"/>
        </w:rPr>
        <w:t>azard anticipation is complex</w:t>
      </w:r>
      <w:r w:rsidRPr="00A36E44">
        <w:rPr>
          <w:rFonts w:eastAsia="Calibri"/>
        </w:rPr>
        <w:t xml:space="preserve">, </w:t>
      </w:r>
      <w:r w:rsidRPr="00A36E44">
        <w:rPr>
          <w:rFonts w:eastAsia="Calibri"/>
          <w:color w:val="000000"/>
        </w:rPr>
        <w:t xml:space="preserve">and </w:t>
      </w:r>
      <w:r w:rsidR="00926F94" w:rsidRPr="00A36E44">
        <w:rPr>
          <w:rFonts w:eastAsia="Calibri"/>
          <w:color w:val="000000"/>
        </w:rPr>
        <w:t xml:space="preserve">perfectly </w:t>
      </w:r>
      <w:r w:rsidRPr="00A36E44">
        <w:rPr>
          <w:rFonts w:eastAsia="Calibri"/>
          <w:color w:val="000000"/>
        </w:rPr>
        <w:t xml:space="preserve">accurate prediction </w:t>
      </w:r>
      <w:r w:rsidR="00597F72" w:rsidRPr="00A36E44">
        <w:rPr>
          <w:rFonts w:eastAsia="Calibri"/>
          <w:color w:val="000000"/>
        </w:rPr>
        <w:t>quasi</w:t>
      </w:r>
      <w:r w:rsidR="00C1366A" w:rsidRPr="00A36E44">
        <w:rPr>
          <w:rFonts w:eastAsia="Calibri"/>
          <w:color w:val="000000"/>
        </w:rPr>
        <w:t>-</w:t>
      </w:r>
      <w:r w:rsidRPr="00A36E44">
        <w:rPr>
          <w:rFonts w:eastAsia="Calibri"/>
          <w:color w:val="000000"/>
        </w:rPr>
        <w:t xml:space="preserve">impossible </w:t>
      </w:r>
      <w:r w:rsidR="0079585D" w:rsidRPr="00A36E44">
        <w:rPr>
          <w:rFonts w:eastAsia="Calibri"/>
          <w:color w:val="000000"/>
        </w:rPr>
        <w:fldChar w:fldCharType="begin"/>
      </w:r>
      <w:r w:rsidR="006E6A2C">
        <w:rPr>
          <w:rFonts w:eastAsia="Calibri"/>
          <w:color w:val="000000"/>
        </w:rPr>
        <w:instrText xml:space="preserve"> ADDIN ZOTERO_ITEM CSL_CITATION {"citationID":"x5A0MIDr","properties":{"unsorted":true,"formattedCitation":"(Anon, 2006; Ranger {\\i{}et al.}, 2010; Stainforth {\\i{}et al.}, 2007)","plainCitation":"(Anon, 2006; Ranger et al., 2010; Stainforth et al., 2007)","dontUpdate":true,"noteIndex":0},"citationItems":[{"id":602,"uris":["http://zotero.org/users/local/LV0ujPfY/items/3BYLHKR4"],"uri":["http://zotero.org/users/local/LV0ujPfY/items/3BYLHKR4"],"itemData":{"id":602,"type":"book","collection-title":"Ebook central","event-place":"Washington, D.C.","language":"eng","publisher":"National Academies Press","publisher-place":"Washington, D.C.","title":"Completing the Forecast : Characterizing and Communicating Uncertainty for Better Decisions using Weather and Climate Forecasts","editor":[{"family":"Beven","given":"K.J"},{"family":"Hall","given":"J."}],"issued":{"date-parts":[["2006"]]}}},{"id":610,"uris":["http://zotero.org/users/local/LV0ujPfY/items/2XBEFD3I"],"uri":["http://zotero.org/users/local/LV0ujPfY/items/2XBEFD3I"],"itemData":{"id":610,"type":"report","publisher":"Environment Agency. Grantham Research Institute on Climate Change and the Environment and Centre for Climate Change Economics and Policy","title":"Adaptation in the UK: a decision-making process","author":[{"family":"Ranger","given":"Nicola"},{"family":"Millner","given":"Anthony"},{"family":"Dietz","given":"Simon"},{"family":"Lopez","given":"Ana"},{"family":"Ruta","given":"Giovanni"}],"issued":{"date-parts":[["2010"]]}}},{"id":2289,"uris":["http://zotero.org/users/local/LV0ujPfY/items/HASJQPIX"],"uri":["http://zotero.org/users/local/LV0ujPfY/items/HASJQPIX"],"itemData":{"id":2289,"type":"article-journal","abstract":"Over the last 20 years, climate models have been developed to an impressive level of complexity. They are core tools in the study of the interactions of many climatic processes and justifiably prov...","container-title":"Philosophical Transactions of the Royal Society A: Mathematical, Physical and Engineering Sciences","language":"en","source":"royalsocietypublishing.org","title":"Confidence, uncertainty and decision-support relevance in climate predictions","URL":"https://royalsocietypublishing.org/doi/abs/10.1098/rsta.2007.2074","author":[{"family":"Stainforth","given":"D. A."},{"family":"Allen","given":"M. R."},{"family":"Tredger","given":"E. R."},{"family":"Smith","given":"L. A."}],"issued":{"date-parts":[["2007",6,14]]}}}],"schema":"https://github.com/citation-style-language/schema/raw/master/csl-citation.json"} </w:instrText>
      </w:r>
      <w:r w:rsidR="0079585D" w:rsidRPr="00A36E44">
        <w:rPr>
          <w:rFonts w:eastAsia="Calibri"/>
          <w:color w:val="000000"/>
        </w:rPr>
        <w:fldChar w:fldCharType="separate"/>
      </w:r>
      <w:r w:rsidR="00D03D37" w:rsidRPr="00A36E44">
        <w:rPr>
          <w:color w:val="000000"/>
          <w:lang w:val="en-US"/>
        </w:rPr>
        <w:t xml:space="preserve">(Ranger </w:t>
      </w:r>
      <w:r w:rsidR="00D03D37" w:rsidRPr="00A36E44">
        <w:rPr>
          <w:i/>
          <w:iCs/>
          <w:color w:val="000000"/>
          <w:lang w:val="en-US"/>
        </w:rPr>
        <w:t>et al.</w:t>
      </w:r>
      <w:r w:rsidR="00D03D37" w:rsidRPr="00A36E44">
        <w:rPr>
          <w:color w:val="000000"/>
          <w:lang w:val="en-US"/>
        </w:rPr>
        <w:t xml:space="preserve">, 2010; Stainforth </w:t>
      </w:r>
      <w:r w:rsidR="00D03D37" w:rsidRPr="00A36E44">
        <w:rPr>
          <w:i/>
          <w:iCs/>
          <w:color w:val="000000"/>
          <w:lang w:val="en-US"/>
        </w:rPr>
        <w:t>et al.</w:t>
      </w:r>
      <w:r w:rsidR="00D03D37" w:rsidRPr="00A36E44">
        <w:rPr>
          <w:color w:val="000000"/>
          <w:lang w:val="en-US"/>
        </w:rPr>
        <w:t>, 2007)</w:t>
      </w:r>
      <w:r w:rsidR="0079585D" w:rsidRPr="00A36E44">
        <w:rPr>
          <w:rFonts w:eastAsia="Calibri"/>
          <w:color w:val="000000"/>
        </w:rPr>
        <w:fldChar w:fldCharType="end"/>
      </w:r>
      <w:r w:rsidR="0079585D" w:rsidRPr="00A36E44">
        <w:rPr>
          <w:rFonts w:eastAsia="Calibri"/>
          <w:color w:val="000000"/>
        </w:rPr>
        <w:t>.</w:t>
      </w:r>
      <w:r w:rsidRPr="00A36E44">
        <w:rPr>
          <w:rFonts w:eastAsia="Calibri"/>
          <w:color w:val="000000"/>
        </w:rPr>
        <w:t xml:space="preserve"> </w:t>
      </w:r>
      <w:r w:rsidR="007D21B7" w:rsidRPr="00A36E44">
        <w:rPr>
          <w:rFonts w:eastAsia="Calibri"/>
          <w:color w:val="000000"/>
        </w:rPr>
        <w:t xml:space="preserve">In fact, Hall (2014, v) </w:t>
      </w:r>
      <w:r w:rsidR="00E435FB">
        <w:rPr>
          <w:rFonts w:eastAsia="Calibri"/>
          <w:color w:val="000000"/>
        </w:rPr>
        <w:t>even states</w:t>
      </w:r>
      <w:r w:rsidR="007D21B7" w:rsidRPr="00A36E44">
        <w:rPr>
          <w:rFonts w:eastAsia="Calibri"/>
          <w:color w:val="000000"/>
        </w:rPr>
        <w:t xml:space="preserve"> that </w:t>
      </w:r>
      <w:r w:rsidR="007D21B7" w:rsidRPr="00A36E44">
        <w:rPr>
          <w:rFonts w:eastAsia="Calibri"/>
          <w:color w:val="000000"/>
          <w:highlight w:val="white"/>
        </w:rPr>
        <w:t>flood risk management itself is ‘a process of decision making under uncertainty’</w:t>
      </w:r>
      <w:r w:rsidR="007D21B7" w:rsidRPr="00A36E44">
        <w:rPr>
          <w:rFonts w:eastAsia="Calibri"/>
          <w:color w:val="000000"/>
        </w:rPr>
        <w:t xml:space="preserve">. </w:t>
      </w:r>
      <w:r w:rsidRPr="00A36E44">
        <w:rPr>
          <w:rFonts w:eastAsia="Calibri"/>
          <w:color w:val="000000"/>
        </w:rPr>
        <w:t xml:space="preserve">As such, </w:t>
      </w:r>
      <w:r w:rsidRPr="00A36E44">
        <w:rPr>
          <w:rFonts w:eastAsia="Calibri"/>
        </w:rPr>
        <w:t>f</w:t>
      </w:r>
      <w:r w:rsidRPr="00A36E44">
        <w:rPr>
          <w:rFonts w:eastAsia="Calibri"/>
          <w:color w:val="000000"/>
        </w:rPr>
        <w:t xml:space="preserve">lood managers are often forced to make decisions with incomplete or debated information </w:t>
      </w:r>
      <w:r w:rsidR="004A7DDB" w:rsidRPr="00A36E44">
        <w:rPr>
          <w:rFonts w:eastAsia="Calibri"/>
          <w:color w:val="000000"/>
        </w:rPr>
        <w:fldChar w:fldCharType="begin"/>
      </w:r>
      <w:r w:rsidR="006E6A2C">
        <w:rPr>
          <w:rFonts w:eastAsia="Calibri"/>
          <w:color w:val="000000"/>
        </w:rPr>
        <w:instrText xml:space="preserve"> ADDIN ZOTERO_ITEM CSL_CITATION {"citationID":"vdSkfn18","properties":{"formattedCitation":"(Green &amp; Weatherhead, 2014)","plainCitation":"(Green &amp; Weatherhead, 2014)","noteIndex":0},"citationItems":[{"id":541,"uris":["http://zotero.org/users/local/LV0ujPfY/items/2C7BNHIN"],"uri":["http://zotero.org/users/local/LV0ujPfY/items/2C7BNHIN"],"itemData":{"id":541,"type":"article-journal","abstract":"Despite information on the beneﬁts of climate change adaptation planning being widely available and well documented, in the UK at least relatively few real-world cases of scenario led adaptation have been documented. This limited uptake has been attributed to a variety of factors including the vast uncertainties faced, a lack of resources and potentially the absence of probabilities assigned to current climate change projections, thereby hampering conventional approaches to decision making under risk. Decision criteria for problems of uncertainty have been criticised for being too restrictive, crude, overly pessimistic, and data intensive. Furthermore, many cannot be reproduced reliably from subsamples of the UKCP09 probabilistic dataset.","container-title":"Climate Risk Management","language":"en","page":"63-75","source":"Crossref","title":"Coping with Climate Change Uncertainty for Adaptation Planning: An Improved Criterion for Decision Making under Uncertainty Using UKCP09","title-short":"Coping with climate change uncertainty for adaptation planning","volume":"1","author":[{"family":"Green","given":"M."},{"family":"Weatherhead","given":"E.K."}],"issued":{"date-parts":[["2014"]]}}}],"schema":"https://github.com/citation-style-language/schema/raw/master/csl-citation.json"} </w:instrText>
      </w:r>
      <w:r w:rsidR="004A7DDB" w:rsidRPr="00A36E44">
        <w:rPr>
          <w:rFonts w:eastAsia="Calibri"/>
          <w:color w:val="000000"/>
        </w:rPr>
        <w:fldChar w:fldCharType="separate"/>
      </w:r>
      <w:r w:rsidR="00D03D37" w:rsidRPr="00A36E44">
        <w:rPr>
          <w:rFonts w:eastAsia="Calibri"/>
          <w:noProof/>
          <w:color w:val="000000"/>
        </w:rPr>
        <w:t>(Green &amp; Weatherhead, 2014)</w:t>
      </w:r>
      <w:r w:rsidR="004A7DDB" w:rsidRPr="00A36E44">
        <w:rPr>
          <w:rFonts w:eastAsia="Calibri"/>
          <w:color w:val="000000"/>
        </w:rPr>
        <w:fldChar w:fldCharType="end"/>
      </w:r>
      <w:r w:rsidRPr="00A36E44">
        <w:rPr>
          <w:rFonts w:eastAsia="Calibri"/>
          <w:color w:val="000000"/>
        </w:rPr>
        <w:t xml:space="preserve">; detailed uncertainty analysis in FRM, is still in its infancy </w:t>
      </w:r>
      <w:r w:rsidR="001A20A0" w:rsidRPr="00A36E44">
        <w:rPr>
          <w:rFonts w:eastAsia="Calibri"/>
          <w:color w:val="000000"/>
        </w:rPr>
        <w:fldChar w:fldCharType="begin"/>
      </w:r>
      <w:r w:rsidR="006E6A2C">
        <w:rPr>
          <w:rFonts w:eastAsia="Calibri"/>
          <w:color w:val="000000"/>
        </w:rPr>
        <w:instrText xml:space="preserve"> ADDIN ZOTERO_ITEM CSL_CITATION {"citationID":"kYR3pnDR","properties":{"formattedCitation":"(Chauhan &amp; Bowles, 2001; Hall &amp; Solomatine, 2008)","plainCitation":"(Chauhan &amp; Bowles, 2001; Hall &amp; Solomatine, 2008)","noteIndex":0},"citationItems":[{"id":540,"uris":["http://zotero.org/users/local/LV0ujPfY/items/AE29LYAR"],"uri":["http://zotero.org/users/local/LV0ujPfY/items/AE29LYAR"],"itemData":{"id":540,"type":"paper-conference","abstract":"Risk assessment is becoming more widely used to supplement traditional approaches to dam safety decision-making. Dam owners throughout Australia, the U.S. Army Corps of Engineers, and the U.S. Bureau of Reclamation are using risk assessment as a decision support tool.","container-title":"Proceedings of Risk Analysis in Dam Safety, Third International Conference on Dam Safety Evaluation","event-place":"Goa, India","page":"11","publisher-place":"Goa, India","title":"‘Incorporating Uncertainty into Dam Safety Risk Assessment.’","author":[{"family":"Chauhan","given":"Sanjay S"},{"family":"Bowles","given":"David S"}],"issued":{"date-parts":[["2001"]]}}},{"id":543,"uris":["http://zotero.org/users/local/LV0ujPfY/items/DUBD98AL"],"uri":["http://zotero.org/users/local/LV0ujPfY/items/DUBD98AL"],"itemData":{"id":543,"type":"article-journal","abstract":"Modern ﬂood risk management involves responding sustainably to ﬂood risk with portfolios of structural and non-structural measures. Under these circumstances of multi-attribute choice between portfolios of options, the motivation for uncertainty analysis becomes more compelling than ever. Uncertainty analysis is required in order to understand the implications for decision makers of limited data, model uncertainties, changes in the ﬂooding system over the long term, incommensurate scales of appraisal and potentially conﬂicting decision objectives. In recognition of the importance of uncertainty analysis as an integral aspect of sustainable ﬂood risk management, a new framework for uncertainty analysis within ﬂood risk management decisions has been established. The proliferation of methods for uncertainty analysis can be placed within the coherent framework. As well as estimating the amount of uncertainty associated with key decision variables, the framework supports the decision making process by identifying the most inﬂuential sources of uncertainty, and the implications of uncertainty for the preference ordering between options. The challenges posed by severe uncertainty about the potential for long term changes in the ﬂooding system are discussed and robustness analysis is advocated in response to these uncertainties.","container-title":"International Journal of River Basin Management","issue":"2","language":"en","page":"85-98","source":"Crossref","title":"A Framework for Uncertainty Analysis in Flood Risk Management Decisions","volume":"6","author":[{"family":"Hall","given":"Jim"},{"family":"Solomatine","given":"Dimitri"}],"issued":{"date-parts":[["2008"]]}}}],"schema":"https://github.com/citation-style-language/schema/raw/master/csl-citation.json"} </w:instrText>
      </w:r>
      <w:r w:rsidR="001A20A0" w:rsidRPr="00A36E44">
        <w:rPr>
          <w:rFonts w:eastAsia="Calibri"/>
          <w:color w:val="000000"/>
        </w:rPr>
        <w:fldChar w:fldCharType="separate"/>
      </w:r>
      <w:r w:rsidR="00D03D37" w:rsidRPr="00A36E44">
        <w:rPr>
          <w:rFonts w:eastAsia="Calibri"/>
          <w:noProof/>
          <w:color w:val="000000"/>
        </w:rPr>
        <w:t>(Chauhan &amp; Bowles, 2001; Hall &amp; Solomatine, 2008)</w:t>
      </w:r>
      <w:r w:rsidR="001A20A0" w:rsidRPr="00A36E44">
        <w:rPr>
          <w:rFonts w:eastAsia="Calibri"/>
          <w:color w:val="000000"/>
        </w:rPr>
        <w:fldChar w:fldCharType="end"/>
      </w:r>
      <w:r w:rsidR="008C41DF">
        <w:rPr>
          <w:rFonts w:eastAsia="Calibri"/>
          <w:color w:val="000000"/>
        </w:rPr>
        <w:t xml:space="preserve">; additionally, Hall </w:t>
      </w:r>
      <w:r w:rsidR="008C41DF" w:rsidRPr="008C41DF">
        <w:rPr>
          <w:rFonts w:eastAsia="Calibri"/>
          <w:color w:val="000000"/>
        </w:rPr>
        <w:fldChar w:fldCharType="begin"/>
      </w:r>
      <w:r w:rsidR="006E6A2C">
        <w:rPr>
          <w:rFonts w:eastAsia="Calibri"/>
          <w:color w:val="000000"/>
        </w:rPr>
        <w:instrText xml:space="preserve"> ADDIN ZOTERO_ITEM CSL_CITATION {"citationID":"nEQeflYZ","properties":{"formattedCitation":"(2014:p.4)","plainCitation":"(2014:p.4)","noteIndex":0},"citationItems":[{"id":2346,"uris":["http://zotero.org/users/local/LV0ujPfY/items/9LIE4JUF"],"uri":["http://zotero.org/users/local/LV0ujPfY/items/9LIE4JUF"],"itemData":{"id":2346,"type":"chapter","abstract":"This volume provides an introduction for flood risk management practitioners, up-to-date methods for analysis of uncertainty and its use in risk-based decision making. It addresses decision making for both short-term (real-time forecasting) and long-term (flood risk planning under change) situations. It aims primarily at technical practitioners involved in flood risk analysis and flood warning, including hydrologists, engineers, flood modelers, risk analysts and those involved in the design and operation of flood warning systems. Many experienced practitioners are now expected to modify their way of working to fit into the new philosophy of flood risk management. This volume helps them to undertake that task with appropriate attention to the surrounding uncertainties. The book will also interest and benefit researchers and graduate students hoping to improve their knowledge of modern uncertainty analysis.","archive":"eBook Collection (EBSCOhost)","container-title":"Applied Uncertainty Analysis For Flood Risk Management","event-place":"London","ISBN":"978-1-84816-270-9","language":"English","publisher":"Imperial College Press","publisher-place":"London","source":"EBSCOhost","title":"Chapter 1:  Flood Risk Management: Decision Making Under Uncertainty","author":[{"family":"Hall","given":"J."}],"editor":[{"family":"Beven","given":"K.J"},{"family":"Hall","given":"J."}],"issued":{"date-parts":[["2014"]]}},"locator":"4","suppress-author":true}],"schema":"https://github.com/citation-style-language/schema/raw/master/csl-citation.json"} </w:instrText>
      </w:r>
      <w:r w:rsidR="008C41DF" w:rsidRPr="008C41DF">
        <w:rPr>
          <w:rFonts w:eastAsia="Calibri"/>
          <w:color w:val="000000"/>
        </w:rPr>
        <w:fldChar w:fldCharType="separate"/>
      </w:r>
      <w:r w:rsidR="008C41DF" w:rsidRPr="008C41DF">
        <w:rPr>
          <w:rFonts w:eastAsia="Calibri"/>
          <w:noProof/>
          <w:color w:val="000000"/>
        </w:rPr>
        <w:t>(2014:p.4)</w:t>
      </w:r>
      <w:r w:rsidR="008C41DF" w:rsidRPr="008C41DF">
        <w:rPr>
          <w:rFonts w:eastAsia="Calibri"/>
          <w:color w:val="000000"/>
        </w:rPr>
        <w:fldChar w:fldCharType="end"/>
      </w:r>
      <w:r w:rsidR="008C41DF" w:rsidRPr="008C41DF">
        <w:rPr>
          <w:rFonts w:eastAsia="Calibri"/>
          <w:color w:val="000000"/>
        </w:rPr>
        <w:t xml:space="preserve"> notes that</w:t>
      </w:r>
      <w:r w:rsidR="002C357A">
        <w:rPr>
          <w:rFonts w:eastAsia="Calibri"/>
          <w:color w:val="000000"/>
        </w:rPr>
        <w:t xml:space="preserve"> this analysis</w:t>
      </w:r>
      <w:r w:rsidR="008C41DF" w:rsidRPr="008C41DF">
        <w:rPr>
          <w:rFonts w:eastAsia="Calibri"/>
          <w:color w:val="000000"/>
        </w:rPr>
        <w:t xml:space="preserve"> </w:t>
      </w:r>
      <w:r w:rsidR="008C41DF" w:rsidRPr="008C41DF">
        <w:rPr>
          <w:rFonts w:eastAsia="Calibri"/>
        </w:rPr>
        <w:t>‘does not remove the need for judgement, especially when decisions are value-laden and contested</w:t>
      </w:r>
      <w:r w:rsidR="00AD1169">
        <w:rPr>
          <w:rFonts w:eastAsia="Calibri"/>
        </w:rPr>
        <w:t>’</w:t>
      </w:r>
      <w:r w:rsidR="008C41DF" w:rsidRPr="008C41DF">
        <w:rPr>
          <w:rFonts w:eastAsia="Calibri"/>
        </w:rPr>
        <w:t xml:space="preserve">.  </w:t>
      </w:r>
    </w:p>
    <w:p w14:paraId="4DFCA9FA" w14:textId="6CB47853" w:rsidR="009E6751" w:rsidRDefault="00E40325" w:rsidP="00AE55D6">
      <w:pPr>
        <w:tabs>
          <w:tab w:val="left" w:pos="142"/>
        </w:tabs>
        <w:ind w:right="855" w:firstLine="720"/>
        <w:rPr>
          <w:rFonts w:eastAsia="Calibri"/>
          <w:color w:val="000000"/>
        </w:rPr>
      </w:pPr>
      <w:r w:rsidRPr="00A36E44">
        <w:rPr>
          <w:rFonts w:eastAsia="Calibri"/>
          <w:color w:val="000000"/>
        </w:rPr>
        <w:t xml:space="preserve">The prospect of climate change greatly complicates hazard prediction and risk management by involving extremes that stretch the bounds of what are considered average </w:t>
      </w:r>
      <w:r w:rsidR="008519D6" w:rsidRPr="00A36E44">
        <w:rPr>
          <w:rFonts w:eastAsia="Calibri"/>
          <w:color w:val="000000"/>
        </w:rPr>
        <w:t xml:space="preserve">seasonal </w:t>
      </w:r>
      <w:r w:rsidRPr="00A36E44">
        <w:rPr>
          <w:rFonts w:eastAsia="Calibri"/>
          <w:color w:val="000000"/>
        </w:rPr>
        <w:t xml:space="preserve">patterns </w:t>
      </w:r>
      <w:r w:rsidR="008519D6" w:rsidRPr="00A36E44">
        <w:rPr>
          <w:rFonts w:eastAsia="Calibri"/>
          <w:color w:val="000000"/>
        </w:rPr>
        <w:t>and extremes</w:t>
      </w:r>
      <w:r w:rsidR="00A41EC2" w:rsidRPr="00A36E44">
        <w:rPr>
          <w:rFonts w:eastAsia="Calibri"/>
          <w:color w:val="000000"/>
        </w:rPr>
        <w:t xml:space="preserve">. </w:t>
      </w:r>
      <w:r w:rsidR="00902496" w:rsidRPr="00A36E44">
        <w:rPr>
          <w:rFonts w:eastAsia="Calibri"/>
          <w:color w:val="000000"/>
        </w:rPr>
        <w:fldChar w:fldCharType="begin"/>
      </w:r>
      <w:r w:rsidR="006E6A2C">
        <w:rPr>
          <w:rFonts w:eastAsia="Calibri"/>
          <w:color w:val="000000"/>
        </w:rPr>
        <w:instrText xml:space="preserve"> ADDIN ZOTERO_ITEM CSL_CITATION {"citationID":"T1jwJIjD","properties":{"formattedCitation":"(Intergovernmental Panel on Climate Change, 2012, 2014)","plainCitation":"(Intergovernmental Panel on Climate Change, 2012, 2014)","noteIndex":0},"citationItems":[{"id":638,"uris":["http://zotero.org/users/local/LV0ujPfY/items/743CXCDT"],"uri":["http://zotero.org/users/local/LV0ujPfY/items/743CXCDT"],"itemData":{"id":638,"type":"book","event-place":"Cambridge","language":"en","publisher":"Cambridge University Press","publisher-place":"Cambridge","source":"Crossref","title":"Managing the Risks of Extreme Events and Disasters to Advance Climate Change Adaptation: Special Report of the Intergovernmental Panel on Climate Change","title-short":"Managing the Risks of Extreme Events and Disasters to Advance Climate Change Adaptation","URL":"http://ebooks.cambridge.org/ref/id/CBO9781139177245","editor":[{"family":"Field","given":"Christopher B."},{"family":"Barros","given":"Vicente"},{"family":"Stocker","given":"Thomas F."},{"family":"Dahe","given":"Qin"}],"author":[{"family":"Intergovernmental Panel on Climate Change","given":""}],"accessed":{"date-parts":[["2019",1,12]]},"issued":{"date-parts":[["2012"]]}}},{"id":2340,"uris":["http://zotero.org/users/local/LV0ujPfY/items/S987LQZM"],"uri":["http://zotero.org/users/local/LV0ujPfY/items/S987LQZM"],"itemData":{"id":2340,"type":"book","event-place":"Geneva, Switzerland","number-of-pages":"151","publisher-place":"Geneva, Switzerland","title":"Climate Change 2014: Synthesis Report. Contribution of Working Groups I, II and III to the Fifth Assessment Report of the Intergovernmental Panel on Climate Change","author":[{"family":"Intergovernmental Panel on Climate Change","given":""}],"collection-editor":[{"family":"Pachauri","given":"R. K"},{"family":"Meyers","given":"L. A."}],"issued":{"date-parts":[["2014"]]}}}],"schema":"https://github.com/citation-style-language/schema/raw/master/csl-citation.json"} </w:instrText>
      </w:r>
      <w:r w:rsidR="00902496" w:rsidRPr="00A36E44">
        <w:rPr>
          <w:rFonts w:eastAsia="Calibri"/>
          <w:color w:val="000000"/>
        </w:rPr>
        <w:fldChar w:fldCharType="separate"/>
      </w:r>
      <w:r w:rsidR="00902496" w:rsidRPr="00A36E44">
        <w:rPr>
          <w:rFonts w:eastAsia="Calibri"/>
          <w:noProof/>
          <w:color w:val="000000"/>
        </w:rPr>
        <w:t>(Intergovernmental Panel on Climate Change, 2012, 2014)</w:t>
      </w:r>
      <w:r w:rsidR="00902496" w:rsidRPr="00A36E44">
        <w:rPr>
          <w:rFonts w:eastAsia="Calibri"/>
          <w:color w:val="000000"/>
        </w:rPr>
        <w:fldChar w:fldCharType="end"/>
      </w:r>
      <w:r w:rsidR="00902496" w:rsidRPr="00A36E44">
        <w:rPr>
          <w:rFonts w:eastAsia="Calibri"/>
          <w:color w:val="000000"/>
        </w:rPr>
        <w:t>.</w:t>
      </w:r>
      <w:r w:rsidR="008C41DF">
        <w:rPr>
          <w:rFonts w:eastAsia="Calibri"/>
          <w:color w:val="000000"/>
        </w:rPr>
        <w:t xml:space="preserve"> </w:t>
      </w:r>
      <w:r w:rsidRPr="00A36E44">
        <w:rPr>
          <w:rFonts w:eastAsia="Calibri"/>
          <w:color w:val="000000"/>
        </w:rPr>
        <w:t xml:space="preserve">To deal with </w:t>
      </w:r>
      <w:r w:rsidR="008C41DF">
        <w:rPr>
          <w:rFonts w:eastAsia="Calibri"/>
          <w:color w:val="000000"/>
        </w:rPr>
        <w:t xml:space="preserve">this </w:t>
      </w:r>
      <w:r w:rsidRPr="00A36E44">
        <w:rPr>
          <w:rFonts w:eastAsia="Calibri"/>
          <w:color w:val="000000"/>
        </w:rPr>
        <w:t xml:space="preserve">uncertainty, building flexibility into existing management plans can be </w:t>
      </w:r>
      <w:r w:rsidR="006E5C24" w:rsidRPr="00A36E44">
        <w:rPr>
          <w:rFonts w:eastAsia="Calibri"/>
          <w:color w:val="000000"/>
        </w:rPr>
        <w:t>an</w:t>
      </w:r>
      <w:r w:rsidRPr="00A36E44">
        <w:rPr>
          <w:rFonts w:eastAsia="Calibri"/>
          <w:color w:val="000000"/>
        </w:rPr>
        <w:t xml:space="preserve"> effective approach </w:t>
      </w:r>
      <w:r w:rsidR="0058241D" w:rsidRPr="00A36E44">
        <w:rPr>
          <w:rFonts w:eastAsia="Calibri"/>
          <w:color w:val="000000"/>
        </w:rPr>
        <w:fldChar w:fldCharType="begin"/>
      </w:r>
      <w:r w:rsidR="00D03D37" w:rsidRPr="00A36E44">
        <w:rPr>
          <w:rFonts w:eastAsia="Calibri"/>
          <w:color w:val="000000"/>
        </w:rPr>
        <w:instrText xml:space="preserve"> ADDIN ZOTERO_ITEM CSL_CITATION {"citationID":"ddVZ0Jpt","properties":{"formattedCitation":"(Ranger {\\i{}et al.}, 2010)","plainCitation":"(Ranger et al., 2010)","noteIndex":0},"citationItems":[{"id":610,"uris":["http://zotero.org/users/local/LV0ujPfY/items/2XBEFD3I"],"uri":["http://zotero.org/users/local/LV0ujPfY/items/2XBEFD3I"],"itemData":{"id":610,"type":"report","publisher":"Environment Agency. Grantham Research Institute on Climate Change and the Environment and Centre for Climate Change Economics and Policy","title":"Adaptation in the UK: a decision-making process","author":[{"family":"Ranger","given":"Nicola"},{"family":"Millner","given":"Anthony"},{"family":"Dietz","given":"Simon"},{"family":"Lopez","given":"Ana"},{"family":"Ruta","given":"Giovanni"}],"issued":{"date-parts":[["2010"]]}}}],"schema":"https://github.com/citation-style-language/schema/raw/master/csl-citation.json"} </w:instrText>
      </w:r>
      <w:r w:rsidR="0058241D" w:rsidRPr="00A36E44">
        <w:rPr>
          <w:rFonts w:eastAsia="Calibri"/>
          <w:color w:val="000000"/>
        </w:rPr>
        <w:fldChar w:fldCharType="separate"/>
      </w:r>
      <w:r w:rsidR="00D03D37" w:rsidRPr="00A36E44">
        <w:rPr>
          <w:color w:val="000000"/>
          <w:lang w:val="en-US"/>
        </w:rPr>
        <w:t xml:space="preserve">(Ranger </w:t>
      </w:r>
      <w:r w:rsidR="00D03D37" w:rsidRPr="00A36E44">
        <w:rPr>
          <w:i/>
          <w:iCs/>
          <w:color w:val="000000"/>
          <w:lang w:val="en-US"/>
        </w:rPr>
        <w:t>et al.</w:t>
      </w:r>
      <w:r w:rsidR="00D03D37" w:rsidRPr="00A36E44">
        <w:rPr>
          <w:color w:val="000000"/>
          <w:lang w:val="en-US"/>
        </w:rPr>
        <w:t>, 2010)</w:t>
      </w:r>
      <w:r w:rsidR="0058241D" w:rsidRPr="00A36E44">
        <w:rPr>
          <w:rFonts w:eastAsia="Calibri"/>
          <w:color w:val="000000"/>
        </w:rPr>
        <w:fldChar w:fldCharType="end"/>
      </w:r>
      <w:r w:rsidRPr="00A36E44">
        <w:rPr>
          <w:rFonts w:eastAsia="Calibri"/>
          <w:color w:val="000000"/>
        </w:rPr>
        <w:t xml:space="preserve">. </w:t>
      </w:r>
      <w:r w:rsidR="00CF2D7D" w:rsidRPr="00A36E44">
        <w:rPr>
          <w:rFonts w:eastAsia="Calibri"/>
          <w:color w:val="000000"/>
        </w:rPr>
        <w:t>I</w:t>
      </w:r>
      <w:r w:rsidR="00ED6AF6" w:rsidRPr="00A36E44">
        <w:rPr>
          <w:rFonts w:eastAsia="Calibri"/>
          <w:color w:val="000000"/>
        </w:rPr>
        <w:t xml:space="preserve">ndeed, </w:t>
      </w:r>
      <w:r w:rsidR="000476DF" w:rsidRPr="00A36E44">
        <w:rPr>
          <w:rFonts w:eastAsia="Calibri"/>
          <w:color w:val="000000"/>
        </w:rPr>
        <w:t xml:space="preserve">building </w:t>
      </w:r>
      <w:r w:rsidR="00CF2D7D" w:rsidRPr="00A36E44">
        <w:rPr>
          <w:rFonts w:eastAsia="Calibri"/>
          <w:color w:val="000000"/>
        </w:rPr>
        <w:t xml:space="preserve">flexibility </w:t>
      </w:r>
      <w:r w:rsidR="00E972BB" w:rsidRPr="00A36E44">
        <w:rPr>
          <w:rFonts w:eastAsia="Calibri"/>
          <w:color w:val="000000"/>
        </w:rPr>
        <w:t>is increasin</w:t>
      </w:r>
      <w:r w:rsidR="00BB7AEB" w:rsidRPr="00A36E44">
        <w:rPr>
          <w:rFonts w:eastAsia="Calibri"/>
          <w:color w:val="000000"/>
        </w:rPr>
        <w:t>gly</w:t>
      </w:r>
      <w:r w:rsidR="00CF2D7D" w:rsidRPr="00A36E44">
        <w:rPr>
          <w:rFonts w:eastAsia="Calibri"/>
          <w:color w:val="000000"/>
        </w:rPr>
        <w:t xml:space="preserve"> seen as a </w:t>
      </w:r>
      <w:r w:rsidR="00455B00" w:rsidRPr="00A36E44">
        <w:rPr>
          <w:rFonts w:eastAsia="Calibri"/>
          <w:color w:val="000000"/>
        </w:rPr>
        <w:t xml:space="preserve">fundamental </w:t>
      </w:r>
      <w:r w:rsidR="00CF2D7D" w:rsidRPr="00A36E44">
        <w:rPr>
          <w:rFonts w:eastAsia="Calibri"/>
          <w:color w:val="000000"/>
        </w:rPr>
        <w:t xml:space="preserve">component of resilience and </w:t>
      </w:r>
      <w:r w:rsidR="00391D52" w:rsidRPr="00A36E44">
        <w:rPr>
          <w:rFonts w:eastAsia="Calibri"/>
          <w:color w:val="000000"/>
        </w:rPr>
        <w:t xml:space="preserve">climate </w:t>
      </w:r>
      <w:r w:rsidR="00DA5FB6" w:rsidRPr="00A36E44">
        <w:rPr>
          <w:rFonts w:eastAsia="Calibri"/>
          <w:color w:val="000000"/>
        </w:rPr>
        <w:t xml:space="preserve">change </w:t>
      </w:r>
      <w:r w:rsidR="00CF2D7D" w:rsidRPr="00A36E44">
        <w:rPr>
          <w:rFonts w:eastAsia="Calibri"/>
          <w:color w:val="000000"/>
        </w:rPr>
        <w:t xml:space="preserve">adaptation </w:t>
      </w:r>
      <w:r w:rsidR="00ED1C77" w:rsidRPr="00A36E44">
        <w:rPr>
          <w:rFonts w:eastAsia="Calibri"/>
          <w:color w:val="000000"/>
        </w:rPr>
        <w:fldChar w:fldCharType="begin"/>
      </w:r>
      <w:r w:rsidR="006E6A2C">
        <w:rPr>
          <w:rFonts w:eastAsia="Calibri"/>
          <w:color w:val="000000"/>
        </w:rPr>
        <w:instrText xml:space="preserve"> ADDIN ZOTERO_ITEM CSL_CITATION {"citationID":"mFBmo3g6","properties":{"formattedCitation":"(Intergovernmental Panel on Climate Change, 2001)","plainCitation":"(Intergovernmental Panel on Climate Change, 2001)","noteIndex":0},"citationItems":[{"id":2331,"uris":["http://zotero.org/users/local/LV0ujPfY/items/MJ4IVLMY"],"uri":["http://zotero.org/users/local/LV0ujPfY/items/MJ4IVLMY"],"itemData":{"id":2331,"type":"book","call-number":"QC981.8.C5 C51134 2001","event-place":"Cambridge, UK ; New York","language":"en","number-of-pages":"1032","publisher":"Cambridge University Press","publisher-place":"Cambridge, UK ; New York","source":"Library of Congress ISBN","title":"Climate change 2001: impacts, adaptation, and vulnerability: contribution of Working Group II to the third assessment report of the Intergovernmental Panel on Climate Change","title-short":"Climate change 2001","editor":[{"family":"McCarthy","given":"J. J."},{"family":"Canziani","given":"O. F."},{"family":"Leary","given":"N. A."},{"family":"Dokken","given":"D. J."},{"family":"White","given":"K. S"}],"author":[{"family":"Intergovernmental Panel on Climate Change","given":""}],"issued":{"date-parts":[["2001"]]}}}],"schema":"https://github.com/citation-style-language/schema/raw/master/csl-citation.json"} </w:instrText>
      </w:r>
      <w:r w:rsidR="00ED1C77" w:rsidRPr="00A36E44">
        <w:rPr>
          <w:rFonts w:eastAsia="Calibri"/>
          <w:color w:val="000000"/>
        </w:rPr>
        <w:fldChar w:fldCharType="separate"/>
      </w:r>
      <w:r w:rsidR="00DF4ED3" w:rsidRPr="00A36E44">
        <w:rPr>
          <w:rFonts w:eastAsia="Calibri"/>
          <w:noProof/>
          <w:color w:val="000000"/>
        </w:rPr>
        <w:t>(Intergovernmental Panel on Climate Change, 2001)</w:t>
      </w:r>
      <w:r w:rsidR="00ED1C77" w:rsidRPr="00A36E44">
        <w:rPr>
          <w:rFonts w:eastAsia="Calibri"/>
          <w:color w:val="000000"/>
        </w:rPr>
        <w:fldChar w:fldCharType="end"/>
      </w:r>
      <w:r w:rsidR="00CF2D7D" w:rsidRPr="00A36E44">
        <w:rPr>
          <w:rFonts w:eastAsia="Calibri"/>
          <w:color w:val="000000"/>
        </w:rPr>
        <w:t xml:space="preserve">. </w:t>
      </w:r>
      <w:r w:rsidRPr="00A36E44">
        <w:rPr>
          <w:rFonts w:eastAsia="Calibri"/>
          <w:color w:val="000000"/>
        </w:rPr>
        <w:t>This flexibility can be expressed through impact (instead of forecast) based policy or through water control structures with wider operational bounds that determine water height or flows</w:t>
      </w:r>
      <w:r w:rsidR="008C5ED3" w:rsidRPr="00A36E44">
        <w:rPr>
          <w:rFonts w:eastAsia="Calibri"/>
          <w:color w:val="000000"/>
        </w:rPr>
        <w:t>.</w:t>
      </w:r>
      <w:r w:rsidR="009062E7" w:rsidRPr="00A36E44">
        <w:rPr>
          <w:rFonts w:eastAsia="Calibri"/>
          <w:color w:val="000000"/>
        </w:rPr>
        <w:t xml:space="preserve"> This said</w:t>
      </w:r>
      <w:r w:rsidR="00064A55" w:rsidRPr="00A36E44">
        <w:rPr>
          <w:rFonts w:eastAsia="Calibri"/>
          <w:color w:val="000000"/>
        </w:rPr>
        <w:t xml:space="preserve">, flooding's </w:t>
      </w:r>
      <w:r w:rsidRPr="00A36E44">
        <w:rPr>
          <w:rFonts w:eastAsia="Calibri"/>
          <w:color w:val="000000"/>
        </w:rPr>
        <w:t xml:space="preserve">inherently high levels of predictive uncertainty make it difficult to develop rigorous rules for decision-making and use them systematically in practice, despite these often being demanded by those at risk or paying for FRM investments. </w:t>
      </w:r>
    </w:p>
    <w:p w14:paraId="07875021" w14:textId="77777777" w:rsidR="00491C69" w:rsidRDefault="00491C69" w:rsidP="00491C69">
      <w:pPr>
        <w:tabs>
          <w:tab w:val="left" w:pos="142"/>
        </w:tabs>
        <w:ind w:right="855"/>
        <w:rPr>
          <w:rFonts w:eastAsia="Calibri"/>
          <w:b/>
          <w:i/>
        </w:rPr>
      </w:pPr>
    </w:p>
    <w:p w14:paraId="11F2008F" w14:textId="7BEB28C0" w:rsidR="009E6751" w:rsidRPr="009E6751" w:rsidRDefault="009E6751" w:rsidP="00491C69">
      <w:pPr>
        <w:tabs>
          <w:tab w:val="left" w:pos="142"/>
        </w:tabs>
        <w:ind w:right="855"/>
        <w:rPr>
          <w:rFonts w:eastAsia="Calibri"/>
          <w:b/>
          <w:i/>
        </w:rPr>
      </w:pPr>
      <w:r>
        <w:rPr>
          <w:rFonts w:eastAsia="Calibri"/>
          <w:b/>
          <w:i/>
        </w:rPr>
        <w:t>Transboundary flood risk management</w:t>
      </w:r>
    </w:p>
    <w:p w14:paraId="47C29932" w14:textId="3E448C2B" w:rsidR="00E40325" w:rsidRPr="00A36E44" w:rsidRDefault="00E40325" w:rsidP="00AE55D6">
      <w:pPr>
        <w:tabs>
          <w:tab w:val="left" w:pos="142"/>
        </w:tabs>
        <w:ind w:right="855" w:firstLine="720"/>
        <w:rPr>
          <w:rFonts w:eastAsia="Calibri"/>
        </w:rPr>
      </w:pPr>
      <w:r w:rsidRPr="00A36E44">
        <w:rPr>
          <w:rFonts w:eastAsia="Calibri"/>
        </w:rPr>
        <w:t xml:space="preserve">In this context, while international rights to water have long been established, flooding is still rarely found in the canon of international law </w:t>
      </w:r>
      <w:r w:rsidR="00E06111" w:rsidRPr="00A36E44">
        <w:rPr>
          <w:rFonts w:eastAsia="Calibri"/>
        </w:rPr>
        <w:fldChar w:fldCharType="begin"/>
      </w:r>
      <w:r w:rsidR="00E06111" w:rsidRPr="00A36E44">
        <w:rPr>
          <w:rFonts w:eastAsia="Calibri"/>
        </w:rPr>
        <w:instrText xml:space="preserve"> ADDIN ZOTERO_ITEM CSL_CITATION {"citationID":"fR4o7AJ5","properties":{"formattedCitation":"(Norman &amp; Bakker, 2013)","plainCitation":"(Norman &amp; Bakker, 2013)","noteIndex":0},"citationItems":[{"id":632,"uris":["http://zotero.org/users/local/LV0ujPfY/items/UAB2CA7H"],"uri":["http://zotero.org/users/local/LV0ujPfY/items/UAB2CA7H"],"itemData":{"id":632,"type":"chapter","container-title":"Water Without Borders : Canada, the United States, and Shared Waters","event-place":"Toronto, Canada","ISBN":"978-1-4426-4393-2","page":"47 - 69","publisher":"University of Toronto Press","publisher-place":"Toronto, Canada","title":"Rise of the Local? Delegation and Devolution in Transboundary Water Governance","author":[{"family":"Norman","given":"Emma S."},{"family":"Bakker","given":"Karen"}],"issued":{"date-parts":[["2013"]]}}}],"schema":"https://github.com/citation-style-language/schema/raw/master/csl-citation.json"} </w:instrText>
      </w:r>
      <w:r w:rsidR="00E06111" w:rsidRPr="00A36E44">
        <w:rPr>
          <w:rFonts w:eastAsia="Calibri"/>
        </w:rPr>
        <w:fldChar w:fldCharType="separate"/>
      </w:r>
      <w:r w:rsidR="00D03D37" w:rsidRPr="00A36E44">
        <w:rPr>
          <w:rFonts w:eastAsia="Calibri"/>
          <w:noProof/>
        </w:rPr>
        <w:t>(Norman &amp; Bakker, 2013)</w:t>
      </w:r>
      <w:r w:rsidR="00E06111" w:rsidRPr="00A36E44">
        <w:rPr>
          <w:rFonts w:eastAsia="Calibri"/>
        </w:rPr>
        <w:fldChar w:fldCharType="end"/>
      </w:r>
      <w:r w:rsidRPr="00A36E44">
        <w:rPr>
          <w:rFonts w:eastAsia="Calibri"/>
        </w:rPr>
        <w:t xml:space="preserve">. Indeed, according to Cooley et al. </w:t>
      </w:r>
      <w:r w:rsidR="00E06111" w:rsidRPr="00A36E44">
        <w:rPr>
          <w:rFonts w:eastAsia="Calibri"/>
        </w:rPr>
        <w:fldChar w:fldCharType="begin"/>
      </w:r>
      <w:r w:rsidR="00E06111" w:rsidRPr="00A36E44">
        <w:rPr>
          <w:rFonts w:eastAsia="Calibri"/>
        </w:rPr>
        <w:instrText xml:space="preserve"> ADDIN ZOTERO_ITEM CSL_CITATION {"citationID":"ceUKZOZ0","properties":{"formattedCitation":"(2009)","plainCitation":"(2009)","noteIndex":0},"citationItems":[{"id":2284,"uris":["http://zotero.org/users/local/LV0ujPfY/items/HZ97A8EH"],"uri":["http://zotero.org/users/local/LV0ujPfY/items/HZ97A8EH"],"itemData":{"id":2284,"type":"report","page":"38","publisher":"Pacific Institute","title":"Understanding and Reducing the Risks of Climate Change for Transboundary Waters","author":[{"family":"Cooley","given":"Heather"},{"family":"Christian-Smith","given":"Juliet"},{"family":"Gleick","given":"Peter H."},{"family":"Allen","given":"Lucy"},{"family":"Cohen","given":"Michael"}],"issued":{"date-parts":[["2009"]]}},"suppress-author":true}],"schema":"https://github.com/citation-style-language/schema/raw/master/csl-citation.json"} </w:instrText>
      </w:r>
      <w:r w:rsidR="00E06111" w:rsidRPr="00A36E44">
        <w:rPr>
          <w:rFonts w:eastAsia="Calibri"/>
        </w:rPr>
        <w:fldChar w:fldCharType="separate"/>
      </w:r>
      <w:r w:rsidR="00D03D37" w:rsidRPr="00A36E44">
        <w:rPr>
          <w:rFonts w:eastAsia="Calibri"/>
          <w:noProof/>
        </w:rPr>
        <w:t>(2009)</w:t>
      </w:r>
      <w:r w:rsidR="00E06111" w:rsidRPr="00A36E44">
        <w:rPr>
          <w:rFonts w:eastAsia="Calibri"/>
        </w:rPr>
        <w:fldChar w:fldCharType="end"/>
      </w:r>
      <w:r w:rsidR="00E06111" w:rsidRPr="00A36E44">
        <w:rPr>
          <w:rFonts w:eastAsia="Calibri"/>
        </w:rPr>
        <w:t>,</w:t>
      </w:r>
      <w:r w:rsidRPr="00A36E44">
        <w:rPr>
          <w:rFonts w:eastAsia="Calibri"/>
        </w:rPr>
        <w:t xml:space="preserve"> floods were the primary focus of only nine percent of 20</w:t>
      </w:r>
      <w:r w:rsidRPr="00A36E44">
        <w:rPr>
          <w:rFonts w:eastAsia="Calibri"/>
          <w:vertAlign w:val="superscript"/>
        </w:rPr>
        <w:t>th</w:t>
      </w:r>
      <w:r w:rsidRPr="00A36E44">
        <w:rPr>
          <w:rFonts w:eastAsia="Calibri"/>
        </w:rPr>
        <w:t xml:space="preserve"> century international treaties despite the significant representation of transboundary flooding globally. </w:t>
      </w:r>
      <w:sdt>
        <w:sdtPr>
          <w:tag w:val="goog_rdk_2"/>
          <w:id w:val="507722502"/>
        </w:sdtPr>
        <w:sdtEndPr/>
        <w:sdtContent/>
      </w:sdt>
      <w:r w:rsidRPr="00A36E44">
        <w:rPr>
          <w:rFonts w:eastAsia="Calibri"/>
        </w:rPr>
        <w:t xml:space="preserve">Indeed, Bakker </w:t>
      </w:r>
      <w:r w:rsidR="00EC5A3A" w:rsidRPr="00A36E44">
        <w:rPr>
          <w:rFonts w:eastAsia="Calibri"/>
        </w:rPr>
        <w:fldChar w:fldCharType="begin"/>
      </w:r>
      <w:r w:rsidR="000B02B9" w:rsidRPr="00A36E44">
        <w:rPr>
          <w:rFonts w:eastAsia="Calibri"/>
        </w:rPr>
        <w:instrText xml:space="preserve"> ADDIN ZOTERO_ITEM CSL_CITATION {"citationID":"eBVCFXJS","properties":{"formattedCitation":"(2007)","plainCitation":"(2007)","noteIndex":0},"citationItems":[{"id":609,"uris":["http://zotero.org/users/local/LV0ujPfY/items/2JPPT24P"],"uri":["http://zotero.org/users/local/LV0ujPfY/items/2JPPT24P"],"itemData":{"id":609,"type":"thesis","abstract":"Floods are the most frequent and damaging of all types of natural disasters and annually affect the lives of millions all over the globe. However, researchers seem to have overlooked the fact that floods do not recognize national boundaries. Therefore, the phenomena of shared, or transboundary floods occurring in international river basins (IRBs) is rarely touched upon. Consequently, vulnerability to shared floods is poorly understood and not much is known about the present quantity and quality of institutional capacity to deal with such events. Hence the primary purpose of the present work is to fill this gap in knowledge. We explore transboundary river flood events and related institutional capacity in more detail, starting at a global scale, zooming in on international river basins (IRBs) and ending with a country-scale perspective. The first section assesses how many of all floods were riverine and how much of these were shared between two or more countries. The results show that transboundary floods are more severe in their magnitude, affect larger areas, result in higher death tolls, and cause more financial damage than non-shared river floods do. The second section reveals an alarmingly low institutional capacity related to transboundary river floods: more than 15% of the IRBs do not have any type of institutional capacity in the form of a river basin institution, nor any focused on floods. The third section examines flood events, international water treaties signed and institutions created in the Netherlands and Mozambique. The comparison indicates that lower levels of development or the absence of development capital do not necessarily have to result in future (shared) flood-related disasters. Collectively, these results significantly increase our current knowledge on vulnerability to---transboundary---river floods and indicate that there might be more need for official international institutions dealing with these events. However, selecting the one country, since the answer greatly depends upon the specific definition of vulnerability. This indicates that vulnerability to floods is a complex phenomenon that cannot be explained by using the results of only this study.","event-place":"Oregon, USA","genre":"PhD","publisher":"Oregon State University","publisher-place":"Oregon, USA","title":"Transboundary River floods: Vulnerability of Continents, International River Basins and Countries","author":[{"family":"Bakker","given":"Marloes"}],"issued":{"date-parts":[["2007"]]}},"suppress-author":true}],"schema":"https://github.com/citation-style-language/schema/raw/master/csl-citation.json"} </w:instrText>
      </w:r>
      <w:r w:rsidR="00EC5A3A" w:rsidRPr="00A36E44">
        <w:rPr>
          <w:rFonts w:eastAsia="Calibri"/>
        </w:rPr>
        <w:fldChar w:fldCharType="separate"/>
      </w:r>
      <w:r w:rsidR="000B02B9" w:rsidRPr="00A36E44">
        <w:rPr>
          <w:rFonts w:eastAsia="Calibri"/>
          <w:noProof/>
        </w:rPr>
        <w:t>(2007)</w:t>
      </w:r>
      <w:r w:rsidR="00EC5A3A" w:rsidRPr="00A36E44">
        <w:rPr>
          <w:rFonts w:eastAsia="Calibri"/>
        </w:rPr>
        <w:fldChar w:fldCharType="end"/>
      </w:r>
      <w:r w:rsidRPr="00A36E44">
        <w:rPr>
          <w:rFonts w:eastAsia="Calibri"/>
        </w:rPr>
        <w:t xml:space="preserve"> calculates that almost one tenth of all river floods in the world come under the jurisdiction of more than one country; and that, of the 152 countries in the world that experience flooding, around 75</w:t>
      </w:r>
      <w:r w:rsidR="00C60A48" w:rsidRPr="00A36E44">
        <w:rPr>
          <w:rFonts w:eastAsia="Calibri"/>
        </w:rPr>
        <w:t xml:space="preserve">% </w:t>
      </w:r>
      <w:r w:rsidRPr="00A36E44">
        <w:rPr>
          <w:rFonts w:eastAsia="Calibri"/>
        </w:rPr>
        <w:t xml:space="preserve">of them share these events with another country </w:t>
      </w:r>
      <w:r w:rsidR="008C6B87" w:rsidRPr="00A36E44">
        <w:rPr>
          <w:rFonts w:eastAsia="Calibri"/>
        </w:rPr>
        <w:fldChar w:fldCharType="begin"/>
      </w:r>
      <w:r w:rsidR="00D03D37" w:rsidRPr="00A36E44">
        <w:rPr>
          <w:rFonts w:eastAsia="Calibri"/>
        </w:rPr>
        <w:instrText xml:space="preserve"> ADDIN ZOTERO_ITEM CSL_CITATION {"citationID":"7qjZVdao","properties":{"formattedCitation":"(Norman &amp; Bakker, 2013:p.26)","plainCitation":"(Norman &amp; Bakker, 2013:p.26)","noteIndex":0},"citationItems":[{"id":632,"uris":["http://zotero.org/users/local/LV0ujPfY/items/UAB2CA7H"],"uri":["http://zotero.org/users/local/LV0ujPfY/items/UAB2CA7H"],"itemData":{"id":632,"type":"chapter","container-title":"Water Without Borders : Canada, the United States, and Shared Waters","event-place":"Toronto, Canada","ISBN":"978-1-4426-4393-2","page":"47 - 69","publisher":"University of Toronto Press","publisher-place":"Toronto, Canada","title":"Rise of the Local? Delegation and Devolution in Transboundary Water Governance","author":[{"family":"Norman","given":"Emma S."},{"family":"Bakker","given":"Karen"}],"issued":{"date-parts":[["2013"]]}},"locator":"26"}],"schema":"https://github.com/citation-style-language/schema/raw/master/csl-citation.json"} </w:instrText>
      </w:r>
      <w:r w:rsidR="008C6B87" w:rsidRPr="00A36E44">
        <w:rPr>
          <w:rFonts w:eastAsia="Calibri"/>
        </w:rPr>
        <w:fldChar w:fldCharType="separate"/>
      </w:r>
      <w:r w:rsidR="00D03D37" w:rsidRPr="00A36E44">
        <w:rPr>
          <w:rFonts w:eastAsia="Calibri"/>
          <w:noProof/>
        </w:rPr>
        <w:t>(Norman &amp; Bakker, 2013:p.26)</w:t>
      </w:r>
      <w:r w:rsidR="008C6B87" w:rsidRPr="00A36E44">
        <w:rPr>
          <w:rFonts w:eastAsia="Calibri"/>
        </w:rPr>
        <w:fldChar w:fldCharType="end"/>
      </w:r>
      <w:r w:rsidR="008C6B87" w:rsidRPr="00A36E44">
        <w:rPr>
          <w:rFonts w:eastAsia="Calibri"/>
        </w:rPr>
        <w:t>.</w:t>
      </w:r>
      <w:r w:rsidRPr="00A36E44">
        <w:rPr>
          <w:rFonts w:eastAsia="Calibri"/>
        </w:rPr>
        <w:t xml:space="preserve"> Further, between 1958 and 2005, flooding in international </w:t>
      </w:r>
      <w:r w:rsidR="00627069">
        <w:rPr>
          <w:rFonts w:eastAsia="Calibri"/>
        </w:rPr>
        <w:t>basin</w:t>
      </w:r>
      <w:r w:rsidR="00FE521F">
        <w:rPr>
          <w:rFonts w:eastAsia="Calibri"/>
        </w:rPr>
        <w:t xml:space="preserve">s </w:t>
      </w:r>
      <w:r w:rsidRPr="00A36E44">
        <w:rPr>
          <w:rFonts w:eastAsia="Calibri"/>
        </w:rPr>
        <w:t>has accounted for 32</w:t>
      </w:r>
      <w:r w:rsidR="00C60A48" w:rsidRPr="00A36E44">
        <w:rPr>
          <w:rFonts w:eastAsia="Calibri"/>
        </w:rPr>
        <w:t xml:space="preserve">% </w:t>
      </w:r>
      <w:r w:rsidRPr="00A36E44">
        <w:rPr>
          <w:rFonts w:eastAsia="Calibri"/>
        </w:rPr>
        <w:t>of all flood-related casualties in the world, around 60</w:t>
      </w:r>
      <w:r w:rsidR="00D61923">
        <w:rPr>
          <w:rFonts w:eastAsia="Calibri"/>
        </w:rPr>
        <w:t xml:space="preserve">% </w:t>
      </w:r>
      <w:r w:rsidRPr="00A36E44">
        <w:rPr>
          <w:rFonts w:eastAsia="Calibri"/>
        </w:rPr>
        <w:t xml:space="preserve">of impacted individuals, </w:t>
      </w:r>
      <w:r w:rsidR="00B448AD" w:rsidRPr="00A36E44">
        <w:rPr>
          <w:rFonts w:eastAsia="Calibri"/>
        </w:rPr>
        <w:t xml:space="preserve">and </w:t>
      </w:r>
      <w:r w:rsidRPr="00A36E44">
        <w:rPr>
          <w:rFonts w:eastAsia="Calibri"/>
        </w:rPr>
        <w:t>14</w:t>
      </w:r>
      <w:r w:rsidR="00270773" w:rsidRPr="00A36E44">
        <w:rPr>
          <w:rFonts w:eastAsia="Calibri"/>
        </w:rPr>
        <w:t xml:space="preserve">% </w:t>
      </w:r>
      <w:r w:rsidRPr="00A36E44">
        <w:rPr>
          <w:rFonts w:eastAsia="Calibri"/>
        </w:rPr>
        <w:t xml:space="preserve">of financial damages </w:t>
      </w:r>
      <w:r w:rsidR="00C075A2" w:rsidRPr="00A36E44">
        <w:rPr>
          <w:rFonts w:eastAsia="Calibri"/>
        </w:rPr>
        <w:fldChar w:fldCharType="begin"/>
      </w:r>
      <w:r w:rsidR="00C075A2" w:rsidRPr="00A36E44">
        <w:rPr>
          <w:rFonts w:eastAsia="Calibri"/>
        </w:rPr>
        <w:instrText xml:space="preserve"> ADDIN ZOTERO_ITEM CSL_CITATION {"citationID":"xlVK3nNo","properties":{"formattedCitation":"(Bakker, 2007)","plainCitation":"(Bakker, 2007)","noteIndex":0},"citationItems":[{"id":609,"uris":["http://zotero.org/users/local/LV0ujPfY/items/2JPPT24P"],"uri":["http://zotero.org/users/local/LV0ujPfY/items/2JPPT24P"],"itemData":{"id":609,"type":"thesis","abstract":"Floods are the most frequent and damaging of all types of natural disasters and annually affect the lives of millions all over the globe. However, researchers seem to have overlooked the fact that floods do not recognize national boundaries. Therefore, the phenomena of shared, or transboundary floods occurring in international river basins (IRBs) is rarely touched upon. Consequently, vulnerability to shared floods is poorly understood and not much is known about the present quantity and quality of institutional capacity to deal with such events. Hence the primary purpose of the present work is to fill this gap in knowledge. We explore transboundary river flood events and related institutional capacity in more detail, starting at a global scale, zooming in on international river basins (IRBs) and ending with a country-scale perspective. The first section assesses how many of all floods were riverine and how much of these were shared between two or more countries. The results show that transboundary floods are more severe in their magnitude, affect larger areas, result in higher death tolls, and cause more financial damage than non-shared river floods do. The second section reveals an alarmingly low institutional capacity related to transboundary river floods: more than 15% of the IRBs do not have any type of institutional capacity in the form of a river basin institution, nor any focused on floods. The third section examines flood events, international water treaties signed and institutions created in the Netherlands and Mozambique. The comparison indicates that lower levels of development or the absence of development capital do not necessarily have to result in future (shared) flood-related disasters. Collectively, these results significantly increase our current knowledge on vulnerability to---transboundary---river floods and indicate that there might be more need for official international institutions dealing with these events. However, selecting the one country, since the answer greatly depends upon the specific definition of vulnerability. This indicates that vulnerability to floods is a complex phenomenon that cannot be explained by using the results of only this study.","event-place":"Oregon, USA","genre":"PhD","publisher":"Oregon State University","publisher-place":"Oregon, USA","title":"Transboundary River floods: Vulnerability of Continents, International River Basins and Countries","author":[{"family":"Bakker","given":"Marloes"}],"issued":{"date-parts":[["2007"]]}}}],"schema":"https://github.com/citation-style-language/schema/raw/master/csl-citation.json"} </w:instrText>
      </w:r>
      <w:r w:rsidR="00C075A2" w:rsidRPr="00A36E44">
        <w:rPr>
          <w:rFonts w:eastAsia="Calibri"/>
        </w:rPr>
        <w:fldChar w:fldCharType="separate"/>
      </w:r>
      <w:r w:rsidR="00D03D37" w:rsidRPr="00A36E44">
        <w:rPr>
          <w:rFonts w:eastAsia="Calibri"/>
          <w:noProof/>
        </w:rPr>
        <w:t>(Bakker, 2007)</w:t>
      </w:r>
      <w:r w:rsidR="00C075A2" w:rsidRPr="00A36E44">
        <w:rPr>
          <w:rFonts w:eastAsia="Calibri"/>
        </w:rPr>
        <w:fldChar w:fldCharType="end"/>
      </w:r>
      <w:r w:rsidR="00C075A2" w:rsidRPr="00A36E44">
        <w:rPr>
          <w:rFonts w:eastAsia="Calibri"/>
        </w:rPr>
        <w:t>.</w:t>
      </w:r>
      <w:r w:rsidRPr="00A36E44">
        <w:rPr>
          <w:rFonts w:eastAsia="Calibri"/>
        </w:rPr>
        <w:t xml:space="preserve"> </w:t>
      </w:r>
    </w:p>
    <w:p w14:paraId="4B2CFB49" w14:textId="66B0474E" w:rsidR="00741819" w:rsidRDefault="00E40325" w:rsidP="00AE55D6">
      <w:pPr>
        <w:tabs>
          <w:tab w:val="left" w:pos="142"/>
        </w:tabs>
        <w:ind w:right="855" w:firstLine="720"/>
        <w:rPr>
          <w:rFonts w:eastAsia="Calibri"/>
        </w:rPr>
      </w:pPr>
      <w:r w:rsidRPr="00A36E44">
        <w:rPr>
          <w:rFonts w:eastAsia="Calibri"/>
        </w:rPr>
        <w:t xml:space="preserve">It has been hypothesized that the lack of integration of uncertainty in international water management treaties and policies stems from </w:t>
      </w:r>
      <w:sdt>
        <w:sdtPr>
          <w:tag w:val="goog_rdk_3"/>
          <w:id w:val="-1849322041"/>
        </w:sdtPr>
        <w:sdtEndPr/>
        <w:sdtContent/>
      </w:sdt>
      <w:sdt>
        <w:sdtPr>
          <w:tag w:val="goog_rdk_4"/>
          <w:id w:val="1212615964"/>
        </w:sdtPr>
        <w:sdtEndPr/>
        <w:sdtContent/>
      </w:sdt>
      <w:sdt>
        <w:sdtPr>
          <w:tag w:val="goog_rdk_5"/>
          <w:id w:val="881442728"/>
        </w:sdtPr>
        <w:sdtEndPr/>
        <w:sdtContent/>
      </w:sdt>
      <w:sdt>
        <w:sdtPr>
          <w:tag w:val="goog_rdk_6"/>
          <w:id w:val="-325525283"/>
        </w:sdtPr>
        <w:sdtEndPr/>
        <w:sdtContent/>
      </w:sdt>
      <w:r w:rsidRPr="00A36E44">
        <w:rPr>
          <w:rFonts w:eastAsia="Calibri"/>
        </w:rPr>
        <w:t xml:space="preserve">the high political effort and </w:t>
      </w:r>
      <w:r w:rsidR="005E40B1" w:rsidRPr="00A36E44">
        <w:rPr>
          <w:rFonts w:eastAsia="Calibri"/>
        </w:rPr>
        <w:t>cost</w:t>
      </w:r>
      <w:r w:rsidRPr="00A36E44">
        <w:rPr>
          <w:rFonts w:eastAsia="Calibri"/>
        </w:rPr>
        <w:t xml:space="preserve"> this requires: these </w:t>
      </w:r>
      <w:r w:rsidR="00395C46" w:rsidRPr="00A36E44">
        <w:rPr>
          <w:rFonts w:eastAsia="Calibri"/>
        </w:rPr>
        <w:t xml:space="preserve">regulatory </w:t>
      </w:r>
      <w:r w:rsidRPr="00A36E44">
        <w:rPr>
          <w:rFonts w:eastAsia="Calibri"/>
        </w:rPr>
        <w:t xml:space="preserve">mechanisms must tread the fine line between being both </w:t>
      </w:r>
      <w:r w:rsidR="007256F2" w:rsidRPr="00A36E44">
        <w:rPr>
          <w:rFonts w:eastAsia="Calibri"/>
        </w:rPr>
        <w:t>‘</w:t>
      </w:r>
      <w:r w:rsidRPr="00A36E44">
        <w:rPr>
          <w:rFonts w:eastAsia="Calibri"/>
        </w:rPr>
        <w:t>politically feasible and hydrologically effective</w:t>
      </w:r>
      <w:r w:rsidR="007256F2" w:rsidRPr="00A36E44">
        <w:rPr>
          <w:rFonts w:eastAsia="Calibri"/>
        </w:rPr>
        <w:t>’</w:t>
      </w:r>
      <w:r w:rsidRPr="00A36E44">
        <w:rPr>
          <w:rFonts w:eastAsia="Calibri"/>
        </w:rPr>
        <w:t xml:space="preserve"> </w:t>
      </w:r>
      <w:r w:rsidR="000E1767" w:rsidRPr="00A36E44">
        <w:rPr>
          <w:rFonts w:eastAsia="Calibri"/>
        </w:rPr>
        <w:fldChar w:fldCharType="begin"/>
      </w:r>
      <w:r w:rsidR="006E6A2C">
        <w:rPr>
          <w:rFonts w:eastAsia="Calibri"/>
        </w:rPr>
        <w:instrText xml:space="preserve"> ADDIN ZOTERO_ITEM CSL_CITATION {"citationID":"UlAb3hJL","properties":{"formattedCitation":"(Fischhendler, 2004:p.299)","plainCitation":"(Fischhendler, 2004:p.299)","noteIndex":0},"citationItems":[{"id":635,"uris":["http://zotero.org/users/local/LV0ujPfY/items/YCHEKNFA"],"uri":["http://zotero.org/users/local/LV0ujPfY/items/YCHEKNFA"],"itemData":{"id":635,"type":"article-journal","abstract":"This study seeks to understand why nations find it difficult to include climate-uncertainty mechanisms in treaties regulating international rivers. It also aims to examine the implications of not adopting these mechanisms, particularly during a crisis. The study focuses on the negotiation process of three water treaties, and seeks to identify the underlying reasons behind the inclusion - or exclusion - of such mechanisms. Second, it reviews how the treaties performed and evolved during drought. The first case study is the current drought along the lower Rio Grande and the 1944 water treaty between Mexico and the USA","container-title":"Water Policy","issue":"4","language":"eng","page":"281-302","title":"Legal and institutional adaptation to climate uncertainty: a study of international rivers","volume":"6","author":[{"family":"Fischhendler","given":"Itay"}],"issued":{"date-parts":[["2004"]]}},"locator":"299"}],"schema":"https://github.com/citation-style-language/schema/raw/master/csl-citation.json"} </w:instrText>
      </w:r>
      <w:r w:rsidR="000E1767" w:rsidRPr="00A36E44">
        <w:rPr>
          <w:rFonts w:eastAsia="Calibri"/>
        </w:rPr>
        <w:fldChar w:fldCharType="separate"/>
      </w:r>
      <w:r w:rsidR="00D03D37" w:rsidRPr="00A36E44">
        <w:rPr>
          <w:rFonts w:eastAsia="Calibri"/>
          <w:noProof/>
        </w:rPr>
        <w:t>(Fischhendler, 2004</w:t>
      </w:r>
      <w:r w:rsidR="00045DC0">
        <w:rPr>
          <w:rFonts w:eastAsia="Calibri"/>
          <w:noProof/>
        </w:rPr>
        <w:t xml:space="preserve">, </w:t>
      </w:r>
      <w:r w:rsidR="00D03D37" w:rsidRPr="00A36E44">
        <w:rPr>
          <w:rFonts w:eastAsia="Calibri"/>
          <w:noProof/>
        </w:rPr>
        <w:t>299)</w:t>
      </w:r>
      <w:r w:rsidR="000E1767" w:rsidRPr="00A36E44">
        <w:rPr>
          <w:rFonts w:eastAsia="Calibri"/>
        </w:rPr>
        <w:fldChar w:fldCharType="end"/>
      </w:r>
      <w:r w:rsidRPr="00A36E44">
        <w:rPr>
          <w:rFonts w:eastAsia="Calibri"/>
        </w:rPr>
        <w:t xml:space="preserve">. Indeed, any negotiation </w:t>
      </w:r>
      <w:r w:rsidR="00436700" w:rsidRPr="00A36E44">
        <w:rPr>
          <w:rFonts w:eastAsia="Calibri"/>
        </w:rPr>
        <w:t>is</w:t>
      </w:r>
      <w:r w:rsidRPr="00A36E44">
        <w:rPr>
          <w:rFonts w:eastAsia="Calibri"/>
        </w:rPr>
        <w:t xml:space="preserve"> predicated on clear and detailed issues on which both parties agree, and public </w:t>
      </w:r>
      <w:r w:rsidRPr="001E71CE">
        <w:rPr>
          <w:rFonts w:eastAsia="Calibri"/>
        </w:rPr>
        <w:t xml:space="preserve">accountability and trust is necessary for the acceptance of these treaties. This takes time. </w:t>
      </w:r>
      <w:r w:rsidRPr="001E71CE">
        <w:rPr>
          <w:rFonts w:eastAsia="Calibri"/>
          <w:color w:val="000000"/>
        </w:rPr>
        <w:t xml:space="preserve">Various partners in the different countries </w:t>
      </w:r>
      <w:r w:rsidR="00F63749" w:rsidRPr="001E71CE">
        <w:rPr>
          <w:rFonts w:eastAsia="Calibri"/>
          <w:color w:val="000000"/>
        </w:rPr>
        <w:t>must</w:t>
      </w:r>
      <w:r w:rsidRPr="001E71CE">
        <w:rPr>
          <w:rFonts w:eastAsia="Calibri"/>
          <w:color w:val="000000"/>
        </w:rPr>
        <w:t xml:space="preserve"> have a common understanding of risks and clear and well</w:t>
      </w:r>
      <w:r w:rsidR="00B158CE" w:rsidRPr="001E71CE">
        <w:rPr>
          <w:rFonts w:eastAsia="Calibri"/>
          <w:color w:val="000000"/>
        </w:rPr>
        <w:t>-</w:t>
      </w:r>
      <w:r w:rsidRPr="001E71CE">
        <w:rPr>
          <w:rFonts w:eastAsia="Calibri"/>
          <w:color w:val="000000"/>
        </w:rPr>
        <w:t xml:space="preserve">publicised agreements must be reached on the methods and rules </w:t>
      </w:r>
      <w:r w:rsidRPr="00525386">
        <w:rPr>
          <w:rFonts w:eastAsia="Calibri"/>
          <w:color w:val="000000"/>
        </w:rPr>
        <w:t>to manage this risk.</w:t>
      </w:r>
      <w:r w:rsidR="00AC56E2" w:rsidRPr="00525386">
        <w:rPr>
          <w:rFonts w:eastAsia="Calibri"/>
          <w:color w:val="000000"/>
        </w:rPr>
        <w:t xml:space="preserve"> </w:t>
      </w:r>
      <w:r w:rsidR="00670575" w:rsidRPr="00525386">
        <w:rPr>
          <w:rFonts w:eastAsia="Calibri"/>
          <w:color w:val="000000"/>
        </w:rPr>
        <w:t>Structural flood risk management</w:t>
      </w:r>
      <w:r w:rsidR="00525386" w:rsidRPr="00525386">
        <w:rPr>
          <w:rFonts w:eastAsia="Calibri"/>
          <w:color w:val="000000"/>
        </w:rPr>
        <w:t>, such as with the Moses-Saunders Dam</w:t>
      </w:r>
      <w:r w:rsidR="00525386">
        <w:rPr>
          <w:rFonts w:eastAsia="Calibri"/>
          <w:color w:val="000000"/>
        </w:rPr>
        <w:t xml:space="preserve">, </w:t>
      </w:r>
      <w:r w:rsidR="00092812" w:rsidRPr="001E71CE">
        <w:rPr>
          <w:rFonts w:eastAsia="Calibri"/>
          <w:color w:val="000000"/>
        </w:rPr>
        <w:t>introduces an</w:t>
      </w:r>
      <w:r w:rsidR="00741819" w:rsidRPr="001E71CE">
        <w:rPr>
          <w:rFonts w:eastAsia="Calibri"/>
          <w:color w:val="000000"/>
        </w:rPr>
        <w:t xml:space="preserve"> additional dynamic </w:t>
      </w:r>
      <w:r w:rsidR="00092812" w:rsidRPr="001E71CE">
        <w:rPr>
          <w:rFonts w:eastAsia="Calibri"/>
          <w:color w:val="000000"/>
        </w:rPr>
        <w:t xml:space="preserve">that </w:t>
      </w:r>
      <w:r w:rsidR="00741819" w:rsidRPr="001E71CE">
        <w:rPr>
          <w:rFonts w:eastAsia="Calibri"/>
          <w:color w:val="000000"/>
        </w:rPr>
        <w:t xml:space="preserve">lies between those who design </w:t>
      </w:r>
      <w:r w:rsidR="00BB7D08">
        <w:rPr>
          <w:rFonts w:eastAsia="Calibri"/>
          <w:color w:val="000000"/>
        </w:rPr>
        <w:t>rules and regulation</w:t>
      </w:r>
      <w:r w:rsidR="00525386">
        <w:rPr>
          <w:rFonts w:eastAsia="Calibri"/>
          <w:color w:val="000000"/>
        </w:rPr>
        <w:t>s</w:t>
      </w:r>
      <w:r w:rsidR="00BB7D08">
        <w:rPr>
          <w:rFonts w:eastAsia="Calibri"/>
          <w:color w:val="000000"/>
        </w:rPr>
        <w:t xml:space="preserve"> </w:t>
      </w:r>
      <w:r w:rsidR="007A5612">
        <w:rPr>
          <w:rFonts w:eastAsia="Calibri"/>
          <w:color w:val="000000"/>
        </w:rPr>
        <w:t>(</w:t>
      </w:r>
      <w:r w:rsidR="00525386">
        <w:rPr>
          <w:rFonts w:eastAsia="Calibri"/>
          <w:color w:val="000000"/>
        </w:rPr>
        <w:t>here we term</w:t>
      </w:r>
      <w:r w:rsidR="003F5AA3">
        <w:rPr>
          <w:rFonts w:eastAsia="Calibri"/>
          <w:color w:val="000000"/>
        </w:rPr>
        <w:t xml:space="preserve"> these</w:t>
      </w:r>
      <w:r w:rsidR="00525386">
        <w:rPr>
          <w:rFonts w:eastAsia="Calibri"/>
          <w:color w:val="000000"/>
        </w:rPr>
        <w:t xml:space="preserve"> ‘</w:t>
      </w:r>
      <w:r w:rsidR="00741819">
        <w:rPr>
          <w:rFonts w:eastAsia="Calibri"/>
          <w:color w:val="000000"/>
        </w:rPr>
        <w:t>the planners</w:t>
      </w:r>
      <w:r w:rsidR="00525386">
        <w:rPr>
          <w:rFonts w:eastAsia="Calibri"/>
          <w:color w:val="000000"/>
        </w:rPr>
        <w:t>’</w:t>
      </w:r>
      <w:r w:rsidR="007A5612">
        <w:rPr>
          <w:rFonts w:eastAsia="Calibri"/>
          <w:color w:val="000000"/>
        </w:rPr>
        <w:t>)</w:t>
      </w:r>
      <w:r w:rsidR="00741819">
        <w:rPr>
          <w:rFonts w:eastAsia="Calibri"/>
          <w:color w:val="000000"/>
        </w:rPr>
        <w:t xml:space="preserve">, and those who execute </w:t>
      </w:r>
      <w:r w:rsidR="00BB7D08">
        <w:rPr>
          <w:rFonts w:eastAsia="Calibri"/>
          <w:color w:val="000000"/>
        </w:rPr>
        <w:t>th</w:t>
      </w:r>
      <w:r w:rsidR="00525386">
        <w:rPr>
          <w:rFonts w:eastAsia="Calibri"/>
          <w:color w:val="000000"/>
        </w:rPr>
        <w:t>em</w:t>
      </w:r>
      <w:r w:rsidR="00741819">
        <w:rPr>
          <w:rFonts w:eastAsia="Calibri"/>
          <w:color w:val="000000"/>
        </w:rPr>
        <w:t xml:space="preserve"> </w:t>
      </w:r>
      <w:r w:rsidR="007A5612">
        <w:rPr>
          <w:rFonts w:eastAsia="Calibri"/>
          <w:color w:val="000000"/>
        </w:rPr>
        <w:t>(</w:t>
      </w:r>
      <w:r w:rsidR="00525386">
        <w:rPr>
          <w:rFonts w:eastAsia="Calibri"/>
          <w:color w:val="000000"/>
        </w:rPr>
        <w:t>‘</w:t>
      </w:r>
      <w:r w:rsidR="00741819">
        <w:rPr>
          <w:rFonts w:eastAsia="Calibri"/>
          <w:color w:val="000000"/>
        </w:rPr>
        <w:t>the operators</w:t>
      </w:r>
      <w:r w:rsidR="00525386">
        <w:rPr>
          <w:rFonts w:eastAsia="Calibri"/>
          <w:color w:val="000000"/>
        </w:rPr>
        <w:t>’</w:t>
      </w:r>
      <w:r w:rsidR="007A5612">
        <w:rPr>
          <w:rFonts w:eastAsia="Calibri"/>
          <w:color w:val="000000"/>
        </w:rPr>
        <w:t>)</w:t>
      </w:r>
      <w:r w:rsidR="00741819">
        <w:rPr>
          <w:rFonts w:eastAsia="Calibri"/>
          <w:color w:val="000000"/>
        </w:rPr>
        <w:t xml:space="preserve">. </w:t>
      </w:r>
      <w:r w:rsidR="00741819">
        <w:rPr>
          <w:rFonts w:eastAsia="Calibri"/>
        </w:rPr>
        <w:t>Managing uncertainty therefore becomes a shared responsibility between these</w:t>
      </w:r>
      <w:r w:rsidR="00525386">
        <w:rPr>
          <w:rFonts w:eastAsia="Calibri"/>
        </w:rPr>
        <w:t xml:space="preserve"> two sets of</w:t>
      </w:r>
      <w:r w:rsidR="00741819">
        <w:rPr>
          <w:rFonts w:eastAsia="Calibri"/>
        </w:rPr>
        <w:t xml:space="preserve"> </w:t>
      </w:r>
      <w:r w:rsidR="005777B4">
        <w:rPr>
          <w:rFonts w:eastAsia="Calibri"/>
        </w:rPr>
        <w:t>actors</w:t>
      </w:r>
      <w:r w:rsidR="00747541">
        <w:rPr>
          <w:rFonts w:eastAsia="Calibri"/>
        </w:rPr>
        <w:t xml:space="preserve">. </w:t>
      </w:r>
    </w:p>
    <w:p w14:paraId="0F7BEDE8" w14:textId="6C6D6801" w:rsidR="00E40325" w:rsidRPr="00A36E44" w:rsidRDefault="00E40325" w:rsidP="00AE55D6">
      <w:pPr>
        <w:tabs>
          <w:tab w:val="left" w:pos="142"/>
        </w:tabs>
        <w:ind w:right="855" w:firstLine="720"/>
        <w:rPr>
          <w:rFonts w:eastAsia="Calibri"/>
          <w:highlight w:val="green"/>
        </w:rPr>
      </w:pPr>
      <w:r w:rsidRPr="00A36E44">
        <w:rPr>
          <w:rFonts w:eastAsia="Calibri"/>
        </w:rPr>
        <w:t xml:space="preserve">As such, measures of unknowns and variability can be difficult to discuss and integrate within transboundary agreements. </w:t>
      </w:r>
      <w:r w:rsidR="00EC54A1" w:rsidRPr="00A36E44">
        <w:rPr>
          <w:rFonts w:eastAsia="Calibri"/>
        </w:rPr>
        <w:t xml:space="preserve">Cohen, Norman, and Bakker </w:t>
      </w:r>
      <w:r w:rsidR="00AE792F" w:rsidRPr="00A36E44">
        <w:rPr>
          <w:rFonts w:eastAsia="Calibri"/>
        </w:rPr>
        <w:fldChar w:fldCharType="begin"/>
      </w:r>
      <w:r w:rsidR="006E6A2C">
        <w:rPr>
          <w:rFonts w:eastAsia="Calibri"/>
        </w:rPr>
        <w:instrText xml:space="preserve"> ADDIN ZOTERO_ITEM CSL_CITATION {"citationID":"rHLf9MJk","properties":{"formattedCitation":"(Norman &amp; Bakker, 2009, p. 256)","plainCitation":"(Norman &amp; Bakker, 2009, p. 256)","dontUpdate":true,"noteIndex":0},"citationItems":[{"id":284,"uris":["http://zotero.org/users/local/LV0ujPfY/items/QPAK4H3T"],"uri":["http://zotero.org/users/local/LV0ujPfY/items/QPAK4H3T"],"itemData":{"id":284,"type":"article-journal","abstract":"This article examines the rescaling of transboundary water governance along the Canada?U.S. border. We draw on recent research in geography on rescaling and borderlands to query two assumptions prevalent in the water governance literature: that a shift in scale downward to the subnational or ?local? scale implies greater empowerment for local actors, and that rescaling implies that higher orders of government become less important in water management. The case study presents an analysis of qualitative and quantitative data drawn from a comprehensive database of transboundary water governance instruments compiled by the authors, interviews with water managers on both sides of the border, and participant observation in transboundary water governance activities. Our analysis indicates that although a significant increase in local water governance activities has occurred since the 1980s, this has not resulted in a significant increase in decision-making power at the local scale, nor has it been accompanied by a ?hollowing out? of the nation-state. This suggests the need to question some of the assumptions widespread in the water management literature, such as the putative primacy of the local scale, and highlights the utility of bringing current geographical debates over scale and borderlands to bear on questions of environmental governance.","container-title":"Annals of the Association of American Geographers","issue":"1","journalAbbreviation":"Annals of the Association of American Geographers","page":"99-117","title":"Transgressing Scales: Water Governance Across the Canada–U.S. Borderland","volume":"99","author":[{"family":"Norman","given":"Emma S."},{"family":"Bakker","given":"Karen"}],"issued":{"date-parts":[["2009"]]}},"locator":"256"}],"schema":"https://github.com/citation-style-language/schema/raw/master/csl-citation.json"} </w:instrText>
      </w:r>
      <w:r w:rsidR="00AE792F" w:rsidRPr="00A36E44">
        <w:rPr>
          <w:rFonts w:eastAsia="Calibri"/>
        </w:rPr>
        <w:fldChar w:fldCharType="separate"/>
      </w:r>
      <w:r w:rsidR="00BF5553" w:rsidRPr="00A36E44">
        <w:rPr>
          <w:rFonts w:eastAsia="Calibri"/>
          <w:noProof/>
        </w:rPr>
        <w:t>(</w:t>
      </w:r>
      <w:r w:rsidR="00EC54A1" w:rsidRPr="00A36E44">
        <w:rPr>
          <w:rFonts w:eastAsia="Calibri"/>
          <w:noProof/>
        </w:rPr>
        <w:t xml:space="preserve">Norman et al. , </w:t>
      </w:r>
      <w:r w:rsidR="00BF5553" w:rsidRPr="00A36E44">
        <w:rPr>
          <w:rFonts w:eastAsia="Calibri"/>
          <w:noProof/>
        </w:rPr>
        <w:t>2009, p. 256)</w:t>
      </w:r>
      <w:r w:rsidR="00AE792F" w:rsidRPr="00A36E44">
        <w:rPr>
          <w:rFonts w:eastAsia="Calibri"/>
        </w:rPr>
        <w:fldChar w:fldCharType="end"/>
      </w:r>
      <w:r w:rsidR="002E0C91">
        <w:rPr>
          <w:rFonts w:eastAsia="Calibri"/>
        </w:rPr>
        <w:t xml:space="preserve"> therefore </w:t>
      </w:r>
      <w:r w:rsidR="00BF5553" w:rsidRPr="00A36E44">
        <w:rPr>
          <w:rFonts w:eastAsia="Calibri"/>
        </w:rPr>
        <w:t xml:space="preserve"> </w:t>
      </w:r>
      <w:r w:rsidRPr="00A36E44">
        <w:rPr>
          <w:rFonts w:eastAsia="Calibri"/>
        </w:rPr>
        <w:t xml:space="preserve">ask </w:t>
      </w:r>
      <w:r w:rsidR="007256F2" w:rsidRPr="00A36E44">
        <w:rPr>
          <w:rFonts w:eastAsia="Calibri"/>
        </w:rPr>
        <w:t>‘</w:t>
      </w:r>
      <w:r w:rsidRPr="00A36E44">
        <w:rPr>
          <w:rFonts w:eastAsia="Calibri"/>
        </w:rPr>
        <w:t>Under what conditions the border is an obstacle to or facilitator of effective water governance [?]</w:t>
      </w:r>
      <w:r w:rsidR="007256F2" w:rsidRPr="00A36E44">
        <w:rPr>
          <w:rFonts w:eastAsia="Calibri"/>
        </w:rPr>
        <w:t>’</w:t>
      </w:r>
      <w:r w:rsidRPr="00A36E44">
        <w:rPr>
          <w:rFonts w:eastAsia="Calibri"/>
        </w:rPr>
        <w:t xml:space="preserve"> and </w:t>
      </w:r>
      <w:r w:rsidR="007256F2" w:rsidRPr="00A36E44">
        <w:rPr>
          <w:rFonts w:eastAsia="Calibri"/>
        </w:rPr>
        <w:t>‘</w:t>
      </w:r>
      <w:r w:rsidRPr="00A36E44">
        <w:rPr>
          <w:rFonts w:eastAsia="Calibri"/>
        </w:rPr>
        <w:t>Will our existing institutions be able to cope with these dynamic changes, or will innovators need to seek new solutions that work around, rather than through, existing arrangements?</w:t>
      </w:r>
      <w:r w:rsidR="007256F2" w:rsidRPr="00A36E44">
        <w:rPr>
          <w:rFonts w:eastAsia="Calibri"/>
        </w:rPr>
        <w:t>’</w:t>
      </w:r>
      <w:r w:rsidRPr="00A36E44">
        <w:rPr>
          <w:rFonts w:eastAsia="Calibri"/>
        </w:rPr>
        <w:t xml:space="preserve"> </w:t>
      </w:r>
    </w:p>
    <w:p w14:paraId="0027565A" w14:textId="77777777" w:rsidR="00E40325" w:rsidRPr="0000762A" w:rsidRDefault="00E40325" w:rsidP="00F07948">
      <w:pPr>
        <w:pStyle w:val="Heading1"/>
        <w:rPr>
          <w:rFonts w:eastAsia="Calibri"/>
        </w:rPr>
      </w:pPr>
      <w:bookmarkStart w:id="2" w:name="_heading=h.3znysh7" w:colFirst="0" w:colLast="0"/>
      <w:bookmarkEnd w:id="2"/>
      <w:r w:rsidRPr="0000762A">
        <w:rPr>
          <w:rFonts w:eastAsia="Calibri"/>
        </w:rPr>
        <w:t>Conditions for successful transboundary water governance</w:t>
      </w:r>
    </w:p>
    <w:p w14:paraId="6088578D" w14:textId="6E830CFA" w:rsidR="0000762A" w:rsidRDefault="00E40325" w:rsidP="00AE55D6">
      <w:pPr>
        <w:tabs>
          <w:tab w:val="left" w:pos="142"/>
        </w:tabs>
        <w:ind w:right="855" w:firstLine="720"/>
        <w:rPr>
          <w:rFonts w:eastAsia="Calibri"/>
        </w:rPr>
      </w:pPr>
      <w:r w:rsidRPr="00A36E44">
        <w:rPr>
          <w:rFonts w:eastAsia="Calibri"/>
        </w:rPr>
        <w:t xml:space="preserve">From the relatively few case studies available in the academic canon, several conditions are seen to be essential for answering </w:t>
      </w:r>
      <w:r w:rsidR="006D3565">
        <w:rPr>
          <w:rFonts w:eastAsia="Calibri"/>
        </w:rPr>
        <w:t>these</w:t>
      </w:r>
      <w:r w:rsidRPr="00A36E44">
        <w:rPr>
          <w:rFonts w:eastAsia="Calibri"/>
        </w:rPr>
        <w:t xml:space="preserve"> questions and promoting successful transboundary water governanc</w:t>
      </w:r>
      <w:r w:rsidR="004D4DE7" w:rsidRPr="00A36E44">
        <w:rPr>
          <w:rFonts w:eastAsia="Calibri"/>
        </w:rPr>
        <w:t>e</w:t>
      </w:r>
      <w:r w:rsidR="006B30E0" w:rsidRPr="00A36E44">
        <w:rPr>
          <w:rFonts w:eastAsia="Calibri"/>
        </w:rPr>
        <w:t>,</w:t>
      </w:r>
      <w:r w:rsidR="00C33D5E">
        <w:rPr>
          <w:rFonts w:eastAsia="Calibri"/>
        </w:rPr>
        <w:t xml:space="preserve"> guiding transboundary flood risk management.</w:t>
      </w:r>
    </w:p>
    <w:p w14:paraId="30AF9D2C" w14:textId="72B31F6D" w:rsidR="0000762A" w:rsidRPr="0000762A" w:rsidRDefault="00E40325" w:rsidP="00AE55D6">
      <w:pPr>
        <w:pStyle w:val="ListParagraph"/>
        <w:numPr>
          <w:ilvl w:val="0"/>
          <w:numId w:val="7"/>
        </w:numPr>
        <w:tabs>
          <w:tab w:val="left" w:pos="142"/>
        </w:tabs>
        <w:ind w:right="855" w:firstLine="720"/>
        <w:rPr>
          <w:rFonts w:eastAsia="Calibri"/>
        </w:rPr>
      </w:pPr>
      <w:r w:rsidRPr="0000762A">
        <w:rPr>
          <w:rFonts w:eastAsia="Calibri"/>
          <w:color w:val="000000"/>
        </w:rPr>
        <w:t>The impact of flooding can be dramatically reduced when robust and legitimate institutions manage transnational floods</w:t>
      </w:r>
      <w:r w:rsidR="00AC56E2">
        <w:rPr>
          <w:rFonts w:eastAsia="Calibri"/>
          <w:color w:val="000000"/>
        </w:rPr>
        <w:t xml:space="preserve"> through a process of agreed</w:t>
      </w:r>
      <w:r w:rsidR="00816D8D">
        <w:rPr>
          <w:rFonts w:eastAsia="Calibri"/>
          <w:color w:val="000000"/>
        </w:rPr>
        <w:t xml:space="preserve">-upon </w:t>
      </w:r>
      <w:r w:rsidR="00AC56E2">
        <w:rPr>
          <w:rFonts w:eastAsia="Calibri"/>
          <w:color w:val="000000"/>
        </w:rPr>
        <w:t>rules and operating procedures</w:t>
      </w:r>
      <w:r w:rsidRPr="0000762A">
        <w:rPr>
          <w:rFonts w:eastAsia="Calibri"/>
          <w:color w:val="000000"/>
        </w:rPr>
        <w:t xml:space="preserve"> </w:t>
      </w:r>
      <w:r w:rsidR="0093604C" w:rsidRPr="0000762A">
        <w:rPr>
          <w:rFonts w:eastAsia="Calibri"/>
          <w:color w:val="000000"/>
        </w:rPr>
        <w:fldChar w:fldCharType="begin"/>
      </w:r>
      <w:r w:rsidR="0093604C" w:rsidRPr="0000762A">
        <w:rPr>
          <w:rFonts w:eastAsia="Calibri"/>
          <w:color w:val="000000"/>
        </w:rPr>
        <w:instrText xml:space="preserve"> ADDIN ZOTERO_ITEM CSL_CITATION {"citationID":"zQvSpprC","properties":{"formattedCitation":"(Bakker, 2007; Norman &amp; Bakker, 2013)","plainCitation":"(Bakker, 2007; Norman &amp; Bakker, 2013)","noteIndex":0},"citationItems":[{"id":609,"uris":["http://zotero.org/users/local/LV0ujPfY/items/2JPPT24P"],"uri":["http://zotero.org/users/local/LV0ujPfY/items/2JPPT24P"],"itemData":{"id":609,"type":"thesis","abstract":"Floods are the most frequent and damaging of all types of natural disasters and annually affect the lives of millions all over the globe. However, researchers seem to have overlooked the fact that floods do not recognize national boundaries. Therefore, the phenomena of shared, or transboundary floods occurring in international river basins (IRBs) is rarely touched upon. Consequently, vulnerability to shared floods is poorly understood and not much is known about the present quantity and quality of institutional capacity to deal with such events. Hence the primary purpose of the present work is to fill this gap in knowledge. We explore transboundary river flood events and related institutional capacity in more detail, starting at a global scale, zooming in on international river basins (IRBs) and ending with a country-scale perspective. The first section assesses how many of all floods were riverine and how much of these were shared between two or more countries. The results show that transboundary floods are more severe in their magnitude, affect larger areas, result in higher death tolls, and cause more financial damage than non-shared river floods do. The second section reveals an alarmingly low institutional capacity related to transboundary river floods: more than 15% of the IRBs do not have any type of institutional capacity in the form of a river basin institution, nor any focused on floods. The third section examines flood events, international water treaties signed and institutions created in the Netherlands and Mozambique. The comparison indicates that lower levels of development or the absence of development capital do not necessarily have to result in future (shared) flood-related disasters. Collectively, these results significantly increase our current knowledge on vulnerability to---transboundary---river floods and indicate that there might be more need for official international institutions dealing with these events. However, selecting the one country, since the answer greatly depends upon the specific definition of vulnerability. This indicates that vulnerability to floods is a complex phenomenon that cannot be explained by using the results of only this study.","event-place":"Oregon, USA","genre":"PhD","publisher":"Oregon State University","publisher-place":"Oregon, USA","title":"Transboundary River floods: Vulnerability of Continents, International River Basins and Countries","author":[{"family":"Bakker","given":"Marloes"}],"issued":{"date-parts":[["2007"]]}}},{"id":632,"uris":["http://zotero.org/users/local/LV0ujPfY/items/UAB2CA7H"],"uri":["http://zotero.org/users/local/LV0ujPfY/items/UAB2CA7H"],"itemData":{"id":632,"type":"chapter","container-title":"Water Without Borders : Canada, the United States, and Shared Waters","event-place":"Toronto, Canada","ISBN":"978-1-4426-4393-2","page":"47 - 69","publisher":"University of Toronto Press","publisher-place":"Toronto, Canada","title":"Rise of the Local? Delegation and Devolution in Transboundary Water Governance","author":[{"family":"Norman","given":"Emma S."},{"family":"Bakker","given":"Karen"}],"issued":{"date-parts":[["2013"]]}}}],"schema":"https://github.com/citation-style-language/schema/raw/master/csl-citation.json"} </w:instrText>
      </w:r>
      <w:r w:rsidR="0093604C" w:rsidRPr="0000762A">
        <w:rPr>
          <w:rFonts w:eastAsia="Calibri"/>
          <w:color w:val="000000"/>
        </w:rPr>
        <w:fldChar w:fldCharType="separate"/>
      </w:r>
      <w:r w:rsidR="00D03D37" w:rsidRPr="0000762A">
        <w:rPr>
          <w:rFonts w:eastAsia="Calibri"/>
          <w:noProof/>
          <w:color w:val="000000"/>
        </w:rPr>
        <w:t>(Bakker, 2007; Norman &amp; Bakker, 2013)</w:t>
      </w:r>
      <w:r w:rsidR="0093604C" w:rsidRPr="0000762A">
        <w:rPr>
          <w:rFonts w:eastAsia="Calibri"/>
          <w:color w:val="000000"/>
        </w:rPr>
        <w:fldChar w:fldCharType="end"/>
      </w:r>
      <w:r w:rsidR="0093604C" w:rsidRPr="0000762A">
        <w:rPr>
          <w:rFonts w:eastAsia="Calibri"/>
          <w:color w:val="000000"/>
        </w:rPr>
        <w:t>.</w:t>
      </w:r>
      <w:r w:rsidRPr="0000762A">
        <w:rPr>
          <w:rFonts w:eastAsia="Calibri"/>
          <w:color w:val="000000"/>
        </w:rPr>
        <w:t xml:space="preserve"> </w:t>
      </w:r>
    </w:p>
    <w:p w14:paraId="225642A4" w14:textId="77777777" w:rsidR="0000762A" w:rsidRPr="0000762A" w:rsidRDefault="00E40325" w:rsidP="00AE55D6">
      <w:pPr>
        <w:pStyle w:val="ListParagraph"/>
        <w:numPr>
          <w:ilvl w:val="0"/>
          <w:numId w:val="7"/>
        </w:numPr>
        <w:tabs>
          <w:tab w:val="left" w:pos="142"/>
        </w:tabs>
        <w:ind w:right="855" w:firstLine="720"/>
        <w:rPr>
          <w:rFonts w:eastAsia="Calibri"/>
        </w:rPr>
      </w:pPr>
      <w:r w:rsidRPr="0000762A">
        <w:rPr>
          <w:rFonts w:eastAsia="Calibri"/>
          <w:color w:val="000000"/>
        </w:rPr>
        <w:t xml:space="preserve">Best practices for transboundary FRM include data exchange, clear treaties, harmonized efforts, local knowledge, and trust </w:t>
      </w:r>
      <w:r w:rsidR="008818DC" w:rsidRPr="0000762A">
        <w:rPr>
          <w:rFonts w:eastAsia="Calibri"/>
          <w:color w:val="000000"/>
        </w:rPr>
        <w:fldChar w:fldCharType="begin"/>
      </w:r>
      <w:r w:rsidR="008818DC" w:rsidRPr="0000762A">
        <w:rPr>
          <w:rFonts w:eastAsia="Calibri"/>
          <w:color w:val="000000"/>
        </w:rPr>
        <w:instrText xml:space="preserve"> ADDIN ZOTERO_ITEM CSL_CITATION {"citationID":"xd7Q7bnz","properties":{"formattedCitation":"(Norman &amp; Bakker, 2013; Swanenvleugel, 2012)","plainCitation":"(Norman &amp; Bakker, 2013; Swanenvleugel, 2012)","noteIndex":0},"citationItems":[{"id":632,"uris":["http://zotero.org/users/local/LV0ujPfY/items/UAB2CA7H"],"uri":["http://zotero.org/users/local/LV0ujPfY/items/UAB2CA7H"],"itemData":{"id":632,"type":"chapter","container-title":"Water Without Borders : Canada, the United States, and Shared Waters","event-place":"Toronto, Canada","ISBN":"978-1-4426-4393-2","page":"47 - 69","publisher":"University of Toronto Press","publisher-place":"Toronto, Canada","title":"Rise of the Local? Delegation and Devolution in Transboundary Water Governance","author":[{"family":"Norman","given":"Emma S."},{"family":"Bakker","given":"Karen"}],"issued":{"date-parts":[["2013"]]}}},{"id":641,"uris":["http://zotero.org/users/local/LV0ujPfY/items/3DRXNEZZ"],"uri":["http://zotero.org/users/local/LV0ujPfY/items/3DRXNEZZ"],"itemData":{"id":641,"type":"report","publisher":"FLOOD-WISE","title":"Good practice examples for cross-border flood risk management","URL":"http://floodwise.nl/wp-content/uploads/130214GoodPracticesDoc-def-version-2-2.pdf","author":[{"family":"Swanenvleugel","given":"Bart"}],"issued":{"date-parts":[["2012",3,14]]}}}],"schema":"https://github.com/citation-style-language/schema/raw/master/csl-citation.json"} </w:instrText>
      </w:r>
      <w:r w:rsidR="008818DC" w:rsidRPr="0000762A">
        <w:rPr>
          <w:rFonts w:eastAsia="Calibri"/>
          <w:color w:val="000000"/>
        </w:rPr>
        <w:fldChar w:fldCharType="separate"/>
      </w:r>
      <w:r w:rsidR="00D03D37" w:rsidRPr="0000762A">
        <w:rPr>
          <w:rFonts w:eastAsia="Calibri"/>
          <w:noProof/>
          <w:color w:val="000000"/>
        </w:rPr>
        <w:t>(Norman &amp; Bakker, 2013; Swanenvleugel, 2012)</w:t>
      </w:r>
      <w:r w:rsidR="008818DC" w:rsidRPr="0000762A">
        <w:rPr>
          <w:rFonts w:eastAsia="Calibri"/>
          <w:color w:val="000000"/>
        </w:rPr>
        <w:fldChar w:fldCharType="end"/>
      </w:r>
      <w:r w:rsidR="008818DC" w:rsidRPr="0000762A">
        <w:rPr>
          <w:rFonts w:eastAsia="Calibri"/>
          <w:color w:val="000000"/>
        </w:rPr>
        <w:t>.</w:t>
      </w:r>
      <w:r w:rsidRPr="0000762A">
        <w:rPr>
          <w:rFonts w:eastAsia="Calibri"/>
          <w:color w:val="000000"/>
        </w:rPr>
        <w:t xml:space="preserve"> </w:t>
      </w:r>
    </w:p>
    <w:p w14:paraId="31CEC6D5" w14:textId="0E791397" w:rsidR="0000762A" w:rsidRPr="0000762A" w:rsidRDefault="00E40325" w:rsidP="00AE55D6">
      <w:pPr>
        <w:pStyle w:val="ListParagraph"/>
        <w:numPr>
          <w:ilvl w:val="0"/>
          <w:numId w:val="7"/>
        </w:numPr>
        <w:tabs>
          <w:tab w:val="left" w:pos="142"/>
        </w:tabs>
        <w:ind w:right="855" w:firstLine="720"/>
        <w:rPr>
          <w:rFonts w:eastAsia="Calibri"/>
        </w:rPr>
      </w:pPr>
      <w:r w:rsidRPr="0000762A">
        <w:rPr>
          <w:rFonts w:eastAsia="Calibri"/>
          <w:color w:val="000000"/>
        </w:rPr>
        <w:t>An integrated setting where stakeholders have a common perception of the issues, similar mindsets</w:t>
      </w:r>
      <w:r w:rsidR="006E01F7">
        <w:rPr>
          <w:rFonts w:eastAsia="Calibri"/>
          <w:color w:val="000000"/>
        </w:rPr>
        <w:t xml:space="preserve"> </w:t>
      </w:r>
      <w:r w:rsidRPr="0000762A">
        <w:rPr>
          <w:rFonts w:eastAsia="Calibri"/>
          <w:color w:val="000000"/>
        </w:rPr>
        <w:t>and responsibilities</w:t>
      </w:r>
      <w:r w:rsidR="00631411">
        <w:rPr>
          <w:rFonts w:eastAsia="Calibri"/>
          <w:color w:val="000000"/>
        </w:rPr>
        <w:t>,</w:t>
      </w:r>
      <w:r w:rsidRPr="0000762A">
        <w:rPr>
          <w:rFonts w:eastAsia="Calibri"/>
          <w:color w:val="000000"/>
        </w:rPr>
        <w:t xml:space="preserve"> can be particularly helpful in managing the complexity of issues such as uncertainty </w:t>
      </w:r>
      <w:r w:rsidR="00234203" w:rsidRPr="0000762A">
        <w:rPr>
          <w:rFonts w:eastAsia="Calibri"/>
          <w:color w:val="000000"/>
        </w:rPr>
        <w:fldChar w:fldCharType="begin"/>
      </w:r>
      <w:r w:rsidR="006E6A2C">
        <w:rPr>
          <w:rFonts w:eastAsia="Calibri"/>
          <w:color w:val="000000"/>
        </w:rPr>
        <w:instrText xml:space="preserve"> ADDIN ZOTERO_ITEM CSL_CITATION {"citationID":"I23e777B","properties":{"formattedCitation":"(Bernauer, 2002; Clamen, 2013)","plainCitation":"(Bernauer, 2002; Clamen, 2013)","noteIndex":0},"citationItems":[{"id":244,"uris":["http://zotero.org/users/local/LV0ujPfY/items/9MWF3FRS"],"uri":["http://zotero.org/users/local/LV0ujPfY/items/9MWF3FRS"],"itemData":{"id":244,"type":"article-journal","container-title":"Aquatic Sciences","language":"en","page":"19","source":"Zotero","title":"Explaining success and failure in international river management","volume":"64","author":[{"family":"Bernauer","given":"Thomas"}],"issued":{"date-parts":[["2002"]]}}},{"id":633,"uris":["http://zotero.org/users/local/LV0ujPfY/items/HWWKH5PG"],"uri":["http://zotero.org/users/local/LV0ujPfY/items/HWWKH5PG"],"itemData":{"id":633,"type":"chapter","container-title":"Water Without Borders : Canada, the United States, and Shared Waters","event-place":"Toronto, Canada","page":"70 - 87","publisher":"University of Toronto Press","publisher-place":"Toronto, Canada","title":"The IJC and Transboundary Water Disputes: Past, Present, and Future","author":[{"family":"Clamen","given":"Murray"}],"issued":{"date-parts":[["2013"]]}}}],"schema":"https://github.com/citation-style-language/schema/raw/master/csl-citation.json"} </w:instrText>
      </w:r>
      <w:r w:rsidR="00234203" w:rsidRPr="0000762A">
        <w:rPr>
          <w:rFonts w:eastAsia="Calibri"/>
          <w:color w:val="000000"/>
        </w:rPr>
        <w:fldChar w:fldCharType="separate"/>
      </w:r>
      <w:r w:rsidR="00D03D37" w:rsidRPr="0000762A">
        <w:rPr>
          <w:rFonts w:eastAsia="Calibri"/>
          <w:noProof/>
          <w:color w:val="000000"/>
        </w:rPr>
        <w:t>(Bernauer, 2002; Clamen, 2013)</w:t>
      </w:r>
      <w:r w:rsidR="00234203" w:rsidRPr="0000762A">
        <w:rPr>
          <w:rFonts w:eastAsia="Calibri"/>
          <w:color w:val="000000"/>
        </w:rPr>
        <w:fldChar w:fldCharType="end"/>
      </w:r>
      <w:r w:rsidR="00234203" w:rsidRPr="0000762A">
        <w:rPr>
          <w:rFonts w:eastAsia="Calibri"/>
          <w:color w:val="000000"/>
        </w:rPr>
        <w:t>.</w:t>
      </w:r>
      <w:r w:rsidRPr="0000762A">
        <w:rPr>
          <w:rFonts w:eastAsia="Calibri"/>
          <w:color w:val="000000"/>
        </w:rPr>
        <w:t xml:space="preserve"> </w:t>
      </w:r>
    </w:p>
    <w:p w14:paraId="00597414" w14:textId="4C4EFAD9" w:rsidR="0000762A" w:rsidRPr="0000762A" w:rsidRDefault="00E40325" w:rsidP="00AE55D6">
      <w:pPr>
        <w:pStyle w:val="ListParagraph"/>
        <w:numPr>
          <w:ilvl w:val="0"/>
          <w:numId w:val="7"/>
        </w:numPr>
        <w:tabs>
          <w:tab w:val="left" w:pos="142"/>
        </w:tabs>
        <w:ind w:right="855" w:firstLine="720"/>
        <w:rPr>
          <w:rFonts w:eastAsia="Calibri"/>
        </w:rPr>
      </w:pPr>
      <w:r w:rsidRPr="0000762A">
        <w:rPr>
          <w:rFonts w:eastAsia="Calibri"/>
          <w:color w:val="000000"/>
        </w:rPr>
        <w:t xml:space="preserve">Trusted and adopted scientific evidence and </w:t>
      </w:r>
      <w:r w:rsidR="00216E18">
        <w:rPr>
          <w:rFonts w:eastAsia="Calibri"/>
          <w:color w:val="000000"/>
        </w:rPr>
        <w:t xml:space="preserve">transparent </w:t>
      </w:r>
      <w:r w:rsidRPr="0000762A">
        <w:rPr>
          <w:rFonts w:eastAsia="Calibri"/>
          <w:color w:val="000000"/>
        </w:rPr>
        <w:t xml:space="preserve">information is also necessary to ensure that epistemic uncertainty is minimised </w:t>
      </w:r>
      <w:r w:rsidR="000E412D" w:rsidRPr="0000762A">
        <w:rPr>
          <w:rFonts w:eastAsia="Calibri"/>
          <w:color w:val="000000"/>
        </w:rPr>
        <w:fldChar w:fldCharType="begin"/>
      </w:r>
      <w:r w:rsidR="006E6A2C">
        <w:rPr>
          <w:rFonts w:eastAsia="Calibri"/>
          <w:color w:val="000000"/>
        </w:rPr>
        <w:instrText xml:space="preserve"> ADDIN ZOTERO_ITEM CSL_CITATION {"citationID":"jDukoDH9","properties":{"formattedCitation":"(National Research Council (U.S.), 2006)","plainCitation":"(National Research Council (U.S.), 2006)","noteIndex":0},"citationItems":[{"id":2344,"uris":["http://zotero.org/users/local/LV0ujPfY/items/RGAP8GA2"],"uri":["http://zotero.org/users/local/LV0ujPfY/items/RGAP8GA2"],"itemData":{"id":2344,"type":"chapter","abstract":"Uncertainty is a fundamental characteristic of weather, seasonal climate, and hydrological prediction, and no forecast is complete without a description of its uncertainty. Effective communication of uncertainty helps people better understand the likelihood of a particular event and improves their ability to make decisions based on the forecast. Nonetheless, for decades, users of these forecasts have been conditioned to receive incomplete information about uncertainty. They have become used to single-valued (deterministic) forecasts (e.g.,'the high temperature will be 70 degrees Farenheit 9 days from now') and applied their own experience in determining how much confidence to place in the forecast. Most forecast products from the public and private sectors, including those from the National Oceanographic and Atmospheric Administration's National Weather Service, continue this deterministic legacy. Fortunately, the National Weather Service and others in the prediction community have recognized the need to view uncertainty as a fundamental part of forecasts. By partnering with other segments of the community to understand user needs, generate relevant and rich informational products, and utilize effective communication vehicles, the National Weather Service can take a leading role in the transition to widespread, effective incorporation of uncertainty information into predictions.'Completing the Forecast'makes recommendations to the National Weather Service and the broader prediction community on how to make this transition.","archive":"eBook Collection (EBSCOhost)","container-title":"Completing the Forecast : Characterizing and Communicating Uncertainty for Better Decisions Using Weather and Climate Forecasts","event-place":"Washington, D.C.","ISBN":"978-0-309-10255-1","language":"English","publisher":"National Academies Press","publisher-place":"Washington, D.C.","source":"EBSCOhost","title":"2. Uncertainty in Decision Making","author":[{"literal":"National Research Council (U.S.)"}],"issued":{"date-parts":[["2006"]]}}}],"schema":"https://github.com/citation-style-language/schema/raw/master/csl-citation.json"} </w:instrText>
      </w:r>
      <w:r w:rsidR="000E412D" w:rsidRPr="0000762A">
        <w:rPr>
          <w:rFonts w:eastAsia="Calibri"/>
          <w:color w:val="000000"/>
        </w:rPr>
        <w:fldChar w:fldCharType="separate"/>
      </w:r>
      <w:r w:rsidR="000E412D" w:rsidRPr="0000762A">
        <w:rPr>
          <w:rFonts w:eastAsia="Calibri"/>
          <w:noProof/>
          <w:color w:val="000000"/>
        </w:rPr>
        <w:t>(National Research Council (U.S.), 2006)</w:t>
      </w:r>
      <w:r w:rsidR="000E412D" w:rsidRPr="0000762A">
        <w:rPr>
          <w:rFonts w:eastAsia="Calibri"/>
          <w:color w:val="000000"/>
        </w:rPr>
        <w:fldChar w:fldCharType="end"/>
      </w:r>
      <w:r w:rsidR="003F0476" w:rsidRPr="0000762A">
        <w:rPr>
          <w:rFonts w:eastAsia="Calibri"/>
          <w:color w:val="000000"/>
        </w:rPr>
        <w:t xml:space="preserve"> </w:t>
      </w:r>
    </w:p>
    <w:p w14:paraId="30A573B1" w14:textId="4384739D" w:rsidR="00E40325" w:rsidRPr="0000762A" w:rsidRDefault="00E40325" w:rsidP="00AE55D6">
      <w:pPr>
        <w:pStyle w:val="ListParagraph"/>
        <w:numPr>
          <w:ilvl w:val="0"/>
          <w:numId w:val="7"/>
        </w:numPr>
        <w:tabs>
          <w:tab w:val="left" w:pos="142"/>
        </w:tabs>
        <w:ind w:right="855" w:firstLine="720"/>
        <w:rPr>
          <w:rFonts w:eastAsia="Calibri"/>
        </w:rPr>
      </w:pPr>
      <w:r w:rsidRPr="0000762A">
        <w:rPr>
          <w:rFonts w:eastAsia="Calibri"/>
          <w:color w:val="000000"/>
        </w:rPr>
        <w:t xml:space="preserve">Comprehensive ecosystem management can </w:t>
      </w:r>
      <w:r w:rsidRPr="0000762A">
        <w:rPr>
          <w:rFonts w:eastAsia="Calibri"/>
        </w:rPr>
        <w:t>be</w:t>
      </w:r>
      <w:r w:rsidRPr="0000762A">
        <w:rPr>
          <w:rFonts w:eastAsia="Calibri"/>
          <w:color w:val="000000"/>
        </w:rPr>
        <w:t xml:space="preserve"> a successful tool for transboundary FRM as this prioritizes natural boundaries over international borders, focusing on </w:t>
      </w:r>
      <w:r w:rsidR="00627069">
        <w:rPr>
          <w:rFonts w:eastAsia="Calibri"/>
          <w:color w:val="000000"/>
        </w:rPr>
        <w:t>basin</w:t>
      </w:r>
      <w:r w:rsidRPr="0000762A">
        <w:rPr>
          <w:rFonts w:eastAsia="Calibri"/>
          <w:color w:val="000000"/>
        </w:rPr>
        <w:t xml:space="preserve">-wide rather than national tools for flood risk management </w:t>
      </w:r>
      <w:r w:rsidR="0094059C">
        <w:rPr>
          <w:rFonts w:eastAsia="Calibri"/>
          <w:color w:val="000000"/>
        </w:rPr>
        <w:fldChar w:fldCharType="begin"/>
      </w:r>
      <w:r w:rsidR="006E6A2C">
        <w:rPr>
          <w:rFonts w:eastAsia="Calibri"/>
          <w:color w:val="000000"/>
        </w:rPr>
        <w:instrText xml:space="preserve"> ADDIN ZOTERO_ITEM CSL_CITATION {"citationID":"3ohQBEGo","properties":{"formattedCitation":"(Hildebrand, Pebbles &amp; Fraser, 2002)","plainCitation":"(Hildebrand, Pebbles &amp; Fraser, 2002)","noteIndex":0},"citationItems":[{"id":283,"uris":["http://zotero.org/users/local/LV0ujPfY/items/BX2LYWM3"],"uri":["http://zotero.org/users/local/LV0ujPfY/items/BX2LYWM3"],"itemData":{"id":283,"type":"article-journal","abstract":"Canada and the United States are working cooperatively in three, independent transboundary ecosystem management initiatives in the shared waters of the east coast Bay of Fundy/Gulf of Maine, the interior Great Lakes, and the Georgia Basin/Puget Sound on the west coast. These programs have placed the international boundary, which separates these systems jurisdictionally, into the background in favour of the natural boundaries which define these shared ecosystems. This paper examines the motivation behind the establishment of these three US–Canada cooperative ecosystem management programs, their goals, objectives and priorities, institutional structures, challenges, and progress to date. The experiences and approaches of these three programs, individually and collectively, provide insights that have already proven useful for each initiative and offer valuable perspective for other cooperative ecosystem-based management arrangements worldwide.","container-title":"Ocean &amp; Coastal Management","issue":"6","journalAbbreviation":"Ocean &amp; Coastal Management","page":"421-457","title":"Cooperative ecosystem management across the Canada–US border: approaches and experiences of transboundary programs in the Gulf of Maine, Great Lakes and Georgia Basin/Puget Sound","volume":"45","author":[{"family":"Hildebrand","given":"Lawrence P"},{"family":"Pebbles","given":"Victoria"},{"family":"Fraser","given":"David A"}],"issued":{"date-parts":[["2002"]]}}}],"schema":"https://github.com/citation-style-language/schema/raw/master/csl-citation.json"} </w:instrText>
      </w:r>
      <w:r w:rsidR="0094059C">
        <w:rPr>
          <w:rFonts w:eastAsia="Calibri"/>
          <w:color w:val="000000"/>
        </w:rPr>
        <w:fldChar w:fldCharType="separate"/>
      </w:r>
      <w:r w:rsidR="0094059C">
        <w:rPr>
          <w:rFonts w:eastAsia="Calibri"/>
          <w:noProof/>
          <w:color w:val="000000"/>
        </w:rPr>
        <w:t>(Hildebrand, Pebbles &amp; Fraser, 2002)</w:t>
      </w:r>
      <w:r w:rsidR="0094059C">
        <w:rPr>
          <w:rFonts w:eastAsia="Calibri"/>
          <w:color w:val="000000"/>
        </w:rPr>
        <w:fldChar w:fldCharType="end"/>
      </w:r>
      <w:r w:rsidRPr="0000762A">
        <w:rPr>
          <w:rFonts w:eastAsia="Calibri"/>
          <w:color w:val="000000"/>
        </w:rPr>
        <w:t xml:space="preserve"> </w:t>
      </w:r>
    </w:p>
    <w:p w14:paraId="336FE0A3" w14:textId="51698133" w:rsidR="00422A9A" w:rsidRDefault="00E40325" w:rsidP="00AE55D6">
      <w:pPr>
        <w:tabs>
          <w:tab w:val="left" w:pos="142"/>
        </w:tabs>
        <w:ind w:right="855" w:firstLine="720"/>
        <w:rPr>
          <w:rFonts w:eastAsia="Calibri"/>
          <w:b/>
        </w:rPr>
      </w:pPr>
      <w:r w:rsidRPr="00A36E44">
        <w:rPr>
          <w:rFonts w:eastAsia="Calibri"/>
        </w:rPr>
        <w:t>Despite this theorising and its occasional testing, the necessary cross-border cooperation in these matters does not always translate into practice, as is captured by Wiering et al</w:t>
      </w:r>
      <w:r w:rsidR="009A0BFA" w:rsidRPr="00A36E44">
        <w:rPr>
          <w:rFonts w:eastAsia="Calibri"/>
        </w:rPr>
        <w:t>.</w:t>
      </w:r>
      <w:r w:rsidRPr="00A36E44">
        <w:rPr>
          <w:rFonts w:eastAsia="Calibri"/>
        </w:rPr>
        <w:t xml:space="preserve">’s </w:t>
      </w:r>
      <w:r w:rsidR="00425F31" w:rsidRPr="00A36E44">
        <w:rPr>
          <w:rFonts w:eastAsia="Calibri"/>
        </w:rPr>
        <w:fldChar w:fldCharType="begin"/>
      </w:r>
      <w:r w:rsidR="006E6A2C">
        <w:rPr>
          <w:rFonts w:eastAsia="Calibri"/>
        </w:rPr>
        <w:instrText xml:space="preserve"> ADDIN ZOTERO_ITEM CSL_CITATION {"citationID":"CNkMCP5A","properties":{"formattedCitation":"(2010:p.2670)","plainCitation":"(2010:p.2670)","noteIndex":0},"citationItems":[{"id":253,"uris":["http://zotero.org/users/local/LV0ujPfY/items/M39XF788"],"uri":["http://zotero.org/users/local/LV0ujPfY/items/M39XF788"],"itemData":{"id":253,"type":"article-journal","abstract":"Cross border co-operation is increasingly viewed as an obvious and logical consequence of an integrated perspective on river management. Consequently, we would expect an increase of cross border co-operation and collaboration in EU member states, through joint planning, co-management or co-implementation in flooding policies, water quality management or river rehabilitation. If we take a closer look at regional practices along member states’ borders however, co-operation is often considered as problematic. To explain this discrepancy it is important to look at the conditions of ‘successful’ co-operation in actual cross border initiatives. We provide a framework to analyse regional initiatives, focusing on the extent of co-operation and differences and similarities in policy arrangements. We apply this framework to three cases at the Dutch–German border and conclude that the nature of the problem structure and related interdependencies and ‘urgency’ (still) are important. Moreover, we stress the importance of policy styles and especially the problematic transition from policy formulation to policy implementation in water management.","container-title":"Water Resources Management","issue":"11","language":"en","page":"2647-2672","source":"Crossref","title":"Experiences in Regional Cross Border Co-operation in River Management. Comparing Three Cases at the Dutch–German Border","volume":"24","author":[{"family":"Wiering","given":"Mark"},{"family":"Verwijmeren","given":"Joris"},{"family":"Lulofs","given":"Kris"},{"family":"Feld","given":"Christian"}],"issued":{"date-parts":[["2010"]]}},"locator":"2670","suppress-author":true}],"schema":"https://github.com/citation-style-language/schema/raw/master/csl-citation.json"} </w:instrText>
      </w:r>
      <w:r w:rsidR="00425F31" w:rsidRPr="00A36E44">
        <w:rPr>
          <w:rFonts w:eastAsia="Calibri"/>
        </w:rPr>
        <w:fldChar w:fldCharType="separate"/>
      </w:r>
      <w:r w:rsidR="00D03D37" w:rsidRPr="00A36E44">
        <w:rPr>
          <w:rFonts w:eastAsia="Calibri"/>
          <w:noProof/>
        </w:rPr>
        <w:t>(2010:p.2670)</w:t>
      </w:r>
      <w:r w:rsidR="00425F31" w:rsidRPr="00A36E44">
        <w:rPr>
          <w:rFonts w:eastAsia="Calibri"/>
        </w:rPr>
        <w:fldChar w:fldCharType="end"/>
      </w:r>
      <w:r w:rsidR="00425F31" w:rsidRPr="00A36E44">
        <w:rPr>
          <w:rFonts w:eastAsia="Calibri"/>
        </w:rPr>
        <w:t xml:space="preserve"> </w:t>
      </w:r>
      <w:r w:rsidRPr="00A36E44">
        <w:rPr>
          <w:rFonts w:eastAsia="Calibri"/>
        </w:rPr>
        <w:t xml:space="preserve">term </w:t>
      </w:r>
      <w:r w:rsidR="002E0C91">
        <w:rPr>
          <w:rFonts w:eastAsia="Calibri"/>
        </w:rPr>
        <w:t>‘</w:t>
      </w:r>
      <w:r w:rsidRPr="00A36E44">
        <w:rPr>
          <w:rFonts w:eastAsia="Calibri"/>
        </w:rPr>
        <w:t>the invisible wall</w:t>
      </w:r>
      <w:r w:rsidR="007256F2" w:rsidRPr="00A36E44">
        <w:rPr>
          <w:rFonts w:eastAsia="Calibri"/>
        </w:rPr>
        <w:t>’</w:t>
      </w:r>
      <w:r w:rsidRPr="00A36E44">
        <w:rPr>
          <w:rFonts w:eastAsia="Calibri"/>
        </w:rPr>
        <w:t xml:space="preserve"> between ideas and practice.</w:t>
      </w:r>
      <w:r w:rsidRPr="00A36E44">
        <w:rPr>
          <w:rFonts w:eastAsia="Calibri"/>
          <w:b/>
        </w:rPr>
        <w:t xml:space="preserve"> </w:t>
      </w:r>
      <w:r w:rsidRPr="00A36E44">
        <w:rPr>
          <w:rFonts w:eastAsia="Calibri"/>
        </w:rPr>
        <w:t>The overarching debate that lingers in all issues of transboundary water governance is whether agreements should be strengthened (i.e. made stricter) or loosened (i.e. made less stringent).</w:t>
      </w:r>
    </w:p>
    <w:p w14:paraId="0EE64459" w14:textId="77777777" w:rsidR="00491C69" w:rsidRDefault="00491C69" w:rsidP="00491C69">
      <w:pPr>
        <w:tabs>
          <w:tab w:val="left" w:pos="142"/>
        </w:tabs>
        <w:ind w:right="855"/>
        <w:rPr>
          <w:rFonts w:eastAsia="Calibri"/>
          <w:b/>
          <w:i/>
        </w:rPr>
      </w:pPr>
    </w:p>
    <w:p w14:paraId="60ACB492" w14:textId="40797765" w:rsidR="00205562" w:rsidRPr="00205562" w:rsidRDefault="00205562" w:rsidP="00491C69">
      <w:pPr>
        <w:tabs>
          <w:tab w:val="left" w:pos="142"/>
        </w:tabs>
        <w:ind w:right="855"/>
        <w:rPr>
          <w:rFonts w:eastAsia="Calibri"/>
          <w:b/>
          <w:i/>
        </w:rPr>
      </w:pPr>
      <w:r>
        <w:rPr>
          <w:rFonts w:eastAsia="Calibri"/>
          <w:b/>
          <w:i/>
        </w:rPr>
        <w:t>Unbalanced interdependence</w:t>
      </w:r>
    </w:p>
    <w:p w14:paraId="4742CDB8" w14:textId="77777777" w:rsidR="00AD1169" w:rsidRDefault="00E40325">
      <w:pPr>
        <w:tabs>
          <w:tab w:val="left" w:pos="142"/>
        </w:tabs>
        <w:ind w:right="855" w:firstLine="720"/>
        <w:rPr>
          <w:rFonts w:eastAsia="Calibri"/>
        </w:rPr>
      </w:pPr>
      <w:r w:rsidRPr="00A36E44">
        <w:rPr>
          <w:rFonts w:eastAsia="Calibri"/>
        </w:rPr>
        <w:t>Flooding in these transboundary contexts is additionally an issue of unbalanced interdependence</w:t>
      </w:r>
      <w:r w:rsidR="00753AD4" w:rsidRPr="00A36E44">
        <w:rPr>
          <w:rFonts w:eastAsia="Calibri"/>
        </w:rPr>
        <w:t xml:space="preserve">; </w:t>
      </w:r>
      <w:r w:rsidRPr="00A36E44">
        <w:rPr>
          <w:rFonts w:eastAsia="Calibri"/>
        </w:rPr>
        <w:t xml:space="preserve">two levels of tension in its management that pit national and local interests against each other, as well as </w:t>
      </w:r>
      <w:r w:rsidR="008D308C" w:rsidRPr="00A36E44">
        <w:rPr>
          <w:rFonts w:eastAsia="Calibri"/>
        </w:rPr>
        <w:t xml:space="preserve">highlight </w:t>
      </w:r>
      <w:r w:rsidR="00DE31C2" w:rsidRPr="00A36E44">
        <w:rPr>
          <w:rFonts w:eastAsia="Calibri"/>
        </w:rPr>
        <w:t xml:space="preserve">asymmetries in </w:t>
      </w:r>
      <w:r w:rsidRPr="00A36E44">
        <w:rPr>
          <w:rFonts w:eastAsia="Calibri"/>
        </w:rPr>
        <w:t xml:space="preserve">upstream and downstream riparian concerns </w:t>
      </w:r>
      <w:r w:rsidR="005552B4" w:rsidRPr="00A36E44">
        <w:rPr>
          <w:rFonts w:eastAsia="Calibri"/>
        </w:rPr>
        <w:fldChar w:fldCharType="begin"/>
      </w:r>
      <w:r w:rsidR="006E6A2C">
        <w:rPr>
          <w:rFonts w:eastAsia="Calibri"/>
        </w:rPr>
        <w:instrText xml:space="preserve"> ADDIN ZOTERO_ITEM CSL_CITATION {"citationID":"IbwweVTC","properties":{"formattedCitation":"(Wiering {\\i{}et al.}, 2010)","plainCitation":"(Wiering et al., 2010)","noteIndex":0},"citationItems":[{"id":253,"uris":["http://zotero.org/users/local/LV0ujPfY/items/M39XF788"],"uri":["http://zotero.org/users/local/LV0ujPfY/items/M39XF788"],"itemData":{"id":253,"type":"article-journal","abstract":"Cross border co-operation is increasingly viewed as an obvious and logical consequence of an integrated perspective on river management. Consequently, we would expect an increase of cross border co-operation and collaboration in EU member states, through joint planning, co-management or co-implementation in flooding policies, water quality management or river rehabilitation. If we take a closer look at regional practices along member states’ borders however, co-operation is often considered as problematic. To explain this discrepancy it is important to look at the conditions of ‘successful’ co-operation in actual cross border initiatives. We provide a framework to analyse regional initiatives, focusing on the extent of co-operation and differences and similarities in policy arrangements. We apply this framework to three cases at the Dutch–German border and conclude that the nature of the problem structure and related interdependencies and ‘urgency’ (still) are important. Moreover, we stress the importance of policy styles and especially the problematic transition from policy formulation to policy implementation in water management.","container-title":"Water Resources Management","issue":"11","language":"en","page":"2647-2672","source":"Crossref","title":"Experiences in Regional Cross Border Co-operation in River Management. Comparing Three Cases at the Dutch–German Border","volume":"24","author":[{"family":"Wiering","given":"Mark"},{"family":"Verwijmeren","given":"Joris"},{"family":"Lulofs","given":"Kris"},{"family":"Feld","given":"Christian"}],"issued":{"date-parts":[["2010"]]}}}],"schema":"https://github.com/citation-style-language/schema/raw/master/csl-citation.json"} </w:instrText>
      </w:r>
      <w:r w:rsidR="005552B4" w:rsidRPr="00A36E44">
        <w:rPr>
          <w:rFonts w:eastAsia="Calibri"/>
        </w:rPr>
        <w:fldChar w:fldCharType="separate"/>
      </w:r>
      <w:r w:rsidR="00D03D37" w:rsidRPr="00A36E44">
        <w:rPr>
          <w:lang w:val="en-US"/>
        </w:rPr>
        <w:t xml:space="preserve">(Wiering </w:t>
      </w:r>
      <w:r w:rsidR="00D03D37" w:rsidRPr="00A36E44">
        <w:rPr>
          <w:i/>
          <w:iCs/>
          <w:lang w:val="en-US"/>
        </w:rPr>
        <w:t>et al.</w:t>
      </w:r>
      <w:r w:rsidR="00D03D37" w:rsidRPr="00A36E44">
        <w:rPr>
          <w:lang w:val="en-US"/>
        </w:rPr>
        <w:t>, 2010)</w:t>
      </w:r>
      <w:r w:rsidR="005552B4" w:rsidRPr="00A36E44">
        <w:rPr>
          <w:rFonts w:eastAsia="Calibri"/>
        </w:rPr>
        <w:fldChar w:fldCharType="end"/>
      </w:r>
      <w:r w:rsidR="005552B4" w:rsidRPr="00A36E44">
        <w:rPr>
          <w:rFonts w:eastAsia="Calibri"/>
        </w:rPr>
        <w:t xml:space="preserve">. </w:t>
      </w:r>
    </w:p>
    <w:p w14:paraId="446E98DA" w14:textId="68DAD439" w:rsidR="00E40325" w:rsidRPr="00FB5AE2" w:rsidRDefault="003B5722" w:rsidP="00AE55D6">
      <w:pPr>
        <w:tabs>
          <w:tab w:val="left" w:pos="142"/>
        </w:tabs>
        <w:ind w:right="855" w:firstLine="720"/>
        <w:rPr>
          <w:rFonts w:eastAsia="Calibri"/>
        </w:rPr>
      </w:pPr>
      <w:r w:rsidRPr="00A36E44">
        <w:rPr>
          <w:rFonts w:eastAsia="Calibri"/>
          <w:color w:val="000000"/>
        </w:rPr>
        <w:t>M</w:t>
      </w:r>
      <w:r w:rsidR="00E40325" w:rsidRPr="00A36E44">
        <w:rPr>
          <w:rFonts w:eastAsia="Calibri"/>
          <w:color w:val="000000"/>
        </w:rPr>
        <w:t>anaging expectations between competing domestic and transnational policies is a major issue. Competing local interests may come into conflict with international treaties, laws, or policies. Indeed, governments tend to make decisions for their constituents that put national and regional concerns before international ones, despite evidence that this may be detrimental in the long run</w:t>
      </w:r>
      <w:r w:rsidR="00FB54B3" w:rsidRPr="00A36E44">
        <w:rPr>
          <w:rFonts w:eastAsia="Calibri"/>
          <w:color w:val="000000"/>
        </w:rPr>
        <w:t xml:space="preserve"> </w:t>
      </w:r>
      <w:r w:rsidR="00FB54B3" w:rsidRPr="00A36E44">
        <w:rPr>
          <w:rFonts w:eastAsia="Calibri"/>
          <w:color w:val="000000"/>
        </w:rPr>
        <w:fldChar w:fldCharType="begin"/>
      </w:r>
      <w:r w:rsidR="006E6A2C">
        <w:rPr>
          <w:rFonts w:eastAsia="Calibri"/>
          <w:color w:val="000000"/>
        </w:rPr>
        <w:instrText xml:space="preserve"> ADDIN ZOTERO_ITEM CSL_CITATION {"citationID":"AAmOGffy","properties":{"formattedCitation":"(Crow &amp; Singh, 2009)","plainCitation":"(Crow &amp; Singh, 2009)","noteIndex":0},"citationItems":[{"id":654,"uris":["http://zotero.org/users/local/LV0ujPfY/items/DTVNAFIG"],"uri":["http://zotero.org/users/local/LV0ujPfY/items/DTVNAFIG"],"itemData":{"id":654,"type":"article-journal","container-title":"India Review","issue":"3","page":"306-339","title":"The Management of International Rivers as Demands Grow and Supplies Tighten: India, China, Nepal, Pakistan, Bangladesh","volume":"8","author":[{"family":"Crow","given":"Ben"},{"family":"Singh","given":"Nirvikar"}],"issued":{"date-parts":[["2009"]]}}}],"schema":"https://github.com/citation-style-language/schema/raw/master/csl-citation.json"} </w:instrText>
      </w:r>
      <w:r w:rsidR="00FB54B3" w:rsidRPr="00A36E44">
        <w:rPr>
          <w:rFonts w:eastAsia="Calibri"/>
          <w:color w:val="000000"/>
        </w:rPr>
        <w:fldChar w:fldCharType="separate"/>
      </w:r>
      <w:r w:rsidR="00D03D37" w:rsidRPr="00A36E44">
        <w:rPr>
          <w:rFonts w:eastAsia="Calibri"/>
          <w:noProof/>
          <w:color w:val="000000"/>
        </w:rPr>
        <w:t>(Crow &amp; Singh, 2009)</w:t>
      </w:r>
      <w:r w:rsidR="00FB54B3" w:rsidRPr="00A36E44">
        <w:rPr>
          <w:rFonts w:eastAsia="Calibri"/>
          <w:color w:val="000000"/>
        </w:rPr>
        <w:fldChar w:fldCharType="end"/>
      </w:r>
      <w:r w:rsidR="00E40325" w:rsidRPr="00A36E44">
        <w:rPr>
          <w:rFonts w:eastAsia="Calibri"/>
          <w:color w:val="000000"/>
        </w:rPr>
        <w:t xml:space="preserve">. </w:t>
      </w:r>
      <w:r w:rsidR="00E64AE6" w:rsidRPr="00A36E44">
        <w:rPr>
          <w:rFonts w:eastAsia="Calibri"/>
        </w:rPr>
        <w:t>A</w:t>
      </w:r>
      <w:r w:rsidRPr="00A36E44">
        <w:rPr>
          <w:rFonts w:eastAsia="Calibri"/>
          <w:color w:val="000000"/>
        </w:rPr>
        <w:t xml:space="preserve">dditionally, </w:t>
      </w:r>
      <w:r w:rsidR="00E40325" w:rsidRPr="00A36E44">
        <w:rPr>
          <w:rFonts w:eastAsia="Calibri"/>
          <w:color w:val="000000"/>
        </w:rPr>
        <w:t xml:space="preserve">effective flood risk management can mute the effect of flooding downstream with whatever mitigating tool is used: for instance, a dam can protect the downstream from excess water but will not </w:t>
      </w:r>
      <w:r w:rsidR="00B448AD" w:rsidRPr="00A36E44">
        <w:rPr>
          <w:rFonts w:eastAsia="Calibri"/>
          <w:color w:val="000000"/>
        </w:rPr>
        <w:t xml:space="preserve">necessarily </w:t>
      </w:r>
      <w:r w:rsidR="00E40325" w:rsidRPr="00A36E44">
        <w:rPr>
          <w:rFonts w:eastAsia="Calibri"/>
          <w:color w:val="000000"/>
        </w:rPr>
        <w:t>help the upstream community. As such, downstream riparian communities generally show strong support for cooperation in FRM because it can mitigate for them the impacts of the natural hazard. Upstream communities, on the other hand, can bear the brunt of responsibility</w:t>
      </w:r>
      <w:r w:rsidR="00DF2093" w:rsidRPr="00A36E44">
        <w:rPr>
          <w:rFonts w:eastAsia="Calibri"/>
          <w:color w:val="000000"/>
        </w:rPr>
        <w:t xml:space="preserve"> and co</w:t>
      </w:r>
      <w:r w:rsidR="002963F9" w:rsidRPr="00A36E44">
        <w:rPr>
          <w:rFonts w:eastAsia="Calibri"/>
          <w:color w:val="000000"/>
        </w:rPr>
        <w:t>sts</w:t>
      </w:r>
      <w:r w:rsidR="00E40325" w:rsidRPr="00A36E44">
        <w:rPr>
          <w:rFonts w:eastAsia="Calibri"/>
          <w:color w:val="000000"/>
        </w:rPr>
        <w:t xml:space="preserve"> when it comes constructing FRM infrastructure, and may not reap the benefits</w:t>
      </w:r>
      <w:r w:rsidR="008A4F36" w:rsidRPr="00A36E44">
        <w:rPr>
          <w:rFonts w:eastAsia="Calibri"/>
          <w:color w:val="000000"/>
        </w:rPr>
        <w:t xml:space="preserve"> </w:t>
      </w:r>
      <w:r w:rsidR="008A4F36" w:rsidRPr="00A36E44">
        <w:rPr>
          <w:rFonts w:eastAsia="Calibri"/>
          <w:color w:val="000000"/>
        </w:rPr>
        <w:fldChar w:fldCharType="begin"/>
      </w:r>
      <w:r w:rsidR="006E6A2C">
        <w:rPr>
          <w:rFonts w:eastAsia="Calibri"/>
          <w:color w:val="000000"/>
        </w:rPr>
        <w:instrText xml:space="preserve"> ADDIN ZOTERO_ITEM CSL_CITATION {"citationID":"E0rwdLH1","properties":{"formattedCitation":"(Bernauer, 2002; Wiering {\\i{}et al.}, 2010)","plainCitation":"(Bernauer, 2002; Wiering et al., 2010)","noteIndex":0},"citationItems":[{"id":244,"uris":["http://zotero.org/users/local/LV0ujPfY/items/9MWF3FRS"],"uri":["http://zotero.org/users/local/LV0ujPfY/items/9MWF3FRS"],"itemData":{"id":244,"type":"article-journal","container-title":"Aquatic Sciences","language":"en","page":"19","source":"Zotero","title":"Explaining success and failure in international river management","volume":"64","author":[{"family":"Bernauer","given":"Thomas"}],"issued":{"date-parts":[["2002"]]}}},{"id":253,"uris":["http://zotero.org/users/local/LV0ujPfY/items/M39XF788"],"uri":["http://zotero.org/users/local/LV0ujPfY/items/M39XF788"],"itemData":{"id":253,"type":"article-journal","abstract":"Cross border co-operation is increasingly viewed as an obvious and logical consequence of an integrated perspective on river management. Consequently, we would expect an increase of cross border co-operation and collaboration in EU member states, through joint planning, co-management or co-implementation in flooding policies, water quality management or river rehabilitation. If we take a closer look at regional practices along member states’ borders however, co-operation is often considered as problematic. To explain this discrepancy it is important to look at the conditions of ‘successful’ co-operation in actual cross border initiatives. We provide a framework to analyse regional initiatives, focusing on the extent of co-operation and differences and similarities in policy arrangements. We apply this framework to three cases at the Dutch–German border and conclude that the nature of the problem structure and related interdependencies and ‘urgency’ (still) are important. Moreover, we stress the importance of policy styles and especially the problematic transition from policy formulation to policy implementation in water management.","container-title":"Water Resources Management","issue":"11","language":"en","page":"2647-2672","source":"Crossref","title":"Experiences in Regional Cross Border Co-operation in River Management. Comparing Three Cases at the Dutch–German Border","volume":"24","author":[{"family":"Wiering","given":"Mark"},{"family":"Verwijmeren","given":"Joris"},{"family":"Lulofs","given":"Kris"},{"family":"Feld","given":"Christian"}],"issued":{"date-parts":[["2010"]]}}}],"schema":"https://github.com/citation-style-language/schema/raw/master/csl-citation.json"} </w:instrText>
      </w:r>
      <w:r w:rsidR="008A4F36" w:rsidRPr="00A36E44">
        <w:rPr>
          <w:rFonts w:eastAsia="Calibri"/>
          <w:color w:val="000000"/>
        </w:rPr>
        <w:fldChar w:fldCharType="separate"/>
      </w:r>
      <w:r w:rsidR="00D03D37" w:rsidRPr="00A36E44">
        <w:rPr>
          <w:color w:val="000000"/>
          <w:lang w:val="en-US"/>
        </w:rPr>
        <w:t xml:space="preserve">(Bernauer, 2002; Wiering </w:t>
      </w:r>
      <w:r w:rsidR="00D03D37" w:rsidRPr="00A36E44">
        <w:rPr>
          <w:i/>
          <w:iCs/>
          <w:color w:val="000000"/>
          <w:lang w:val="en-US"/>
        </w:rPr>
        <w:t>et al.</w:t>
      </w:r>
      <w:r w:rsidR="00D03D37" w:rsidRPr="00A36E44">
        <w:rPr>
          <w:color w:val="000000"/>
          <w:lang w:val="en-US"/>
        </w:rPr>
        <w:t>, 2010)</w:t>
      </w:r>
      <w:r w:rsidR="008A4F36" w:rsidRPr="00A36E44">
        <w:rPr>
          <w:rFonts w:eastAsia="Calibri"/>
          <w:color w:val="000000"/>
        </w:rPr>
        <w:fldChar w:fldCharType="end"/>
      </w:r>
      <w:r w:rsidR="008A4F36" w:rsidRPr="00A36E44">
        <w:rPr>
          <w:rFonts w:eastAsia="Calibri"/>
          <w:color w:val="000000"/>
        </w:rPr>
        <w:t xml:space="preserve">. </w:t>
      </w:r>
    </w:p>
    <w:p w14:paraId="61EAC6D9" w14:textId="16563725" w:rsidR="00E40325" w:rsidRPr="00A36E44" w:rsidRDefault="00E40325" w:rsidP="00AE55D6">
      <w:pPr>
        <w:tabs>
          <w:tab w:val="left" w:pos="142"/>
        </w:tabs>
        <w:ind w:right="855" w:firstLine="720"/>
        <w:rPr>
          <w:rFonts w:eastAsia="Calibri"/>
        </w:rPr>
      </w:pPr>
      <w:r w:rsidRPr="00A36E44">
        <w:rPr>
          <w:rFonts w:eastAsia="Calibri"/>
        </w:rPr>
        <w:t xml:space="preserve">Such intersecting discussions about uncertainty and transboundary flood risk management have yet to be comprehensively addressed in the existing literature. However, Cosens </w:t>
      </w:r>
      <w:r w:rsidR="00D8525D" w:rsidRPr="00A36E44">
        <w:rPr>
          <w:rFonts w:eastAsia="Calibri"/>
        </w:rPr>
        <w:fldChar w:fldCharType="begin"/>
      </w:r>
      <w:r w:rsidR="00D8525D" w:rsidRPr="00A36E44">
        <w:rPr>
          <w:rFonts w:eastAsia="Calibri"/>
        </w:rPr>
        <w:instrText xml:space="preserve"> ADDIN ZOTERO_ITEM CSL_CITATION {"citationID":"5apzOiHj","properties":{"formattedCitation":"(2010)","plainCitation":"(2010)","noteIndex":0},"citationItems":[{"id":2286,"uris":["http://zotero.org/users/local/LV0ujPfY/items/YILGP832"],"uri":["http://zotero.org/users/local/LV0ujPfY/items/YILGP832"],"itemData":{"id":2286,"type":"article-journal","container-title":"Journal of Land, Resources &amp; Environmental Law","issue":"2","title":"Transboundary River Governance in the Face of Uncertainty: Resilience Theory and the Columbia River Treaty","volume":"30","author":[{"family":"Cosens","given":"Barbara"}],"issued":{"date-parts":[["2010"]]}},"suppress-author":true}],"schema":"https://github.com/citation-style-language/schema/raw/master/csl-citation.json"} </w:instrText>
      </w:r>
      <w:r w:rsidR="00D8525D" w:rsidRPr="00A36E44">
        <w:rPr>
          <w:rFonts w:eastAsia="Calibri"/>
        </w:rPr>
        <w:fldChar w:fldCharType="separate"/>
      </w:r>
      <w:r w:rsidR="00D03D37" w:rsidRPr="00A36E44">
        <w:rPr>
          <w:rFonts w:eastAsia="Calibri"/>
          <w:noProof/>
        </w:rPr>
        <w:t>(2010)</w:t>
      </w:r>
      <w:r w:rsidR="00D8525D" w:rsidRPr="00A36E44">
        <w:rPr>
          <w:rFonts w:eastAsia="Calibri"/>
        </w:rPr>
        <w:fldChar w:fldCharType="end"/>
      </w:r>
      <w:r w:rsidR="00D8525D" w:rsidRPr="00A36E44">
        <w:rPr>
          <w:rFonts w:eastAsia="Calibri"/>
        </w:rPr>
        <w:t xml:space="preserve"> </w:t>
      </w:r>
      <w:r w:rsidRPr="00A36E44">
        <w:rPr>
          <w:rFonts w:eastAsia="Calibri"/>
        </w:rPr>
        <w:t>does identify uncertainty as present in all factors contributing to flood hazard and risk (such as climate change, demographics, infrastructure, public participation). She argues it as a complexity-inducing variable for transboundary water management that it is fundamental to address, notably through governance structures and public participation</w:t>
      </w:r>
      <w:r w:rsidR="00884B20" w:rsidRPr="00A36E44">
        <w:rPr>
          <w:rFonts w:eastAsia="Calibri"/>
        </w:rPr>
        <w:t xml:space="preserve"> </w:t>
      </w:r>
      <w:r w:rsidR="00884B20" w:rsidRPr="00A36E44">
        <w:rPr>
          <w:rFonts w:eastAsia="Calibri"/>
        </w:rPr>
        <w:fldChar w:fldCharType="begin"/>
      </w:r>
      <w:r w:rsidR="00884B20" w:rsidRPr="00A36E44">
        <w:rPr>
          <w:rFonts w:eastAsia="Calibri"/>
        </w:rPr>
        <w:instrText xml:space="preserve"> ADDIN ZOTERO_ITEM CSL_CITATION {"citationID":"NEcMYfHF","properties":{"formattedCitation":"(Cosens, 2010)","plainCitation":"(Cosens, 2010)","noteIndex":0},"citationItems":[{"id":2286,"uris":["http://zotero.org/users/local/LV0ujPfY/items/YILGP832"],"uri":["http://zotero.org/users/local/LV0ujPfY/items/YILGP832"],"itemData":{"id":2286,"type":"article-journal","container-title":"Journal of Land, Resources &amp; Environmental Law","issue":"2","title":"Transboundary River Governance in the Face of Uncertainty: Resilience Theory and the Columbia River Treaty","volume":"30","author":[{"family":"Cosens","given":"Barbara"}],"issued":{"date-parts":[["2010"]]}}}],"schema":"https://github.com/citation-style-language/schema/raw/master/csl-citation.json"} </w:instrText>
      </w:r>
      <w:r w:rsidR="00884B20" w:rsidRPr="00A36E44">
        <w:rPr>
          <w:rFonts w:eastAsia="Calibri"/>
        </w:rPr>
        <w:fldChar w:fldCharType="separate"/>
      </w:r>
      <w:r w:rsidR="00D03D37" w:rsidRPr="00A36E44">
        <w:rPr>
          <w:rFonts w:eastAsia="Calibri"/>
          <w:noProof/>
        </w:rPr>
        <w:t>(Cosens, 2010)</w:t>
      </w:r>
      <w:r w:rsidR="00884B20" w:rsidRPr="00A36E44">
        <w:rPr>
          <w:rFonts w:eastAsia="Calibri"/>
        </w:rPr>
        <w:fldChar w:fldCharType="end"/>
      </w:r>
      <w:r w:rsidRPr="00A36E44">
        <w:rPr>
          <w:rFonts w:eastAsia="Calibri"/>
        </w:rPr>
        <w:t xml:space="preserve">. This requires balancing interests and contexts on both sides of an international border, and the case study here exactly matches that situation. </w:t>
      </w:r>
      <w:r w:rsidR="000D2D5D" w:rsidRPr="00A36E44">
        <w:rPr>
          <w:rFonts w:eastAsia="Calibri"/>
        </w:rPr>
        <w:t xml:space="preserve">Whether </w:t>
      </w:r>
      <w:r w:rsidRPr="00A36E44">
        <w:rPr>
          <w:rFonts w:eastAsia="Calibri"/>
        </w:rPr>
        <w:t>the cross-border agreements involved</w:t>
      </w:r>
      <w:r w:rsidR="000D2D5D" w:rsidRPr="00A36E44">
        <w:rPr>
          <w:rFonts w:eastAsia="Calibri"/>
        </w:rPr>
        <w:t xml:space="preserve"> should</w:t>
      </w:r>
      <w:r w:rsidRPr="00A36E44">
        <w:rPr>
          <w:rFonts w:eastAsia="Calibri"/>
        </w:rPr>
        <w:t xml:space="preserve"> be strengthened or loosened is the dilemma that frames our analysis of these processes in transnational flood risk management and its uncertainties.</w:t>
      </w:r>
    </w:p>
    <w:p w14:paraId="06DB6301" w14:textId="77777777" w:rsidR="00E40325" w:rsidRPr="00F07948" w:rsidRDefault="00E40325" w:rsidP="00F07948">
      <w:pPr>
        <w:pStyle w:val="Heading1"/>
      </w:pPr>
      <w:bookmarkStart w:id="3" w:name="_heading=h.2et92p0" w:colFirst="0" w:colLast="0"/>
      <w:bookmarkEnd w:id="3"/>
      <w:r w:rsidRPr="00F07948">
        <w:t xml:space="preserve">Flood risk management in Eastern North America </w:t>
      </w:r>
    </w:p>
    <w:p w14:paraId="17CD263A" w14:textId="61FFAC89" w:rsidR="00860FBC" w:rsidRDefault="00E40325" w:rsidP="00C60901">
      <w:pPr>
        <w:tabs>
          <w:tab w:val="left" w:pos="142"/>
        </w:tabs>
        <w:ind w:right="855" w:firstLine="720"/>
        <w:rPr>
          <w:rFonts w:eastAsia="Calibri"/>
        </w:rPr>
      </w:pPr>
      <w:r w:rsidRPr="00A36E44">
        <w:rPr>
          <w:rFonts w:eastAsia="Calibri"/>
        </w:rPr>
        <w:t>All the North American Great Lakes are connected, with water levels in one influencing levels in the next. On this hydrological chain, Lake Ontario is the furthest east (Figure 1), split in half by the Canadian-</w:t>
      </w:r>
      <w:r w:rsidR="00C60901">
        <w:rPr>
          <w:rFonts w:eastAsia="Calibri"/>
        </w:rPr>
        <w:t>USA</w:t>
      </w:r>
      <w:r w:rsidRPr="00A36E44">
        <w:rPr>
          <w:rFonts w:eastAsia="Calibri"/>
        </w:rPr>
        <w:t xml:space="preserve"> border separating the Province of Ontario and the State of New York. Its outlet is the St. Lawrence River that flows north-eastwards, eventually crossing into the Province of Quebec </w:t>
      </w:r>
      <w:r w:rsidR="000B1D76" w:rsidRPr="00A36E44">
        <w:rPr>
          <w:rFonts w:eastAsia="Calibri"/>
        </w:rPr>
        <w:fldChar w:fldCharType="begin"/>
      </w:r>
      <w:r w:rsidR="00C71B79">
        <w:rPr>
          <w:rFonts w:eastAsia="Calibri"/>
        </w:rPr>
        <w:instrText xml:space="preserve"> ADDIN ZOTERO_ITEM CSL_CITATION {"citationID":"hvcv5EhG","properties":{"formattedCitation":"(Hudon, 2004; McNeese, 2005)","plainCitation":"(Hudon, 2004; McNeese, 2005)","noteIndex":0},"citationItems":[{"id":611,"uris":["http://zotero.org/users/local/LV0ujPfY/items/2TDSTWW5"],"uri":["http://zotero.org/users/local/LV0ujPfY/items/2TDSTWW5"],"itemData":{"id":611,"type":"paper-conference","event":"69th Annual North American Wildlife and Natural Resources Management Conference","event-place":"Spokane, WA","page":"21","publisher-place":"Spokane, WA","title":"Managing St. Lawrence River Discharge in Times of Climatic Uncertainty : How Water Quantity Affects Wildlife, Recreation and the Economy","author":[{"family":"Hudon","given":"Christiane"}],"issued":{"date-parts":[["2004",3,14]]}}},{"id":604,"uris":["http://zotero.org/users/local/LV0ujPfY/items/59988TKF"],"uri":["http://zotero.org/users/local/LV0ujPfY/items/59988TKF"],"itemData":{"id":604,"type":"book","event-place":"New York, NY","publisher":"Chelsea House Publishers","publisher-place":"New York, NY","title":"The St. Lawrence River","author":[{"family":"McNeese","given":"Tim"}],"issued":{"date-parts":[["2005"]]}}}],"schema":"https://github.com/citation-style-language/schema/raw/master/csl-citation.json"} </w:instrText>
      </w:r>
      <w:r w:rsidR="000B1D76" w:rsidRPr="00A36E44">
        <w:rPr>
          <w:rFonts w:eastAsia="Calibri"/>
        </w:rPr>
        <w:fldChar w:fldCharType="separate"/>
      </w:r>
      <w:r w:rsidR="00C71B79">
        <w:rPr>
          <w:rFonts w:eastAsia="Calibri"/>
          <w:noProof/>
        </w:rPr>
        <w:t>(Hudon, 2004; McNeese, 2005)</w:t>
      </w:r>
      <w:r w:rsidR="000B1D76" w:rsidRPr="00A36E44">
        <w:rPr>
          <w:rFonts w:eastAsia="Calibri"/>
        </w:rPr>
        <w:fldChar w:fldCharType="end"/>
      </w:r>
      <w:r w:rsidR="000B1D76" w:rsidRPr="00A36E44">
        <w:rPr>
          <w:rFonts w:eastAsia="Calibri"/>
        </w:rPr>
        <w:t xml:space="preserve">. </w:t>
      </w:r>
      <w:r w:rsidRPr="00A36E44">
        <w:rPr>
          <w:rFonts w:eastAsia="Calibri"/>
        </w:rPr>
        <w:t xml:space="preserve">Communities on the lake and river on both sides of the border experience seasonal springtime flooding with significant impacts. Under the jurisdiction of the IJC, the </w:t>
      </w:r>
      <w:r w:rsidRPr="00A36E44">
        <w:rPr>
          <w:rFonts w:eastAsia="Calibri"/>
          <w:i/>
        </w:rPr>
        <w:t>International Lake Ontario-S</w:t>
      </w:r>
      <w:r w:rsidR="0034631D" w:rsidRPr="00A36E44">
        <w:rPr>
          <w:rFonts w:eastAsia="Calibri"/>
          <w:i/>
        </w:rPr>
        <w:t xml:space="preserve">t. </w:t>
      </w:r>
      <w:r w:rsidRPr="00A36E44">
        <w:rPr>
          <w:rFonts w:eastAsia="Calibri"/>
          <w:i/>
        </w:rPr>
        <w:t xml:space="preserve">Lawrence River Board </w:t>
      </w:r>
      <w:r w:rsidRPr="00A36E44">
        <w:rPr>
          <w:rFonts w:eastAsia="Calibri"/>
        </w:rPr>
        <w:t xml:space="preserve">(ILOSRB) monitors and regulates the water flow between Lake Ontario and the St-Lawrence, working </w:t>
      </w:r>
      <w:r w:rsidR="00D0798D">
        <w:rPr>
          <w:rFonts w:eastAsia="Calibri"/>
        </w:rPr>
        <w:t>with</w:t>
      </w:r>
      <w:r w:rsidRPr="00A36E44">
        <w:rPr>
          <w:rFonts w:eastAsia="Calibri"/>
        </w:rPr>
        <w:t xml:space="preserve"> the</w:t>
      </w:r>
      <w:r w:rsidRPr="00A36E44">
        <w:rPr>
          <w:rFonts w:eastAsia="Calibri"/>
          <w:i/>
        </w:rPr>
        <w:t xml:space="preserve"> </w:t>
      </w:r>
      <w:r w:rsidR="00334AF7">
        <w:rPr>
          <w:rFonts w:eastAsia="Calibri"/>
          <w:i/>
        </w:rPr>
        <w:t>Great Lakes-</w:t>
      </w:r>
      <w:r w:rsidRPr="00A36E44">
        <w:rPr>
          <w:rFonts w:eastAsia="Calibri"/>
          <w:i/>
        </w:rPr>
        <w:t xml:space="preserve">St. Lawrence River Adaptive Management Board </w:t>
      </w:r>
      <w:r w:rsidR="00A65569" w:rsidRPr="00A36E44">
        <w:rPr>
          <w:rFonts w:eastAsia="Calibri"/>
        </w:rPr>
        <w:fldChar w:fldCharType="begin"/>
      </w:r>
      <w:r w:rsidR="00A65569" w:rsidRPr="00A36E44">
        <w:rPr>
          <w:rFonts w:eastAsia="Calibri"/>
        </w:rPr>
        <w:instrText xml:space="preserve"> ADDIN ZOTERO_ITEM CSL_CITATION {"citationID":"dOq1ygoT","properties":{"formattedCitation":"(International Lake Ontario- St. Lawrence River Board, 2020b)","plainCitation":"(International Lake Ontario- St. Lawrence River Board, 2020b)","noteIndex":0},"citationItems":[{"id":2322,"uris":["http://zotero.org/users/local/LV0ujPfY/items/T8537GQY"],"uri":["http://zotero.org/users/local/LV0ujPfY/items/T8537GQY"],"itemData":{"id":2322,"type":"webpage","container-title":"IJC.org","title":"Lake St. Lawrence","URL":"https://ijc.org/en/loslrb/lake-st-lawrences","author":[{"family":"International Lake Ontario- St. Lawrence River Board","given":""}],"issued":{"date-parts":[["2020"]]}}}],"schema":"https://github.com/citation-style-language/schema/raw/master/csl-citation.json"} </w:instrText>
      </w:r>
      <w:r w:rsidR="00A65569" w:rsidRPr="00A36E44">
        <w:rPr>
          <w:rFonts w:eastAsia="Calibri"/>
        </w:rPr>
        <w:fldChar w:fldCharType="separate"/>
      </w:r>
      <w:r w:rsidR="00D03D37" w:rsidRPr="00A36E44">
        <w:rPr>
          <w:rFonts w:eastAsia="Calibri"/>
          <w:noProof/>
        </w:rPr>
        <w:t>(International Lake Ontario- St. Lawrence River Board, 2020b)</w:t>
      </w:r>
      <w:r w:rsidR="00A65569" w:rsidRPr="00A36E44">
        <w:rPr>
          <w:rFonts w:eastAsia="Calibri"/>
        </w:rPr>
        <w:fldChar w:fldCharType="end"/>
      </w:r>
      <w:r w:rsidR="00A65569" w:rsidRPr="00A36E44">
        <w:rPr>
          <w:rFonts w:eastAsia="Calibri"/>
        </w:rPr>
        <w:t xml:space="preserve">. </w:t>
      </w:r>
      <w:r w:rsidRPr="00A36E44">
        <w:rPr>
          <w:rFonts w:eastAsia="Calibri"/>
        </w:rPr>
        <w:t xml:space="preserve"> </w:t>
      </w:r>
    </w:p>
    <w:p w14:paraId="1DF14EF1" w14:textId="77777777" w:rsidR="00491C69" w:rsidRDefault="00491C69" w:rsidP="00491C69">
      <w:pPr>
        <w:tabs>
          <w:tab w:val="left" w:pos="142"/>
        </w:tabs>
        <w:ind w:right="855"/>
        <w:rPr>
          <w:rFonts w:eastAsia="Calibri"/>
        </w:rPr>
      </w:pPr>
    </w:p>
    <w:p w14:paraId="45E961CA" w14:textId="5C03EEE9" w:rsidR="00805F9C" w:rsidRPr="00805F9C" w:rsidRDefault="00805F9C" w:rsidP="00491C69">
      <w:pPr>
        <w:tabs>
          <w:tab w:val="left" w:pos="142"/>
        </w:tabs>
        <w:ind w:right="855"/>
        <w:rPr>
          <w:rFonts w:eastAsia="Calibri"/>
          <w:b/>
          <w:i/>
        </w:rPr>
      </w:pPr>
      <w:r>
        <w:rPr>
          <w:rFonts w:eastAsia="Calibri"/>
          <w:b/>
          <w:i/>
        </w:rPr>
        <w:t>Structural flood risk management</w:t>
      </w:r>
    </w:p>
    <w:p w14:paraId="62A8BB9A" w14:textId="7F65A4D3" w:rsidR="00BC5FF3" w:rsidRPr="00A36E44" w:rsidRDefault="00E40325" w:rsidP="00AE55D6">
      <w:pPr>
        <w:tabs>
          <w:tab w:val="left" w:pos="142"/>
        </w:tabs>
        <w:ind w:right="855" w:firstLine="720"/>
        <w:rPr>
          <w:rFonts w:eastAsia="Calibri"/>
        </w:rPr>
      </w:pPr>
      <w:r w:rsidRPr="00A36E44">
        <w:rPr>
          <w:rFonts w:eastAsia="Calibri"/>
          <w:color w:val="000000"/>
        </w:rPr>
        <w:t>In the latter half of the 20</w:t>
      </w:r>
      <w:r w:rsidRPr="00A36E44">
        <w:rPr>
          <w:rFonts w:eastAsia="Calibri"/>
          <w:color w:val="000000"/>
          <w:vertAlign w:val="superscript"/>
        </w:rPr>
        <w:t>th</w:t>
      </w:r>
      <w:r w:rsidRPr="00A36E44">
        <w:rPr>
          <w:rFonts w:eastAsia="Calibri"/>
          <w:color w:val="000000"/>
        </w:rPr>
        <w:t xml:space="preserve"> century, water quantity became a concern for management of the Great Lakes, mostly led by demand for hydro-electric power and shipping routes</w:t>
      </w:r>
      <w:r w:rsidR="00E70E8C" w:rsidRPr="00A36E44">
        <w:rPr>
          <w:rFonts w:eastAsia="Calibri"/>
          <w:color w:val="000000"/>
        </w:rPr>
        <w:t xml:space="preserve"> </w:t>
      </w:r>
      <w:r w:rsidR="00E70E8C" w:rsidRPr="00A36E44">
        <w:rPr>
          <w:rFonts w:eastAsia="Calibri"/>
          <w:color w:val="000000"/>
        </w:rPr>
        <w:fldChar w:fldCharType="begin"/>
      </w:r>
      <w:r w:rsidR="006E6A2C">
        <w:rPr>
          <w:rFonts w:eastAsia="Calibri"/>
          <w:color w:val="000000"/>
        </w:rPr>
        <w:instrText xml:space="preserve"> ADDIN ZOTERO_ITEM CSL_CITATION {"citationID":"pIog2CIy","properties":{"formattedCitation":"(Cook, 2014; Venkatesh &amp; Hobbs, 1999)","plainCitation":"(Cook, 2014; Venkatesh &amp; Hobbs, 1999)","noteIndex":0},"citationItems":[{"id":247,"uris":["http://zotero.org/users/local/LV0ujPfY/items/NA43KLDN"],"uri":["http://zotero.org/users/local/LV0ujPfY/items/NA43KLDN"],"itemData":{"id":247,"type":"article-journal","abstract":"This article examines how jurisdictional fragmentation has been addressed in Ontario’s governance of the Great Lakes Basin from 1912 to 2012. The water resources literature has frequently lamented fragmentation in water governance and called for integration; however, it infrequently speciﬁes how and what to integrate. By examining key moments in water quality and quantity governance, this study provides insight on how the presence or absence of particular institutional arrangements in the context of jurisdictional fragmentation produced different governance patterns and outcomes. Speciﬁcally, to determine governance patterns the study focused on four elements: an institution that facilitates coordination, agreement on roles and responsibilities, agreement on the issue management plan, and the scope of the issue. Combinations of these elements can produce governance patterns that are cooperative, conﬂictual or reactive and outcomes that are innovative, stagnant, or piecemeal. The study results suggest that when governing in the context of jurisdictional fragmentation efforts may best be directed at particular institutional arrangements. Further, it suggests that jurisdictional fragmentation be understood as a feature of the institutional complexity of water management that can be mobilized to develop unique solutions to multi-scalar water governance challenges.","container-title":"Geoforum","language":"en","page":"192-200","source":"Crossref","title":"Governing jurisdictional fragmentation: Tracing patterns of water governance in Ontario, Canada","title-short":"Governing jurisdictional fragmentation","volume":"56","author":[{"family":"Cook","given":"Christina"}],"issued":{"date-parts":[["2014",9]]}}},{"id":522,"uris":["http://zotero.org/users/local/LV0ujPfY/items/MW9YWKS2"],"uri":["http://zotero.org/users/local/LV0ujPfY/items/MW9YWKS2"],"itemData":{"id":522,"type":"article-journal","abstract":"Analysesof investmentshatareirreversiblaendhaveuncertainbenefits shouldconsidetrheoptionof delayinga decisionF.or instancet,hebenefitsof manywater resourcperojectscouldchangeif globawl armingoccursT.he magnitudoef thatwarming isuncertaina, nddelayingprojectsuntilmoreinformationisavailablemightbe optimal. We examine whether this is true for construction of an outflow control structure for Lake Erie. UsingBayesianMonteCarlo(BMC)-baseddecisionanalysisw, e findthat considerincglimateuncertaintdyoesmakea differenceC. limatechangebeliefsi,n the formof priordistributionosvertransienct limatescenariosc,anaffecttheoptimalstrategy: in particularc,limatechangemakesdelayingconstructiomnoreattractiveT.he option valueof deferringthedecisionto buildis ashighas$20million.Ignoringthepossibilitoyf climatewarmingcaninflictanexpectepdenaltyaslargeas20%of thecostof thecontrol structureW. e alsocompareclimaterisksto uncertaintieisn stage-damagceurvesandfind that theyare approximateloyf equalimportance.","container-title":"Water Resources Research","issue":"5","language":"en","page":"1671-1683","source":"Crossref","title":"Analyzing Investments for Managing Lake Erie Levels under Climate Change Uncertainty","volume":"35","author":[{"family":"Venkatesh","given":"Boddu N."},{"family":"Hobbs","given":"Benjamin F."}],"issued":{"date-parts":[["1999"]]}}}],"schema":"https://github.com/citation-style-language/schema/raw/master/csl-citation.json"} </w:instrText>
      </w:r>
      <w:r w:rsidR="00E70E8C" w:rsidRPr="00A36E44">
        <w:rPr>
          <w:rFonts w:eastAsia="Calibri"/>
          <w:color w:val="000000"/>
        </w:rPr>
        <w:fldChar w:fldCharType="separate"/>
      </w:r>
      <w:r w:rsidR="00D03D37" w:rsidRPr="00A36E44">
        <w:rPr>
          <w:rFonts w:eastAsia="Calibri"/>
          <w:noProof/>
          <w:color w:val="000000"/>
        </w:rPr>
        <w:t>(Cook, 2014; Venkatesh &amp; Hobbs, 1999)</w:t>
      </w:r>
      <w:r w:rsidR="00E70E8C" w:rsidRPr="00A36E44">
        <w:rPr>
          <w:rFonts w:eastAsia="Calibri"/>
          <w:color w:val="000000"/>
        </w:rPr>
        <w:fldChar w:fldCharType="end"/>
      </w:r>
      <w:r w:rsidRPr="00A36E44">
        <w:rPr>
          <w:rFonts w:eastAsia="Calibri"/>
          <w:color w:val="000000"/>
        </w:rPr>
        <w:t xml:space="preserve">. This concern drove structural strategies to manage the water quantity needed for these economic activities. </w:t>
      </w:r>
      <w:r w:rsidRPr="00A36E44">
        <w:rPr>
          <w:rFonts w:eastAsia="Calibri"/>
        </w:rPr>
        <w:t xml:space="preserve">In 1952, the ILOSRB approved the construction of the Moses-Saunders dam, one of the first major hydro-electric structures on the Canadian-American border, a controversial project that led to the displacement of 6,500 people </w:t>
      </w:r>
      <w:r w:rsidR="002C2338" w:rsidRPr="00A36E44">
        <w:rPr>
          <w:rFonts w:eastAsia="Calibri"/>
        </w:rPr>
        <w:fldChar w:fldCharType="begin"/>
      </w:r>
      <w:r w:rsidR="002C2338" w:rsidRPr="00A36E44">
        <w:rPr>
          <w:rFonts w:eastAsia="Calibri"/>
        </w:rPr>
        <w:instrText xml:space="preserve"> ADDIN ZOTERO_ITEM CSL_CITATION {"citationID":"SboHiz3R","properties":{"formattedCitation":"(Parham, 2009)","plainCitation":"(Parham, 2009)","noteIndex":0},"citationItems":[{"id":2288,"uris":["http://zotero.org/users/local/LV0ujPfY/items/H39YPC5G"],"uri":["http://zotero.org/users/local/LV0ujPfY/items/H39YPC5G"],"itemData":{"id":2288,"type":"book","event-place":"Syracuse, N.Y","publisher":"Syracuse University Press","publisher-place":"Syracuse, N.Y","title":"The St. Lawrence Seaway and Power Project: An oral history of the greatest construction show on earth","author":[{"family":"Parham","given":"C.P."}],"issued":{"date-parts":[["2009"]]}}}],"schema":"https://github.com/citation-style-language/schema/raw/master/csl-citation.json"} </w:instrText>
      </w:r>
      <w:r w:rsidR="002C2338" w:rsidRPr="00A36E44">
        <w:rPr>
          <w:rFonts w:eastAsia="Calibri"/>
        </w:rPr>
        <w:fldChar w:fldCharType="separate"/>
      </w:r>
      <w:r w:rsidR="00D03D37" w:rsidRPr="00A36E44">
        <w:rPr>
          <w:rFonts w:eastAsia="Calibri"/>
          <w:noProof/>
        </w:rPr>
        <w:t>(Parham, 2009)</w:t>
      </w:r>
      <w:r w:rsidR="002C2338" w:rsidRPr="00A36E44">
        <w:rPr>
          <w:rFonts w:eastAsia="Calibri"/>
        </w:rPr>
        <w:fldChar w:fldCharType="end"/>
      </w:r>
      <w:r w:rsidR="002C2338" w:rsidRPr="00A36E44">
        <w:rPr>
          <w:rFonts w:eastAsia="Calibri"/>
        </w:rPr>
        <w:t xml:space="preserve">. </w:t>
      </w:r>
      <w:r w:rsidRPr="00A36E44">
        <w:rPr>
          <w:rFonts w:eastAsia="Calibri"/>
        </w:rPr>
        <w:t xml:space="preserve"> </w:t>
      </w:r>
    </w:p>
    <w:p w14:paraId="58D5D699" w14:textId="4BF34396" w:rsidR="00E40325" w:rsidRDefault="00E40325" w:rsidP="00AE55D6">
      <w:pPr>
        <w:tabs>
          <w:tab w:val="left" w:pos="142"/>
        </w:tabs>
        <w:ind w:right="855" w:firstLine="720"/>
        <w:rPr>
          <w:rFonts w:eastAsia="Calibri"/>
        </w:rPr>
      </w:pPr>
      <w:r w:rsidRPr="00A36E44">
        <w:rPr>
          <w:rFonts w:eastAsia="Calibri"/>
        </w:rPr>
        <w:t xml:space="preserve">Today, the dam doubles as a flood management structure: its gates retain the flow of water from the lake to the river and thus are used to regulate water levels on both sides of the border </w:t>
      </w:r>
      <w:r w:rsidR="004A7B73" w:rsidRPr="00A36E44">
        <w:rPr>
          <w:rFonts w:eastAsia="Calibri"/>
        </w:rPr>
        <w:fldChar w:fldCharType="begin"/>
      </w:r>
      <w:r w:rsidR="00CF0CFE" w:rsidRPr="00A36E44">
        <w:rPr>
          <w:rFonts w:eastAsia="Calibri"/>
        </w:rPr>
        <w:instrText xml:space="preserve"> ADDIN ZOTERO_ITEM CSL_CITATION {"citationID":"rVpHNUQi","properties":{"formattedCitation":"(International Lake Ontario- St. Lawrence River Board, 2020a)","plainCitation":"(International Lake Ontario- St. Lawrence River Board, 2020a)","noteIndex":0},"citationItems":[{"id":2320,"uris":["http://zotero.org/users/local/LV0ujPfY/items/JFWEKMBR"],"uri":["http://zotero.org/users/local/LV0ujPfY/items/JFWEKMBR"],"itemData":{"id":2320,"type":"webpage","title":"Lake Ontario-St. Lawrence River 2019 High Water Levels Questions and Answers","URL":"https://ijc.org/sites/default/files/2020-01/ILOSLRB_2019HighWaterQAs_Final_20200122.pdf","author":[{"family":"International Lake Ontario- St. Lawrence River Board","given":""}],"issued":{"date-parts":[["2020"]]}}}],"schema":"https://github.com/citation-style-language/schema/raw/master/csl-citation.json"} </w:instrText>
      </w:r>
      <w:r w:rsidR="004A7B73" w:rsidRPr="00A36E44">
        <w:rPr>
          <w:rFonts w:eastAsia="Calibri"/>
        </w:rPr>
        <w:fldChar w:fldCharType="separate"/>
      </w:r>
      <w:r w:rsidR="00D03D37" w:rsidRPr="00A36E44">
        <w:rPr>
          <w:rFonts w:eastAsia="Calibri"/>
          <w:noProof/>
        </w:rPr>
        <w:t>(International Lake Ontario- St. Lawrence River Board, 2020a)</w:t>
      </w:r>
      <w:r w:rsidR="004A7B73" w:rsidRPr="00A36E44">
        <w:rPr>
          <w:rFonts w:eastAsia="Calibri"/>
        </w:rPr>
        <w:fldChar w:fldCharType="end"/>
      </w:r>
      <w:r w:rsidRPr="00A36E44">
        <w:rPr>
          <w:rFonts w:eastAsia="Calibri"/>
        </w:rPr>
        <w:t>. As explained by the IJC</w:t>
      </w:r>
      <w:r w:rsidR="00CB40BA">
        <w:rPr>
          <w:rFonts w:eastAsia="Calibri"/>
        </w:rPr>
        <w:t xml:space="preserve"> (in this </w:t>
      </w:r>
      <w:r w:rsidR="00CB40BA" w:rsidRPr="00FE521F">
        <w:rPr>
          <w:rFonts w:eastAsia="Calibri"/>
        </w:rPr>
        <w:t xml:space="preserve">case our ‘planners’) </w:t>
      </w:r>
      <w:r w:rsidRPr="00FE521F">
        <w:rPr>
          <w:rFonts w:eastAsia="Calibri"/>
        </w:rPr>
        <w:t xml:space="preserve">: </w:t>
      </w:r>
      <w:r w:rsidR="007256F2" w:rsidRPr="00FE521F">
        <w:rPr>
          <w:rFonts w:eastAsia="Calibri"/>
        </w:rPr>
        <w:t>‘</w:t>
      </w:r>
      <w:r w:rsidRPr="00FE521F">
        <w:rPr>
          <w:rFonts w:eastAsia="Calibri"/>
        </w:rPr>
        <w:t>since 1960, Lake Ontario would have set new record high water levels several times without regulation</w:t>
      </w:r>
      <w:r w:rsidR="007256F2" w:rsidRPr="00FE521F">
        <w:rPr>
          <w:rFonts w:eastAsia="Calibri"/>
        </w:rPr>
        <w:t>’</w:t>
      </w:r>
      <w:r w:rsidRPr="00FE521F">
        <w:rPr>
          <w:rFonts w:eastAsia="Calibri"/>
        </w:rPr>
        <w:t xml:space="preserve"> </w:t>
      </w:r>
      <w:r w:rsidR="00CF0CFE" w:rsidRPr="00FE521F">
        <w:rPr>
          <w:rFonts w:eastAsia="Calibri"/>
        </w:rPr>
        <w:fldChar w:fldCharType="begin"/>
      </w:r>
      <w:r w:rsidR="00D03D37" w:rsidRPr="00FE521F">
        <w:rPr>
          <w:rFonts w:eastAsia="Calibri"/>
        </w:rPr>
        <w:instrText xml:space="preserve"> ADDIN ZOTERO_ITEM CSL_CITATION {"citationID":"I234YgLb","properties":{"formattedCitation":"(International Lake Ontario- St. Lawrence River Board, 2020c:p.4)","plainCitation":"(International Lake Ontario- St. Lawrence River Board, 2020c:p.4)","noteIndex":0},"citationItems":[{"id":2336,"uris":["http://zotero.org/users/local/LV0ujPfY/items/ERK9MPIZ"],"uri":["http://zotero.org/users/local/LV0ujPfY/items/ERK9MPIZ"],"itemData":{"id":2336,"type":"webpage","container-title":"IJC.org","title":"Section 2: Effects of Regulation on Levels and Flows","URL":"https://ijc.org/en/loslrb/watershed/faq/2","author":[{"literal":"International Lake Ontario- St. Lawrence River Board"}],"issued":{"date-parts":[["2020"]]}},"locator":"4"}],"schema":"https://github.com/citation-style-language/schema/raw/master/csl-citation.json"} </w:instrText>
      </w:r>
      <w:r w:rsidR="00CF0CFE" w:rsidRPr="00FE521F">
        <w:rPr>
          <w:rFonts w:eastAsia="Calibri"/>
        </w:rPr>
        <w:fldChar w:fldCharType="separate"/>
      </w:r>
      <w:r w:rsidR="00D03D37" w:rsidRPr="00FE521F">
        <w:rPr>
          <w:rFonts w:eastAsia="Calibri"/>
          <w:noProof/>
        </w:rPr>
        <w:t>(International Lake Ontario- St. Lawrence River Board, 2020c:p.4)</w:t>
      </w:r>
      <w:r w:rsidR="00CF0CFE" w:rsidRPr="00FE521F">
        <w:rPr>
          <w:rFonts w:eastAsia="Calibri"/>
        </w:rPr>
        <w:fldChar w:fldCharType="end"/>
      </w:r>
      <w:r w:rsidRPr="00FE521F">
        <w:rPr>
          <w:rFonts w:eastAsia="Calibri"/>
        </w:rPr>
        <w:t>.</w:t>
      </w:r>
      <w:r w:rsidR="00332FA7" w:rsidRPr="00FE521F">
        <w:rPr>
          <w:rFonts w:eastAsia="Calibri"/>
        </w:rPr>
        <w:t xml:space="preserve"> </w:t>
      </w:r>
      <w:r w:rsidRPr="00FE521F">
        <w:rPr>
          <w:rFonts w:eastAsia="Calibri"/>
        </w:rPr>
        <w:t xml:space="preserve">The water quantity structures are overseen by the ILOSRB whose </w:t>
      </w:r>
      <w:r w:rsidR="00CB40BA" w:rsidRPr="00FE521F">
        <w:rPr>
          <w:rFonts w:eastAsia="Calibri"/>
        </w:rPr>
        <w:t>staff</w:t>
      </w:r>
      <w:r w:rsidR="009928C1" w:rsidRPr="00FE521F">
        <w:rPr>
          <w:rFonts w:eastAsia="Calibri"/>
        </w:rPr>
        <w:t xml:space="preserve"> </w:t>
      </w:r>
      <w:r w:rsidR="00CB40BA" w:rsidRPr="00FE521F">
        <w:rPr>
          <w:rFonts w:eastAsia="Calibri"/>
        </w:rPr>
        <w:t xml:space="preserve">(our ‘operators’) </w:t>
      </w:r>
      <w:r w:rsidRPr="00FE521F">
        <w:rPr>
          <w:rFonts w:eastAsia="Calibri"/>
        </w:rPr>
        <w:t>can increase or decrease outflow amounts through the dam through a set of rules that determine</w:t>
      </w:r>
      <w:r w:rsidRPr="00A36E44">
        <w:rPr>
          <w:rFonts w:eastAsia="Calibri"/>
        </w:rPr>
        <w:t xml:space="preserve"> appropriate water levels on Lake Ontario and the lower St-Lawrence river. When </w:t>
      </w:r>
      <w:r w:rsidR="00B448AD" w:rsidRPr="00A36E44">
        <w:rPr>
          <w:rFonts w:eastAsia="Calibri"/>
        </w:rPr>
        <w:t xml:space="preserve">executed </w:t>
      </w:r>
      <w:r w:rsidRPr="00A36E44">
        <w:rPr>
          <w:rFonts w:eastAsia="Calibri"/>
        </w:rPr>
        <w:t xml:space="preserve"> in a timely manner, this type of regulation has been particularly useful for downstream flood alleviation </w:t>
      </w:r>
      <w:r w:rsidR="004C0FEA" w:rsidRPr="00A36E44">
        <w:rPr>
          <w:rFonts w:eastAsia="Calibri"/>
        </w:rPr>
        <w:fldChar w:fldCharType="begin"/>
      </w:r>
      <w:r w:rsidR="00A65569" w:rsidRPr="00A36E44">
        <w:rPr>
          <w:rFonts w:eastAsia="Calibri"/>
        </w:rPr>
        <w:instrText xml:space="preserve"> ADDIN ZOTERO_ITEM CSL_CITATION {"citationID":"wljwizm0","properties":{"formattedCitation":"(International Lake Ontario- St. Lawrence River Board, 2020c)","plainCitation":"(International Lake Ontario- St. Lawrence River Board, 2020c)","noteIndex":0},"citationItems":[{"id":2336,"uris":["http://zotero.org/users/local/LV0ujPfY/items/ERK9MPIZ"],"uri":["http://zotero.org/users/local/LV0ujPfY/items/ERK9MPIZ"],"itemData":{"id":2336,"type":"webpage","container-title":"IJC.org","title":"Section 2: Effects of Regulation on Levels and Flows","URL":"https://ijc.org/en/loslrb/watershed/faq/2","author":[{"literal":"International Lake Ontario- St. Lawrence River Board"}],"issued":{"date-parts":[["2020"]]}}}],"schema":"https://github.com/citation-style-language/schema/raw/master/csl-citation.json"} </w:instrText>
      </w:r>
      <w:r w:rsidR="004C0FEA" w:rsidRPr="00A36E44">
        <w:rPr>
          <w:rFonts w:eastAsia="Calibri"/>
        </w:rPr>
        <w:fldChar w:fldCharType="separate"/>
      </w:r>
      <w:r w:rsidR="00D03D37" w:rsidRPr="00A36E44">
        <w:rPr>
          <w:rFonts w:eastAsia="Calibri"/>
          <w:noProof/>
        </w:rPr>
        <w:t>(International Lake Ontario- St. Lawrence River Board, 2020c)</w:t>
      </w:r>
      <w:r w:rsidR="004C0FEA" w:rsidRPr="00A36E44">
        <w:rPr>
          <w:rFonts w:eastAsia="Calibri"/>
        </w:rPr>
        <w:fldChar w:fldCharType="end"/>
      </w:r>
      <w:r w:rsidR="004C0FEA" w:rsidRPr="00A36E44">
        <w:rPr>
          <w:rFonts w:eastAsia="Calibri"/>
        </w:rPr>
        <w:t xml:space="preserve">. </w:t>
      </w:r>
    </w:p>
    <w:p w14:paraId="1E969C5A" w14:textId="137ECE7F" w:rsidR="00E40325" w:rsidRPr="00F07948" w:rsidRDefault="00E40325" w:rsidP="00F07948">
      <w:pPr>
        <w:pStyle w:val="Heading1"/>
      </w:pPr>
      <w:bookmarkStart w:id="4" w:name="_heading=h.tyjcwt" w:colFirst="0" w:colLast="0"/>
      <w:bookmarkEnd w:id="4"/>
      <w:r w:rsidRPr="00F07948">
        <w:t>Two different approaches to managing uncertainty</w:t>
      </w:r>
    </w:p>
    <w:p w14:paraId="02C4AA0B" w14:textId="49B22053" w:rsidR="00AB6E23" w:rsidRPr="0083273B" w:rsidRDefault="00AB6E23" w:rsidP="00AE55D6">
      <w:pPr>
        <w:ind w:firstLine="720"/>
        <w:rPr>
          <w:rFonts w:eastAsia="Calibri"/>
          <w:lang w:eastAsia="en-GB"/>
        </w:rPr>
      </w:pPr>
      <w:r w:rsidRPr="0083273B">
        <w:rPr>
          <w:rFonts w:eastAsia="Calibri"/>
          <w:lang w:eastAsia="en-GB"/>
        </w:rPr>
        <w:t xml:space="preserve">Many different </w:t>
      </w:r>
      <w:r w:rsidR="0083273B" w:rsidRPr="0083273B">
        <w:rPr>
          <w:rFonts w:eastAsia="Calibri"/>
          <w:lang w:eastAsia="en-GB"/>
        </w:rPr>
        <w:t>strategies can be taken to manage flood risk</w:t>
      </w:r>
      <w:r w:rsidR="0083273B">
        <w:rPr>
          <w:rFonts w:eastAsia="Calibri"/>
          <w:lang w:eastAsia="en-GB"/>
        </w:rPr>
        <w:t xml:space="preserve">. The history of structural regulation </w:t>
      </w:r>
      <w:r w:rsidR="00435115">
        <w:rPr>
          <w:rFonts w:eastAsia="Calibri"/>
          <w:lang w:eastAsia="en-GB"/>
        </w:rPr>
        <w:t xml:space="preserve">in the Great Lakes and St. Lawrence River </w:t>
      </w:r>
      <w:r w:rsidR="008B01EF">
        <w:rPr>
          <w:rFonts w:eastAsia="Calibri"/>
          <w:lang w:eastAsia="en-GB"/>
        </w:rPr>
        <w:t>system</w:t>
      </w:r>
      <w:r w:rsidR="00451CBF">
        <w:rPr>
          <w:rFonts w:eastAsia="Calibri"/>
          <w:lang w:eastAsia="en-GB"/>
        </w:rPr>
        <w:t>, leading to Plan 2014</w:t>
      </w:r>
      <w:r w:rsidR="00916CB6">
        <w:rPr>
          <w:rFonts w:eastAsia="Calibri"/>
          <w:lang w:eastAsia="en-GB"/>
        </w:rPr>
        <w:t>,</w:t>
      </w:r>
      <w:r w:rsidR="008B01EF">
        <w:rPr>
          <w:rFonts w:eastAsia="Calibri"/>
          <w:lang w:eastAsia="en-GB"/>
        </w:rPr>
        <w:t xml:space="preserve"> </w:t>
      </w:r>
      <w:r w:rsidR="003310E0">
        <w:rPr>
          <w:rFonts w:eastAsia="Calibri"/>
          <w:lang w:eastAsia="en-GB"/>
        </w:rPr>
        <w:t>showcases</w:t>
      </w:r>
      <w:r w:rsidR="00C95765">
        <w:rPr>
          <w:rFonts w:eastAsia="Calibri"/>
          <w:lang w:eastAsia="en-GB"/>
        </w:rPr>
        <w:t xml:space="preserve"> </w:t>
      </w:r>
      <w:r w:rsidR="007D5112">
        <w:rPr>
          <w:rFonts w:eastAsia="Calibri"/>
          <w:lang w:eastAsia="en-GB"/>
        </w:rPr>
        <w:t xml:space="preserve">the </w:t>
      </w:r>
      <w:r w:rsidR="00D514F7">
        <w:rPr>
          <w:rFonts w:eastAsia="Calibri"/>
          <w:lang w:eastAsia="en-GB"/>
        </w:rPr>
        <w:t>evolution</w:t>
      </w:r>
      <w:r w:rsidR="007D5112">
        <w:rPr>
          <w:rFonts w:eastAsia="Calibri"/>
          <w:lang w:eastAsia="en-GB"/>
        </w:rPr>
        <w:t xml:space="preserve"> of </w:t>
      </w:r>
      <w:r w:rsidR="002F4639">
        <w:rPr>
          <w:rFonts w:eastAsia="Calibri"/>
          <w:lang w:eastAsia="en-GB"/>
        </w:rPr>
        <w:t>approaches</w:t>
      </w:r>
      <w:r w:rsidR="008616EF">
        <w:rPr>
          <w:rFonts w:eastAsia="Calibri"/>
          <w:lang w:eastAsia="en-GB"/>
        </w:rPr>
        <w:t xml:space="preserve"> </w:t>
      </w:r>
      <w:r w:rsidR="00451CBF">
        <w:rPr>
          <w:rFonts w:eastAsia="Calibri"/>
          <w:lang w:eastAsia="en-GB"/>
        </w:rPr>
        <w:t>to this end</w:t>
      </w:r>
      <w:r w:rsidR="00016CE1">
        <w:rPr>
          <w:rFonts w:eastAsia="Calibri"/>
          <w:lang w:eastAsia="en-GB"/>
        </w:rPr>
        <w:t>.</w:t>
      </w:r>
      <w:r w:rsidR="00F33C5D">
        <w:rPr>
          <w:rFonts w:eastAsia="Calibri"/>
          <w:lang w:eastAsia="en-GB"/>
        </w:rPr>
        <w:t xml:space="preserve"> </w:t>
      </w:r>
    </w:p>
    <w:p w14:paraId="1803F063" w14:textId="77777777" w:rsidR="00491C69" w:rsidRDefault="00491C69" w:rsidP="00491C69">
      <w:pPr>
        <w:pStyle w:val="Heading3"/>
        <w:tabs>
          <w:tab w:val="left" w:pos="142"/>
        </w:tabs>
        <w:spacing w:before="0"/>
        <w:ind w:right="855"/>
        <w:rPr>
          <w:rFonts w:ascii="Times New Roman" w:eastAsia="Calibri" w:hAnsi="Times New Roman" w:cs="Times New Roman"/>
          <w:b/>
        </w:rPr>
      </w:pPr>
      <w:bookmarkStart w:id="5" w:name="_heading=h.3dy6vkm" w:colFirst="0" w:colLast="0"/>
      <w:bookmarkEnd w:id="5"/>
    </w:p>
    <w:p w14:paraId="12F8EA56" w14:textId="4D6E356A" w:rsidR="00E40325" w:rsidRPr="006A658A" w:rsidRDefault="00E40325" w:rsidP="00491C69">
      <w:pPr>
        <w:pStyle w:val="Heading3"/>
        <w:tabs>
          <w:tab w:val="left" w:pos="142"/>
        </w:tabs>
        <w:spacing w:before="0"/>
        <w:ind w:right="855"/>
        <w:rPr>
          <w:rFonts w:ascii="Times New Roman" w:eastAsia="Calibri" w:hAnsi="Times New Roman" w:cs="Times New Roman"/>
          <w:b/>
        </w:rPr>
      </w:pPr>
      <w:r w:rsidRPr="006A658A">
        <w:rPr>
          <w:rFonts w:ascii="Times New Roman" w:eastAsia="Calibri" w:hAnsi="Times New Roman" w:cs="Times New Roman"/>
          <w:b/>
        </w:rPr>
        <w:t>Plan 1958D and strict water level regulation</w:t>
      </w:r>
    </w:p>
    <w:p w14:paraId="7FD764A6" w14:textId="162AE5F8" w:rsidR="009C552B" w:rsidRPr="00A36E44" w:rsidRDefault="00E40325" w:rsidP="00AE55D6">
      <w:pPr>
        <w:tabs>
          <w:tab w:val="left" w:pos="142"/>
        </w:tabs>
        <w:ind w:right="855" w:firstLine="720"/>
        <w:rPr>
          <w:rFonts w:eastAsia="Calibri"/>
        </w:rPr>
      </w:pPr>
      <w:r w:rsidRPr="00A36E44">
        <w:rPr>
          <w:rFonts w:eastAsia="Calibri"/>
        </w:rPr>
        <w:t>In 1963, on-</w:t>
      </w:r>
      <w:r w:rsidR="00DA073A" w:rsidRPr="00A36E44">
        <w:rPr>
          <w:rFonts w:eastAsia="Calibri"/>
        </w:rPr>
        <w:t xml:space="preserve">going </w:t>
      </w:r>
      <w:r w:rsidRPr="00A36E44">
        <w:rPr>
          <w:rFonts w:eastAsia="Calibri"/>
        </w:rPr>
        <w:t xml:space="preserve">discussions about the regulation of water quantity through the Moses-Saunders dam created </w:t>
      </w:r>
      <w:r w:rsidRPr="00A36E44">
        <w:rPr>
          <w:rFonts w:eastAsia="Calibri"/>
          <w:i/>
        </w:rPr>
        <w:t>Plan 1958-D</w:t>
      </w:r>
      <w:r w:rsidRPr="00A36E44">
        <w:rPr>
          <w:rFonts w:eastAsia="Calibri"/>
        </w:rPr>
        <w:t xml:space="preserve"> (hereinafter Plan 58D) that used formal hydrological equations to regulate water heights of the lake and the river</w:t>
      </w:r>
      <w:r w:rsidRPr="00AA08FC">
        <w:rPr>
          <w:rStyle w:val="FootnoteReference"/>
          <w:rFonts w:eastAsia="Calibri"/>
        </w:rPr>
        <w:footnoteReference w:id="2"/>
      </w:r>
      <w:r w:rsidRPr="00A36E44">
        <w:rPr>
          <w:rFonts w:eastAsia="Calibri"/>
        </w:rPr>
        <w:t xml:space="preserve">. Lake Ontario's outflow was thus determined by two sets of rule curves, seasonal adjustments, a number of limitations for reasons of hydropower, ice formation and navigation, as well as limitations in the flow changes in order to ensure that </w:t>
      </w:r>
      <w:r w:rsidR="007256F2" w:rsidRPr="00A36E44">
        <w:rPr>
          <w:rFonts w:eastAsia="Calibri"/>
        </w:rPr>
        <w:t>‘</w:t>
      </w:r>
      <w:r w:rsidRPr="00A36E44">
        <w:rPr>
          <w:rFonts w:eastAsia="Calibri"/>
        </w:rPr>
        <w:t>downstream flow/levels are no greater than would occur without regulation</w:t>
      </w:r>
      <w:r w:rsidR="007256F2" w:rsidRPr="00A36E44">
        <w:rPr>
          <w:rFonts w:eastAsia="Calibri"/>
        </w:rPr>
        <w:t>’</w:t>
      </w:r>
      <w:r w:rsidRPr="00A36E44">
        <w:rPr>
          <w:rFonts w:eastAsia="Calibri"/>
        </w:rPr>
        <w:t xml:space="preserve"> </w:t>
      </w:r>
      <w:r w:rsidR="00CC6BF9" w:rsidRPr="00A36E44">
        <w:rPr>
          <w:rFonts w:eastAsia="Calibri"/>
        </w:rPr>
        <w:fldChar w:fldCharType="begin"/>
      </w:r>
      <w:r w:rsidR="00D03D37" w:rsidRPr="00A36E44">
        <w:rPr>
          <w:rFonts w:eastAsia="Calibri"/>
        </w:rPr>
        <w:instrText xml:space="preserve"> ADDIN ZOTERO_ITEM CSL_CITATION {"citationID":"PMXaWWMB","properties":{"formattedCitation":"(Fay, 2005:p.160)","plainCitation":"(Fay, 2005:p.160)","noteIndex":0},"citationItems":[{"id":2317,"uris":["http://zotero.org/users/local/LV0ujPfY/items/9X7I8I7L"],"uri":["http://zotero.org/users/local/LV0ujPfY/items/9X7I8I7L"],"itemData":{"id":2317,"type":"chapter","container-title":"Options for Managing Lake Ontario and St. Lawrence River Water Levels and Flows. Final Report by the International Lake Ontario - St. Lawrence River Study Board to the International Joint Commission","title":"Annex 3: Summary of Constraints and Assumption for Plan Formulation","URL":"https://www.iwr.usace.army.mil/Portals/70/docs/CPCX/SVP/LOSL%20Plan%20Description%20report-ann3-e.pdf?ver=2017-08-04-123924-933","author":[{"family":"Fay","given":"D."}],"issued":{"date-parts":[["2005"]]}},"locator":"160"}],"schema":"https://github.com/citation-style-language/schema/raw/master/csl-citation.json"} </w:instrText>
      </w:r>
      <w:r w:rsidR="00CC6BF9" w:rsidRPr="00A36E44">
        <w:rPr>
          <w:rFonts w:eastAsia="Calibri"/>
        </w:rPr>
        <w:fldChar w:fldCharType="separate"/>
      </w:r>
      <w:r w:rsidR="00D03D37" w:rsidRPr="00A36E44">
        <w:rPr>
          <w:rFonts w:eastAsia="Calibri"/>
          <w:noProof/>
        </w:rPr>
        <w:t>(Fay, 2005:p.160)</w:t>
      </w:r>
      <w:r w:rsidR="00CC6BF9" w:rsidRPr="00A36E44">
        <w:rPr>
          <w:rFonts w:eastAsia="Calibri"/>
        </w:rPr>
        <w:fldChar w:fldCharType="end"/>
      </w:r>
      <w:r w:rsidRPr="00A36E44">
        <w:rPr>
          <w:rFonts w:eastAsia="Calibri"/>
        </w:rPr>
        <w:t xml:space="preserve">. These equations set </w:t>
      </w:r>
      <w:r w:rsidR="007256F2" w:rsidRPr="00A36E44">
        <w:rPr>
          <w:rFonts w:eastAsia="Calibri"/>
        </w:rPr>
        <w:t>‘</w:t>
      </w:r>
      <w:r w:rsidRPr="00A36E44">
        <w:rPr>
          <w:rFonts w:eastAsia="Calibri"/>
        </w:rPr>
        <w:t>absolute constraints on outflow</w:t>
      </w:r>
      <w:r w:rsidR="007256F2" w:rsidRPr="00A36E44">
        <w:rPr>
          <w:rFonts w:eastAsia="Calibri"/>
        </w:rPr>
        <w:t>’</w:t>
      </w:r>
      <w:r w:rsidRPr="00A36E44">
        <w:rPr>
          <w:rFonts w:eastAsia="Calibri"/>
        </w:rPr>
        <w:t xml:space="preserve"> and determined how much water could be released by the dam in any given time </w:t>
      </w:r>
      <w:r w:rsidR="00B81A07" w:rsidRPr="00A36E44">
        <w:rPr>
          <w:rFonts w:eastAsia="Calibri"/>
        </w:rPr>
        <w:fldChar w:fldCharType="begin"/>
      </w:r>
      <w:r w:rsidR="00D03D37" w:rsidRPr="00A36E44">
        <w:rPr>
          <w:rFonts w:eastAsia="Calibri"/>
        </w:rPr>
        <w:instrText xml:space="preserve"> ADDIN ZOTERO_ITEM CSL_CITATION {"citationID":"briTIA9I","properties":{"formattedCitation":"(Fay, 2005:p.161)","plainCitation":"(Fay, 2005:p.161)","noteIndex":0},"citationItems":[{"id":2317,"uris":["http://zotero.org/users/local/LV0ujPfY/items/9X7I8I7L"],"uri":["http://zotero.org/users/local/LV0ujPfY/items/9X7I8I7L"],"itemData":{"id":2317,"type":"chapter","container-title":"Options for Managing Lake Ontario and St. Lawrence River Water Levels and Flows. Final Report by the International Lake Ontario - St. Lawrence River Study Board to the International Joint Commission","title":"Annex 3: Summary of Constraints and Assumption for Plan Formulation","URL":"https://www.iwr.usace.army.mil/Portals/70/docs/CPCX/SVP/LOSL%20Plan%20Description%20report-ann3-e.pdf?ver=2017-08-04-123924-933","author":[{"family":"Fay","given":"D."}],"issued":{"date-parts":[["2005"]]}},"locator":"161"}],"schema":"https://github.com/citation-style-language/schema/raw/master/csl-citation.json"} </w:instrText>
      </w:r>
      <w:r w:rsidR="00B81A07" w:rsidRPr="00A36E44">
        <w:rPr>
          <w:rFonts w:eastAsia="Calibri"/>
        </w:rPr>
        <w:fldChar w:fldCharType="separate"/>
      </w:r>
      <w:r w:rsidR="00D03D37" w:rsidRPr="00A36E44">
        <w:rPr>
          <w:rFonts w:eastAsia="Calibri"/>
          <w:noProof/>
        </w:rPr>
        <w:t>(Fay, 2005:p.161)</w:t>
      </w:r>
      <w:r w:rsidR="00B81A07" w:rsidRPr="00A36E44">
        <w:rPr>
          <w:rFonts w:eastAsia="Calibri"/>
        </w:rPr>
        <w:fldChar w:fldCharType="end"/>
      </w:r>
      <w:r w:rsidRPr="00A36E44">
        <w:rPr>
          <w:rFonts w:eastAsia="Calibri"/>
        </w:rPr>
        <w:t xml:space="preserve">.  </w:t>
      </w:r>
    </w:p>
    <w:p w14:paraId="1438DAFE" w14:textId="16589ADD" w:rsidR="009C552B" w:rsidRPr="00A36E44" w:rsidRDefault="00E40325" w:rsidP="00AE55D6">
      <w:pPr>
        <w:tabs>
          <w:tab w:val="left" w:pos="142"/>
        </w:tabs>
        <w:ind w:right="855" w:firstLine="720"/>
        <w:rPr>
          <w:rFonts w:eastAsia="Calibri"/>
        </w:rPr>
      </w:pPr>
      <w:r w:rsidRPr="00A36E44">
        <w:rPr>
          <w:rFonts w:eastAsia="Calibri"/>
        </w:rPr>
        <w:t xml:space="preserve">The predictability attempted by these rules was the result of complex transboundary negotiations at the IJC that allowed for clearer management and greater political acceptability, notably as desired by shipping companies and hydro-electricity producers who depended on predictable water levels </w:t>
      </w:r>
      <w:r w:rsidR="002064BC" w:rsidRPr="00A36E44">
        <w:rPr>
          <w:rFonts w:eastAsia="Calibri"/>
        </w:rPr>
        <w:fldChar w:fldCharType="begin"/>
      </w:r>
      <w:r w:rsidR="002064BC" w:rsidRPr="00A36E44">
        <w:rPr>
          <w:rFonts w:eastAsia="Calibri"/>
        </w:rPr>
        <w:instrText xml:space="preserve"> ADDIN ZOTERO_ITEM CSL_CITATION {"citationID":"jhzrf0Sj","properties":{"formattedCitation":"(MacFarlane, 2014)","plainCitation":"(MacFarlane, 2014)","noteIndex":0},"citationItems":[{"id":643,"uris":["http://zotero.org/users/local/LV0ujPfY/items/PJDEY664"],"uri":["http://zotero.org/users/local/LV0ujPfY/items/PJDEY664"],"itemData":{"id":643,"type":"book","abstract":"A megaproject half a century in the making, the planning and building of the St. Lawrence Seaway and Power Project is one of the defining episodes in North American history. Possibly the largest construction undertaking in Canadian history, and one of the most ambitious borderlands projects ever embarked upon by two countries, it also required decades of negotiation and the controversial relocation of thousands of people. Negotiating a River looks at the profound impacts of this megaproject, from the complex diplomatic negotiations, political manoeuvring, and environmental diplomacy to the implications on national identities and transnational relations.","ISBN":"978-0-7748-2645-7","language":"en","note":"Google-Books-ID: NO_kAgAAQBAJ","number-of-pages":"357","publisher":"UBC Press","source":"Google Books","title":"Negotiating a River: Canada, the Us, and the Creation of the St. Lawrence Seaway","title-short":"Negotiating a River","author":[{"family":"MacFarlane","given":"Daniel"}],"issued":{"date-parts":[["2014"]]}}}],"schema":"https://github.com/citation-style-language/schema/raw/master/csl-citation.json"} </w:instrText>
      </w:r>
      <w:r w:rsidR="002064BC" w:rsidRPr="00A36E44">
        <w:rPr>
          <w:rFonts w:eastAsia="Calibri"/>
        </w:rPr>
        <w:fldChar w:fldCharType="separate"/>
      </w:r>
      <w:r w:rsidR="00D03D37" w:rsidRPr="00A36E44">
        <w:rPr>
          <w:rFonts w:eastAsia="Calibri"/>
          <w:noProof/>
        </w:rPr>
        <w:t>(MacFarlane, 2014)</w:t>
      </w:r>
      <w:r w:rsidR="002064BC" w:rsidRPr="00A36E44">
        <w:rPr>
          <w:rFonts w:eastAsia="Calibri"/>
        </w:rPr>
        <w:fldChar w:fldCharType="end"/>
      </w:r>
      <w:r w:rsidRPr="00A36E44">
        <w:rPr>
          <w:rFonts w:eastAsia="Calibri"/>
        </w:rPr>
        <w:t xml:space="preserve">. However, adhering to these rules proved difficult, with the infrastructure struggling to manage hydro-climatic variability. Notably during extreme weather conditions, the natural fluctuations of the water levels were difficult to contain within the strict bounds allowed by the regulation. The </w:t>
      </w:r>
      <w:r w:rsidR="00F01E14">
        <w:rPr>
          <w:rFonts w:eastAsia="Calibri"/>
        </w:rPr>
        <w:t>operators</w:t>
      </w:r>
      <w:r w:rsidR="00EE3D0E">
        <w:rPr>
          <w:rFonts w:eastAsia="Calibri"/>
        </w:rPr>
        <w:t xml:space="preserve"> and </w:t>
      </w:r>
      <w:r w:rsidR="00980217">
        <w:rPr>
          <w:rFonts w:eastAsia="Calibri"/>
        </w:rPr>
        <w:t>their M</w:t>
      </w:r>
      <w:r w:rsidR="00EE3D0E">
        <w:rPr>
          <w:rFonts w:eastAsia="Calibri"/>
        </w:rPr>
        <w:t xml:space="preserve">anagement </w:t>
      </w:r>
      <w:r w:rsidR="00980217">
        <w:rPr>
          <w:rFonts w:eastAsia="Calibri"/>
        </w:rPr>
        <w:t>B</w:t>
      </w:r>
      <w:r w:rsidR="00EE3D0E">
        <w:rPr>
          <w:rFonts w:eastAsia="Calibri"/>
        </w:rPr>
        <w:t>oard</w:t>
      </w:r>
      <w:r w:rsidR="00F01E14" w:rsidRPr="00A36E44">
        <w:rPr>
          <w:rFonts w:eastAsia="Calibri"/>
        </w:rPr>
        <w:t xml:space="preserve"> </w:t>
      </w:r>
      <w:r w:rsidRPr="00A36E44">
        <w:rPr>
          <w:rFonts w:eastAsia="Calibri"/>
        </w:rPr>
        <w:t xml:space="preserve">found that they had too often to deviate from the </w:t>
      </w:r>
      <w:r w:rsidR="007256F2" w:rsidRPr="00A36E44">
        <w:rPr>
          <w:rFonts w:eastAsia="Calibri"/>
        </w:rPr>
        <w:t>‘</w:t>
      </w:r>
      <w:r w:rsidRPr="00A36E44">
        <w:rPr>
          <w:rFonts w:eastAsia="Calibri"/>
        </w:rPr>
        <w:t>inflexible, date specific</w:t>
      </w:r>
      <w:r w:rsidR="007256F2" w:rsidRPr="00A36E44">
        <w:rPr>
          <w:rFonts w:eastAsia="Calibri"/>
        </w:rPr>
        <w:t>’</w:t>
      </w:r>
      <w:r w:rsidRPr="00A36E44">
        <w:rPr>
          <w:rFonts w:eastAsia="Calibri"/>
        </w:rPr>
        <w:t xml:space="preserve"> boundaries set in the </w:t>
      </w:r>
      <w:r w:rsidR="00FA371E">
        <w:rPr>
          <w:rFonts w:eastAsia="Calibri"/>
        </w:rPr>
        <w:t>P</w:t>
      </w:r>
      <w:r w:rsidRPr="00A36E44">
        <w:rPr>
          <w:rFonts w:eastAsia="Calibri"/>
        </w:rPr>
        <w:t xml:space="preserve">lan </w:t>
      </w:r>
      <w:r w:rsidR="007256F2" w:rsidRPr="00A36E44">
        <w:rPr>
          <w:rFonts w:eastAsia="Calibri"/>
        </w:rPr>
        <w:t>‘</w:t>
      </w:r>
      <w:r w:rsidRPr="00A36E44">
        <w:rPr>
          <w:rFonts w:eastAsia="Calibri"/>
        </w:rPr>
        <w:t>sometimes several times within a week in response to changing conditions</w:t>
      </w:r>
      <w:r w:rsidR="007256F2" w:rsidRPr="00A36E44">
        <w:rPr>
          <w:rFonts w:eastAsia="Calibri"/>
        </w:rPr>
        <w:t>’</w:t>
      </w:r>
      <w:r w:rsidRPr="00A36E44">
        <w:rPr>
          <w:rFonts w:eastAsia="Calibri"/>
        </w:rPr>
        <w:t xml:space="preserve"> </w:t>
      </w:r>
      <w:r w:rsidR="002911A2" w:rsidRPr="00A36E44">
        <w:rPr>
          <w:rFonts w:eastAsia="Calibri"/>
        </w:rPr>
        <w:fldChar w:fldCharType="begin"/>
      </w:r>
      <w:r w:rsidR="00D03D37" w:rsidRPr="00A36E44">
        <w:rPr>
          <w:rFonts w:eastAsia="Calibri"/>
        </w:rPr>
        <w:instrText xml:space="preserve"> ADDIN ZOTERO_ITEM CSL_CITATION {"citationID":"3r0EB8qC","properties":{"formattedCitation":"(Fay, 2005:p.172)","plainCitation":"(Fay, 2005:p.172)","noteIndex":0},"citationItems":[{"id":2317,"uris":["http://zotero.org/users/local/LV0ujPfY/items/9X7I8I7L"],"uri":["http://zotero.org/users/local/LV0ujPfY/items/9X7I8I7L"],"itemData":{"id":2317,"type":"chapter","container-title":"Options for Managing Lake Ontario and St. Lawrence River Water Levels and Flows. Final Report by the International Lake Ontario - St. Lawrence River Study Board to the International Joint Commission","title":"Annex 3: Summary of Constraints and Assumption for Plan Formulation","URL":"https://www.iwr.usace.army.mil/Portals/70/docs/CPCX/SVP/LOSL%20Plan%20Description%20report-ann3-e.pdf?ver=2017-08-04-123924-933","author":[{"family":"Fay","given":"D."}],"issued":{"date-parts":[["2005"]]}},"locator":"172"}],"schema":"https://github.com/citation-style-language/schema/raw/master/csl-citation.json"} </w:instrText>
      </w:r>
      <w:r w:rsidR="002911A2" w:rsidRPr="00A36E44">
        <w:rPr>
          <w:rFonts w:eastAsia="Calibri"/>
        </w:rPr>
        <w:fldChar w:fldCharType="separate"/>
      </w:r>
      <w:r w:rsidR="00D03D37" w:rsidRPr="00A36E44">
        <w:rPr>
          <w:rFonts w:eastAsia="Calibri"/>
          <w:noProof/>
        </w:rPr>
        <w:t>(Fay, 2005:p.172)</w:t>
      </w:r>
      <w:r w:rsidR="002911A2" w:rsidRPr="00A36E44">
        <w:rPr>
          <w:rFonts w:eastAsia="Calibri"/>
        </w:rPr>
        <w:fldChar w:fldCharType="end"/>
      </w:r>
      <w:r w:rsidR="002911A2" w:rsidRPr="00A36E44">
        <w:rPr>
          <w:rFonts w:eastAsia="Calibri"/>
        </w:rPr>
        <w:t>.</w:t>
      </w:r>
    </w:p>
    <w:p w14:paraId="2F58B783" w14:textId="6039CBED" w:rsidR="00D77B59" w:rsidRDefault="00E40325" w:rsidP="00C60901">
      <w:pPr>
        <w:tabs>
          <w:tab w:val="left" w:pos="142"/>
        </w:tabs>
        <w:ind w:right="855" w:firstLine="720"/>
        <w:rPr>
          <w:rFonts w:eastAsia="Calibri"/>
        </w:rPr>
      </w:pPr>
      <w:r w:rsidRPr="00A36E44">
        <w:rPr>
          <w:rFonts w:eastAsia="Calibri"/>
        </w:rPr>
        <w:t xml:space="preserve">In recognition of this problem, the dam's </w:t>
      </w:r>
      <w:r w:rsidR="00980217">
        <w:rPr>
          <w:rFonts w:eastAsia="Calibri"/>
        </w:rPr>
        <w:t>M</w:t>
      </w:r>
      <w:r w:rsidRPr="00A36E44">
        <w:rPr>
          <w:rFonts w:eastAsia="Calibri"/>
        </w:rPr>
        <w:t xml:space="preserve">anagement </w:t>
      </w:r>
      <w:r w:rsidR="00980217">
        <w:rPr>
          <w:rFonts w:eastAsia="Calibri"/>
        </w:rPr>
        <w:t>B</w:t>
      </w:r>
      <w:r w:rsidRPr="00A36E44">
        <w:rPr>
          <w:rFonts w:eastAsia="Calibri"/>
        </w:rPr>
        <w:t xml:space="preserve">oard was given discretionary power to deviate from the </w:t>
      </w:r>
      <w:r w:rsidR="00FA371E">
        <w:rPr>
          <w:rFonts w:eastAsia="Calibri"/>
        </w:rPr>
        <w:t>P</w:t>
      </w:r>
      <w:r w:rsidRPr="00A36E44">
        <w:rPr>
          <w:rFonts w:eastAsia="Calibri"/>
        </w:rPr>
        <w:t xml:space="preserve">lan whenever necessary in order to provide </w:t>
      </w:r>
      <w:r w:rsidR="007256F2" w:rsidRPr="00A36E44">
        <w:rPr>
          <w:rFonts w:eastAsia="Calibri"/>
        </w:rPr>
        <w:t>‘</w:t>
      </w:r>
      <w:r w:rsidRPr="00A36E44">
        <w:rPr>
          <w:rFonts w:eastAsia="Calibri"/>
        </w:rPr>
        <w:t>beneficial effects or relief from adverse effects to one interest without appreciable adverse effects to others</w:t>
      </w:r>
      <w:r w:rsidR="007256F2" w:rsidRPr="00A36E44">
        <w:rPr>
          <w:rFonts w:eastAsia="Calibri"/>
        </w:rPr>
        <w:t>’</w:t>
      </w:r>
      <w:r w:rsidRPr="00A36E44">
        <w:rPr>
          <w:rFonts w:eastAsia="Calibri"/>
        </w:rPr>
        <w:t xml:space="preserve"> </w:t>
      </w:r>
      <w:r w:rsidR="009E5653" w:rsidRPr="00A36E44">
        <w:rPr>
          <w:rFonts w:eastAsia="Calibri"/>
        </w:rPr>
        <w:fldChar w:fldCharType="begin"/>
      </w:r>
      <w:r w:rsidR="00D03D37" w:rsidRPr="00A36E44">
        <w:rPr>
          <w:rFonts w:eastAsia="Calibri"/>
        </w:rPr>
        <w:instrText xml:space="preserve"> ADDIN ZOTERO_ITEM CSL_CITATION {"citationID":"FjWFsVpi","properties":{"formattedCitation":"(Fay, 2005:p.161)","plainCitation":"(Fay, 2005:p.161)","noteIndex":0},"citationItems":[{"id":2317,"uris":["http://zotero.org/users/local/LV0ujPfY/items/9X7I8I7L"],"uri":["http://zotero.org/users/local/LV0ujPfY/items/9X7I8I7L"],"itemData":{"id":2317,"type":"chapter","container-title":"Options for Managing Lake Ontario and St. Lawrence River Water Levels and Flows. Final Report by the International Lake Ontario - St. Lawrence River Study Board to the International Joint Commission","title":"Annex 3: Summary of Constraints and Assumption for Plan Formulation","URL":"https://www.iwr.usace.army.mil/Portals/70/docs/CPCX/SVP/LOSL%20Plan%20Description%20report-ann3-e.pdf?ver=2017-08-04-123924-933","author":[{"family":"Fay","given":"D."}],"issued":{"date-parts":[["2005"]]}},"locator":"161"}],"schema":"https://github.com/citation-style-language/schema/raw/master/csl-citation.json"} </w:instrText>
      </w:r>
      <w:r w:rsidR="009E5653" w:rsidRPr="00A36E44">
        <w:rPr>
          <w:rFonts w:eastAsia="Calibri"/>
        </w:rPr>
        <w:fldChar w:fldCharType="separate"/>
      </w:r>
      <w:r w:rsidR="00D03D37" w:rsidRPr="00A36E44">
        <w:rPr>
          <w:rFonts w:eastAsia="Calibri"/>
          <w:noProof/>
        </w:rPr>
        <w:t>(Fay, 2005:p.161)</w:t>
      </w:r>
      <w:r w:rsidR="009E5653" w:rsidRPr="00A36E44">
        <w:rPr>
          <w:rFonts w:eastAsia="Calibri"/>
        </w:rPr>
        <w:fldChar w:fldCharType="end"/>
      </w:r>
      <w:r w:rsidRPr="00A36E44">
        <w:rPr>
          <w:rFonts w:eastAsia="Calibri"/>
        </w:rPr>
        <w:t xml:space="preserve">. Over the years, many adjustments to the rule curves were attempted, notably in an update in the 1980s through </w:t>
      </w:r>
      <w:r w:rsidRPr="00A36E44">
        <w:rPr>
          <w:rFonts w:eastAsia="Calibri"/>
          <w:i/>
        </w:rPr>
        <w:t>Plan 1958-D with Simulated Deviations</w:t>
      </w:r>
      <w:r w:rsidRPr="00A36E44">
        <w:rPr>
          <w:rFonts w:eastAsia="Calibri"/>
        </w:rPr>
        <w:t xml:space="preserve"> which allowed </w:t>
      </w:r>
      <w:r w:rsidR="00980217">
        <w:rPr>
          <w:rFonts w:eastAsia="Calibri"/>
        </w:rPr>
        <w:t xml:space="preserve">the </w:t>
      </w:r>
      <w:r w:rsidR="008B1A3D">
        <w:rPr>
          <w:rFonts w:eastAsia="Calibri"/>
        </w:rPr>
        <w:t>operators</w:t>
      </w:r>
      <w:r w:rsidR="008B1A3D" w:rsidRPr="00A36E44">
        <w:rPr>
          <w:rFonts w:eastAsia="Calibri"/>
        </w:rPr>
        <w:t xml:space="preserve"> </w:t>
      </w:r>
      <w:r w:rsidRPr="00A36E44">
        <w:rPr>
          <w:rFonts w:eastAsia="Calibri"/>
        </w:rPr>
        <w:t xml:space="preserve">a wider range of acceptable high and low water levels, and more discretion to release water in case of flood emergencies </w:t>
      </w:r>
      <w:r w:rsidR="00F709F9" w:rsidRPr="00A36E44">
        <w:rPr>
          <w:rFonts w:eastAsia="Calibri"/>
        </w:rPr>
        <w:fldChar w:fldCharType="begin"/>
      </w:r>
      <w:r w:rsidR="00F709F9" w:rsidRPr="00A36E44">
        <w:rPr>
          <w:rFonts w:eastAsia="Calibri"/>
        </w:rPr>
        <w:instrText xml:space="preserve"> ADDIN ZOTERO_ITEM CSL_CITATION {"citationID":"vGs53G8D","properties":{"formattedCitation":"(Fay, 2005)","plainCitation":"(Fay, 2005)","noteIndex":0},"citationItems":[{"id":2317,"uris":["http://zotero.org/users/local/LV0ujPfY/items/9X7I8I7L"],"uri":["http://zotero.org/users/local/LV0ujPfY/items/9X7I8I7L"],"itemData":{"id":2317,"type":"chapter","container-title":"Options for Managing Lake Ontario and St. Lawrence River Water Levels and Flows. Final Report by the International Lake Ontario - St. Lawrence River Study Board to the International Joint Commission","title":"Annex 3: Summary of Constraints and Assumption for Plan Formulation","URL":"https://www.iwr.usace.army.mil/Portals/70/docs/CPCX/SVP/LOSL%20Plan%20Description%20report-ann3-e.pdf?ver=2017-08-04-123924-933","author":[{"family":"Fay","given":"D."}],"issued":{"date-parts":[["2005"]]}}}],"schema":"https://github.com/citation-style-language/schema/raw/master/csl-citation.json"} </w:instrText>
      </w:r>
      <w:r w:rsidR="00F709F9" w:rsidRPr="00A36E44">
        <w:rPr>
          <w:rFonts w:eastAsia="Calibri"/>
        </w:rPr>
        <w:fldChar w:fldCharType="separate"/>
      </w:r>
      <w:r w:rsidR="00D03D37" w:rsidRPr="00A36E44">
        <w:rPr>
          <w:rFonts w:eastAsia="Calibri"/>
          <w:noProof/>
        </w:rPr>
        <w:t>(Fay, 2005)</w:t>
      </w:r>
      <w:r w:rsidR="00F709F9" w:rsidRPr="00A36E44">
        <w:rPr>
          <w:rFonts w:eastAsia="Calibri"/>
        </w:rPr>
        <w:fldChar w:fldCharType="end"/>
      </w:r>
      <w:r w:rsidR="00F709F9" w:rsidRPr="00A36E44">
        <w:rPr>
          <w:rFonts w:eastAsia="Calibri"/>
        </w:rPr>
        <w:t>.</w:t>
      </w:r>
      <w:r w:rsidR="00980217">
        <w:rPr>
          <w:rFonts w:eastAsia="Calibri"/>
        </w:rPr>
        <w:t xml:space="preserve"> We found </w:t>
      </w:r>
      <w:bookmarkStart w:id="6" w:name="_heading=h.1t3h5sf" w:colFirst="0" w:colLast="0"/>
      <w:bookmarkEnd w:id="6"/>
      <w:r w:rsidR="00980217">
        <w:rPr>
          <w:rFonts w:eastAsia="Calibri"/>
        </w:rPr>
        <w:t>l</w:t>
      </w:r>
      <w:r w:rsidR="008E200A">
        <w:rPr>
          <w:rFonts w:eastAsia="Calibri"/>
        </w:rPr>
        <w:t xml:space="preserve">ittle evidence of public </w:t>
      </w:r>
      <w:r w:rsidR="007F7A16">
        <w:rPr>
          <w:rFonts w:eastAsia="Calibri"/>
        </w:rPr>
        <w:t>scrutiny</w:t>
      </w:r>
      <w:r w:rsidR="008E200A">
        <w:rPr>
          <w:rFonts w:eastAsia="Calibri"/>
        </w:rPr>
        <w:t xml:space="preserve"> </w:t>
      </w:r>
      <w:r w:rsidR="00DB1C61">
        <w:rPr>
          <w:rFonts w:eastAsia="Calibri"/>
        </w:rPr>
        <w:t xml:space="preserve">or criticism </w:t>
      </w:r>
      <w:r w:rsidR="008E200A">
        <w:rPr>
          <w:rFonts w:eastAsia="Calibri"/>
        </w:rPr>
        <w:t xml:space="preserve">of </w:t>
      </w:r>
      <w:r w:rsidR="00AD1420">
        <w:rPr>
          <w:rFonts w:eastAsia="Calibri"/>
        </w:rPr>
        <w:t>this</w:t>
      </w:r>
      <w:r w:rsidR="00CB73AD">
        <w:rPr>
          <w:rFonts w:eastAsia="Calibri"/>
        </w:rPr>
        <w:t xml:space="preserve"> old</w:t>
      </w:r>
      <w:r w:rsidR="00AD1420">
        <w:rPr>
          <w:rFonts w:eastAsia="Calibri"/>
        </w:rPr>
        <w:t xml:space="preserve"> regulation plan</w:t>
      </w:r>
      <w:r w:rsidR="007F7A16">
        <w:rPr>
          <w:rFonts w:eastAsia="Calibri"/>
        </w:rPr>
        <w:t xml:space="preserve"> </w:t>
      </w:r>
      <w:r w:rsidR="00980217">
        <w:rPr>
          <w:rFonts w:eastAsia="Calibri"/>
        </w:rPr>
        <w:t xml:space="preserve">and its variations, </w:t>
      </w:r>
      <w:r w:rsidR="007F7A16">
        <w:rPr>
          <w:rFonts w:eastAsia="Calibri"/>
        </w:rPr>
        <w:t xml:space="preserve">perhaps because </w:t>
      </w:r>
      <w:r w:rsidR="00627B2B">
        <w:rPr>
          <w:rFonts w:eastAsia="Calibri"/>
        </w:rPr>
        <w:t xml:space="preserve">of </w:t>
      </w:r>
      <w:r w:rsidR="007F7A16">
        <w:rPr>
          <w:rFonts w:eastAsia="Calibri"/>
        </w:rPr>
        <w:t xml:space="preserve">its more rigid </w:t>
      </w:r>
      <w:r w:rsidR="000C29E0">
        <w:rPr>
          <w:rFonts w:eastAsia="Calibri"/>
        </w:rPr>
        <w:t>(</w:t>
      </w:r>
      <w:r w:rsidR="007F7A16">
        <w:rPr>
          <w:rFonts w:eastAsia="Calibri"/>
        </w:rPr>
        <w:t>and</w:t>
      </w:r>
      <w:r w:rsidR="000C29E0">
        <w:rPr>
          <w:rFonts w:eastAsia="Calibri"/>
        </w:rPr>
        <w:t xml:space="preserve"> therefore</w:t>
      </w:r>
      <w:r w:rsidR="007F7A16">
        <w:rPr>
          <w:rFonts w:eastAsia="Calibri"/>
        </w:rPr>
        <w:t xml:space="preserve"> </w:t>
      </w:r>
      <w:r w:rsidR="00BE3907">
        <w:rPr>
          <w:rFonts w:eastAsia="Calibri"/>
        </w:rPr>
        <w:t>less-discretionary</w:t>
      </w:r>
      <w:r w:rsidR="000C29E0">
        <w:rPr>
          <w:rFonts w:eastAsia="Calibri"/>
        </w:rPr>
        <w:t>)</w:t>
      </w:r>
      <w:r w:rsidR="00BE3907">
        <w:rPr>
          <w:rFonts w:eastAsia="Calibri"/>
        </w:rPr>
        <w:t xml:space="preserve"> </w:t>
      </w:r>
      <w:r w:rsidR="00D77B59">
        <w:rPr>
          <w:rFonts w:eastAsia="Calibri"/>
        </w:rPr>
        <w:t>rule</w:t>
      </w:r>
      <w:r w:rsidR="00EE3EC0">
        <w:rPr>
          <w:rFonts w:eastAsia="Calibri"/>
        </w:rPr>
        <w:t>s</w:t>
      </w:r>
      <w:r w:rsidR="00DB1C61">
        <w:rPr>
          <w:rFonts w:eastAsia="Calibri"/>
        </w:rPr>
        <w:t xml:space="preserve"> or because the operators’ problems were not understood or appreciated.</w:t>
      </w:r>
      <w:r w:rsidR="00627B2B">
        <w:rPr>
          <w:rFonts w:eastAsia="Calibri"/>
        </w:rPr>
        <w:t xml:space="preserve"> </w:t>
      </w:r>
    </w:p>
    <w:p w14:paraId="0B736886" w14:textId="77777777" w:rsidR="00491C69" w:rsidRDefault="00491C69" w:rsidP="00491C69">
      <w:pPr>
        <w:pStyle w:val="Heading3"/>
        <w:tabs>
          <w:tab w:val="left" w:pos="142"/>
        </w:tabs>
        <w:spacing w:before="0"/>
        <w:ind w:right="855"/>
        <w:rPr>
          <w:rFonts w:ascii="Times New Roman" w:eastAsia="Calibri" w:hAnsi="Times New Roman" w:cs="Times New Roman"/>
          <w:b/>
        </w:rPr>
      </w:pPr>
    </w:p>
    <w:p w14:paraId="5E5A831A" w14:textId="2DF78343" w:rsidR="00E40325" w:rsidRPr="006A658A" w:rsidRDefault="00E40325" w:rsidP="00491C69">
      <w:pPr>
        <w:pStyle w:val="Heading3"/>
        <w:tabs>
          <w:tab w:val="left" w:pos="142"/>
        </w:tabs>
        <w:spacing w:before="0"/>
        <w:ind w:right="855"/>
        <w:rPr>
          <w:rFonts w:ascii="Times New Roman" w:eastAsia="Calibri" w:hAnsi="Times New Roman" w:cs="Times New Roman"/>
          <w:b/>
        </w:rPr>
      </w:pPr>
      <w:r w:rsidRPr="006A658A">
        <w:rPr>
          <w:rFonts w:ascii="Times New Roman" w:eastAsia="Calibri" w:hAnsi="Times New Roman" w:cs="Times New Roman"/>
          <w:b/>
        </w:rPr>
        <w:t>A new FRM strategy: Plan 20</w:t>
      </w:r>
      <w:r w:rsidR="00045DC0">
        <w:rPr>
          <w:rFonts w:ascii="Times New Roman" w:eastAsia="Calibri" w:hAnsi="Times New Roman" w:cs="Times New Roman"/>
          <w:b/>
        </w:rPr>
        <w:t>14</w:t>
      </w:r>
      <w:r w:rsidR="00B276FB" w:rsidRPr="00A36E44">
        <w:rPr>
          <w:rFonts w:ascii="Times New Roman" w:eastAsia="Calibri" w:hAnsi="Times New Roman" w:cs="Times New Roman"/>
        </w:rPr>
        <w:t>.</w:t>
      </w:r>
    </w:p>
    <w:p w14:paraId="0C4AFB9C" w14:textId="77777777" w:rsidR="00FA371E" w:rsidRDefault="00E40325">
      <w:pPr>
        <w:tabs>
          <w:tab w:val="left" w:pos="142"/>
        </w:tabs>
        <w:ind w:right="855" w:firstLine="720"/>
        <w:rPr>
          <w:rFonts w:eastAsia="Calibri"/>
        </w:rPr>
      </w:pPr>
      <w:r w:rsidRPr="00A36E44">
        <w:rPr>
          <w:rFonts w:eastAsia="Calibri"/>
        </w:rPr>
        <w:t xml:space="preserve">Hand in hand with concerns about climate change and ecosystem restoration, recent environmental discourse has sought a return to less structured, more natural water management strategies including for the regulation of Lake Ontario and the </w:t>
      </w:r>
      <w:r w:rsidR="00E97C92" w:rsidRPr="00A36E44">
        <w:rPr>
          <w:rFonts w:eastAsia="Calibri"/>
        </w:rPr>
        <w:t>St. Lawrence River</w:t>
      </w:r>
      <w:r w:rsidR="002F4639">
        <w:rPr>
          <w:rFonts w:eastAsia="Calibri"/>
        </w:rPr>
        <w:t xml:space="preserve">. </w:t>
      </w:r>
      <w:r w:rsidRPr="00A36E44">
        <w:rPr>
          <w:rFonts w:eastAsia="Calibri"/>
        </w:rPr>
        <w:t xml:space="preserve">Starting in 1998, a new strategy was proposed to manage the levels of the Great Lakes in order to </w:t>
      </w:r>
      <w:r w:rsidR="007256F2" w:rsidRPr="00A36E44">
        <w:rPr>
          <w:rFonts w:eastAsia="Calibri"/>
        </w:rPr>
        <w:t>‘</w:t>
      </w:r>
      <w:r w:rsidRPr="00A36E44">
        <w:rPr>
          <w:rFonts w:eastAsia="Calibri"/>
        </w:rPr>
        <w:t>meet regulation objectives under a broad range of possible future water level conditions</w:t>
      </w:r>
      <w:r w:rsidR="007256F2" w:rsidRPr="00A36E44">
        <w:rPr>
          <w:rFonts w:eastAsia="Calibri"/>
        </w:rPr>
        <w:t>’</w:t>
      </w:r>
      <w:r w:rsidRPr="00A36E44">
        <w:rPr>
          <w:rFonts w:eastAsia="Calibri"/>
        </w:rPr>
        <w:t xml:space="preserve"> </w:t>
      </w:r>
      <w:r w:rsidR="00411AB3" w:rsidRPr="00A36E44">
        <w:rPr>
          <w:rFonts w:eastAsia="Calibri"/>
        </w:rPr>
        <w:fldChar w:fldCharType="begin"/>
      </w:r>
      <w:r w:rsidR="00D03D37" w:rsidRPr="00A36E44">
        <w:rPr>
          <w:rFonts w:eastAsia="Calibri"/>
        </w:rPr>
        <w:instrText xml:space="preserve"> ADDIN ZOTERO_ITEM CSL_CITATION {"citationID":"dKs11GZe","properties":{"formattedCitation":"(International Upper Canada Lakes Study, 2012:p.7)","plainCitation":"(International Upper Canada Lakes Study, 2012:p.7)","noteIndex":0},"citationItems":[{"id":625,"uris":["http://zotero.org/users/local/LV0ujPfY/items/HL9GAIBW"],"uri":["http://zotero.org/users/local/LV0ujPfY/items/HL9GAIBW"],"itemData":{"id":625,"type":"report","publisher":"International Joint Commission","title":"Lake Superior Regulation: Addressing Uncertainty In Upper Great Lakes Water Levels Summary Of Findings And Recommendations","author":[{"family":"International Upper Canada Lakes Study","given":""}],"issued":{"date-parts":[["2012",3]]}},"locator":"7"}],"schema":"https://github.com/citation-style-language/schema/raw/master/csl-citation.json"} </w:instrText>
      </w:r>
      <w:r w:rsidR="00411AB3" w:rsidRPr="00A36E44">
        <w:rPr>
          <w:rFonts w:eastAsia="Calibri"/>
        </w:rPr>
        <w:fldChar w:fldCharType="separate"/>
      </w:r>
      <w:r w:rsidR="00D03D37" w:rsidRPr="00A36E44">
        <w:rPr>
          <w:rFonts w:eastAsia="Calibri"/>
          <w:noProof/>
        </w:rPr>
        <w:t>(International Upper Canada Lakes Study, 2012:p.7)</w:t>
      </w:r>
      <w:r w:rsidR="00411AB3" w:rsidRPr="00A36E44">
        <w:rPr>
          <w:rFonts w:eastAsia="Calibri"/>
        </w:rPr>
        <w:fldChar w:fldCharType="end"/>
      </w:r>
      <w:r w:rsidR="00411AB3" w:rsidRPr="00A36E44">
        <w:rPr>
          <w:rFonts w:eastAsia="Calibri"/>
        </w:rPr>
        <w:t>.</w:t>
      </w:r>
      <w:r w:rsidRPr="00A36E44">
        <w:rPr>
          <w:rFonts w:eastAsia="Calibri"/>
        </w:rPr>
        <w:t xml:space="preserve"> Strict regulation of water levels such as those in Plan 1958-D would no longer be acceptable. </w:t>
      </w:r>
    </w:p>
    <w:p w14:paraId="21AC542D" w14:textId="0A12BF8B" w:rsidR="009C552B" w:rsidRPr="00A36E44" w:rsidRDefault="00E40325" w:rsidP="00AE55D6">
      <w:pPr>
        <w:tabs>
          <w:tab w:val="left" w:pos="142"/>
        </w:tabs>
        <w:ind w:right="855" w:firstLine="720"/>
        <w:rPr>
          <w:rFonts w:eastAsia="Calibri"/>
        </w:rPr>
      </w:pPr>
      <w:r w:rsidRPr="00A36E44">
        <w:rPr>
          <w:rFonts w:eastAsia="Calibri"/>
        </w:rPr>
        <w:t>With this shift, after sixteen years of negotiation and 20 million USD spent in consulta</w:t>
      </w:r>
      <w:r w:rsidRPr="00045DC0">
        <w:rPr>
          <w:rFonts w:eastAsia="Calibri"/>
        </w:rPr>
        <w:t xml:space="preserve">tion, </w:t>
      </w:r>
      <w:r w:rsidRPr="00045DC0">
        <w:rPr>
          <w:rFonts w:eastAsia="Calibri"/>
          <w:i/>
        </w:rPr>
        <w:t>Plan 1958 D</w:t>
      </w:r>
      <w:r w:rsidRPr="00045DC0">
        <w:rPr>
          <w:rFonts w:eastAsia="Calibri"/>
        </w:rPr>
        <w:t xml:space="preserve"> was replaced by the </w:t>
      </w:r>
      <w:r w:rsidRPr="00045DC0">
        <w:rPr>
          <w:rFonts w:eastAsia="Calibri"/>
          <w:i/>
        </w:rPr>
        <w:t xml:space="preserve">Regulation Plan 2014 for the Lake Ontario and the </w:t>
      </w:r>
      <w:r w:rsidR="0079400C" w:rsidRPr="00045DC0">
        <w:rPr>
          <w:rFonts w:eastAsia="Calibri"/>
          <w:i/>
        </w:rPr>
        <w:t>St.</w:t>
      </w:r>
      <w:r w:rsidR="000C7CBB" w:rsidRPr="00045DC0">
        <w:rPr>
          <w:rFonts w:eastAsia="Calibri"/>
          <w:i/>
        </w:rPr>
        <w:t xml:space="preserve"> </w:t>
      </w:r>
      <w:r w:rsidRPr="00045DC0">
        <w:rPr>
          <w:rFonts w:eastAsia="Calibri"/>
          <w:i/>
        </w:rPr>
        <w:t xml:space="preserve">Lawrence River </w:t>
      </w:r>
      <w:r w:rsidRPr="00045DC0">
        <w:rPr>
          <w:rFonts w:eastAsia="Calibri"/>
        </w:rPr>
        <w:t xml:space="preserve">(hereinafter Plan 2014) </w:t>
      </w:r>
      <w:r w:rsidR="00305387" w:rsidRPr="00045DC0">
        <w:rPr>
          <w:rFonts w:eastAsia="Calibri"/>
        </w:rPr>
        <w:fldChar w:fldCharType="begin"/>
      </w:r>
      <w:r w:rsidR="00F167C6" w:rsidRPr="00045DC0">
        <w:rPr>
          <w:rFonts w:eastAsia="Calibri"/>
        </w:rPr>
        <w:instrText xml:space="preserve"> ADDIN ZOTERO_ITEM CSL_CITATION {"citationID":"Tou3ylBN","properties":{"formattedCitation":"(International Joint Commission, 2014)","plainCitation":"(International Joint Commission, 2014)","noteIndex":0},"citationItems":[{"id":647,"uris":["http://zotero.org/users/local/LV0ujPfY/items/ETCZ4GJY"],"uri":["http://zotero.org/users/local/LV0ujPfY/items/ETCZ4GJY"],"itemData":{"id":647,"type":"report","language":"98","publisher":"International Joint Commission","title":"Lake Ontario -St. Lawrence River Plan 2014 Protecting against extreme water levels, restoring wetlands and preparing for climate change: A Report to the Governments of Canada and the United States by the International Joint Commission","URL":"https://legacyfiles.ijc.org/tinymce/uploaded/LOSLR/IJC_LOSR_EN_Web.pdf","author":[{"family":"International Joint Commission","given":""}],"issued":{"date-parts":[["2014",6]]}}}],"schema":"https://github.com/citation-style-language/schema/raw/master/csl-citation.json"} </w:instrText>
      </w:r>
      <w:r w:rsidR="00305387" w:rsidRPr="00045DC0">
        <w:rPr>
          <w:rFonts w:eastAsia="Calibri"/>
        </w:rPr>
        <w:fldChar w:fldCharType="separate"/>
      </w:r>
      <w:r w:rsidR="00D03D37" w:rsidRPr="00045DC0">
        <w:rPr>
          <w:rFonts w:eastAsia="Calibri"/>
          <w:noProof/>
        </w:rPr>
        <w:t>(International Joint Commission, 2014)</w:t>
      </w:r>
      <w:r w:rsidR="00305387" w:rsidRPr="00045DC0">
        <w:rPr>
          <w:rFonts w:eastAsia="Calibri"/>
        </w:rPr>
        <w:fldChar w:fldCharType="end"/>
      </w:r>
      <w:r w:rsidRPr="00045DC0">
        <w:rPr>
          <w:rFonts w:eastAsia="Calibri"/>
        </w:rPr>
        <w:t xml:space="preserve">. </w:t>
      </w:r>
      <w:r w:rsidR="00045DC0" w:rsidRPr="00045DC0">
        <w:rPr>
          <w:rFonts w:eastAsia="Calibri"/>
        </w:rPr>
        <w:t xml:space="preserve">Clamen and Macfarlane (2018) outline in detail the evolution of this regulation. </w:t>
      </w:r>
      <w:r w:rsidRPr="00045DC0">
        <w:rPr>
          <w:rFonts w:eastAsia="Calibri"/>
        </w:rPr>
        <w:t>The overarching goal of Plan 2014 is to bring fluctuating water levels closer to natural</w:t>
      </w:r>
      <w:r w:rsidRPr="00A36E44">
        <w:rPr>
          <w:rFonts w:eastAsia="Calibri"/>
        </w:rPr>
        <w:t xml:space="preserve"> cycles and restoring riparian ecosystems</w:t>
      </w:r>
      <w:r w:rsidR="00262EC5">
        <w:rPr>
          <w:rFonts w:eastAsia="Calibri"/>
        </w:rPr>
        <w:t xml:space="preserve">, balancing </w:t>
      </w:r>
      <w:r w:rsidR="00CD329A">
        <w:rPr>
          <w:rFonts w:eastAsia="Calibri"/>
        </w:rPr>
        <w:t xml:space="preserve">many </w:t>
      </w:r>
      <w:r w:rsidR="00262EC5">
        <w:rPr>
          <w:rFonts w:eastAsia="Calibri"/>
        </w:rPr>
        <w:t xml:space="preserve">competing </w:t>
      </w:r>
      <w:r w:rsidR="007D3F29">
        <w:rPr>
          <w:rFonts w:eastAsia="Calibri"/>
        </w:rPr>
        <w:t xml:space="preserve">interests </w:t>
      </w:r>
      <w:r w:rsidR="007F748B" w:rsidRPr="00A36E44">
        <w:rPr>
          <w:rFonts w:eastAsia="Calibri"/>
        </w:rPr>
        <w:fldChar w:fldCharType="begin"/>
      </w:r>
      <w:r w:rsidR="006E6A2C">
        <w:rPr>
          <w:rFonts w:eastAsia="Calibri"/>
        </w:rPr>
        <w:instrText xml:space="preserve"> ADDIN ZOTERO_ITEM CSL_CITATION {"citationID":"0t9WT58s","properties":{"formattedCitation":"(Clamen &amp; Macfarlane, 2018)","plainCitation":"(Clamen &amp; Macfarlane, 2018)","noteIndex":0},"citationItems":[{"id":2349,"uris":["http://zotero.org/users/local/LV0ujPfY/items/LGWXDYXM"],"uri":["http://zotero.org/users/local/LV0ujPfY/items/LGWXDYXM"],"itemData":{"id":2349,"type":"article-journal","container-title":"Canadian Water Resources Journal / Revue canadienne des ressources hydriques","issue":"4","journalAbbreviation":"Canadian Water Resources Journal / Revue canadienne des ressources hydriques","language":"en","page":"416-431","title":"Plan 2014: The historical evolution of Lake Ontario–St. Lawrence River regulation","title-short":"Plan 2014","volume":"43","author":[{"family":"Clamen","given":"Murray"},{"family":"Macfarlane","given":"Daniel"}],"issued":{"date-parts":[["2018",10,2]]}}}],"schema":"https://github.com/citation-style-language/schema/raw/master/csl-citation.json"} </w:instrText>
      </w:r>
      <w:r w:rsidR="007F748B" w:rsidRPr="00A36E44">
        <w:rPr>
          <w:rFonts w:eastAsia="Calibri"/>
        </w:rPr>
        <w:fldChar w:fldCharType="separate"/>
      </w:r>
      <w:r w:rsidR="00D407FA">
        <w:rPr>
          <w:rFonts w:eastAsia="Calibri"/>
          <w:noProof/>
        </w:rPr>
        <w:t>(Clamen &amp; Macfarlane, 2018)</w:t>
      </w:r>
      <w:r w:rsidR="007F748B" w:rsidRPr="00A36E44">
        <w:rPr>
          <w:rFonts w:eastAsia="Calibri"/>
        </w:rPr>
        <w:fldChar w:fldCharType="end"/>
      </w:r>
      <w:r w:rsidR="007F748B" w:rsidRPr="00A36E44">
        <w:rPr>
          <w:rFonts w:eastAsia="Calibri"/>
        </w:rPr>
        <w:t>.</w:t>
      </w:r>
      <w:r w:rsidRPr="00A36E44">
        <w:rPr>
          <w:rFonts w:eastAsia="Calibri"/>
        </w:rPr>
        <w:t xml:space="preserve"> It promotes a focus on adaptive management to identify and manage uncertainty, as well as sets up a coordinated regional climate change model to test the specific regulation rules in the face of future uncertainties </w:t>
      </w:r>
      <w:r w:rsidR="005F1CE5" w:rsidRPr="00A36E44">
        <w:rPr>
          <w:rFonts w:eastAsia="Calibri"/>
        </w:rPr>
        <w:fldChar w:fldCharType="begin"/>
      </w:r>
      <w:r w:rsidR="006E6A2C">
        <w:rPr>
          <w:rFonts w:eastAsia="Calibri"/>
        </w:rPr>
        <w:instrText xml:space="preserve"> ADDIN ZOTERO_ITEM CSL_CITATION {"citationID":"uHLLwPz2","properties":{"formattedCitation":"(Clamen &amp; Macfarlane, 2018; International Joint Commission, 2014)","plainCitation":"(Clamen &amp; Macfarlane, 2018; International Joint Commission, 2014)","noteIndex":0},"citationItems":[{"id":2349,"uris":["http://zotero.org/users/local/LV0ujPfY/items/LGWXDYXM"],"uri":["http://zotero.org/users/local/LV0ujPfY/items/LGWXDYXM"],"itemData":{"id":2349,"type":"article-journal","container-title":"Canadian Water Resources Journal / Revue canadienne des ressources hydriques","issue":"4","journalAbbreviation":"Canadian Water Resources Journal / Revue canadienne des ressources hydriques","language":"en","page":"416-431","title":"Plan 2014: The historical evolution of Lake Ontario–St. Lawrence River regulation","title-short":"Plan 2014","volume":"43","author":[{"family":"Clamen","given":"Murray"},{"family":"Macfarlane","given":"Daniel"}],"issued":{"date-parts":[["2018",10,2]]}}},{"id":647,"uris":["http://zotero.org/users/local/LV0ujPfY/items/ETCZ4GJY"],"uri":["http://zotero.org/users/local/LV0ujPfY/items/ETCZ4GJY"],"itemData":{"id":647,"type":"report","language":"98","publisher":"International Joint Commission","title":"Lake Ontario -St. Lawrence River Plan 2014 Protecting against extreme water levels, restoring wetlands and preparing for climate change: A Report to the Governments of Canada and the United States by the International Joint Commission","URL":"https://legacyfiles.ijc.org/tinymce/uploaded/LOSLR/IJC_LOSR_EN_Web.pdf","author":[{"family":"International Joint Commission","given":""}],"issued":{"date-parts":[["2014",6]]}}}],"schema":"https://github.com/citation-style-language/schema/raw/master/csl-citation.json"} </w:instrText>
      </w:r>
      <w:r w:rsidR="005F1CE5" w:rsidRPr="00A36E44">
        <w:rPr>
          <w:rFonts w:eastAsia="Calibri"/>
        </w:rPr>
        <w:fldChar w:fldCharType="separate"/>
      </w:r>
      <w:r w:rsidR="005F1CE5" w:rsidRPr="00A36E44">
        <w:rPr>
          <w:rFonts w:eastAsia="Calibri"/>
          <w:noProof/>
        </w:rPr>
        <w:t>(Clamen &amp; Macfarlane, 2018; International Joint Commission, 2014)</w:t>
      </w:r>
      <w:r w:rsidR="005F1CE5" w:rsidRPr="00A36E44">
        <w:rPr>
          <w:rFonts w:eastAsia="Calibri"/>
        </w:rPr>
        <w:fldChar w:fldCharType="end"/>
      </w:r>
      <w:r w:rsidR="005F1CE5" w:rsidRPr="00A36E44">
        <w:rPr>
          <w:rFonts w:eastAsia="Calibri"/>
        </w:rPr>
        <w:t xml:space="preserve">. </w:t>
      </w:r>
    </w:p>
    <w:p w14:paraId="052FB1D3" w14:textId="68EB42C4" w:rsidR="00B448AD" w:rsidRPr="00A36E44" w:rsidRDefault="00E40325" w:rsidP="00AE55D6">
      <w:pPr>
        <w:tabs>
          <w:tab w:val="left" w:pos="142"/>
        </w:tabs>
        <w:ind w:right="855" w:firstLine="720"/>
        <w:rPr>
          <w:rFonts w:eastAsia="Calibri"/>
        </w:rPr>
      </w:pPr>
      <w:r w:rsidRPr="00A36E44">
        <w:rPr>
          <w:rFonts w:eastAsia="Calibri"/>
        </w:rPr>
        <w:t xml:space="preserve">This type of regulation differs in form and in rationale from </w:t>
      </w:r>
      <w:r w:rsidR="008B07AC">
        <w:rPr>
          <w:rFonts w:eastAsia="Calibri"/>
        </w:rPr>
        <w:t>the previous strategies</w:t>
      </w:r>
      <w:r w:rsidRPr="00A36E44">
        <w:rPr>
          <w:rFonts w:eastAsia="Calibri"/>
        </w:rPr>
        <w:t xml:space="preserve">. Instead of stating the daily absolute water levels, the release rules for the dam laid out in Plan 2014 (called the B7 rules) use constantly recalculated algorithms reflecting changing daily conditions, and are adjustable on a much wider range of water heights. This allows for much lower and higher water levels to be reached in the lake and river, thus creating greater flexibility of the control system notably to account for extremes and uncertain circumstances. </w:t>
      </w:r>
      <w:r w:rsidR="00F535E2">
        <w:rPr>
          <w:rFonts w:eastAsia="Calibri"/>
        </w:rPr>
        <w:t>Under this more flexible plan, greater discretion is given to</w:t>
      </w:r>
      <w:r w:rsidR="00855A09">
        <w:rPr>
          <w:rFonts w:eastAsia="Calibri"/>
        </w:rPr>
        <w:t xml:space="preserve"> </w:t>
      </w:r>
      <w:r w:rsidR="00DB1C61">
        <w:rPr>
          <w:rFonts w:eastAsia="Calibri"/>
        </w:rPr>
        <w:t>t</w:t>
      </w:r>
      <w:r w:rsidR="00763156">
        <w:rPr>
          <w:rFonts w:eastAsia="Calibri"/>
        </w:rPr>
        <w:t>he M</w:t>
      </w:r>
      <w:r w:rsidR="00553276">
        <w:rPr>
          <w:rFonts w:eastAsia="Calibri"/>
        </w:rPr>
        <w:t xml:space="preserve">anagement </w:t>
      </w:r>
      <w:r w:rsidR="00763156">
        <w:rPr>
          <w:rFonts w:eastAsia="Calibri"/>
        </w:rPr>
        <w:t>B</w:t>
      </w:r>
      <w:r w:rsidR="00553276">
        <w:rPr>
          <w:rFonts w:eastAsia="Calibri"/>
        </w:rPr>
        <w:t xml:space="preserve">oard and </w:t>
      </w:r>
      <w:r w:rsidR="00763156">
        <w:rPr>
          <w:rFonts w:eastAsia="Calibri"/>
        </w:rPr>
        <w:t xml:space="preserve">the </w:t>
      </w:r>
      <w:r w:rsidR="00855A09">
        <w:rPr>
          <w:rFonts w:eastAsia="Calibri"/>
        </w:rPr>
        <w:t>dam</w:t>
      </w:r>
      <w:r w:rsidR="00F535E2">
        <w:rPr>
          <w:rFonts w:eastAsia="Calibri"/>
        </w:rPr>
        <w:t xml:space="preserve"> operators to deviate from the </w:t>
      </w:r>
      <w:r w:rsidR="00FE0DE6">
        <w:rPr>
          <w:rFonts w:eastAsia="Calibri"/>
        </w:rPr>
        <w:t xml:space="preserve">old </w:t>
      </w:r>
      <w:r w:rsidR="00F535E2">
        <w:rPr>
          <w:rFonts w:eastAsia="Calibri"/>
        </w:rPr>
        <w:t xml:space="preserve">rules. </w:t>
      </w:r>
      <w:r w:rsidRPr="00A36E44">
        <w:rPr>
          <w:rFonts w:eastAsia="Calibri"/>
        </w:rPr>
        <w:t xml:space="preserve">In the </w:t>
      </w:r>
      <w:r w:rsidR="00763156" w:rsidRPr="00A36E44">
        <w:rPr>
          <w:rFonts w:eastAsia="Calibri"/>
        </w:rPr>
        <w:t>calculations</w:t>
      </w:r>
      <w:r w:rsidR="00763156">
        <w:rPr>
          <w:rFonts w:eastAsia="Calibri"/>
        </w:rPr>
        <w:t xml:space="preserve"> embedded</w:t>
      </w:r>
      <w:r w:rsidR="00F00A9A">
        <w:rPr>
          <w:rFonts w:eastAsia="Calibri"/>
        </w:rPr>
        <w:t xml:space="preserve"> in the plan </w:t>
      </w:r>
      <w:r w:rsidR="00763156">
        <w:rPr>
          <w:rFonts w:eastAsia="Calibri"/>
        </w:rPr>
        <w:t>to be</w:t>
      </w:r>
      <w:r w:rsidR="00F00A9A">
        <w:rPr>
          <w:rFonts w:eastAsia="Calibri"/>
        </w:rPr>
        <w:t xml:space="preserve"> </w:t>
      </w:r>
      <w:r w:rsidR="001438DF">
        <w:rPr>
          <w:rFonts w:eastAsia="Calibri"/>
        </w:rPr>
        <w:t>followed by the operators</w:t>
      </w:r>
      <w:r w:rsidRPr="00A36E44">
        <w:rPr>
          <w:rFonts w:eastAsia="Calibri"/>
        </w:rPr>
        <w:t>, the B7 rules combine short-term hydrological forecasts with longer-term projections and calculations of water heights in normal, unregulated conditions to determine the timing and quantity of water releases.  When a discharge is seen to exceed normal conditions (greater than 7,011 m</w:t>
      </w:r>
      <w:r w:rsidRPr="00A36E44">
        <w:rPr>
          <w:rFonts w:eastAsia="Calibri"/>
          <w:vertAlign w:val="superscript"/>
        </w:rPr>
        <w:t>3</w:t>
      </w:r>
      <w:r w:rsidRPr="00A36E44">
        <w:rPr>
          <w:rFonts w:eastAsia="Calibri"/>
        </w:rPr>
        <w:t>/s), more water is released based on complex rule curves</w:t>
      </w:r>
      <w:r w:rsidR="00725C45" w:rsidRPr="00A36E44">
        <w:rPr>
          <w:rFonts w:eastAsia="Calibri"/>
        </w:rPr>
        <w:t xml:space="preserve"> </w:t>
      </w:r>
      <w:r w:rsidR="00725C45" w:rsidRPr="00A36E44">
        <w:rPr>
          <w:rFonts w:eastAsia="Calibri"/>
        </w:rPr>
        <w:fldChar w:fldCharType="begin"/>
      </w:r>
      <w:r w:rsidR="00F167C6">
        <w:rPr>
          <w:rFonts w:eastAsia="Calibri"/>
        </w:rPr>
        <w:instrText xml:space="preserve"> ADDIN ZOTERO_ITEM CSL_CITATION {"citationID":"IQFIEJDu","properties":{"formattedCitation":"(International Joint Commission, 2014:p.26)","plainCitation":"(International Joint Commission, 2014:p.26)","noteIndex":0},"citationItems":[{"id":647,"uris":["http://zotero.org/users/local/LV0ujPfY/items/ETCZ4GJY"],"uri":["http://zotero.org/users/local/LV0ujPfY/items/ETCZ4GJY"],"itemData":{"id":647,"type":"report","language":"98","publisher":"International Joint Commission","title":"Lake Ontario -St. Lawrence River Plan 2014 Protecting against extreme water levels, restoring wetlands and preparing for climate change: A Report to the Governments of Canada and the United States by the International Joint Commission","URL":"https://legacyfiles.ijc.org/tinymce/uploaded/LOSLR/IJC_LOSR_EN_Web.pdf","author":[{"family":"International Joint Commission","given":""}],"issued":{"date-parts":[["2014",6]]}},"locator":"26"}],"schema":"https://github.com/citation-style-language/schema/raw/master/csl-citation.json"} </w:instrText>
      </w:r>
      <w:r w:rsidR="00725C45" w:rsidRPr="00A36E44">
        <w:rPr>
          <w:rFonts w:eastAsia="Calibri"/>
        </w:rPr>
        <w:fldChar w:fldCharType="separate"/>
      </w:r>
      <w:r w:rsidR="00D03D37" w:rsidRPr="00A36E44">
        <w:rPr>
          <w:rFonts w:eastAsia="Calibri"/>
          <w:noProof/>
        </w:rPr>
        <w:t>(International Joint Commission, 2014:p.26)</w:t>
      </w:r>
      <w:r w:rsidR="00725C45" w:rsidRPr="00A36E44">
        <w:rPr>
          <w:rFonts w:eastAsia="Calibri"/>
        </w:rPr>
        <w:fldChar w:fldCharType="end"/>
      </w:r>
      <w:r w:rsidRPr="00A36E44">
        <w:rPr>
          <w:rFonts w:eastAsia="Calibri"/>
        </w:rPr>
        <w:t xml:space="preserve">: differences in weekly releases are addressed by averaging monthly short-term water quantity forecasts to smooth the variability of the regulation, effectively accelerating the rate of water release when the lake levels are rising. </w:t>
      </w:r>
    </w:p>
    <w:p w14:paraId="6D5A185F" w14:textId="5A2E4E0F" w:rsidR="00E40325" w:rsidRPr="00A36E44" w:rsidRDefault="00E40325" w:rsidP="00AE55D6">
      <w:pPr>
        <w:tabs>
          <w:tab w:val="left" w:pos="142"/>
        </w:tabs>
        <w:ind w:right="855" w:firstLine="720"/>
        <w:rPr>
          <w:rFonts w:eastAsia="Calibri"/>
        </w:rPr>
      </w:pPr>
      <w:r w:rsidRPr="00A36E44">
        <w:rPr>
          <w:rFonts w:eastAsia="Calibri"/>
        </w:rPr>
        <w:t xml:space="preserve">The </w:t>
      </w:r>
      <w:r w:rsidR="00B448AD" w:rsidRPr="00A36E44">
        <w:rPr>
          <w:rFonts w:eastAsia="Calibri"/>
        </w:rPr>
        <w:t>P</w:t>
      </w:r>
      <w:r w:rsidRPr="00A36E44">
        <w:rPr>
          <w:rFonts w:eastAsia="Calibri"/>
        </w:rPr>
        <w:t xml:space="preserve">lan also set an emergency trigger for high water levels in the lake that, if reached, provides the </w:t>
      </w:r>
      <w:r w:rsidR="00DB1C61">
        <w:rPr>
          <w:rFonts w:eastAsia="Calibri"/>
        </w:rPr>
        <w:t>M</w:t>
      </w:r>
      <w:r w:rsidRPr="00A36E44">
        <w:rPr>
          <w:rFonts w:eastAsia="Calibri"/>
        </w:rPr>
        <w:t xml:space="preserve">anagement </w:t>
      </w:r>
      <w:r w:rsidR="00DB1C61">
        <w:rPr>
          <w:rFonts w:eastAsia="Calibri"/>
        </w:rPr>
        <w:t>B</w:t>
      </w:r>
      <w:r w:rsidRPr="00A36E44">
        <w:rPr>
          <w:rFonts w:eastAsia="Calibri"/>
        </w:rPr>
        <w:t xml:space="preserve">oard with discretion to </w:t>
      </w:r>
      <w:r w:rsidR="007256F2" w:rsidRPr="00A36E44">
        <w:rPr>
          <w:rFonts w:eastAsia="Calibri"/>
        </w:rPr>
        <w:t>‘</w:t>
      </w:r>
      <w:r w:rsidRPr="00A36E44">
        <w:rPr>
          <w:rFonts w:eastAsia="Calibri"/>
        </w:rPr>
        <w:t>provide all possible relief to the riparian owners upstream and downstream</w:t>
      </w:r>
      <w:r w:rsidR="007256F2" w:rsidRPr="00A36E44">
        <w:rPr>
          <w:rFonts w:eastAsia="Calibri"/>
        </w:rPr>
        <w:t>’</w:t>
      </w:r>
      <w:r w:rsidRPr="00A36E44">
        <w:rPr>
          <w:rFonts w:eastAsia="Calibri"/>
        </w:rPr>
        <w:t xml:space="preserve"> </w:t>
      </w:r>
      <w:r w:rsidR="005C28D7" w:rsidRPr="00A36E44">
        <w:rPr>
          <w:rFonts w:eastAsia="Calibri"/>
        </w:rPr>
        <w:fldChar w:fldCharType="begin"/>
      </w:r>
      <w:r w:rsidR="0037773D">
        <w:rPr>
          <w:rFonts w:eastAsia="Calibri"/>
        </w:rPr>
        <w:instrText xml:space="preserve"> ADDIN ZOTERO_ITEM CSL_CITATION {"citationID":"JY7bxAHY","properties":{"formattedCitation":"(International Joint Commission, 2014:p.19)","plainCitation":"(International Joint Commission, 2014:p.19)","noteIndex":0},"citationItems":[{"id":647,"uris":["http://zotero.org/users/local/LV0ujPfY/items/ETCZ4GJY"],"uri":["http://zotero.org/users/local/LV0ujPfY/items/ETCZ4GJY"],"itemData":{"id":647,"type":"report","language":"98","publisher":"International Joint Commission","title":"Lake Ontario -St. Lawrence River Plan 2014 Protecting against extreme water levels, restoring wetlands and preparing for climate change: A Report to the Governments of Canada and the United States by the International Joint Commission","URL":"https://legacyfiles.ijc.org/tinymce/uploaded/LOSLR/IJC_LOSR_EN_Web.pdf","author":[{"family":"International Joint Commission","given":""}],"issued":{"date-parts":[["2014",6]]}},"locator":"19"}],"schema":"https://github.com/citation-style-language/schema/raw/master/csl-citation.json"} </w:instrText>
      </w:r>
      <w:r w:rsidR="005C28D7" w:rsidRPr="00A36E44">
        <w:rPr>
          <w:rFonts w:eastAsia="Calibri"/>
        </w:rPr>
        <w:fldChar w:fldCharType="separate"/>
      </w:r>
      <w:r w:rsidR="00D03D37" w:rsidRPr="00A36E44">
        <w:rPr>
          <w:rFonts w:eastAsia="Calibri"/>
          <w:noProof/>
        </w:rPr>
        <w:t>(International Joint Commission, 2014:p.19)</w:t>
      </w:r>
      <w:r w:rsidR="005C28D7" w:rsidRPr="00A36E44">
        <w:rPr>
          <w:rFonts w:eastAsia="Calibri"/>
        </w:rPr>
        <w:fldChar w:fldCharType="end"/>
      </w:r>
      <w:r w:rsidRPr="00A36E44">
        <w:rPr>
          <w:rFonts w:eastAsia="Calibri"/>
        </w:rPr>
        <w:t xml:space="preserve">. Plan 2014 also tackles climate change uncertainty by allowing the definition of extreme water levels to change as </w:t>
      </w:r>
      <w:r w:rsidR="007256F2" w:rsidRPr="00A36E44">
        <w:rPr>
          <w:rFonts w:eastAsia="Calibri"/>
        </w:rPr>
        <w:t>‘</w:t>
      </w:r>
      <w:r w:rsidRPr="00A36E44">
        <w:rPr>
          <w:rFonts w:eastAsia="Calibri"/>
        </w:rPr>
        <w:t>normals</w:t>
      </w:r>
      <w:r w:rsidR="007256F2" w:rsidRPr="00A36E44">
        <w:rPr>
          <w:rFonts w:eastAsia="Calibri"/>
        </w:rPr>
        <w:t>’</w:t>
      </w:r>
      <w:r w:rsidRPr="00A36E44">
        <w:rPr>
          <w:rFonts w:eastAsia="Calibri"/>
        </w:rPr>
        <w:t xml:space="preserve"> change, stating that </w:t>
      </w:r>
      <w:r w:rsidR="007256F2" w:rsidRPr="00A36E44">
        <w:rPr>
          <w:rFonts w:eastAsia="Calibri"/>
        </w:rPr>
        <w:t>‘</w:t>
      </w:r>
      <w:r w:rsidRPr="00A36E44">
        <w:rPr>
          <w:rFonts w:eastAsia="Calibri"/>
        </w:rPr>
        <w:t>the rule curve parameters should be updated periodically to account for climate change</w:t>
      </w:r>
      <w:r w:rsidR="007256F2" w:rsidRPr="00A36E44">
        <w:rPr>
          <w:rFonts w:eastAsia="Calibri"/>
        </w:rPr>
        <w:t>’</w:t>
      </w:r>
      <w:r w:rsidRPr="00A36E44">
        <w:rPr>
          <w:rFonts w:eastAsia="Calibri"/>
        </w:rPr>
        <w:t xml:space="preserve"> </w:t>
      </w:r>
      <w:r w:rsidR="00B96A54" w:rsidRPr="00A36E44">
        <w:rPr>
          <w:rFonts w:eastAsia="Calibri"/>
        </w:rPr>
        <w:fldChar w:fldCharType="begin"/>
      </w:r>
      <w:r w:rsidR="0037773D">
        <w:rPr>
          <w:rFonts w:eastAsia="Calibri"/>
        </w:rPr>
        <w:instrText xml:space="preserve"> ADDIN ZOTERO_ITEM CSL_CITATION {"citationID":"9Wurzxj2","properties":{"formattedCitation":"(International Joint Commission, 2014:p.28)","plainCitation":"(International Joint Commission, 2014:p.28)","noteIndex":0},"citationItems":[{"id":647,"uris":["http://zotero.org/users/local/LV0ujPfY/items/ETCZ4GJY"],"uri":["http://zotero.org/users/local/LV0ujPfY/items/ETCZ4GJY"],"itemData":{"id":647,"type":"report","language":"98","publisher":"International Joint Commission","title":"Lake Ontario -St. Lawrence River Plan 2014 Protecting against extreme water levels, restoring wetlands and preparing for climate change: A Report to the Governments of Canada and the United States by the International Joint Commission","URL":"https://legacyfiles.ijc.org/tinymce/uploaded/LOSLR/IJC_LOSR_EN_Web.pdf","author":[{"family":"International Joint Commission","given":""}],"issued":{"date-parts":[["2014",6]]}},"locator":"28"}],"schema":"https://github.com/citation-style-language/schema/raw/master/csl-citation.json"} </w:instrText>
      </w:r>
      <w:r w:rsidR="00B96A54" w:rsidRPr="00A36E44">
        <w:rPr>
          <w:rFonts w:eastAsia="Calibri"/>
        </w:rPr>
        <w:fldChar w:fldCharType="separate"/>
      </w:r>
      <w:r w:rsidR="00D03D37" w:rsidRPr="00A36E44">
        <w:rPr>
          <w:rFonts w:eastAsia="Calibri"/>
          <w:noProof/>
        </w:rPr>
        <w:t>(International Joint Commission, 2014:p.28)</w:t>
      </w:r>
      <w:r w:rsidR="00B96A54" w:rsidRPr="00A36E44">
        <w:rPr>
          <w:rFonts w:eastAsia="Calibri"/>
        </w:rPr>
        <w:fldChar w:fldCharType="end"/>
      </w:r>
      <w:r w:rsidRPr="00A36E44">
        <w:rPr>
          <w:rFonts w:eastAsia="Calibri"/>
        </w:rPr>
        <w:t>. Later, in their report on the</w:t>
      </w:r>
      <w:r w:rsidR="00FA371E">
        <w:rPr>
          <w:rFonts w:eastAsia="Calibri"/>
        </w:rPr>
        <w:t xml:space="preserve"> </w:t>
      </w:r>
      <w:r w:rsidRPr="00A36E44">
        <w:rPr>
          <w:rFonts w:eastAsia="Calibri"/>
        </w:rPr>
        <w:t>floods</w:t>
      </w:r>
      <w:r w:rsidR="00FA371E">
        <w:rPr>
          <w:rFonts w:eastAsia="Calibri"/>
        </w:rPr>
        <w:t xml:space="preserve"> in 2019</w:t>
      </w:r>
      <w:r w:rsidRPr="00A36E44">
        <w:rPr>
          <w:rFonts w:eastAsia="Calibri"/>
        </w:rPr>
        <w:t>, the ILOSRB warn</w:t>
      </w:r>
      <w:r w:rsidR="00AC695B">
        <w:rPr>
          <w:rFonts w:eastAsia="Calibri"/>
        </w:rPr>
        <w:t>ed</w:t>
      </w:r>
      <w:r w:rsidR="000D3F0C">
        <w:rPr>
          <w:rFonts w:eastAsia="Calibri"/>
        </w:rPr>
        <w:t>:</w:t>
      </w:r>
      <w:r w:rsidRPr="00A36E44">
        <w:rPr>
          <w:rFonts w:eastAsia="Calibri"/>
        </w:rPr>
        <w:t xml:space="preserve"> </w:t>
      </w:r>
      <w:r w:rsidR="007256F2" w:rsidRPr="00A36E44">
        <w:rPr>
          <w:rFonts w:eastAsia="Calibri"/>
        </w:rPr>
        <w:t>‘</w:t>
      </w:r>
      <w:r w:rsidRPr="00A36E44">
        <w:rPr>
          <w:rFonts w:eastAsia="Calibri"/>
        </w:rPr>
        <w:t>we know extremes have occurred in the past and we expect they will occur again in the future, so we must be better prepared for the next event, even though it is difficult to know how soon that will be</w:t>
      </w:r>
      <w:r w:rsidR="007256F2" w:rsidRPr="00A36E44">
        <w:rPr>
          <w:rFonts w:eastAsia="Calibri"/>
        </w:rPr>
        <w:t>’</w:t>
      </w:r>
      <w:r w:rsidRPr="00A36E44">
        <w:rPr>
          <w:rFonts w:eastAsia="Calibri"/>
        </w:rPr>
        <w:t xml:space="preserve"> </w:t>
      </w:r>
      <w:r w:rsidR="00D46A7E" w:rsidRPr="00A36E44">
        <w:rPr>
          <w:rFonts w:eastAsia="Calibri"/>
        </w:rPr>
        <w:fldChar w:fldCharType="begin"/>
      </w:r>
      <w:r w:rsidR="00D03D37" w:rsidRPr="00A36E44">
        <w:rPr>
          <w:rFonts w:eastAsia="Calibri"/>
        </w:rPr>
        <w:instrText xml:space="preserve"> ADDIN ZOTERO_ITEM CSL_CITATION {"citationID":"r5xA9DOY","properties":{"formattedCitation":"(International Lake Ontario- St. Lawrence River Board, 2020a:p.33)","plainCitation":"(International Lake Ontario- St. Lawrence River Board, 2020a:p.33)","noteIndex":0},"citationItems":[{"id":2320,"uris":["http://zotero.org/users/local/LV0ujPfY/items/JFWEKMBR"],"uri":["http://zotero.org/users/local/LV0ujPfY/items/JFWEKMBR"],"itemData":{"id":2320,"type":"webpage","title":"Lake Ontario-St. Lawrence River 2019 High Water Levels Questions and Answers","URL":"https://ijc.org/sites/default/files/2020-01/ILOSLRB_2019HighWaterQAs_Final_20200122.pdf","author":[{"family":"International Lake Ontario- St. Lawrence River Board","given":""}],"issued":{"date-parts":[["2020"]]}},"locator":"33"}],"schema":"https://github.com/citation-style-language/schema/raw/master/csl-citation.json"} </w:instrText>
      </w:r>
      <w:r w:rsidR="00D46A7E" w:rsidRPr="00A36E44">
        <w:rPr>
          <w:rFonts w:eastAsia="Calibri"/>
        </w:rPr>
        <w:fldChar w:fldCharType="separate"/>
      </w:r>
      <w:r w:rsidR="00D03D37" w:rsidRPr="00A36E44">
        <w:rPr>
          <w:rFonts w:eastAsia="Calibri"/>
          <w:noProof/>
        </w:rPr>
        <w:t>(International Lake Ontario- St. Lawrence River Board, 2020a:p.33)</w:t>
      </w:r>
      <w:r w:rsidR="00D46A7E" w:rsidRPr="00A36E44">
        <w:rPr>
          <w:rFonts w:eastAsia="Calibri"/>
        </w:rPr>
        <w:fldChar w:fldCharType="end"/>
      </w:r>
      <w:r w:rsidR="00D46A7E" w:rsidRPr="00A36E44">
        <w:rPr>
          <w:rFonts w:eastAsia="Calibri"/>
        </w:rPr>
        <w:t>.</w:t>
      </w:r>
      <w:r w:rsidRPr="00A36E44">
        <w:rPr>
          <w:rFonts w:eastAsia="Calibri"/>
        </w:rPr>
        <w:t xml:space="preserve"> </w:t>
      </w:r>
    </w:p>
    <w:p w14:paraId="00202900" w14:textId="24FD320C" w:rsidR="00860FBC" w:rsidRDefault="00E40325" w:rsidP="00AE55D6">
      <w:pPr>
        <w:tabs>
          <w:tab w:val="left" w:pos="142"/>
        </w:tabs>
        <w:ind w:right="855" w:firstLine="720"/>
        <w:rPr>
          <w:rFonts w:eastAsia="Calibri"/>
        </w:rPr>
      </w:pPr>
      <w:r w:rsidRPr="00A36E44">
        <w:rPr>
          <w:rFonts w:eastAsia="Calibri"/>
        </w:rPr>
        <w:t>Through the development of Plan 2014, the IJC has thereby identified two main areas of uncertainty about flood risk and water level regulation: 1) ontological uncertainty about extreme weather events, given their influence on the operation of the new release rules, and 2) epistemic uncertainty as to the accuracy of the models used with which to design those rules. As seen in Table 1, the wording of Plan 2014 firmly sets uncertainty as a fundamental problem that is to be addressed by this new regulation.</w:t>
      </w:r>
      <w:bookmarkStart w:id="7" w:name="_heading=h.4d34og8" w:colFirst="0" w:colLast="0"/>
      <w:bookmarkEnd w:id="7"/>
    </w:p>
    <w:p w14:paraId="1D5645B5" w14:textId="0B6C53B3" w:rsidR="00E40325" w:rsidRPr="00F07948" w:rsidRDefault="00E40325" w:rsidP="00F07948">
      <w:pPr>
        <w:pStyle w:val="Heading1"/>
      </w:pPr>
      <w:r w:rsidRPr="00F07948">
        <w:t xml:space="preserve">Key Flood Events in 2017 and 2019 </w:t>
      </w:r>
    </w:p>
    <w:p w14:paraId="49BB0D8E" w14:textId="41FC69E3" w:rsidR="00DA22F6" w:rsidRPr="006A658A" w:rsidRDefault="00E40325" w:rsidP="00AE55D6">
      <w:pPr>
        <w:tabs>
          <w:tab w:val="left" w:pos="142"/>
        </w:tabs>
        <w:ind w:right="855" w:firstLine="720"/>
        <w:rPr>
          <w:rFonts w:eastAsia="Calibri"/>
        </w:rPr>
      </w:pPr>
      <w:r w:rsidRPr="00A36E44">
        <w:rPr>
          <w:rFonts w:eastAsia="Calibri"/>
        </w:rPr>
        <w:t>The implementation of Plan 2014 was immediately followed by record flood seasons in the Springs of 2017 and 2019. It was unfortunate timing for a state-of-the art strategy aimed to promote a shift to more effective flood risk management.</w:t>
      </w:r>
      <w:bookmarkStart w:id="8" w:name="_heading=h.2s8eyo1" w:colFirst="0" w:colLast="0"/>
      <w:bookmarkEnd w:id="8"/>
    </w:p>
    <w:p w14:paraId="4A79E65F" w14:textId="77777777" w:rsidR="00491C69" w:rsidRDefault="00491C69" w:rsidP="00491C69">
      <w:pPr>
        <w:pStyle w:val="Heading2"/>
        <w:tabs>
          <w:tab w:val="left" w:pos="142"/>
        </w:tabs>
        <w:spacing w:before="0"/>
        <w:ind w:right="855"/>
        <w:rPr>
          <w:rFonts w:ascii="Times New Roman" w:eastAsia="Calibri" w:hAnsi="Times New Roman" w:cs="Times New Roman"/>
          <w:i/>
          <w:color w:val="000000"/>
          <w:sz w:val="24"/>
          <w:szCs w:val="24"/>
        </w:rPr>
      </w:pPr>
    </w:p>
    <w:p w14:paraId="170537AD" w14:textId="415A9103" w:rsidR="00E40325" w:rsidRPr="006A658A" w:rsidRDefault="00E40325" w:rsidP="00491C69">
      <w:pPr>
        <w:pStyle w:val="Heading2"/>
        <w:tabs>
          <w:tab w:val="left" w:pos="142"/>
        </w:tabs>
        <w:spacing w:before="0"/>
        <w:ind w:right="855"/>
        <w:rPr>
          <w:rFonts w:ascii="Times New Roman" w:eastAsia="Calibri" w:hAnsi="Times New Roman" w:cs="Times New Roman"/>
          <w:i/>
          <w:color w:val="000000"/>
          <w:sz w:val="24"/>
          <w:szCs w:val="24"/>
        </w:rPr>
      </w:pPr>
      <w:r w:rsidRPr="006A658A">
        <w:rPr>
          <w:rFonts w:ascii="Times New Roman" w:eastAsia="Calibri" w:hAnsi="Times New Roman" w:cs="Times New Roman"/>
          <w:i/>
          <w:color w:val="000000"/>
          <w:sz w:val="24"/>
          <w:szCs w:val="24"/>
        </w:rPr>
        <w:t>Flood outcomes</w:t>
      </w:r>
    </w:p>
    <w:p w14:paraId="3E35AD9B" w14:textId="2928AAFD" w:rsidR="00E40325" w:rsidRPr="00A36E44" w:rsidRDefault="008810D3" w:rsidP="00C60901">
      <w:pPr>
        <w:tabs>
          <w:tab w:val="left" w:pos="142"/>
        </w:tabs>
        <w:ind w:right="855" w:firstLine="720"/>
        <w:rPr>
          <w:rFonts w:eastAsia="Calibri"/>
        </w:rPr>
      </w:pPr>
      <w:r w:rsidRPr="00A36E44">
        <w:rPr>
          <w:rFonts w:eastAsia="Calibri"/>
        </w:rPr>
        <w:t>F</w:t>
      </w:r>
      <w:r w:rsidR="00E40325" w:rsidRPr="00A36E44">
        <w:rPr>
          <w:rFonts w:eastAsia="Calibri"/>
        </w:rPr>
        <w:t xml:space="preserve">looding in Great-Lakes and St. Lawrence </w:t>
      </w:r>
      <w:r w:rsidR="00627069">
        <w:rPr>
          <w:rFonts w:eastAsia="Calibri"/>
        </w:rPr>
        <w:t>basin</w:t>
      </w:r>
      <w:r w:rsidRPr="00A36E44">
        <w:rPr>
          <w:rFonts w:eastAsia="Calibri"/>
        </w:rPr>
        <w:t xml:space="preserve"> is seasonal</w:t>
      </w:r>
      <w:r w:rsidR="00E40325" w:rsidRPr="00A36E44">
        <w:rPr>
          <w:rFonts w:eastAsia="Calibri"/>
        </w:rPr>
        <w:t xml:space="preserve">: every year, in the spring as the snow and ice melts, the </w:t>
      </w:r>
      <w:r w:rsidR="00627069">
        <w:rPr>
          <w:rFonts w:eastAsia="Calibri"/>
        </w:rPr>
        <w:t>basin</w:t>
      </w:r>
      <w:r w:rsidR="00E40325" w:rsidRPr="00A36E44">
        <w:rPr>
          <w:rFonts w:eastAsia="Calibri"/>
        </w:rPr>
        <w:t xml:space="preserve">s get saturated and the main water bodies and their tributaries overflow their banks. In 2017 and 2019, Spring flooding all along Lake Ontario and the </w:t>
      </w:r>
      <w:r w:rsidR="00CA579C" w:rsidRPr="00A36E44">
        <w:rPr>
          <w:rFonts w:eastAsia="Calibri"/>
        </w:rPr>
        <w:t>St. Lawrence River</w:t>
      </w:r>
      <w:r w:rsidR="00CA579C" w:rsidRPr="00A36E44" w:rsidDel="00CA579C">
        <w:rPr>
          <w:rFonts w:eastAsia="Calibri"/>
        </w:rPr>
        <w:t xml:space="preserve"> </w:t>
      </w:r>
      <w:r w:rsidR="00E40325" w:rsidRPr="00A36E44">
        <w:rPr>
          <w:rFonts w:eastAsia="Calibri"/>
        </w:rPr>
        <w:t xml:space="preserve">was at record levels. One of the worst hit cities in both the years was Montreal, the first major city on the </w:t>
      </w:r>
      <w:r w:rsidR="008430E8" w:rsidRPr="00A36E44">
        <w:rPr>
          <w:rFonts w:eastAsia="Calibri"/>
        </w:rPr>
        <w:t>St. Lawrence River</w:t>
      </w:r>
      <w:r w:rsidR="00E40325" w:rsidRPr="00A36E44">
        <w:rPr>
          <w:rFonts w:eastAsia="Calibri"/>
        </w:rPr>
        <w:t xml:space="preserve">. In 2017, more than 400 people </w:t>
      </w:r>
      <w:r w:rsidR="008C50A4" w:rsidRPr="00A36E44">
        <w:rPr>
          <w:rFonts w:eastAsia="Calibri"/>
        </w:rPr>
        <w:t>had to be</w:t>
      </w:r>
      <w:r w:rsidR="00E40325" w:rsidRPr="00A36E44">
        <w:rPr>
          <w:rFonts w:eastAsia="Calibri"/>
        </w:rPr>
        <w:t xml:space="preserve"> evacuated from the city</w:t>
      </w:r>
      <w:r w:rsidR="008C50A4" w:rsidRPr="00A36E44">
        <w:rPr>
          <w:rFonts w:eastAsia="Calibri"/>
        </w:rPr>
        <w:t xml:space="preserve"> </w:t>
      </w:r>
      <w:r w:rsidR="00E40325" w:rsidRPr="00A36E44">
        <w:rPr>
          <w:rFonts w:eastAsia="Calibri"/>
        </w:rPr>
        <w:t>and the immediate emergency response</w:t>
      </w:r>
      <w:r w:rsidR="001C43BE" w:rsidRPr="00A36E44">
        <w:rPr>
          <w:rFonts w:eastAsia="Calibri"/>
        </w:rPr>
        <w:t xml:space="preserve"> over the course of a few days</w:t>
      </w:r>
      <w:r w:rsidR="00E40325" w:rsidRPr="00A36E44">
        <w:rPr>
          <w:rFonts w:eastAsia="Calibri"/>
        </w:rPr>
        <w:t xml:space="preserve"> brought costs of over 8 million </w:t>
      </w:r>
      <w:r w:rsidR="00B448AD" w:rsidRPr="00A36E44">
        <w:rPr>
          <w:rFonts w:eastAsia="Calibri"/>
        </w:rPr>
        <w:t>$</w:t>
      </w:r>
      <w:r w:rsidR="00E40325" w:rsidRPr="00A36E44">
        <w:rPr>
          <w:rFonts w:eastAsia="Calibri"/>
        </w:rPr>
        <w:t xml:space="preserve">CAD to the city </w:t>
      </w:r>
      <w:r w:rsidR="00A85D41" w:rsidRPr="00A36E44">
        <w:rPr>
          <w:rFonts w:eastAsia="Calibri"/>
        </w:rPr>
        <w:fldChar w:fldCharType="begin"/>
      </w:r>
      <w:r w:rsidR="00A85D41" w:rsidRPr="00A36E44">
        <w:rPr>
          <w:rFonts w:eastAsia="Calibri"/>
        </w:rPr>
        <w:instrText xml:space="preserve"> ADDIN ZOTERO_ITEM CSL_CITATION {"citationID":"lviRhVMF","properties":{"formattedCitation":"(Service de s\\uc0\\u233{}curit\\uc0\\u233{} incendie de Montr\\uc0\\u233{}al/ Direction de la s\\uc0\\u233{}curit\\uc0\\u233{} civile et de la r\\uc0\\u233{}silience, 2017)","plainCitation":"(Service de sécurité incendie de Montréal/ Direction de la sécurité civile et de la résilience, 2017)","noteIndex":0},"citationItems":[{"id":2318,"uris":["http://zotero.org/users/local/LV0ujPfY/items/TQNUX3IN"],"uri":["http://zotero.org/users/local/LV0ujPfY/items/TQNUX3IN"],"itemData":{"id":2318,"type":"report","event-place":"Montreal, Qc","publisher":"Ville de Montréal","publisher-place":"Montreal, Qc","title":"Rapport d’événement et de rétroaction Inondations 2017: Faire de Montréal une communauté résiliente aux inondations.","URL":"http://ville.montreal.qc.ca/pls/portal/docs/PAGE/COMMISSIONS_PERM_V2_FR/MEDIA/DOCUMENTS/DOCCONSULT_20171212.PDF","author":[{"family":"Service de sécurité incendie de Montréal/ Direction de la sécurité civile et de la résilience","given":""}],"issued":{"date-parts":[["2017",12,12]]}}}],"schema":"https://github.com/citation-style-language/schema/raw/master/csl-citation.json"} </w:instrText>
      </w:r>
      <w:r w:rsidR="00A85D41" w:rsidRPr="00A36E44">
        <w:rPr>
          <w:rFonts w:eastAsia="Calibri"/>
        </w:rPr>
        <w:fldChar w:fldCharType="separate"/>
      </w:r>
      <w:r w:rsidR="00D03D37" w:rsidRPr="00A36E44">
        <w:rPr>
          <w:lang w:val="en-US"/>
        </w:rPr>
        <w:t>(Service de sécurité incendie de Montréal/ Direction de la sécurité civile et de la résilience, 2017)</w:t>
      </w:r>
      <w:r w:rsidR="00A85D41" w:rsidRPr="00A36E44">
        <w:rPr>
          <w:rFonts w:eastAsia="Calibri"/>
        </w:rPr>
        <w:fldChar w:fldCharType="end"/>
      </w:r>
      <w:r w:rsidR="00E40325" w:rsidRPr="00A36E44">
        <w:rPr>
          <w:rFonts w:eastAsia="Calibri"/>
        </w:rPr>
        <w:t>. In 2019, floods are estimated to have cost the city over 17 million $CAD</w:t>
      </w:r>
      <w:r w:rsidR="00897B71" w:rsidRPr="00A36E44">
        <w:rPr>
          <w:rFonts w:eastAsia="Calibri"/>
        </w:rPr>
        <w:t xml:space="preserve"> </w:t>
      </w:r>
      <w:r w:rsidR="006F65E5" w:rsidRPr="00A36E44">
        <w:rPr>
          <w:rFonts w:eastAsia="Calibri"/>
        </w:rPr>
        <w:fldChar w:fldCharType="begin"/>
      </w:r>
      <w:r w:rsidR="006F65E5" w:rsidRPr="00A36E44">
        <w:rPr>
          <w:rFonts w:eastAsia="Calibri"/>
        </w:rPr>
        <w:instrText xml:space="preserve"> ADDIN ZOTERO_ITEM CSL_CITATION {"citationID":"oz7K2M5x","properties":{"formattedCitation":"(Corriveau, 2020)","plainCitation":"(Corriveau, 2020)","noteIndex":0},"citationItems":[{"id":2311,"uris":["http://zotero.org/users/local/LV0ujPfY/items/3JSKZD35"],"uri":["http://zotero.org/users/local/LV0ujPfY/items/3JSKZD35"],"itemData":{"id":2311,"type":"article-newspaper","container-title":"Le Devoir","event-place":"Montreal, Qc","publisher-place":"Montreal, Qc","title":"Les dernières inondations ont coûté 17 millions à la Ville de Montréal","URL":"https://www.ledevoir.com/politique/montreal/570363/les-inondations-du-printemps-2019-ont-coute-17-millions-a-la-ville-de-montreal#:~:text=Jeanne%20Corriveau&amp;text=Les%20inondations%20du%20printemps%20dernier,des%20employ%C3%A9s%20de%20la%20Ville.","author":[{"family":"Corriveau","given":"J"}],"issued":{"date-parts":[["2020",1,8]]}}}],"schema":"https://github.com/citation-style-language/schema/raw/master/csl-citation.json"} </w:instrText>
      </w:r>
      <w:r w:rsidR="006F65E5" w:rsidRPr="00A36E44">
        <w:rPr>
          <w:rFonts w:eastAsia="Calibri"/>
        </w:rPr>
        <w:fldChar w:fldCharType="separate"/>
      </w:r>
      <w:r w:rsidR="00D03D37" w:rsidRPr="00A36E44">
        <w:rPr>
          <w:rFonts w:eastAsia="Calibri"/>
          <w:noProof/>
        </w:rPr>
        <w:t>(Corriveau, 2020)</w:t>
      </w:r>
      <w:r w:rsidR="006F65E5" w:rsidRPr="00A36E44">
        <w:rPr>
          <w:rFonts w:eastAsia="Calibri"/>
        </w:rPr>
        <w:fldChar w:fldCharType="end"/>
      </w:r>
      <w:r w:rsidR="006F65E5" w:rsidRPr="00A36E44">
        <w:rPr>
          <w:rFonts w:eastAsia="Calibri"/>
        </w:rPr>
        <w:t xml:space="preserve">. </w:t>
      </w:r>
      <w:r w:rsidR="00E40325" w:rsidRPr="00A36E44">
        <w:rPr>
          <w:rFonts w:eastAsia="Calibri"/>
        </w:rPr>
        <w:t xml:space="preserve">In </w:t>
      </w:r>
      <w:r w:rsidR="00FA371E">
        <w:rPr>
          <w:rFonts w:eastAsia="Calibri"/>
        </w:rPr>
        <w:t xml:space="preserve">New York State’s </w:t>
      </w:r>
      <w:r w:rsidR="00E40325" w:rsidRPr="00A36E44">
        <w:rPr>
          <w:rFonts w:eastAsia="Calibri"/>
        </w:rPr>
        <w:t>Rochester</w:t>
      </w:r>
      <w:r w:rsidR="00FA371E">
        <w:rPr>
          <w:rFonts w:eastAsia="Calibri"/>
        </w:rPr>
        <w:t xml:space="preserve">, </w:t>
      </w:r>
      <w:r w:rsidR="00E40325" w:rsidRPr="00A36E44">
        <w:rPr>
          <w:rFonts w:eastAsia="Calibri"/>
        </w:rPr>
        <w:t xml:space="preserve">on Lake Ontario, the damage from the floods also cost the </w:t>
      </w:r>
      <w:r w:rsidR="00DB1C61">
        <w:rPr>
          <w:rFonts w:eastAsia="Calibri"/>
        </w:rPr>
        <w:t>S</w:t>
      </w:r>
      <w:r w:rsidR="00E40325" w:rsidRPr="00A36E44">
        <w:rPr>
          <w:rFonts w:eastAsia="Calibri"/>
        </w:rPr>
        <w:t xml:space="preserve">tate </w:t>
      </w:r>
      <w:r w:rsidR="00F8602A" w:rsidRPr="00A36E44">
        <w:rPr>
          <w:rFonts w:eastAsia="Calibri"/>
        </w:rPr>
        <w:t xml:space="preserve">hundreds of </w:t>
      </w:r>
      <w:r w:rsidR="00E40325" w:rsidRPr="00A36E44">
        <w:rPr>
          <w:rFonts w:eastAsia="Calibri"/>
        </w:rPr>
        <w:t xml:space="preserve">millions of dollars both in 2017 and 2019 </w:t>
      </w:r>
      <w:r w:rsidR="00E52835" w:rsidRPr="00A36E44">
        <w:rPr>
          <w:rFonts w:eastAsia="Calibri"/>
        </w:rPr>
        <w:fldChar w:fldCharType="begin"/>
      </w:r>
      <w:r w:rsidR="00E52835" w:rsidRPr="00A36E44">
        <w:rPr>
          <w:rFonts w:eastAsia="Calibri"/>
        </w:rPr>
        <w:instrText xml:space="preserve"> ADDIN ZOTERO_ITEM CSL_CITATION {"citationID":"MN6snuRO","properties":{"formattedCitation":"(Orr, 2018)","plainCitation":"(Orr, 2018)","noteIndex":0},"citationItems":[{"id":606,"uris":["http://zotero.org/users/local/LV0ujPfY/items/MSZ6B46Z"],"uri":["http://zotero.org/users/local/LV0ujPfY/items/MSZ6B46Z"],"itemData":{"id":606,"type":"article-newspaper","container-title":"Democrat and Chronicle","event-place":"Rochester, NY","publisher-place":"Rochester, NY","title":"Extreme Weather to Blame for 2017 Lake Ontario Flood, Board Concludes","URL":"https://eu.democratandchronicle.com/story/news/2018/06/21/lake-ontario-shoreline-flooding-2017-caused-extreme-rain-not-regulations-board-report/722182002/","author":[{"family":"Orr","given":"Steve"}],"issued":{"date-parts":[["2018",6,21]]}}}],"schema":"https://github.com/citation-style-language/schema/raw/master/csl-citation.json"} </w:instrText>
      </w:r>
      <w:r w:rsidR="00E52835" w:rsidRPr="00A36E44">
        <w:rPr>
          <w:rFonts w:eastAsia="Calibri"/>
        </w:rPr>
        <w:fldChar w:fldCharType="separate"/>
      </w:r>
      <w:r w:rsidR="00D03D37" w:rsidRPr="00A36E44">
        <w:rPr>
          <w:rFonts w:eastAsia="Calibri"/>
          <w:noProof/>
        </w:rPr>
        <w:t>(Orr, 2018)</w:t>
      </w:r>
      <w:r w:rsidR="00E52835" w:rsidRPr="00A36E44">
        <w:rPr>
          <w:rFonts w:eastAsia="Calibri"/>
        </w:rPr>
        <w:fldChar w:fldCharType="end"/>
      </w:r>
      <w:r w:rsidR="00E52835" w:rsidRPr="00A36E44">
        <w:rPr>
          <w:rFonts w:eastAsia="Calibri"/>
        </w:rPr>
        <w:t xml:space="preserve">. </w:t>
      </w:r>
      <w:r w:rsidR="00E40325" w:rsidRPr="00A36E44">
        <w:rPr>
          <w:rFonts w:eastAsia="Calibri"/>
        </w:rPr>
        <w:t xml:space="preserve"> </w:t>
      </w:r>
    </w:p>
    <w:p w14:paraId="5EA1B55D" w14:textId="770F9CDF" w:rsidR="00E40325" w:rsidRDefault="00E40325" w:rsidP="00C60901">
      <w:pPr>
        <w:tabs>
          <w:tab w:val="left" w:pos="142"/>
        </w:tabs>
        <w:ind w:right="855" w:firstLine="720"/>
        <w:rPr>
          <w:rFonts w:eastAsia="Calibri"/>
        </w:rPr>
      </w:pPr>
      <w:r w:rsidRPr="00A36E44">
        <w:rPr>
          <w:rFonts w:eastAsia="Calibri"/>
        </w:rPr>
        <w:t xml:space="preserve">The emergency measures outlined in Plan 2014 guided the flood response in both those years. In 2017, </w:t>
      </w:r>
      <w:r w:rsidR="00743999">
        <w:rPr>
          <w:rFonts w:eastAsia="Calibri"/>
        </w:rPr>
        <w:t xml:space="preserve">the operators and </w:t>
      </w:r>
      <w:r w:rsidR="00763156">
        <w:rPr>
          <w:rFonts w:eastAsia="Calibri"/>
        </w:rPr>
        <w:t>M</w:t>
      </w:r>
      <w:r w:rsidR="00743999">
        <w:rPr>
          <w:rFonts w:eastAsia="Calibri"/>
        </w:rPr>
        <w:t>anage</w:t>
      </w:r>
      <w:r w:rsidR="00FA371E">
        <w:rPr>
          <w:rFonts w:eastAsia="Calibri"/>
        </w:rPr>
        <w:t>ment</w:t>
      </w:r>
      <w:r w:rsidR="00743999">
        <w:rPr>
          <w:rFonts w:eastAsia="Calibri"/>
        </w:rPr>
        <w:t xml:space="preserve"> </w:t>
      </w:r>
      <w:r w:rsidR="00763156">
        <w:rPr>
          <w:rFonts w:eastAsia="Calibri"/>
        </w:rPr>
        <w:t>B</w:t>
      </w:r>
      <w:r w:rsidR="00743999">
        <w:rPr>
          <w:rFonts w:eastAsia="Calibri"/>
        </w:rPr>
        <w:t>oard</w:t>
      </w:r>
      <w:r w:rsidR="00743999" w:rsidRPr="00A36E44">
        <w:rPr>
          <w:rFonts w:eastAsia="Calibri"/>
        </w:rPr>
        <w:t xml:space="preserve"> </w:t>
      </w:r>
      <w:r w:rsidRPr="00A36E44">
        <w:rPr>
          <w:rFonts w:eastAsia="Calibri"/>
        </w:rPr>
        <w:t xml:space="preserve">decided to </w:t>
      </w:r>
      <w:r w:rsidR="00B448AD" w:rsidRPr="00A36E44">
        <w:rPr>
          <w:rFonts w:eastAsia="Calibri"/>
        </w:rPr>
        <w:t xml:space="preserve">decrease </w:t>
      </w:r>
      <w:r w:rsidRPr="00A36E44">
        <w:rPr>
          <w:rFonts w:eastAsia="Calibri"/>
        </w:rPr>
        <w:t>significantly the flow of water out of the lake on the 8</w:t>
      </w:r>
      <w:r w:rsidRPr="00A36E44">
        <w:rPr>
          <w:rFonts w:eastAsia="Calibri"/>
          <w:vertAlign w:val="superscript"/>
        </w:rPr>
        <w:t>th</w:t>
      </w:r>
      <w:r w:rsidRPr="00A36E44">
        <w:rPr>
          <w:rFonts w:eastAsia="Calibri"/>
        </w:rPr>
        <w:t xml:space="preserve"> of May, one day after the peak impacts were felt in Montreal, and slowly returned it to normal as the highwater level receded </w:t>
      </w:r>
      <w:r w:rsidR="008F249E" w:rsidRPr="00A36E44">
        <w:rPr>
          <w:rFonts w:eastAsia="Calibri"/>
        </w:rPr>
        <w:fldChar w:fldCharType="begin"/>
      </w:r>
      <w:r w:rsidR="008F249E" w:rsidRPr="00A36E44">
        <w:rPr>
          <w:rFonts w:eastAsia="Calibri"/>
        </w:rPr>
        <w:instrText xml:space="preserve"> ADDIN ZOTERO_ITEM CSL_CITATION {"citationID":"oYZkokQ1","properties":{"formattedCitation":"(Perreaux, 2018)","plainCitation":"(Perreaux, 2018)","noteIndex":0},"citationItems":[{"id":300,"uris":["http://zotero.org/users/local/LV0ujPfY/items/MDH5WMHY"],"uri":["http://zotero.org/users/local/LV0ujPfY/items/MDH5WMHY"],"itemData":{"id":300,"type":"article-newspaper","container-title":"Globe and Mail","event-place":"Montreal","publisher-place":"Montreal","title":"What did we learn from 2017's floods in Quebec and Ontario? Inside the politics of water","URL":"https://www.theglobeandmail.com/news/national/quebec-ontario-floods-water-management-politics/article37511432/","author":[{"family":"Perreaux","given":"Les"}],"issued":{"date-parts":[["2018",1,5]]}}}],"schema":"https://github.com/citation-style-language/schema/raw/master/csl-citation.json"} </w:instrText>
      </w:r>
      <w:r w:rsidR="008F249E" w:rsidRPr="00A36E44">
        <w:rPr>
          <w:rFonts w:eastAsia="Calibri"/>
        </w:rPr>
        <w:fldChar w:fldCharType="separate"/>
      </w:r>
      <w:r w:rsidR="00D03D37" w:rsidRPr="00A36E44">
        <w:rPr>
          <w:rFonts w:eastAsia="Calibri"/>
          <w:noProof/>
        </w:rPr>
        <w:t>(Perreaux, 2018)</w:t>
      </w:r>
      <w:r w:rsidR="008F249E" w:rsidRPr="00A36E44">
        <w:rPr>
          <w:rFonts w:eastAsia="Calibri"/>
        </w:rPr>
        <w:fldChar w:fldCharType="end"/>
      </w:r>
      <w:r w:rsidRPr="00A36E44">
        <w:rPr>
          <w:rFonts w:eastAsia="Calibri"/>
        </w:rPr>
        <w:t xml:space="preserve">. In </w:t>
      </w:r>
      <w:r w:rsidR="008A3986" w:rsidRPr="00A36E44">
        <w:rPr>
          <w:rFonts w:eastAsia="Calibri"/>
        </w:rPr>
        <w:t xml:space="preserve">interviews given </w:t>
      </w:r>
      <w:r w:rsidR="003B5E71" w:rsidRPr="00A36E44">
        <w:rPr>
          <w:rFonts w:eastAsia="Calibri"/>
        </w:rPr>
        <w:t>in the aftermath</w:t>
      </w:r>
      <w:r w:rsidRPr="00A36E44">
        <w:rPr>
          <w:rFonts w:eastAsia="Calibri"/>
        </w:rPr>
        <w:t xml:space="preserve">, </w:t>
      </w:r>
      <w:r w:rsidR="008A3986" w:rsidRPr="00A36E44">
        <w:rPr>
          <w:rFonts w:eastAsia="Calibri"/>
        </w:rPr>
        <w:t>the</w:t>
      </w:r>
      <w:r w:rsidRPr="00A36E44">
        <w:rPr>
          <w:rFonts w:eastAsia="Calibri"/>
        </w:rPr>
        <w:t xml:space="preserve"> IJC </w:t>
      </w:r>
      <w:r w:rsidR="006630E4" w:rsidRPr="00A36E44">
        <w:rPr>
          <w:rFonts w:eastAsia="Calibri"/>
        </w:rPr>
        <w:t>explained</w:t>
      </w:r>
      <w:r w:rsidRPr="00A36E44">
        <w:rPr>
          <w:rFonts w:eastAsia="Calibri"/>
        </w:rPr>
        <w:t xml:space="preserve"> that</w:t>
      </w:r>
      <w:r w:rsidR="00D002AE" w:rsidRPr="00A36E44">
        <w:rPr>
          <w:rFonts w:eastAsia="Calibri"/>
        </w:rPr>
        <w:t xml:space="preserve">, </w:t>
      </w:r>
      <w:r w:rsidRPr="00A36E44">
        <w:rPr>
          <w:rFonts w:eastAsia="Calibri"/>
        </w:rPr>
        <w:t>if</w:t>
      </w:r>
      <w:r w:rsidR="00C5640C" w:rsidRPr="00A36E44">
        <w:rPr>
          <w:rFonts w:eastAsia="Calibri"/>
        </w:rPr>
        <w:t xml:space="preserve"> it</w:t>
      </w:r>
      <w:r w:rsidRPr="00A36E44">
        <w:rPr>
          <w:rFonts w:eastAsia="Calibri"/>
        </w:rPr>
        <w:t xml:space="preserve"> had lowered water levels of Lake Ontario by only </w:t>
      </w:r>
      <w:r w:rsidR="007C7884" w:rsidRPr="00A36E44">
        <w:rPr>
          <w:rFonts w:eastAsia="Calibri"/>
        </w:rPr>
        <w:t>one</w:t>
      </w:r>
      <w:r w:rsidRPr="00A36E44">
        <w:rPr>
          <w:rFonts w:eastAsia="Calibri"/>
        </w:rPr>
        <w:t xml:space="preserve"> centimetre</w:t>
      </w:r>
      <w:r w:rsidR="00B934F9" w:rsidRPr="00A36E44">
        <w:rPr>
          <w:rFonts w:eastAsia="Calibri"/>
        </w:rPr>
        <w:t xml:space="preserve"> by releasing </w:t>
      </w:r>
      <w:r w:rsidR="00DB1C61">
        <w:rPr>
          <w:rFonts w:eastAsia="Calibri"/>
        </w:rPr>
        <w:t xml:space="preserve">more </w:t>
      </w:r>
      <w:r w:rsidR="00B934F9" w:rsidRPr="00A36E44">
        <w:rPr>
          <w:rFonts w:eastAsia="Calibri"/>
        </w:rPr>
        <w:t>water through the dam</w:t>
      </w:r>
      <w:r w:rsidRPr="00A36E44">
        <w:rPr>
          <w:rFonts w:eastAsia="Calibri"/>
        </w:rPr>
        <w:t xml:space="preserve">, </w:t>
      </w:r>
      <w:r w:rsidR="00B934F9" w:rsidRPr="00A36E44">
        <w:rPr>
          <w:rFonts w:eastAsia="Calibri"/>
        </w:rPr>
        <w:t>this</w:t>
      </w:r>
      <w:r w:rsidRPr="00A36E44">
        <w:rPr>
          <w:rFonts w:eastAsia="Calibri"/>
        </w:rPr>
        <w:t xml:space="preserve"> would have raised the water levels </w:t>
      </w:r>
      <w:r w:rsidR="001E0767" w:rsidRPr="00A36E44">
        <w:rPr>
          <w:rFonts w:eastAsia="Calibri"/>
        </w:rPr>
        <w:t>near</w:t>
      </w:r>
      <w:r w:rsidRPr="00A36E44">
        <w:rPr>
          <w:rFonts w:eastAsia="Calibri"/>
        </w:rPr>
        <w:t xml:space="preserve"> Montreal by a factor of ten </w:t>
      </w:r>
      <w:r w:rsidR="007D5C89" w:rsidRPr="00A36E44">
        <w:rPr>
          <w:rFonts w:eastAsia="Calibri"/>
        </w:rPr>
        <w:fldChar w:fldCharType="begin"/>
      </w:r>
      <w:r w:rsidR="007D5C89" w:rsidRPr="00A36E44">
        <w:rPr>
          <w:rFonts w:eastAsia="Calibri"/>
        </w:rPr>
        <w:instrText xml:space="preserve"> ADDIN ZOTERO_ITEM CSL_CITATION {"citationID":"jyWiFyWY","properties":{"formattedCitation":"(Semeniuk, 2017)","plainCitation":"(Semeniuk, 2017)","noteIndex":0},"citationItems":[{"id":2315,"uris":["http://zotero.org/users/local/LV0ujPfY/items/8XIJPF9I"],"uri":["http://zotero.org/users/local/LV0ujPfY/items/8XIJPF9I"],"itemData":{"id":2315,"type":"article-newspaper","container-title":"Globe and Mail","event-place":"Toronto, Ont","publisher-place":"Toronto, Ont","title":"Politics of Lake Ontario Water Levels Diverge from Science","URL":"https://www.theglobeandmail.com/news/national/politics-of-lake-ontario-water-levels-diverge-from-science/article34916084/","author":[{"family":"Semeniuk","given":"I."}],"issued":{"date-parts":[["2017",5,7]]}}}],"schema":"https://github.com/citation-style-language/schema/raw/master/csl-citation.json"} </w:instrText>
      </w:r>
      <w:r w:rsidR="007D5C89" w:rsidRPr="00A36E44">
        <w:rPr>
          <w:rFonts w:eastAsia="Calibri"/>
        </w:rPr>
        <w:fldChar w:fldCharType="separate"/>
      </w:r>
      <w:r w:rsidR="00D03D37" w:rsidRPr="00A36E44">
        <w:rPr>
          <w:rFonts w:eastAsia="Calibri"/>
          <w:noProof/>
        </w:rPr>
        <w:t>(Semeniuk, 2017)</w:t>
      </w:r>
      <w:r w:rsidR="007D5C89" w:rsidRPr="00A36E44">
        <w:rPr>
          <w:rFonts w:eastAsia="Calibri"/>
        </w:rPr>
        <w:fldChar w:fldCharType="end"/>
      </w:r>
      <w:r w:rsidR="007D5C89" w:rsidRPr="00A36E44">
        <w:rPr>
          <w:rFonts w:eastAsia="Calibri"/>
        </w:rPr>
        <w:t>.</w:t>
      </w:r>
      <w:r w:rsidRPr="00A36E44">
        <w:rPr>
          <w:rFonts w:eastAsia="Calibri"/>
        </w:rPr>
        <w:t xml:space="preserve"> </w:t>
      </w:r>
      <w:r w:rsidR="002E3A4D" w:rsidRPr="00A36E44">
        <w:rPr>
          <w:rFonts w:eastAsia="Calibri"/>
        </w:rPr>
        <w:t xml:space="preserve">Similarly, in the autumn of 2018, </w:t>
      </w:r>
      <w:r w:rsidRPr="00A36E44">
        <w:rPr>
          <w:rFonts w:eastAsia="Calibri"/>
        </w:rPr>
        <w:t xml:space="preserve">the water height at the Moses-Saunders dam </w:t>
      </w:r>
      <w:r w:rsidR="0067093A" w:rsidRPr="00A36E44">
        <w:rPr>
          <w:rFonts w:eastAsia="Calibri"/>
        </w:rPr>
        <w:t xml:space="preserve">again </w:t>
      </w:r>
      <w:r w:rsidRPr="00A36E44">
        <w:rPr>
          <w:rFonts w:eastAsia="Calibri"/>
        </w:rPr>
        <w:t xml:space="preserve">neared the maximum </w:t>
      </w:r>
      <w:r w:rsidR="007256F2" w:rsidRPr="00A36E44">
        <w:rPr>
          <w:rFonts w:eastAsia="Calibri"/>
        </w:rPr>
        <w:t>‘</w:t>
      </w:r>
      <w:r w:rsidRPr="00A36E44">
        <w:rPr>
          <w:rFonts w:eastAsia="Calibri"/>
        </w:rPr>
        <w:t>L-limit</w:t>
      </w:r>
      <w:r w:rsidR="007256F2" w:rsidRPr="00A36E44">
        <w:rPr>
          <w:rFonts w:eastAsia="Calibri"/>
        </w:rPr>
        <w:t>’</w:t>
      </w:r>
      <w:r w:rsidRPr="00A36E44">
        <w:rPr>
          <w:rFonts w:eastAsia="Calibri"/>
        </w:rPr>
        <w:t xml:space="preserve"> of Plan 2014</w:t>
      </w:r>
      <w:r w:rsidR="0067093A" w:rsidRPr="00A36E44">
        <w:rPr>
          <w:rFonts w:eastAsia="Calibri"/>
        </w:rPr>
        <w:t xml:space="preserve"> </w:t>
      </w:r>
      <w:r w:rsidRPr="00A36E44">
        <w:rPr>
          <w:rFonts w:eastAsia="Calibri"/>
        </w:rPr>
        <w:t>(established as the highest possible outflow from the dam). In the early winter, the levels of Lake Ontario rose with increased precipitation</w:t>
      </w:r>
      <w:r w:rsidR="001C7C70" w:rsidRPr="00A36E44">
        <w:rPr>
          <w:rFonts w:eastAsia="Calibri"/>
        </w:rPr>
        <w:t xml:space="preserve"> until ice formation. </w:t>
      </w:r>
      <w:r w:rsidR="00C9487C" w:rsidRPr="00A36E44">
        <w:rPr>
          <w:rFonts w:eastAsia="Calibri"/>
        </w:rPr>
        <w:t xml:space="preserve">On </w:t>
      </w:r>
      <w:r w:rsidRPr="00A36E44">
        <w:rPr>
          <w:rFonts w:eastAsia="Calibri"/>
        </w:rPr>
        <w:t xml:space="preserve">the 7th of May 2019, water levels reached the high level emergency triggers (Criterion H14) </w:t>
      </w:r>
      <w:r w:rsidR="000147DE" w:rsidRPr="00A36E44">
        <w:rPr>
          <w:rFonts w:eastAsia="Calibri"/>
        </w:rPr>
        <w:fldChar w:fldCharType="begin"/>
      </w:r>
      <w:r w:rsidR="00D03D37" w:rsidRPr="00A36E44">
        <w:rPr>
          <w:rFonts w:eastAsia="Calibri"/>
        </w:rPr>
        <w:instrText xml:space="preserve"> ADDIN ZOTERO_ITEM CSL_CITATION {"citationID":"CBHiLqrv","properties":{"formattedCitation":"(International Lake Ontario- St. Lawrence River Board, 2020c:para.2)","plainCitation":"(International Lake Ontario- St. Lawrence River Board, 2020c:para.2)","noteIndex":0},"citationItems":[{"id":2336,"uris":["http://zotero.org/users/local/LV0ujPfY/items/ERK9MPIZ"],"uri":["http://zotero.org/users/local/LV0ujPfY/items/ERK9MPIZ"],"itemData":{"id":2336,"type":"webpage","container-title":"IJC.org","title":"Section 2: Effects of Regulation on Levels and Flows","URL":"https://ijc.org/en/loslrb/watershed/faq/2","author":[{"literal":"International Lake Ontario- St. Lawrence River Board"}],"issued":{"date-parts":[["2020"]]}},"locator":"para. 2"}],"schema":"https://github.com/citation-style-language/schema/raw/master/csl-citation.json"} </w:instrText>
      </w:r>
      <w:r w:rsidR="000147DE" w:rsidRPr="00A36E44">
        <w:rPr>
          <w:rFonts w:eastAsia="Calibri"/>
        </w:rPr>
        <w:fldChar w:fldCharType="separate"/>
      </w:r>
      <w:r w:rsidR="00D03D37" w:rsidRPr="00A36E44">
        <w:rPr>
          <w:rFonts w:eastAsia="Calibri"/>
          <w:noProof/>
        </w:rPr>
        <w:t>(International Lake Ontario- St. Lawrence River Board, 2020c:para.2)</w:t>
      </w:r>
      <w:r w:rsidR="000147DE" w:rsidRPr="00A36E44">
        <w:rPr>
          <w:rFonts w:eastAsia="Calibri"/>
        </w:rPr>
        <w:fldChar w:fldCharType="end"/>
      </w:r>
      <w:r w:rsidR="00D15F3D" w:rsidRPr="00A36E44">
        <w:rPr>
          <w:rFonts w:eastAsia="Calibri"/>
        </w:rPr>
        <w:t>. T</w:t>
      </w:r>
      <w:r w:rsidRPr="00A36E44">
        <w:rPr>
          <w:rFonts w:eastAsia="Calibri"/>
        </w:rPr>
        <w:t xml:space="preserve">he Board gave the dam </w:t>
      </w:r>
      <w:r w:rsidR="00743999">
        <w:rPr>
          <w:rFonts w:eastAsia="Calibri"/>
        </w:rPr>
        <w:t>operators</w:t>
      </w:r>
      <w:r w:rsidR="00743999" w:rsidRPr="00A36E44">
        <w:rPr>
          <w:rFonts w:eastAsia="Calibri"/>
        </w:rPr>
        <w:t xml:space="preserve"> </w:t>
      </w:r>
      <w:r w:rsidRPr="00A36E44">
        <w:rPr>
          <w:rFonts w:eastAsia="Calibri"/>
        </w:rPr>
        <w:t xml:space="preserve">authority to deviate from the usual regulation </w:t>
      </w:r>
      <w:r w:rsidR="007256F2" w:rsidRPr="00A36E44">
        <w:rPr>
          <w:rFonts w:eastAsia="Calibri"/>
        </w:rPr>
        <w:t>‘</w:t>
      </w:r>
      <w:r w:rsidRPr="00A36E44">
        <w:t>in order to continue balancing ongoing high water conditions in the lower St. Lawrence River with increasing water levels upstream on Lake Ontario and the upper St. Lawrence River</w:t>
      </w:r>
      <w:r w:rsidR="007256F2" w:rsidRPr="00A36E44">
        <w:t>’</w:t>
      </w:r>
      <w:r w:rsidRPr="00A36E44">
        <w:t xml:space="preserve"> </w:t>
      </w:r>
      <w:r w:rsidR="00AA2F3B" w:rsidRPr="00A36E44">
        <w:fldChar w:fldCharType="begin"/>
      </w:r>
      <w:r w:rsidR="00D03D37" w:rsidRPr="00A36E44">
        <w:instrText xml:space="preserve"> ADDIN ZOTERO_ITEM CSL_CITATION {"citationID":"z9WoQytP","properties":{"formattedCitation":"(International Lake Ontario- St. Lawrence River Board, 2020a:p.24)","plainCitation":"(International Lake Ontario- St. Lawrence River Board, 2020a:p.24)","noteIndex":0},"citationItems":[{"id":2320,"uris":["http://zotero.org/users/local/LV0ujPfY/items/JFWEKMBR"],"uri":["http://zotero.org/users/local/LV0ujPfY/items/JFWEKMBR"],"itemData":{"id":2320,"type":"webpage","title":"Lake Ontario-St. Lawrence River 2019 High Water Levels Questions and Answers","URL":"https://ijc.org/sites/default/files/2020-01/ILOSLRB_2019HighWaterQAs_Final_20200122.pdf","author":[{"family":"International Lake Ontario- St. Lawrence River Board","given":""}],"issued":{"date-parts":[["2020"]]}},"locator":"24"}],"schema":"https://github.com/citation-style-language/schema/raw/master/csl-citation.json"} </w:instrText>
      </w:r>
      <w:r w:rsidR="00AA2F3B" w:rsidRPr="00A36E44">
        <w:fldChar w:fldCharType="separate"/>
      </w:r>
      <w:r w:rsidR="00D03D37" w:rsidRPr="00A36E44">
        <w:rPr>
          <w:noProof/>
        </w:rPr>
        <w:t>(International Lake Ontario- St. Lawrence River Board, 2020a:p.24)</w:t>
      </w:r>
      <w:r w:rsidR="00AA2F3B" w:rsidRPr="00A36E44">
        <w:fldChar w:fldCharType="end"/>
      </w:r>
      <w:r w:rsidR="00AA2F3B" w:rsidRPr="00A36E44">
        <w:rPr>
          <w:rFonts w:eastAsia="Calibri"/>
        </w:rPr>
        <w:t xml:space="preserve">. </w:t>
      </w:r>
    </w:p>
    <w:p w14:paraId="0DE68948" w14:textId="77777777" w:rsidR="00491C69" w:rsidRDefault="00491C69" w:rsidP="00491C69">
      <w:pPr>
        <w:pStyle w:val="Heading2"/>
        <w:tabs>
          <w:tab w:val="left" w:pos="142"/>
        </w:tabs>
        <w:spacing w:before="0"/>
        <w:ind w:right="855"/>
        <w:rPr>
          <w:rFonts w:ascii="Times New Roman" w:eastAsia="Calibri" w:hAnsi="Times New Roman" w:cs="Times New Roman"/>
          <w:i/>
          <w:color w:val="000000"/>
          <w:sz w:val="24"/>
          <w:szCs w:val="24"/>
        </w:rPr>
      </w:pPr>
      <w:bookmarkStart w:id="9" w:name="_heading=h.17dp8vu" w:colFirst="0" w:colLast="0"/>
      <w:bookmarkEnd w:id="9"/>
    </w:p>
    <w:p w14:paraId="7CB78DB1" w14:textId="4187B2E3" w:rsidR="00E40325" w:rsidRPr="00665871" w:rsidRDefault="00E40325" w:rsidP="00491C69">
      <w:pPr>
        <w:pStyle w:val="Heading2"/>
        <w:tabs>
          <w:tab w:val="left" w:pos="142"/>
        </w:tabs>
        <w:spacing w:before="0"/>
        <w:ind w:right="855"/>
        <w:rPr>
          <w:rFonts w:ascii="Times New Roman" w:eastAsia="Calibri" w:hAnsi="Times New Roman" w:cs="Times New Roman"/>
          <w:i/>
          <w:color w:val="000000"/>
          <w:sz w:val="24"/>
          <w:szCs w:val="24"/>
        </w:rPr>
      </w:pPr>
      <w:r w:rsidRPr="00665871">
        <w:rPr>
          <w:rFonts w:ascii="Times New Roman" w:eastAsia="Calibri" w:hAnsi="Times New Roman" w:cs="Times New Roman"/>
          <w:i/>
          <w:color w:val="000000"/>
          <w:sz w:val="24"/>
          <w:szCs w:val="24"/>
        </w:rPr>
        <w:t>Political outcomes and public reaction</w:t>
      </w:r>
    </w:p>
    <w:p w14:paraId="71DD659A" w14:textId="03E9DAEC" w:rsidR="00984194" w:rsidRDefault="00E40325" w:rsidP="00AE55D6">
      <w:pPr>
        <w:tabs>
          <w:tab w:val="left" w:pos="142"/>
        </w:tabs>
        <w:ind w:right="855" w:firstLine="720"/>
        <w:rPr>
          <w:rFonts w:eastAsia="Calibri"/>
        </w:rPr>
      </w:pPr>
      <w:r w:rsidRPr="00A36E44">
        <w:rPr>
          <w:rFonts w:eastAsia="Calibri"/>
        </w:rPr>
        <w:t>The severity of the 2017 and 2019 floods brought the role of the IJC into public consciousness, and the reaction to these events demonstrates the tension surrounding transboundary flood management in a context of uncertainty and new extremes.</w:t>
      </w:r>
      <w:r w:rsidR="005843F6">
        <w:rPr>
          <w:rFonts w:eastAsia="Calibri"/>
        </w:rPr>
        <w:t xml:space="preserve"> </w:t>
      </w:r>
      <w:r w:rsidR="00896588" w:rsidRPr="00A36E44">
        <w:rPr>
          <w:rFonts w:eastAsia="Calibri"/>
        </w:rPr>
        <w:t xml:space="preserve">Concerns </w:t>
      </w:r>
      <w:r w:rsidR="000B3CA7" w:rsidRPr="00A36E44">
        <w:rPr>
          <w:rFonts w:eastAsia="Calibri"/>
        </w:rPr>
        <w:t xml:space="preserve">that had already arisen </w:t>
      </w:r>
      <w:r w:rsidR="004D12C1" w:rsidRPr="00A36E44">
        <w:rPr>
          <w:rFonts w:eastAsia="Calibri"/>
        </w:rPr>
        <w:t xml:space="preserve">regarding the </w:t>
      </w:r>
      <w:r w:rsidR="00BA50A5" w:rsidRPr="00A36E44">
        <w:rPr>
          <w:rFonts w:eastAsia="Calibri"/>
        </w:rPr>
        <w:t xml:space="preserve">higher water levels </w:t>
      </w:r>
      <w:r w:rsidR="00A50DB4" w:rsidRPr="00A36E44">
        <w:rPr>
          <w:rFonts w:eastAsia="Calibri"/>
        </w:rPr>
        <w:t xml:space="preserve">allowed by the </w:t>
      </w:r>
      <w:r w:rsidR="00DB1C61">
        <w:rPr>
          <w:rFonts w:eastAsia="Calibri"/>
        </w:rPr>
        <w:t>P</w:t>
      </w:r>
      <w:r w:rsidR="00A50DB4" w:rsidRPr="00A36E44">
        <w:rPr>
          <w:rFonts w:eastAsia="Calibri"/>
        </w:rPr>
        <w:t xml:space="preserve">lan </w:t>
      </w:r>
      <w:r w:rsidR="0066643F" w:rsidRPr="00A36E44">
        <w:rPr>
          <w:rFonts w:eastAsia="Calibri"/>
        </w:rPr>
        <w:t xml:space="preserve">were </w:t>
      </w:r>
      <w:r w:rsidR="007A6A4A" w:rsidRPr="00A36E44">
        <w:rPr>
          <w:rFonts w:eastAsia="Calibri"/>
        </w:rPr>
        <w:t>concretised</w:t>
      </w:r>
      <w:r w:rsidR="00656414" w:rsidRPr="00A36E44">
        <w:rPr>
          <w:rFonts w:eastAsia="Calibri"/>
        </w:rPr>
        <w:t xml:space="preserve"> </w:t>
      </w:r>
      <w:r w:rsidR="00BD1392" w:rsidRPr="00A36E44">
        <w:rPr>
          <w:rFonts w:eastAsia="Calibri"/>
        </w:rPr>
        <w:fldChar w:fldCharType="begin"/>
      </w:r>
      <w:r w:rsidR="006E6A2C">
        <w:rPr>
          <w:rFonts w:eastAsia="Calibri"/>
        </w:rPr>
        <w:instrText xml:space="preserve"> ADDIN ZOTERO_ITEM CSL_CITATION {"citationID":"5p3z2xA8","properties":{"formattedCitation":"(Clamen &amp; Macfarlane, 2018)","plainCitation":"(Clamen &amp; Macfarlane, 2018)","noteIndex":0},"citationItems":[{"id":2349,"uris":["http://zotero.org/users/local/LV0ujPfY/items/LGWXDYXM"],"uri":["http://zotero.org/users/local/LV0ujPfY/items/LGWXDYXM"],"itemData":{"id":2349,"type":"article-journal","container-title":"Canadian Water Resources Journal / Revue canadienne des ressources hydriques","issue":"4","journalAbbreviation":"Canadian Water Resources Journal / Revue canadienne des ressources hydriques","language":"en","page":"416-431","title":"Plan 2014: The historical evolution of Lake Ontario–St. Lawrence River regulation","title-short":"Plan 2014","volume":"43","author":[{"family":"Clamen","given":"Murray"},{"family":"Macfarlane","given":"Daniel"}],"issued":{"date-parts":[["2018",10,2]]}}}],"schema":"https://github.com/citation-style-language/schema/raw/master/csl-citation.json"} </w:instrText>
      </w:r>
      <w:r w:rsidR="00BD1392" w:rsidRPr="00A36E44">
        <w:rPr>
          <w:rFonts w:eastAsia="Calibri"/>
        </w:rPr>
        <w:fldChar w:fldCharType="separate"/>
      </w:r>
      <w:r w:rsidR="00BD1392" w:rsidRPr="00A36E44">
        <w:rPr>
          <w:rFonts w:eastAsia="Calibri"/>
          <w:noProof/>
        </w:rPr>
        <w:t>(Clamen &amp; Macfarlane, 2018)</w:t>
      </w:r>
      <w:r w:rsidR="00BD1392" w:rsidRPr="00A36E44">
        <w:rPr>
          <w:rFonts w:eastAsia="Calibri"/>
        </w:rPr>
        <w:fldChar w:fldCharType="end"/>
      </w:r>
      <w:r w:rsidR="007A6A4A" w:rsidRPr="00A36E44">
        <w:rPr>
          <w:rFonts w:eastAsia="Calibri"/>
        </w:rPr>
        <w:t xml:space="preserve"> and a</w:t>
      </w:r>
      <w:r w:rsidRPr="00A36E44">
        <w:rPr>
          <w:rFonts w:eastAsia="Calibri"/>
        </w:rPr>
        <w:t xml:space="preserve">s the main new element of the governance plan, the new flexibility of the release rules was the focus of public debate. The divide was encapsulated in this quote from a 2018 news article: </w:t>
      </w:r>
      <w:r w:rsidR="007256F2" w:rsidRPr="00A36E44">
        <w:rPr>
          <w:rFonts w:eastAsia="Calibri"/>
        </w:rPr>
        <w:t>‘</w:t>
      </w:r>
      <w:r w:rsidRPr="00A36E44">
        <w:rPr>
          <w:rFonts w:eastAsia="Calibri"/>
        </w:rPr>
        <w:t>The controversy over water management and the record floods of 2017 pitted the interests of Americans against Canadians, experts against politicians, and property owners against each other, not to mention shipping companies and shoreline wildlife</w:t>
      </w:r>
      <w:r w:rsidR="007256F2" w:rsidRPr="00A36E44">
        <w:rPr>
          <w:rFonts w:eastAsia="Calibri"/>
        </w:rPr>
        <w:t>’</w:t>
      </w:r>
      <w:r w:rsidRPr="00A36E44">
        <w:rPr>
          <w:rFonts w:eastAsia="Calibri"/>
        </w:rPr>
        <w:t xml:space="preserve"> </w:t>
      </w:r>
      <w:r w:rsidR="00275889" w:rsidRPr="00A36E44">
        <w:rPr>
          <w:rFonts w:eastAsia="Calibri"/>
        </w:rPr>
        <w:fldChar w:fldCharType="begin"/>
      </w:r>
      <w:r w:rsidR="00B32C6F" w:rsidRPr="00A36E44">
        <w:rPr>
          <w:rFonts w:eastAsia="Calibri"/>
        </w:rPr>
        <w:instrText xml:space="preserve"> ADDIN ZOTERO_ITEM CSL_CITATION {"citationID":"LKx3ky7D","properties":{"formattedCitation":"(Perreaux, 2018, p. para.1)","plainCitation":"(Perreaux, 2018, p. para.1)","dontUpdate":true,"noteIndex":0},"citationItems":[{"id":300,"uris":["http://zotero.org/users/local/LV0ujPfY/items/MDH5WMHY"],"uri":["http://zotero.org/users/local/LV0ujPfY/items/MDH5WMHY"],"itemData":{"id":300,"type":"article-newspaper","container-title":"Globe and Mail","event-place":"Montreal","publisher-place":"Montreal","title":"What did we learn from 2017's floods in Quebec and Ontario? Inside the politics of water","URL":"https://www.theglobeandmail.com/news/national/quebec-ontario-floods-water-management-politics/article37511432/","author":[{"family":"Perreaux","given":"Les"}],"issued":{"date-parts":[["2018",1,5]]}},"locator":"para.1"}],"schema":"https://github.com/citation-style-language/schema/raw/master/csl-citation.json"} </w:instrText>
      </w:r>
      <w:r w:rsidR="00275889" w:rsidRPr="00A36E44">
        <w:rPr>
          <w:rFonts w:eastAsia="Calibri"/>
        </w:rPr>
        <w:fldChar w:fldCharType="separate"/>
      </w:r>
      <w:r w:rsidR="00275889" w:rsidRPr="00A36E44">
        <w:rPr>
          <w:rFonts w:eastAsia="Calibri"/>
          <w:noProof/>
        </w:rPr>
        <w:t>(Perreaux, 2018, para.1)</w:t>
      </w:r>
      <w:r w:rsidR="00275889" w:rsidRPr="00A36E44">
        <w:rPr>
          <w:rFonts w:eastAsia="Calibri"/>
        </w:rPr>
        <w:fldChar w:fldCharType="end"/>
      </w:r>
      <w:r w:rsidR="00275889" w:rsidRPr="00A36E44">
        <w:rPr>
          <w:rFonts w:eastAsia="Calibri"/>
        </w:rPr>
        <w:t xml:space="preserve">. </w:t>
      </w:r>
      <w:r w:rsidRPr="00A36E44">
        <w:rPr>
          <w:rFonts w:eastAsia="Calibri"/>
        </w:rPr>
        <w:t>Table 2 shows further examples of these reactions.</w:t>
      </w:r>
      <w:r w:rsidR="00AF3D13">
        <w:rPr>
          <w:rFonts w:eastAsia="Calibri"/>
        </w:rPr>
        <w:t xml:space="preserve"> </w:t>
      </w:r>
    </w:p>
    <w:p w14:paraId="27611257" w14:textId="71B02DCD" w:rsidR="003067B8" w:rsidRDefault="00E40325" w:rsidP="00AE55D6">
      <w:pPr>
        <w:tabs>
          <w:tab w:val="left" w:pos="142"/>
        </w:tabs>
        <w:ind w:right="855" w:firstLine="720"/>
        <w:rPr>
          <w:rFonts w:eastAsia="Calibri"/>
        </w:rPr>
      </w:pPr>
      <w:bookmarkStart w:id="10" w:name="_Hlk51693942"/>
      <w:r w:rsidRPr="00A36E44">
        <w:rPr>
          <w:rFonts w:eastAsia="Calibri"/>
        </w:rPr>
        <w:t>Upstream, the backlash against Plan 2014 among communities on Lake Ontario has been substantial</w:t>
      </w:r>
      <w:r w:rsidR="00E232A1" w:rsidRPr="00A36E44">
        <w:rPr>
          <w:rFonts w:eastAsia="Calibri"/>
        </w:rPr>
        <w:t xml:space="preserve"> </w:t>
      </w:r>
      <w:r w:rsidR="00AF6BA4" w:rsidRPr="00A36E44">
        <w:rPr>
          <w:rFonts w:eastAsia="Calibri"/>
        </w:rPr>
        <w:fldChar w:fldCharType="begin"/>
      </w:r>
      <w:r w:rsidR="006E6A2C">
        <w:rPr>
          <w:rFonts w:eastAsia="Calibri"/>
        </w:rPr>
        <w:instrText xml:space="preserve"> ADDIN ZOTERO_ITEM CSL_CITATION {"citationID":"G2Dymcji","properties":{"formattedCitation":"(Clamen &amp; Macfarlane, 2018)","plainCitation":"(Clamen &amp; Macfarlane, 2018)","noteIndex":0},"citationItems":[{"id":2349,"uris":["http://zotero.org/users/local/LV0ujPfY/items/LGWXDYXM"],"uri":["http://zotero.org/users/local/LV0ujPfY/items/LGWXDYXM"],"itemData":{"id":2349,"type":"article-journal","container-title":"Canadian Water Resources Journal / Revue canadienne des ressources hydriques","issue":"4","journalAbbreviation":"Canadian Water Resources Journal / Revue canadienne des ressources hydriques","language":"en","page":"416-431","title":"Plan 2014: The historical evolution of Lake Ontario–St. Lawrence River regulation","title-short":"Plan 2014","volume":"43","author":[{"family":"Clamen","given":"Murray"},{"family":"Macfarlane","given":"Daniel"}],"issued":{"date-parts":[["2018",10,2]]}}}],"schema":"https://github.com/citation-style-language/schema/raw/master/csl-citation.json"} </w:instrText>
      </w:r>
      <w:r w:rsidR="00AF6BA4" w:rsidRPr="00A36E44">
        <w:rPr>
          <w:rFonts w:eastAsia="Calibri"/>
        </w:rPr>
        <w:fldChar w:fldCharType="separate"/>
      </w:r>
      <w:r w:rsidR="00AF6BA4" w:rsidRPr="00A36E44">
        <w:rPr>
          <w:rFonts w:eastAsia="Calibri"/>
          <w:noProof/>
        </w:rPr>
        <w:t>(Clamen &amp; Macfarlane, 2018)</w:t>
      </w:r>
      <w:r w:rsidR="00AF6BA4" w:rsidRPr="00A36E44">
        <w:rPr>
          <w:rFonts w:eastAsia="Calibri"/>
        </w:rPr>
        <w:fldChar w:fldCharType="end"/>
      </w:r>
      <w:r w:rsidRPr="00A36E44">
        <w:rPr>
          <w:rFonts w:eastAsia="Calibri"/>
        </w:rPr>
        <w:t xml:space="preserve">. </w:t>
      </w:r>
      <w:r w:rsidR="008C25A2">
        <w:rPr>
          <w:rFonts w:eastAsia="Calibri"/>
        </w:rPr>
        <w:t>In 2019, t</w:t>
      </w:r>
      <w:r w:rsidRPr="00A36E44">
        <w:rPr>
          <w:rFonts w:eastAsia="Calibri"/>
        </w:rPr>
        <w:t xml:space="preserve">he State of New York even launched a lawsuit against the IJC for 50 million USD in compensation for negligence in protecting the interests of New Yorker property owners, stating that the IJC </w:t>
      </w:r>
      <w:r w:rsidR="007256F2" w:rsidRPr="00A36E44">
        <w:rPr>
          <w:rFonts w:eastAsia="Calibri"/>
        </w:rPr>
        <w:t>‘</w:t>
      </w:r>
      <w:r w:rsidR="00AD4DF9" w:rsidRPr="00A36E44">
        <w:rPr>
          <w:rFonts w:eastAsia="Calibri"/>
        </w:rPr>
        <w:t>failed to increase outflows from Lake Ontario to lower the water levels and abate flooding along the Lake Ontario shorefront</w:t>
      </w:r>
      <w:r w:rsidR="007256F2" w:rsidRPr="00A36E44">
        <w:rPr>
          <w:rFonts w:eastAsia="Calibri"/>
        </w:rPr>
        <w:t>’</w:t>
      </w:r>
      <w:r w:rsidR="00FE2022" w:rsidRPr="00A36E44">
        <w:rPr>
          <w:rFonts w:eastAsia="Calibri"/>
        </w:rPr>
        <w:t xml:space="preserve"> </w:t>
      </w:r>
      <w:bookmarkStart w:id="11" w:name="_Hlk51142809"/>
      <w:r w:rsidR="003067B8" w:rsidRPr="00A36E44">
        <w:rPr>
          <w:rFonts w:eastAsia="Calibri"/>
        </w:rPr>
        <w:fldChar w:fldCharType="begin"/>
      </w:r>
      <w:r w:rsidR="003067B8" w:rsidRPr="00A36E44">
        <w:rPr>
          <w:rFonts w:eastAsia="Calibri"/>
        </w:rPr>
        <w:instrText xml:space="preserve"> ADDIN ZOTERO_ITEM CSL_CITATION {"citationID":"hAAY8CZU","properties":{"formattedCitation":"(Berkman, 2019:p.23)","plainCitation":"(Berkman, 2019:p.23)","noteIndex":0},"citationItems":[{"id":2325,"uris":["http://zotero.org/users/local/LV0ujPfY/items/X3ZYXPXZ"],"uri":["http://zotero.org/users/local/LV0ujPfY/items/X3ZYXPXZ"],"itemData":{"id":2325,"type":"legal_case","authority":"Supreme Court Of The State Of New York County Of Monroe","number":"E2019009581","title":"New York State Department Of Environmental Conservation against International Joint Commission","URL":"https://www.courthousenews.com/wp-content/uploads/2019/10/NY_IJC_LakeOntarioFlooding-COMPLAINT.pdf","author":[{"family":"Berkman","given":"T. S."}],"issued":{"date-parts":[["2019",10,9]]}},"locator":"23"}],"schema":"https://github.com/citation-style-language/schema/raw/master/csl-citation.json"} </w:instrText>
      </w:r>
      <w:r w:rsidR="003067B8" w:rsidRPr="00A36E44">
        <w:rPr>
          <w:rFonts w:eastAsia="Calibri"/>
        </w:rPr>
        <w:fldChar w:fldCharType="separate"/>
      </w:r>
      <w:r w:rsidR="003067B8" w:rsidRPr="00A36E44">
        <w:rPr>
          <w:lang w:val="en-US"/>
        </w:rPr>
        <w:t>(Berkman, 2019:p.23)</w:t>
      </w:r>
      <w:r w:rsidR="003067B8" w:rsidRPr="00A36E44">
        <w:rPr>
          <w:rFonts w:eastAsia="Calibri"/>
        </w:rPr>
        <w:fldChar w:fldCharType="end"/>
      </w:r>
      <w:r w:rsidR="003067B8" w:rsidRPr="00A36E44">
        <w:rPr>
          <w:rFonts w:eastAsia="Calibri"/>
        </w:rPr>
        <w:t>.</w:t>
      </w:r>
      <w:r w:rsidR="003067B8">
        <w:rPr>
          <w:rFonts w:eastAsia="Calibri"/>
        </w:rPr>
        <w:t xml:space="preserve"> The lawsuit specifically highlights that 'nothing could be further from the truth' in the IJC's early claim that the benefits of Plan 2014 would outweigh the minor increased risk of flooding (</w:t>
      </w:r>
      <w:r w:rsidR="003067B8" w:rsidRPr="00A36E44">
        <w:rPr>
          <w:rFonts w:eastAsia="Calibri"/>
        </w:rPr>
        <w:fldChar w:fldCharType="begin"/>
      </w:r>
      <w:r w:rsidR="003067B8" w:rsidRPr="00A36E44">
        <w:rPr>
          <w:rFonts w:eastAsia="Calibri"/>
        </w:rPr>
        <w:instrText xml:space="preserve"> ADDIN ZOTERO_ITEM CSL_CITATION {"citationID":"hAAY8CZU","properties":{"formattedCitation":"(Berkman, 2019:p.23)","plainCitation":"(Berkman, 2019:p.23)","noteIndex":0},"citationItems":[{"id":2325,"uris":["http://zotero.org/users/local/LV0ujPfY/items/X3ZYXPXZ"],"uri":["http://zotero.org/users/local/LV0ujPfY/items/X3ZYXPXZ"],"itemData":{"id":2325,"type":"legal_case","authority":"Supreme Court Of The State Of New York County Of Monroe","number":"E2019009581","title":"New York State Department Of Environmental Conservation against International Joint Commission","URL":"https://www.courthousenews.com/wp-content/uploads/2019/10/NY_IJC_LakeOntarioFlooding-COMPLAINT.pdf","author":[{"family":"Berkman","given":"T. S."}],"issued":{"date-parts":[["2019",10,9]]}},"locator":"23"}],"schema":"https://github.com/citation-style-language/schema/raw/master/csl-citation.json"} </w:instrText>
      </w:r>
      <w:r w:rsidR="003067B8" w:rsidRPr="00A36E44">
        <w:rPr>
          <w:rFonts w:eastAsia="Calibri"/>
        </w:rPr>
        <w:fldChar w:fldCharType="separate"/>
      </w:r>
      <w:r w:rsidR="003067B8" w:rsidRPr="00A36E44">
        <w:rPr>
          <w:lang w:val="en-US"/>
        </w:rPr>
        <w:t>Berkman, 2019:</w:t>
      </w:r>
      <w:r w:rsidR="003067B8">
        <w:rPr>
          <w:lang w:val="en-US"/>
        </w:rPr>
        <w:t xml:space="preserve"> </w:t>
      </w:r>
      <w:r w:rsidR="003067B8" w:rsidRPr="00A36E44">
        <w:rPr>
          <w:lang w:val="en-US"/>
        </w:rPr>
        <w:t>2)</w:t>
      </w:r>
      <w:r w:rsidR="003067B8" w:rsidRPr="00A36E44">
        <w:rPr>
          <w:rFonts w:eastAsia="Calibri"/>
        </w:rPr>
        <w:fldChar w:fldCharType="end"/>
      </w:r>
      <w:r w:rsidR="003067B8">
        <w:rPr>
          <w:rFonts w:eastAsia="Calibri"/>
        </w:rPr>
        <w:t>, The first section of the lawsuit describes New York State's perception that Plan 2014 and the decisions made within it in 2017 and 2019 were unfair; it ends on this paragraph which illustrates particularly well the tensions of managing the uncertainty and interdependence of flooding</w:t>
      </w:r>
      <w:r w:rsidR="00FE0DE6">
        <w:rPr>
          <w:rFonts w:eastAsia="Calibri"/>
        </w:rPr>
        <w:t>:</w:t>
      </w:r>
    </w:p>
    <w:p w14:paraId="0B1B4551" w14:textId="77777777" w:rsidR="00D61050" w:rsidRDefault="003067B8" w:rsidP="00AE55D6">
      <w:pPr>
        <w:tabs>
          <w:tab w:val="left" w:pos="142"/>
        </w:tabs>
        <w:ind w:right="855" w:firstLine="720"/>
        <w:rPr>
          <w:rFonts w:eastAsia="Calibri"/>
        </w:rPr>
      </w:pPr>
      <w:r>
        <w:rPr>
          <w:rFonts w:eastAsia="Calibri"/>
        </w:rPr>
        <w:tab/>
      </w:r>
      <w:bookmarkStart w:id="12" w:name="_Hlk51143256"/>
      <w:r w:rsidRPr="00AE55D6">
        <w:rPr>
          <w:rFonts w:eastAsia="Calibri"/>
          <w:i/>
          <w:iCs/>
        </w:rPr>
        <w:t>'The DEC</w:t>
      </w:r>
      <w:bookmarkEnd w:id="12"/>
      <w:r w:rsidR="00D61050" w:rsidRPr="00AE55D6">
        <w:rPr>
          <w:rStyle w:val="FootnoteReference"/>
          <w:rFonts w:eastAsia="Calibri"/>
          <w:i/>
          <w:iCs/>
        </w:rPr>
        <w:footnoteReference w:id="3"/>
      </w:r>
      <w:r w:rsidRPr="00AE55D6">
        <w:rPr>
          <w:rFonts w:eastAsia="Calibri"/>
          <w:i/>
          <w:iCs/>
        </w:rPr>
        <w:t xml:space="preserve"> recognizes that the water levels on Lake Ontario are in part a function of natural conditions, and that to expect the IJC to prevent all flooding—particularly in the face of climate change—is unrealistic. The DEC also recognizes that the IJC must balance multiple factors in managing outflows, including the interests of upstream and downstream riparian owners, environmental concerns, and navigation and power. But the key word is “balance”. The IJC cannot saddle the (New York) State with the brunt of the damage.'</w:t>
      </w:r>
      <w:r>
        <w:rPr>
          <w:rFonts w:eastAsia="Calibri"/>
        </w:rPr>
        <w:t xml:space="preserve"> </w:t>
      </w:r>
      <w:r w:rsidRPr="00A36E44">
        <w:rPr>
          <w:rFonts w:eastAsia="Calibri"/>
        </w:rPr>
        <w:fldChar w:fldCharType="begin"/>
      </w:r>
      <w:r w:rsidRPr="00A36E44">
        <w:rPr>
          <w:rFonts w:eastAsia="Calibri"/>
        </w:rPr>
        <w:instrText xml:space="preserve"> ADDIN ZOTERO_ITEM CSL_CITATION {"citationID":"hAAY8CZU","properties":{"formattedCitation":"(Berkman, 2019:p.23)","plainCitation":"(Berkman, 2019:p.23)","noteIndex":0},"citationItems":[{"id":2325,"uris":["http://zotero.org/users/local/LV0ujPfY/items/X3ZYXPXZ"],"uri":["http://zotero.org/users/local/LV0ujPfY/items/X3ZYXPXZ"],"itemData":{"id":2325,"type":"legal_case","authority":"Supreme Court Of The State Of New York County Of Monroe","number":"E2019009581","title":"New York State Department Of Environmental Conservation against International Joint Commission","URL":"https://www.courthousenews.com/wp-content/uploads/2019/10/NY_IJC_LakeOntarioFlooding-COMPLAINT.pdf","author":[{"family":"Berkman","given":"T. S."}],"issued":{"date-parts":[["2019",10,9]]}},"locator":"23"}],"schema":"https://github.com/citation-style-language/schema/raw/master/csl-citation.json"} </w:instrText>
      </w:r>
      <w:r w:rsidRPr="00A36E44">
        <w:rPr>
          <w:rFonts w:eastAsia="Calibri"/>
        </w:rPr>
        <w:fldChar w:fldCharType="separate"/>
      </w:r>
      <w:r w:rsidRPr="00A36E44">
        <w:rPr>
          <w:lang w:val="en-US"/>
        </w:rPr>
        <w:t>(Berkman, 2019:</w:t>
      </w:r>
      <w:r>
        <w:rPr>
          <w:lang w:val="en-US"/>
        </w:rPr>
        <w:t xml:space="preserve"> 3</w:t>
      </w:r>
      <w:r w:rsidRPr="00A36E44">
        <w:rPr>
          <w:lang w:val="en-US"/>
        </w:rPr>
        <w:t>)</w:t>
      </w:r>
      <w:r w:rsidRPr="00A36E44">
        <w:rPr>
          <w:rFonts w:eastAsia="Calibri"/>
        </w:rPr>
        <w:fldChar w:fldCharType="end"/>
      </w:r>
      <w:r w:rsidR="00D61050">
        <w:rPr>
          <w:rFonts w:eastAsia="Calibri"/>
        </w:rPr>
        <w:t xml:space="preserve">. </w:t>
      </w:r>
    </w:p>
    <w:p w14:paraId="79F707B4" w14:textId="77777777" w:rsidR="00D61050" w:rsidRDefault="00D61050" w:rsidP="00AE55D6">
      <w:pPr>
        <w:tabs>
          <w:tab w:val="left" w:pos="142"/>
        </w:tabs>
        <w:ind w:right="855" w:firstLine="720"/>
        <w:rPr>
          <w:rFonts w:eastAsia="Calibri"/>
        </w:rPr>
      </w:pPr>
    </w:p>
    <w:p w14:paraId="7DE09C1F" w14:textId="3D803D5E" w:rsidR="003067B8" w:rsidRPr="00580D72" w:rsidRDefault="00580D72" w:rsidP="00AE55D6">
      <w:pPr>
        <w:tabs>
          <w:tab w:val="left" w:pos="142"/>
        </w:tabs>
        <w:ind w:right="856" w:firstLine="720"/>
        <w:rPr>
          <w:rFonts w:eastAsia="Calibri"/>
        </w:rPr>
      </w:pPr>
      <w:bookmarkStart w:id="13" w:name="_Hlk51745338"/>
      <w:bookmarkStart w:id="14" w:name="_Hlk51744988"/>
      <w:r w:rsidRPr="00580D72">
        <w:rPr>
          <w:rFonts w:eastAsia="Calibri"/>
        </w:rPr>
        <w:t>T</w:t>
      </w:r>
      <w:r w:rsidR="00D61050" w:rsidRPr="00580D72">
        <w:rPr>
          <w:rFonts w:eastAsia="Calibri"/>
        </w:rPr>
        <w:t>he New York State is arguing</w:t>
      </w:r>
      <w:r w:rsidR="00D61050" w:rsidRPr="0072550E">
        <w:rPr>
          <w:rFonts w:eastAsia="Calibri"/>
        </w:rPr>
        <w:t xml:space="preserve"> </w:t>
      </w:r>
      <w:r w:rsidR="003067B8" w:rsidRPr="00AE55D6">
        <w:rPr>
          <w:rFonts w:eastAsia="Calibri"/>
        </w:rPr>
        <w:t xml:space="preserve">that American law </w:t>
      </w:r>
      <w:r w:rsidRPr="00AE55D6">
        <w:t xml:space="preserve">provides an exception to sovereign immunity for any claim in which money damages are sought against a foreign </w:t>
      </w:r>
      <w:r w:rsidRPr="00DB1C61">
        <w:t>state</w:t>
      </w:r>
      <w:r>
        <w:t xml:space="preserve">, </w:t>
      </w:r>
      <w:r w:rsidRPr="00580D72">
        <w:rPr>
          <w:rFonts w:eastAsia="Calibri"/>
        </w:rPr>
        <w:t>permitt</w:t>
      </w:r>
      <w:r w:rsidR="00D61050" w:rsidRPr="00580D72">
        <w:rPr>
          <w:rFonts w:eastAsia="Calibri"/>
        </w:rPr>
        <w:t>ing a valid lawsuit</w:t>
      </w:r>
      <w:r w:rsidRPr="0072550E">
        <w:rPr>
          <w:rFonts w:eastAsia="Calibri"/>
        </w:rPr>
        <w:t xml:space="preserve"> against international </w:t>
      </w:r>
      <w:r w:rsidRPr="000B0A1E">
        <w:rPr>
          <w:rFonts w:eastAsia="Calibri"/>
        </w:rPr>
        <w:t>organ</w:t>
      </w:r>
      <w:r w:rsidRPr="00DB1C61">
        <w:rPr>
          <w:rFonts w:eastAsia="Calibri"/>
        </w:rPr>
        <w:t xml:space="preserve">isations (such as the IJC), allowing them to be sued. </w:t>
      </w:r>
      <w:r w:rsidRPr="00580D72">
        <w:rPr>
          <w:rFonts w:eastAsia="Calibri"/>
        </w:rPr>
        <w:t xml:space="preserve"> </w:t>
      </w:r>
      <w:r w:rsidR="00D61050" w:rsidRPr="00580D72">
        <w:rPr>
          <w:rFonts w:eastAsia="Calibri"/>
        </w:rPr>
        <w:t xml:space="preserve">The </w:t>
      </w:r>
      <w:r w:rsidR="00F7319E" w:rsidRPr="00580D72">
        <w:rPr>
          <w:rFonts w:eastAsia="Calibri"/>
        </w:rPr>
        <w:t>lawsuit</w:t>
      </w:r>
      <w:r w:rsidR="00D61050" w:rsidRPr="00580D72">
        <w:rPr>
          <w:rFonts w:eastAsia="Calibri"/>
        </w:rPr>
        <w:t xml:space="preserve"> remains unresolved.</w:t>
      </w:r>
    </w:p>
    <w:bookmarkEnd w:id="13"/>
    <w:p w14:paraId="6C5200C1" w14:textId="65F68125" w:rsidR="00580D72" w:rsidRDefault="00580D72" w:rsidP="00AE55D6">
      <w:pPr>
        <w:tabs>
          <w:tab w:val="left" w:pos="142"/>
        </w:tabs>
        <w:ind w:right="855" w:firstLine="720"/>
        <w:rPr>
          <w:rFonts w:eastAsia="Calibri"/>
        </w:rPr>
      </w:pPr>
    </w:p>
    <w:bookmarkEnd w:id="10"/>
    <w:bookmarkEnd w:id="11"/>
    <w:bookmarkEnd w:id="14"/>
    <w:p w14:paraId="56AF42F7" w14:textId="0FA7A81A" w:rsidR="00C70473" w:rsidRDefault="00E40325" w:rsidP="00AE55D6">
      <w:pPr>
        <w:tabs>
          <w:tab w:val="left" w:pos="142"/>
        </w:tabs>
        <w:ind w:right="855" w:firstLine="720"/>
        <w:rPr>
          <w:rFonts w:eastAsia="Calibri"/>
        </w:rPr>
      </w:pPr>
      <w:r w:rsidRPr="00A36E44">
        <w:rPr>
          <w:rFonts w:eastAsia="Calibri"/>
        </w:rPr>
        <w:t>Downstream on the</w:t>
      </w:r>
      <w:r w:rsidR="00FA371E">
        <w:rPr>
          <w:rFonts w:eastAsia="Calibri"/>
        </w:rPr>
        <w:t xml:space="preserve"> Canadian</w:t>
      </w:r>
      <w:r w:rsidRPr="00A36E44">
        <w:rPr>
          <w:rFonts w:eastAsia="Calibri"/>
        </w:rPr>
        <w:t xml:space="preserve"> side of the border, arguably less attention has been paid to Plan 2014</w:t>
      </w:r>
      <w:r w:rsidR="006B6347">
        <w:rPr>
          <w:rFonts w:eastAsia="Calibri"/>
        </w:rPr>
        <w:t xml:space="preserve"> and the role of the IJC</w:t>
      </w:r>
      <w:r w:rsidRPr="00A36E44">
        <w:rPr>
          <w:rFonts w:eastAsia="Calibri"/>
        </w:rPr>
        <w:t>, and emphasis has been placed instead on examining changes in extreme weather</w:t>
      </w:r>
      <w:r w:rsidR="00C66EBA">
        <w:rPr>
          <w:rFonts w:eastAsia="Calibri"/>
        </w:rPr>
        <w:t xml:space="preserve"> and urban planning</w:t>
      </w:r>
      <w:r w:rsidR="00E53C86">
        <w:rPr>
          <w:rFonts w:eastAsia="Calibri"/>
        </w:rPr>
        <w:t xml:space="preserve"> (Table 2)</w:t>
      </w:r>
      <w:r w:rsidRPr="00A36E44">
        <w:rPr>
          <w:rFonts w:eastAsia="Calibri"/>
        </w:rPr>
        <w:t>. For instance, the city of Montreal’s official reports on the 2017 floods show no evidence of work with Plan 2014 or the IJC</w:t>
      </w:r>
      <w:r w:rsidR="000E601D">
        <w:rPr>
          <w:rFonts w:eastAsia="Calibri"/>
        </w:rPr>
        <w:t xml:space="preserve"> </w:t>
      </w:r>
      <w:r w:rsidR="00A12A9D">
        <w:rPr>
          <w:rFonts w:eastAsia="Calibri"/>
        </w:rPr>
        <w:fldChar w:fldCharType="begin"/>
      </w:r>
      <w:r w:rsidR="00A12A9D">
        <w:rPr>
          <w:rFonts w:eastAsia="Calibri"/>
        </w:rPr>
        <w:instrText xml:space="preserve"> ADDIN ZOTERO_ITEM CSL_CITATION {"citationID":"KK5zVu7r","properties":{"formattedCitation":"(Service de s\\uc0\\u233{}curit\\uc0\\u233{} incendie de Montr\\uc0\\u233{}al/ Direction de la s\\uc0\\u233{}curit\\uc0\\u233{} civile et de la r\\uc0\\u233{}silience, 2017)","plainCitation":"(Service de sécurité incendie de Montréal/ Direction de la sécurité civile et de la résilience, 2017)","noteIndex":0},"citationItems":[{"id":2318,"uris":["http://zotero.org/users/local/LV0ujPfY/items/TQNUX3IN"],"uri":["http://zotero.org/users/local/LV0ujPfY/items/TQNUX3IN"],"itemData":{"id":2318,"type":"report","event-place":"Montreal, Qc","publisher":"Ville de Montréal","publisher-place":"Montreal, Qc","title":"Rapport d’événement et de rétroaction Inondations 2017: Faire de Montréal une communauté résiliente aux inondations.","URL":"http://ville.montreal.qc.ca/pls/portal/docs/PAGE/COMMISSIONS_PERM_V2_FR/MEDIA/DOCUMENTS/DOCCONSULT_20171212.PDF","author":[{"family":"Service de sécurité incendie de Montréal/ Direction de la sécurité civile et de la résilience","given":""}],"issued":{"date-parts":[["2017",12,12]]}}}],"schema":"https://github.com/citation-style-language/schema/raw/master/csl-citation.json"} </w:instrText>
      </w:r>
      <w:r w:rsidR="00A12A9D">
        <w:rPr>
          <w:rFonts w:eastAsia="Calibri"/>
        </w:rPr>
        <w:fldChar w:fldCharType="separate"/>
      </w:r>
      <w:r w:rsidR="00A12A9D" w:rsidRPr="00A12A9D">
        <w:rPr>
          <w:lang w:val="en-US"/>
        </w:rPr>
        <w:t>(Service de sécurité incendie de Montréal/ Direction de la sécurité civile et de la résilience, 2017)</w:t>
      </w:r>
      <w:r w:rsidR="00A12A9D">
        <w:rPr>
          <w:rFonts w:eastAsia="Calibri"/>
        </w:rPr>
        <w:fldChar w:fldCharType="end"/>
      </w:r>
      <w:r w:rsidRPr="00A36E44">
        <w:rPr>
          <w:rFonts w:eastAsia="Calibri"/>
        </w:rPr>
        <w:t>.</w:t>
      </w:r>
      <w:r w:rsidR="006A4F6C">
        <w:rPr>
          <w:rFonts w:eastAsia="Calibri"/>
        </w:rPr>
        <w:t xml:space="preserve"> I</w:t>
      </w:r>
      <w:r w:rsidRPr="00A36E44">
        <w:rPr>
          <w:rFonts w:eastAsia="Calibri"/>
        </w:rPr>
        <w:t xml:space="preserve">f anything, the plan's flexible regulation had protected the </w:t>
      </w:r>
      <w:r w:rsidR="00FE0DE6">
        <w:rPr>
          <w:rFonts w:eastAsia="Calibri"/>
        </w:rPr>
        <w:t>city</w:t>
      </w:r>
      <w:r w:rsidRPr="00A36E44">
        <w:rPr>
          <w:rFonts w:eastAsia="Calibri"/>
        </w:rPr>
        <w:t xml:space="preserve"> from much higher water level</w:t>
      </w:r>
      <w:r w:rsidR="00041BB8" w:rsidRPr="00A36E44">
        <w:rPr>
          <w:rFonts w:eastAsia="Calibri"/>
        </w:rPr>
        <w:t>s</w:t>
      </w:r>
      <w:r w:rsidR="005B74A3">
        <w:rPr>
          <w:rFonts w:eastAsia="Calibri"/>
        </w:rPr>
        <w:t xml:space="preserve"> than </w:t>
      </w:r>
      <w:r w:rsidR="003067B8">
        <w:rPr>
          <w:rFonts w:eastAsia="Calibri"/>
        </w:rPr>
        <w:t xml:space="preserve">occurred in </w:t>
      </w:r>
      <w:r w:rsidR="005B74A3">
        <w:rPr>
          <w:rFonts w:eastAsia="Calibri"/>
        </w:rPr>
        <w:t>the severe situation that occurred</w:t>
      </w:r>
      <w:r w:rsidR="00FA3D8E" w:rsidRPr="00045DC0">
        <w:rPr>
          <w:rFonts w:eastAsia="Calibri"/>
        </w:rPr>
        <w:t>; p</w:t>
      </w:r>
      <w:r w:rsidRPr="00045DC0">
        <w:rPr>
          <w:rFonts w:eastAsia="Calibri"/>
        </w:rPr>
        <w:t xml:space="preserve">erhaps the </w:t>
      </w:r>
      <w:r w:rsidR="00045DC0">
        <w:rPr>
          <w:rFonts w:eastAsia="Calibri"/>
        </w:rPr>
        <w:t xml:space="preserve">more </w:t>
      </w:r>
      <w:r w:rsidRPr="00045DC0">
        <w:rPr>
          <w:rFonts w:eastAsia="Calibri"/>
        </w:rPr>
        <w:t xml:space="preserve">recent floods </w:t>
      </w:r>
      <w:r w:rsidR="00DB1C61">
        <w:rPr>
          <w:rFonts w:eastAsia="Calibri"/>
        </w:rPr>
        <w:t xml:space="preserve">in 2019 </w:t>
      </w:r>
      <w:r w:rsidR="00577997" w:rsidRPr="00045DC0">
        <w:rPr>
          <w:rFonts w:eastAsia="Calibri"/>
        </w:rPr>
        <w:t>will be</w:t>
      </w:r>
      <w:r w:rsidRPr="00045DC0">
        <w:rPr>
          <w:rFonts w:eastAsia="Calibri"/>
        </w:rPr>
        <w:t xml:space="preserve"> catalysts in creating </w:t>
      </w:r>
      <w:r w:rsidR="00C835F0" w:rsidRPr="00045DC0">
        <w:rPr>
          <w:rFonts w:eastAsia="Calibri"/>
        </w:rPr>
        <w:t xml:space="preserve">greater </w:t>
      </w:r>
      <w:r w:rsidRPr="00045DC0">
        <w:rPr>
          <w:rFonts w:eastAsia="Calibri"/>
        </w:rPr>
        <w:t xml:space="preserve">awareness of the IJC’s importance </w:t>
      </w:r>
      <w:r w:rsidR="005B74A3">
        <w:rPr>
          <w:rFonts w:eastAsia="Calibri"/>
        </w:rPr>
        <w:t>role in</w:t>
      </w:r>
      <w:r w:rsidR="005B74A3" w:rsidRPr="00045DC0">
        <w:rPr>
          <w:rFonts w:eastAsia="Calibri"/>
        </w:rPr>
        <w:t xml:space="preserve"> </w:t>
      </w:r>
      <w:r w:rsidRPr="00045DC0">
        <w:rPr>
          <w:rFonts w:eastAsia="Calibri"/>
        </w:rPr>
        <w:t>the protection of Montreal</w:t>
      </w:r>
      <w:r w:rsidR="005B74A3">
        <w:rPr>
          <w:rFonts w:eastAsia="Calibri"/>
        </w:rPr>
        <w:t xml:space="preserve">. </w:t>
      </w:r>
    </w:p>
    <w:p w14:paraId="4DCFAF7B" w14:textId="4119AF25" w:rsidR="00E40325" w:rsidRPr="006A658A" w:rsidRDefault="00E40325" w:rsidP="00F07948">
      <w:pPr>
        <w:pStyle w:val="Heading1"/>
      </w:pPr>
      <w:bookmarkStart w:id="15" w:name="_heading=h.3rdcrjn" w:colFirst="0" w:colLast="0"/>
      <w:bookmarkEnd w:id="15"/>
      <w:r w:rsidRPr="006A658A">
        <w:t>Discussion: Tackling uncertainty in transboundary flood risk management</w:t>
      </w:r>
    </w:p>
    <w:p w14:paraId="338BD71A" w14:textId="6AAD235B" w:rsidR="00E40325" w:rsidRDefault="00E40325" w:rsidP="00AE55D6">
      <w:pPr>
        <w:ind w:right="855" w:firstLine="720"/>
        <w:rPr>
          <w:rFonts w:eastAsia="Calibri"/>
        </w:rPr>
      </w:pPr>
      <w:r w:rsidRPr="00A36E44">
        <w:rPr>
          <w:rFonts w:eastAsia="Calibri"/>
        </w:rPr>
        <w:t xml:space="preserve">We have discussed the evolving nature of managing transboundary flood risks towards a more flexible approach, and the situation in our case study when new rules encapsulating </w:t>
      </w:r>
      <w:r w:rsidR="00B448AD" w:rsidRPr="00A36E44">
        <w:rPr>
          <w:rFonts w:eastAsia="Calibri"/>
        </w:rPr>
        <w:t xml:space="preserve">this </w:t>
      </w:r>
      <w:r w:rsidRPr="00A36E44">
        <w:rPr>
          <w:rFonts w:eastAsia="Calibri"/>
        </w:rPr>
        <w:t xml:space="preserve">greater flexibility coincided with major flooding affecting communities on both sides of a border. </w:t>
      </w:r>
      <w:r w:rsidR="00F11FE3" w:rsidRPr="00523C81">
        <w:rPr>
          <w:rFonts w:eastAsia="Calibri"/>
        </w:rPr>
        <w:t>The</w:t>
      </w:r>
      <w:r w:rsidRPr="00E82695">
        <w:rPr>
          <w:rFonts w:eastAsia="Calibri"/>
        </w:rPr>
        <w:t xml:space="preserve"> </w:t>
      </w:r>
      <w:r w:rsidR="007256F2" w:rsidRPr="00E82695">
        <w:rPr>
          <w:rFonts w:eastAsia="Calibri"/>
        </w:rPr>
        <w:t>‘</w:t>
      </w:r>
      <w:r w:rsidRPr="0066654D">
        <w:rPr>
          <w:rFonts w:eastAsia="Calibri"/>
        </w:rPr>
        <w:t>symbiotic relationship</w:t>
      </w:r>
      <w:r w:rsidR="007256F2" w:rsidRPr="008E1B2A">
        <w:rPr>
          <w:rFonts w:eastAsia="Calibri"/>
        </w:rPr>
        <w:t>’</w:t>
      </w:r>
      <w:r w:rsidRPr="000C29E0">
        <w:rPr>
          <w:rFonts w:eastAsia="Calibri"/>
        </w:rPr>
        <w:t xml:space="preserve"> of</w:t>
      </w:r>
      <w:r w:rsidRPr="00A36E44">
        <w:rPr>
          <w:rFonts w:eastAsia="Calibri"/>
        </w:rPr>
        <w:t xml:space="preserve"> upstream and downstream communities </w:t>
      </w:r>
      <w:r w:rsidR="00585FC0" w:rsidRPr="00A36E44">
        <w:rPr>
          <w:rFonts w:eastAsia="Calibri"/>
        </w:rPr>
        <w:t xml:space="preserve">here and elsewhere </w:t>
      </w:r>
      <w:r w:rsidRPr="00A36E44">
        <w:rPr>
          <w:rFonts w:eastAsia="Calibri"/>
        </w:rPr>
        <w:t>makes equitable</w:t>
      </w:r>
      <w:r w:rsidR="00F11FE3" w:rsidRPr="00A36E44">
        <w:rPr>
          <w:rFonts w:eastAsia="Calibri"/>
        </w:rPr>
        <w:t xml:space="preserve"> flood</w:t>
      </w:r>
      <w:r w:rsidRPr="00A36E44">
        <w:rPr>
          <w:rFonts w:eastAsia="Calibri"/>
        </w:rPr>
        <w:t xml:space="preserve"> </w:t>
      </w:r>
      <w:r w:rsidR="00643287" w:rsidRPr="00A36E44">
        <w:rPr>
          <w:rFonts w:eastAsia="Calibri"/>
        </w:rPr>
        <w:t xml:space="preserve">risk </w:t>
      </w:r>
      <w:r w:rsidRPr="00A36E44">
        <w:rPr>
          <w:rFonts w:eastAsia="Calibri"/>
        </w:rPr>
        <w:t xml:space="preserve">management complex </w:t>
      </w:r>
      <w:r w:rsidR="005676C5" w:rsidRPr="00A36E44">
        <w:rPr>
          <w:rFonts w:eastAsia="Calibri"/>
        </w:rPr>
        <w:fldChar w:fldCharType="begin"/>
      </w:r>
      <w:r w:rsidR="005676C5" w:rsidRPr="00A36E44">
        <w:rPr>
          <w:rFonts w:eastAsia="Calibri"/>
        </w:rPr>
        <w:instrText xml:space="preserve"> ADDIN ZOTERO_ITEM CSL_CITATION {"citationID":"QNeNtHJ0","properties":{"formattedCitation":"(Orr &amp; McDermott, 2017)","plainCitation":"(Orr &amp; McDermott, 2017)","noteIndex":0},"citationItems":[{"id":605,"uris":["http://zotero.org/users/local/LV0ujPfY/items/RRNBIS4W"],"uri":["http://zotero.org/users/local/LV0ujPfY/items/RRNBIS4W"],"itemData":{"id":605,"type":"article-newspaper","container-title":"Democrat and Chronicle","event-place":"Rochester, NY","publisher-place":"Rochester, NY","title":"Shared Struggle: Flood Waters in Rochester, Montreal Trigger Balancing Act","URL":"https://eu.democratandchronicle.com/story/news/2017/05/06/montreal-canada-flooding-rochester-lake-ontario-st-lawrence-dam/101279100/","author":[{"family":"Orr","given":"Steve"},{"family":"McDermott","given":"Meaghan M"}],"issued":{"date-parts":[["2017",7,5]]}}}],"schema":"https://github.com/citation-style-language/schema/raw/master/csl-citation.json"} </w:instrText>
      </w:r>
      <w:r w:rsidR="005676C5" w:rsidRPr="00A36E44">
        <w:rPr>
          <w:rFonts w:eastAsia="Calibri"/>
        </w:rPr>
        <w:fldChar w:fldCharType="separate"/>
      </w:r>
      <w:r w:rsidR="00D03D37" w:rsidRPr="00A36E44">
        <w:rPr>
          <w:rFonts w:eastAsia="Calibri"/>
          <w:noProof/>
        </w:rPr>
        <w:t>(Orr &amp; McDermott, 2017)</w:t>
      </w:r>
      <w:r w:rsidR="005676C5" w:rsidRPr="00A36E44">
        <w:rPr>
          <w:rFonts w:eastAsia="Calibri"/>
        </w:rPr>
        <w:fldChar w:fldCharType="end"/>
      </w:r>
      <w:r w:rsidRPr="00A36E44">
        <w:rPr>
          <w:rFonts w:eastAsia="Calibri"/>
        </w:rPr>
        <w:t xml:space="preserve">. As Peter Annin, author of the </w:t>
      </w:r>
      <w:r w:rsidRPr="00A36E44">
        <w:rPr>
          <w:rFonts w:eastAsia="Calibri"/>
          <w:i/>
        </w:rPr>
        <w:t>Great Lakes Water Wars</w:t>
      </w:r>
      <w:r w:rsidR="00FE521F">
        <w:rPr>
          <w:rFonts w:eastAsia="Calibri"/>
          <w:i/>
        </w:rPr>
        <w:t>,</w:t>
      </w:r>
      <w:r w:rsidRPr="00A36E44">
        <w:rPr>
          <w:rFonts w:eastAsia="Calibri"/>
          <w:i/>
        </w:rPr>
        <w:t xml:space="preserve"> </w:t>
      </w:r>
      <w:r w:rsidRPr="00A36E44">
        <w:rPr>
          <w:rFonts w:eastAsia="Calibri"/>
        </w:rPr>
        <w:t xml:space="preserve">stated in an interview in 2018: </w:t>
      </w:r>
      <w:r w:rsidR="007256F2" w:rsidRPr="00A36E44">
        <w:rPr>
          <w:rFonts w:eastAsia="Calibri"/>
        </w:rPr>
        <w:t>‘</w:t>
      </w:r>
      <w:r w:rsidRPr="00A36E44">
        <w:rPr>
          <w:rFonts w:eastAsia="Calibri"/>
        </w:rPr>
        <w:t>Relief for one community harms another  community [...] there are no simple solutions</w:t>
      </w:r>
      <w:r w:rsidR="007256F2" w:rsidRPr="00A36E44">
        <w:rPr>
          <w:rFonts w:eastAsia="Calibri"/>
        </w:rPr>
        <w:t>’</w:t>
      </w:r>
      <w:r w:rsidRPr="00A36E44">
        <w:rPr>
          <w:rFonts w:eastAsia="Calibri"/>
        </w:rPr>
        <w:t xml:space="preserve"> </w:t>
      </w:r>
      <w:r w:rsidR="008F736F" w:rsidRPr="00A36E44">
        <w:rPr>
          <w:rFonts w:eastAsia="Calibri"/>
        </w:rPr>
        <w:fldChar w:fldCharType="begin"/>
      </w:r>
      <w:r w:rsidR="00D03D37" w:rsidRPr="00A36E44">
        <w:rPr>
          <w:rFonts w:eastAsia="Calibri"/>
        </w:rPr>
        <w:instrText xml:space="preserve"> ADDIN ZOTERO_ITEM CSL_CITATION {"citationID":"nx1ks7NP","properties":{"formattedCitation":"(Perreaux, 2018:para.18)","plainCitation":"(Perreaux, 2018:para.18)","noteIndex":0},"citationItems":[{"id":300,"uris":["http://zotero.org/users/local/LV0ujPfY/items/MDH5WMHY"],"uri":["http://zotero.org/users/local/LV0ujPfY/items/MDH5WMHY"],"itemData":{"id":300,"type":"article-newspaper","container-title":"Globe and Mail","event-place":"Montreal","publisher-place":"Montreal","title":"What did we learn from 2017's floods in Quebec and Ontario? Inside the politics of water","URL":"https://www.theglobeandmail.com/news/national/quebec-ontario-floods-water-management-politics/article37511432/","author":[{"family":"Perreaux","given":"Les"}],"issued":{"date-parts":[["2018",1,5]]}},"locator":"para. 18"}],"schema":"https://github.com/citation-style-language/schema/raw/master/csl-citation.json"} </w:instrText>
      </w:r>
      <w:r w:rsidR="008F736F" w:rsidRPr="00A36E44">
        <w:rPr>
          <w:rFonts w:eastAsia="Calibri"/>
        </w:rPr>
        <w:fldChar w:fldCharType="separate"/>
      </w:r>
      <w:r w:rsidR="00D03D37" w:rsidRPr="00A36E44">
        <w:rPr>
          <w:rFonts w:eastAsia="Calibri"/>
          <w:noProof/>
        </w:rPr>
        <w:t>(Perreaux, 2018:para.18)</w:t>
      </w:r>
      <w:r w:rsidR="008F736F" w:rsidRPr="00A36E44">
        <w:rPr>
          <w:rFonts w:eastAsia="Calibri"/>
        </w:rPr>
        <w:fldChar w:fldCharType="end"/>
      </w:r>
      <w:r w:rsidR="004F5D97" w:rsidRPr="00A36E44">
        <w:rPr>
          <w:rFonts w:eastAsia="Calibri"/>
        </w:rPr>
        <w:t>.</w:t>
      </w:r>
    </w:p>
    <w:p w14:paraId="767ED7F0" w14:textId="7FB1F51C" w:rsidR="00470755" w:rsidRDefault="00585FC0" w:rsidP="00AE55D6">
      <w:pPr>
        <w:ind w:right="855" w:firstLine="720"/>
        <w:rPr>
          <w:rFonts w:eastAsia="Calibri"/>
        </w:rPr>
      </w:pPr>
      <w:r w:rsidRPr="00A36E44">
        <w:t xml:space="preserve">But there can be positives here. </w:t>
      </w:r>
      <w:r w:rsidR="004F0E9E" w:rsidRPr="00A36E44">
        <w:t>T</w:t>
      </w:r>
      <w:r w:rsidR="006019CA" w:rsidRPr="00A36E44">
        <w:t xml:space="preserve">he term </w:t>
      </w:r>
      <w:r w:rsidR="007256F2" w:rsidRPr="00A36E44">
        <w:t>‘</w:t>
      </w:r>
      <w:r w:rsidR="006019CA" w:rsidRPr="00A36E44">
        <w:t>disaster cooperation</w:t>
      </w:r>
      <w:r w:rsidR="007256F2" w:rsidRPr="00A36E44">
        <w:t>’</w:t>
      </w:r>
      <w:r w:rsidR="004F0E9E" w:rsidRPr="00A36E44">
        <w:t xml:space="preserve"> has been used to refer</w:t>
      </w:r>
      <w:r w:rsidR="005A155E" w:rsidRPr="00A36E44">
        <w:t xml:space="preserve"> to</w:t>
      </w:r>
      <w:r w:rsidR="004F0E9E" w:rsidRPr="00A36E44">
        <w:t xml:space="preserve"> </w:t>
      </w:r>
      <w:r w:rsidR="006019CA" w:rsidRPr="00A36E44">
        <w:t xml:space="preserve">the notion by which nations </w:t>
      </w:r>
      <w:r w:rsidR="00C53392" w:rsidRPr="00AE55D6">
        <w:rPr>
          <w:iCs/>
        </w:rPr>
        <w:t>can</w:t>
      </w:r>
      <w:r w:rsidR="00C53392" w:rsidRPr="00A36E44">
        <w:t xml:space="preserve"> </w:t>
      </w:r>
      <w:r w:rsidR="006019CA" w:rsidRPr="00A36E44">
        <w:t>work together in times of crisis</w:t>
      </w:r>
      <w:r w:rsidR="00DA4D77" w:rsidRPr="00A36E44">
        <w:t xml:space="preserve"> </w:t>
      </w:r>
      <w:r w:rsidR="00F22EC3" w:rsidRPr="00A36E44">
        <w:t>- this may be</w:t>
      </w:r>
      <w:r w:rsidR="006019CA" w:rsidRPr="00A36E44">
        <w:t xml:space="preserve"> particularly </w:t>
      </w:r>
      <w:r w:rsidR="0048387B" w:rsidRPr="00A36E44">
        <w:t>true</w:t>
      </w:r>
      <w:r w:rsidR="006019CA" w:rsidRPr="00A36E44">
        <w:t xml:space="preserve"> if </w:t>
      </w:r>
      <w:r w:rsidR="00117B04" w:rsidRPr="00A36E44">
        <w:t xml:space="preserve">strong </w:t>
      </w:r>
      <w:r w:rsidR="006019CA" w:rsidRPr="00A36E44">
        <w:t>institutions and relationships are already well-established</w:t>
      </w:r>
      <w:r w:rsidR="0087638F" w:rsidRPr="00A36E44">
        <w:t xml:space="preserve"> </w:t>
      </w:r>
      <w:r w:rsidR="0087638F" w:rsidRPr="00A36E44">
        <w:fldChar w:fldCharType="begin"/>
      </w:r>
      <w:r w:rsidR="0037773D">
        <w:instrText xml:space="preserve"> ADDIN ZOTERO_ITEM CSL_CITATION {"citationID":"86dl48Xs","properties":{"formattedCitation":"(Glantz, 2003; Hannigan, 1976; LeMarquand, 1977)","plainCitation":"(Glantz, 2003; Hannigan, 1976; LeMarquand, 1977)","noteIndex":0},"citationItems":[{"id":1657,"uris":["http://zotero.org/users/local/LV0ujPfY/items/J8QKY226"],"uri":["http://zotero.org/users/local/LV0ujPfY/items/J8QKY226"],"itemData":{"id":1657,"type":"paper-conference","container-title":"EWS Workshop","event-place":"Shanghai","language":"en","page":"77","publisher":"National Center for Atmospheric Research","publisher-place":"Shanghai","source":"Zotero","title":"Usable Science 8: Early Warning Systems: Do’s and Don’ts","author":[{"family":"Glantz","given":"M."}],"issued":{"date-parts":[["2003",10,20]]}}},{"id":2342,"uris":["http://zotero.org/users/local/LV0ujPfY/items/ADE6BW4A"],"uri":["http://zotero.org/users/local/LV0ujPfY/items/ADE6BW4A"],"itemData":{"id":2342,"type":"article-journal","container-title":"University of Delaware Disaster Research Center","note":"publisher: Disaster Research Center","page":"15","title":"Newspaper Conflict and Cooperation Content After Disaster: An Exploratory Analysis","author":[{"family":"Hannigan","given":"John A."}],"issued":{"date-parts":[["1976"]]}}},{"id":666,"uris":["http://zotero.org/users/local/LV0ujPfY/items/4GSJ6RB9"],"uri":["http://zotero.org/users/local/LV0ujPfY/items/4GSJ6RB9"],"itemData":{"id":666,"type":"book","ISBN":"978-0-920146-01-9","language":"en","note":"Google-Books-ID: yY0RAAAAYAAJ","number-of-pages":"168","publisher":"Westwater Research Centre, University of British Colombia","source":"Google Books","title":"International Rivers: The Politics of Cooperation","title-short":"International Rivers","author":[{"family":"LeMarquand","given":"D.G."}],"issued":{"date-parts":[["1977"]]}}}],"schema":"https://github.com/citation-style-language/schema/raw/master/csl-citation.json"} </w:instrText>
      </w:r>
      <w:r w:rsidR="0087638F" w:rsidRPr="00A36E44">
        <w:fldChar w:fldCharType="separate"/>
      </w:r>
      <w:r w:rsidR="00D03D37" w:rsidRPr="00A36E44">
        <w:rPr>
          <w:noProof/>
        </w:rPr>
        <w:t>(Glantz, 2003; Hannigan, 1976; LeMarquand, 1977)</w:t>
      </w:r>
      <w:r w:rsidR="0087638F" w:rsidRPr="00A36E44">
        <w:fldChar w:fldCharType="end"/>
      </w:r>
      <w:r w:rsidR="006019CA" w:rsidRPr="00A36E44">
        <w:t xml:space="preserve">. </w:t>
      </w:r>
      <w:r w:rsidR="00DA7CD5" w:rsidRPr="00A36E44">
        <w:t>Notably,</w:t>
      </w:r>
      <w:r w:rsidR="006019CA" w:rsidRPr="00A36E44">
        <w:t xml:space="preserve"> </w:t>
      </w:r>
      <w:r w:rsidR="00C823E4" w:rsidRPr="00A36E44">
        <w:rPr>
          <w:rFonts w:eastAsia="Calibri"/>
          <w:color w:val="000000"/>
        </w:rPr>
        <w:t>LeMarquand</w:t>
      </w:r>
      <w:r w:rsidR="00946588" w:rsidRPr="00A36E44">
        <w:rPr>
          <w:rFonts w:eastAsia="Calibri"/>
          <w:color w:val="000000"/>
        </w:rPr>
        <w:t xml:space="preserve"> </w:t>
      </w:r>
      <w:r w:rsidR="008D21A9" w:rsidRPr="00A36E44">
        <w:rPr>
          <w:rFonts w:eastAsia="Calibri"/>
          <w:color w:val="000000"/>
        </w:rPr>
        <w:fldChar w:fldCharType="begin"/>
      </w:r>
      <w:r w:rsidR="00D03D37" w:rsidRPr="00A36E44">
        <w:rPr>
          <w:rFonts w:eastAsia="Calibri"/>
          <w:color w:val="000000"/>
        </w:rPr>
        <w:instrText xml:space="preserve"> ADDIN ZOTERO_ITEM CSL_CITATION {"citationID":"7OhR3ERQ","properties":{"formattedCitation":"(1993:p.77)","plainCitation":"(1993:p.77)","noteIndex":0},"citationItems":[{"id":296,"uris":["http://zotero.org/users/local/LV0ujPfY/items/BNQIMBEU"],"uri":["http://zotero.org/users/local/LV0ujPfY/items/BNQIMBEU"],"itemData":{"id":296,"type":"article-journal","container-title":"Natural Resources Journal","issue":"1","page":"59-91","title":"The International Joint Commission and Changing Canada-United States Boundary Relations","volume":"33","author":[{"family":"LeMarquand","given":"D.G"}],"issued":{"date-parts":[["1993"]]}},"locator":"77","suppress-author":true}],"schema":"https://github.com/citation-style-language/schema/raw/master/csl-citation.json"} </w:instrText>
      </w:r>
      <w:r w:rsidR="008D21A9" w:rsidRPr="00A36E44">
        <w:rPr>
          <w:rFonts w:eastAsia="Calibri"/>
          <w:color w:val="000000"/>
        </w:rPr>
        <w:fldChar w:fldCharType="separate"/>
      </w:r>
      <w:r w:rsidR="00D03D37" w:rsidRPr="00A36E44">
        <w:rPr>
          <w:rFonts w:eastAsia="Calibri"/>
          <w:noProof/>
          <w:color w:val="000000"/>
        </w:rPr>
        <w:t>(1993:p.77)</w:t>
      </w:r>
      <w:r w:rsidR="008D21A9" w:rsidRPr="00A36E44">
        <w:rPr>
          <w:rFonts w:eastAsia="Calibri"/>
          <w:color w:val="000000"/>
        </w:rPr>
        <w:fldChar w:fldCharType="end"/>
      </w:r>
      <w:r w:rsidR="008D21A9" w:rsidRPr="00A36E44">
        <w:rPr>
          <w:rFonts w:eastAsia="Calibri"/>
          <w:color w:val="000000"/>
        </w:rPr>
        <w:t xml:space="preserve"> </w:t>
      </w:r>
      <w:r w:rsidR="00DB1C61">
        <w:rPr>
          <w:rFonts w:eastAsia="Calibri"/>
          <w:color w:val="000000"/>
        </w:rPr>
        <w:t xml:space="preserve">indicated </w:t>
      </w:r>
      <w:r w:rsidR="00C823E4" w:rsidRPr="00A36E44">
        <w:rPr>
          <w:rFonts w:eastAsia="Calibri"/>
          <w:color w:val="000000"/>
        </w:rPr>
        <w:t xml:space="preserve"> that the IJC’s reputation for impartiality </w:t>
      </w:r>
      <w:r w:rsidR="007256F2" w:rsidRPr="00A36E44">
        <w:rPr>
          <w:rFonts w:eastAsia="Calibri"/>
          <w:color w:val="000000"/>
        </w:rPr>
        <w:t>‘</w:t>
      </w:r>
      <w:r w:rsidR="00C823E4" w:rsidRPr="00A36E44">
        <w:rPr>
          <w:rFonts w:eastAsia="Calibri"/>
          <w:color w:val="000000"/>
        </w:rPr>
        <w:t xml:space="preserve">has </w:t>
      </w:r>
      <w:r w:rsidR="00F31B47" w:rsidRPr="00A36E44">
        <w:rPr>
          <w:rFonts w:eastAsia="Calibri"/>
          <w:color w:val="000000"/>
        </w:rPr>
        <w:t>earned it</w:t>
      </w:r>
      <w:r w:rsidR="00C823E4" w:rsidRPr="00A36E44">
        <w:rPr>
          <w:rFonts w:eastAsia="Calibri"/>
          <w:color w:val="000000"/>
        </w:rPr>
        <w:t xml:space="preserve"> respect</w:t>
      </w:r>
      <w:r w:rsidR="007256F2" w:rsidRPr="00A36E44">
        <w:rPr>
          <w:rFonts w:eastAsia="Calibri"/>
          <w:color w:val="000000"/>
        </w:rPr>
        <w:t>’</w:t>
      </w:r>
      <w:r w:rsidR="00440D27" w:rsidRPr="00A36E44">
        <w:rPr>
          <w:rFonts w:eastAsia="Calibri"/>
          <w:color w:val="000000"/>
        </w:rPr>
        <w:t>, and the institution</w:t>
      </w:r>
      <w:r w:rsidR="001B12F6" w:rsidRPr="00A36E44">
        <w:rPr>
          <w:rFonts w:eastAsia="Calibri"/>
          <w:color w:val="000000"/>
        </w:rPr>
        <w:t xml:space="preserve"> has been </w:t>
      </w:r>
      <w:r w:rsidR="000E09D5" w:rsidRPr="00A36E44">
        <w:rPr>
          <w:rFonts w:eastAsia="Calibri"/>
          <w:color w:val="000000"/>
        </w:rPr>
        <w:t>named</w:t>
      </w:r>
      <w:r w:rsidR="001B12F6" w:rsidRPr="00A36E44">
        <w:rPr>
          <w:rFonts w:eastAsia="Calibri"/>
          <w:color w:val="000000"/>
        </w:rPr>
        <w:t xml:space="preserve"> as a </w:t>
      </w:r>
      <w:r w:rsidR="001C6910" w:rsidRPr="00A36E44">
        <w:rPr>
          <w:rFonts w:eastAsia="Calibri"/>
          <w:color w:val="000000"/>
        </w:rPr>
        <w:t>successful</w:t>
      </w:r>
      <w:r w:rsidR="001B12F6" w:rsidRPr="00A36E44">
        <w:rPr>
          <w:rFonts w:eastAsia="Calibri"/>
          <w:color w:val="000000"/>
        </w:rPr>
        <w:t xml:space="preserve"> example of transboundary cooperation</w:t>
      </w:r>
      <w:r w:rsidR="00C823E4" w:rsidRPr="00A36E44">
        <w:rPr>
          <w:rFonts w:eastAsia="Calibri"/>
          <w:color w:val="000000"/>
        </w:rPr>
        <w:t xml:space="preserve">. However, </w:t>
      </w:r>
      <w:r w:rsidR="00C823E4" w:rsidRPr="00A36E44">
        <w:rPr>
          <w:rFonts w:eastAsia="Calibri"/>
        </w:rPr>
        <w:t>t</w:t>
      </w:r>
      <w:r w:rsidR="00E40325" w:rsidRPr="00A36E44">
        <w:rPr>
          <w:rFonts w:eastAsia="Calibri"/>
        </w:rPr>
        <w:t>he backlash after the 2017 and 2019 floods exposes two difficulties with regard to uncertainty in modern flood risk management to which transboundary situations add another layer of complexity</w:t>
      </w:r>
      <w:r w:rsidR="000779D8">
        <w:rPr>
          <w:rFonts w:eastAsia="Calibri"/>
        </w:rPr>
        <w:t>; i</w:t>
      </w:r>
      <w:r w:rsidR="00E40325" w:rsidRPr="00A36E44">
        <w:rPr>
          <w:rFonts w:eastAsia="Calibri"/>
        </w:rPr>
        <w:t xml:space="preserve">n times of shock, the importance of these difficulties can be brought to the forefront as increased pressure is put on local </w:t>
      </w:r>
      <w:r w:rsidR="00876651">
        <w:rPr>
          <w:rFonts w:eastAsia="Calibri"/>
        </w:rPr>
        <w:t>decision makers</w:t>
      </w:r>
      <w:r w:rsidR="00814079">
        <w:rPr>
          <w:rFonts w:eastAsia="Calibri"/>
        </w:rPr>
        <w:t xml:space="preserve"> such as dam operators</w:t>
      </w:r>
      <w:r w:rsidR="005F4E2E">
        <w:rPr>
          <w:rFonts w:eastAsia="Calibri"/>
        </w:rPr>
        <w:t xml:space="preserve">. </w:t>
      </w:r>
    </w:p>
    <w:p w14:paraId="1A818E71" w14:textId="68C66254" w:rsidR="00470755" w:rsidRDefault="00AB5F8C" w:rsidP="00AE55D6">
      <w:pPr>
        <w:ind w:right="855" w:firstLine="720"/>
        <w:rPr>
          <w:rFonts w:eastAsia="Calibri"/>
          <w:color w:val="000000"/>
        </w:rPr>
      </w:pPr>
      <w:r>
        <w:rPr>
          <w:rFonts w:eastAsia="Calibri"/>
          <w:color w:val="000000"/>
        </w:rPr>
        <w:tab/>
      </w:r>
      <w:r w:rsidR="00470755">
        <w:rPr>
          <w:rFonts w:eastAsia="Calibri"/>
          <w:color w:val="000000"/>
        </w:rPr>
        <w:t xml:space="preserve">(1) </w:t>
      </w:r>
      <w:r w:rsidR="00E40325" w:rsidRPr="000117AE">
        <w:rPr>
          <w:rFonts w:eastAsia="Calibri"/>
          <w:color w:val="000000"/>
        </w:rPr>
        <w:t xml:space="preserve">Tight flood risk management rules are often preferred by local policy makers and their lay publics as they create more predictability that is easier to understand, accept, and used as vehicles for promoting accountabilities; but </w:t>
      </w:r>
    </w:p>
    <w:p w14:paraId="1C161439" w14:textId="77777777" w:rsidR="00504168" w:rsidRDefault="00AB5F8C" w:rsidP="00AE55D6">
      <w:pPr>
        <w:ind w:right="855" w:firstLine="720"/>
        <w:rPr>
          <w:rFonts w:eastAsia="Calibri"/>
          <w:color w:val="000000"/>
        </w:rPr>
      </w:pPr>
      <w:r>
        <w:rPr>
          <w:rFonts w:eastAsia="Calibri"/>
          <w:color w:val="000000"/>
        </w:rPr>
        <w:tab/>
      </w:r>
      <w:r w:rsidR="00470755">
        <w:rPr>
          <w:rFonts w:eastAsia="Calibri"/>
          <w:color w:val="000000"/>
        </w:rPr>
        <w:t xml:space="preserve">(2) </w:t>
      </w:r>
      <w:r w:rsidR="00E40325" w:rsidRPr="000117AE">
        <w:rPr>
          <w:rFonts w:eastAsia="Calibri"/>
          <w:color w:val="000000"/>
        </w:rPr>
        <w:t>Flood risk management systems and rules need to be made flexible in order to account for inherent hydro-meteorological uncertainty and the even greater uncertainties regarding future risks with climate change.</w:t>
      </w:r>
    </w:p>
    <w:p w14:paraId="60D98292" w14:textId="77777777" w:rsidR="00504168" w:rsidRDefault="00504168" w:rsidP="00AE55D6">
      <w:pPr>
        <w:ind w:right="855" w:firstLine="720"/>
        <w:rPr>
          <w:rFonts w:eastAsia="Calibri"/>
        </w:rPr>
      </w:pPr>
    </w:p>
    <w:p w14:paraId="4E53FBE4" w14:textId="3EE41DC6" w:rsidR="00FA371E" w:rsidRDefault="00E40325">
      <w:pPr>
        <w:ind w:right="855" w:firstLine="720"/>
      </w:pPr>
      <w:r w:rsidRPr="00A36E44">
        <w:rPr>
          <w:rFonts w:eastAsia="Calibri"/>
        </w:rPr>
        <w:t xml:space="preserve">Two issues are important here. First, animosity between these upstream and downstream communities can be particularly complex and strong in transboundary contexts where </w:t>
      </w:r>
      <w:r w:rsidR="00490118">
        <w:rPr>
          <w:rFonts w:eastAsia="Calibri"/>
        </w:rPr>
        <w:t>planners</w:t>
      </w:r>
      <w:r w:rsidR="008E5EE5" w:rsidRPr="00A36E44">
        <w:rPr>
          <w:rFonts w:eastAsia="Calibri"/>
        </w:rPr>
        <w:t xml:space="preserve"> </w:t>
      </w:r>
      <w:r w:rsidRPr="00A36E44">
        <w:rPr>
          <w:rFonts w:eastAsia="Calibri"/>
        </w:rPr>
        <w:t xml:space="preserve">are asked to balance the two potentially different local self-interests </w:t>
      </w:r>
      <w:r w:rsidR="00FA371E">
        <w:rPr>
          <w:rFonts w:eastAsia="Calibri"/>
        </w:rPr>
        <w:t xml:space="preserve">of those </w:t>
      </w:r>
      <w:r w:rsidRPr="00A36E44">
        <w:rPr>
          <w:rFonts w:eastAsia="Calibri"/>
        </w:rPr>
        <w:t xml:space="preserve">who may have very different attitudes to risk and uncertainty; for instance, the broader political contexts in the US and Canada have differed widely in the </w:t>
      </w:r>
      <w:r w:rsidR="00736418" w:rsidRPr="00A36E44">
        <w:rPr>
          <w:rFonts w:eastAsia="Calibri"/>
        </w:rPr>
        <w:t>last</w:t>
      </w:r>
      <w:r w:rsidRPr="00A36E44">
        <w:rPr>
          <w:rFonts w:eastAsia="Calibri"/>
        </w:rPr>
        <w:t xml:space="preserve"> few years. Managers and politicians are caught in a delicate balancing act of promoting their constituents’ interests</w:t>
      </w:r>
      <w:r w:rsidR="00F00945" w:rsidRPr="00A36E44">
        <w:rPr>
          <w:rFonts w:eastAsia="Calibri"/>
        </w:rPr>
        <w:t xml:space="preserve">, attempting </w:t>
      </w:r>
      <w:r w:rsidR="00F00945" w:rsidRPr="00A36E44">
        <w:t xml:space="preserve">to juggle jurisdictional differences (or what Cook </w:t>
      </w:r>
      <w:r w:rsidR="008252CC" w:rsidRPr="00A36E44">
        <w:fldChar w:fldCharType="begin"/>
      </w:r>
      <w:r w:rsidR="006E6A2C">
        <w:instrText xml:space="preserve"> ADDIN ZOTERO_ITEM CSL_CITATION {"citationID":"7VtWPdLB","properties":{"formattedCitation":"(2014)","plainCitation":"(2014)","noteIndex":0},"citationItems":[{"id":247,"uris":["http://zotero.org/users/local/LV0ujPfY/items/NA43KLDN"],"uri":["http://zotero.org/users/local/LV0ujPfY/items/NA43KLDN"],"itemData":{"id":247,"type":"article-journal","abstract":"This article examines how jurisdictional fragmentation has been addressed in Ontario’s governance of the Great Lakes Basin from 1912 to 2012. The water resources literature has frequently lamented fragmentation in water governance and called for integration; however, it infrequently speciﬁes how and what to integrate. By examining key moments in water quality and quantity governance, this study provides insight on how the presence or absence of particular institutional arrangements in the context of jurisdictional fragmentation produced different governance patterns and outcomes. Speciﬁcally, to determine governance patterns the study focused on four elements: an institution that facilitates coordination, agreement on roles and responsibilities, agreement on the issue management plan, and the scope of the issue. Combinations of these elements can produce governance patterns that are cooperative, conﬂictual or reactive and outcomes that are innovative, stagnant, or piecemeal. The study results suggest that when governing in the context of jurisdictional fragmentation efforts may best be directed at particular institutional arrangements. Further, it suggests that jurisdictional fragmentation be understood as a feature of the institutional complexity of water management that can be mobilized to develop unique solutions to multi-scalar water governance challenges.","container-title":"Geoforum","language":"en","page":"192-200","source":"Crossref","title":"Governing jurisdictional fragmentation: Tracing patterns of water governance in Ontario, Canada","title-short":"Governing jurisdictional fragmentation","volume":"56","author":[{"family":"Cook","given":"Christina"}],"issued":{"date-parts":[["2014",9]]}},"suppress-author":true}],"schema":"https://github.com/citation-style-language/schema/raw/master/csl-citation.json"} </w:instrText>
      </w:r>
      <w:r w:rsidR="008252CC" w:rsidRPr="00A36E44">
        <w:fldChar w:fldCharType="separate"/>
      </w:r>
      <w:r w:rsidR="00D03D37" w:rsidRPr="00A36E44">
        <w:rPr>
          <w:noProof/>
        </w:rPr>
        <w:t>(2014)</w:t>
      </w:r>
      <w:r w:rsidR="008252CC" w:rsidRPr="00A36E44">
        <w:fldChar w:fldCharType="end"/>
      </w:r>
      <w:r w:rsidR="00F00945" w:rsidRPr="00A36E44">
        <w:t xml:space="preserve"> calls </w:t>
      </w:r>
      <w:r w:rsidR="007256F2" w:rsidRPr="00A36E44">
        <w:t>‘</w:t>
      </w:r>
      <w:r w:rsidR="00F00945" w:rsidRPr="00A36E44">
        <w:t>fragmentation</w:t>
      </w:r>
      <w:r w:rsidR="007256F2" w:rsidRPr="00A36E44">
        <w:t>’</w:t>
      </w:r>
      <w:r w:rsidR="00F00945" w:rsidRPr="00A36E44">
        <w:rPr>
          <w:rFonts w:eastAsia="Calibri"/>
        </w:rPr>
        <w:t xml:space="preserve">) </w:t>
      </w:r>
      <w:r w:rsidRPr="00A36E44">
        <w:rPr>
          <w:rFonts w:eastAsia="Calibri"/>
        </w:rPr>
        <w:t xml:space="preserve">while upholding international principles and treaties meant to </w:t>
      </w:r>
      <w:r w:rsidRPr="00045DC0">
        <w:rPr>
          <w:rFonts w:eastAsia="Calibri"/>
        </w:rPr>
        <w:t>ensure equity</w:t>
      </w:r>
      <w:r w:rsidR="00DB42E8" w:rsidRPr="00045DC0">
        <w:t xml:space="preserve">.  </w:t>
      </w:r>
    </w:p>
    <w:p w14:paraId="640042FE" w14:textId="01F8C072" w:rsidR="00CD1C97" w:rsidRPr="00504168" w:rsidRDefault="00E40325" w:rsidP="00AE55D6">
      <w:pPr>
        <w:ind w:right="855" w:firstLine="720"/>
        <w:rPr>
          <w:rFonts w:eastAsia="Calibri"/>
          <w:color w:val="000000"/>
        </w:rPr>
      </w:pPr>
      <w:r w:rsidRPr="00045DC0">
        <w:rPr>
          <w:rFonts w:eastAsia="Calibri"/>
        </w:rPr>
        <w:t>Secondly, structural approaches to flood risk management can</w:t>
      </w:r>
      <w:r w:rsidR="00A63F2D" w:rsidRPr="00045DC0">
        <w:rPr>
          <w:rFonts w:eastAsia="Calibri"/>
        </w:rPr>
        <w:t xml:space="preserve"> </w:t>
      </w:r>
      <w:r w:rsidRPr="00045DC0">
        <w:rPr>
          <w:rFonts w:eastAsia="Calibri"/>
        </w:rPr>
        <w:t>pit river basin communities against each other, notably because releasing water through dams</w:t>
      </w:r>
      <w:r w:rsidR="003C33CC" w:rsidRPr="00045DC0">
        <w:rPr>
          <w:rFonts w:eastAsia="Calibri"/>
        </w:rPr>
        <w:t xml:space="preserve"> </w:t>
      </w:r>
      <w:r w:rsidRPr="00045DC0">
        <w:rPr>
          <w:rFonts w:eastAsia="Calibri"/>
        </w:rPr>
        <w:t xml:space="preserve">requires an active decision by </w:t>
      </w:r>
      <w:r w:rsidR="00F705EB">
        <w:rPr>
          <w:rFonts w:eastAsia="Calibri"/>
        </w:rPr>
        <w:t>operators</w:t>
      </w:r>
      <w:r w:rsidR="00F705EB" w:rsidRPr="00045DC0">
        <w:rPr>
          <w:rFonts w:eastAsia="Calibri"/>
        </w:rPr>
        <w:t xml:space="preserve"> </w:t>
      </w:r>
      <w:r w:rsidRPr="00045DC0">
        <w:rPr>
          <w:rFonts w:eastAsia="Calibri"/>
        </w:rPr>
        <w:t>that</w:t>
      </w:r>
      <w:r w:rsidR="00972D93" w:rsidRPr="00045DC0">
        <w:rPr>
          <w:rFonts w:eastAsia="Calibri"/>
        </w:rPr>
        <w:t>, wh</w:t>
      </w:r>
      <w:r w:rsidR="00045DC0" w:rsidRPr="00045DC0">
        <w:rPr>
          <w:rFonts w:eastAsia="Calibri"/>
        </w:rPr>
        <w:t>at</w:t>
      </w:r>
      <w:r w:rsidR="00972D93" w:rsidRPr="00045DC0">
        <w:rPr>
          <w:rFonts w:eastAsia="Calibri"/>
        </w:rPr>
        <w:t xml:space="preserve">ever it is, will </w:t>
      </w:r>
      <w:r w:rsidR="000C44D2" w:rsidRPr="00045DC0">
        <w:rPr>
          <w:rFonts w:eastAsia="Calibri"/>
        </w:rPr>
        <w:t>impact</w:t>
      </w:r>
      <w:r w:rsidRPr="00045DC0">
        <w:rPr>
          <w:rFonts w:eastAsia="Calibri"/>
        </w:rPr>
        <w:t xml:space="preserve"> communities on both sides of the structure and </w:t>
      </w:r>
      <w:r w:rsidR="00191C21" w:rsidRPr="00045DC0">
        <w:rPr>
          <w:rFonts w:eastAsia="Calibri"/>
        </w:rPr>
        <w:t>will</w:t>
      </w:r>
      <w:r w:rsidR="008D1303" w:rsidRPr="00045DC0">
        <w:rPr>
          <w:rFonts w:eastAsia="Calibri"/>
        </w:rPr>
        <w:t xml:space="preserve"> most likely</w:t>
      </w:r>
      <w:r w:rsidRPr="00045DC0">
        <w:rPr>
          <w:rFonts w:eastAsia="Calibri"/>
        </w:rPr>
        <w:t xml:space="preserve"> </w:t>
      </w:r>
      <w:r w:rsidR="00585FC0" w:rsidRPr="00045DC0">
        <w:rPr>
          <w:rFonts w:eastAsia="Calibri"/>
        </w:rPr>
        <w:t>generate</w:t>
      </w:r>
      <w:r w:rsidRPr="00045DC0">
        <w:rPr>
          <w:rFonts w:eastAsia="Calibri"/>
        </w:rPr>
        <w:t xml:space="preserve"> </w:t>
      </w:r>
      <w:r w:rsidR="000D052A" w:rsidRPr="00045DC0">
        <w:rPr>
          <w:rFonts w:eastAsia="Calibri"/>
        </w:rPr>
        <w:t xml:space="preserve">those </w:t>
      </w:r>
      <w:r w:rsidRPr="00045DC0">
        <w:rPr>
          <w:rFonts w:eastAsia="Calibri"/>
        </w:rPr>
        <w:t>feelings of unfair</w:t>
      </w:r>
      <w:r w:rsidR="00DC3C2E" w:rsidRPr="00045DC0">
        <w:rPr>
          <w:rFonts w:eastAsia="Calibri"/>
        </w:rPr>
        <w:t>ness</w:t>
      </w:r>
      <w:r w:rsidR="000D052A" w:rsidRPr="00045DC0">
        <w:rPr>
          <w:rFonts w:eastAsia="Calibri"/>
        </w:rPr>
        <w:t xml:space="preserve"> </w:t>
      </w:r>
      <w:r w:rsidR="00045DC0" w:rsidRPr="00045DC0">
        <w:rPr>
          <w:rFonts w:eastAsia="Calibri"/>
        </w:rPr>
        <w:t>discuss</w:t>
      </w:r>
      <w:r w:rsidR="000D052A" w:rsidRPr="00045DC0">
        <w:rPr>
          <w:rFonts w:eastAsia="Calibri"/>
        </w:rPr>
        <w:t xml:space="preserve">ed by Clamen and Macfarlane </w:t>
      </w:r>
      <w:r w:rsidR="00A12A9D" w:rsidRPr="00045DC0">
        <w:rPr>
          <w:rFonts w:eastAsia="Calibri"/>
        </w:rPr>
        <w:fldChar w:fldCharType="begin"/>
      </w:r>
      <w:r w:rsidR="00A12A9D" w:rsidRPr="00045DC0">
        <w:rPr>
          <w:rFonts w:eastAsia="Calibri"/>
        </w:rPr>
        <w:instrText xml:space="preserve"> ADDIN ZOTERO_ITEM CSL_CITATION {"citationID":"w0KBzu8U","properties":{"formattedCitation":"(2018)","plainCitation":"(2018)","noteIndex":0},"citationItems":[{"id":2349,"uris":["http://zotero.org/users/local/LV0ujPfY/items/LGWXDYXM"],"uri":["http://zotero.org/users/local/LV0ujPfY/items/LGWXDYXM"],"itemData":{"id":2349,"type":"article-journal","container-title":"Canadian Water Resources Journal / Revue canadienne des ressources hydriques","issue":"4","journalAbbreviation":"Canadian Water Resources Journal / Revue canadienne des ressources hydriques","language":"en","page":"416-431","title":"Plan 2014: The historical evolution of Lake Ontario–St. Lawrence River regulation","title-short":"Plan 2014","volume":"43","author":[{"family":"Clamen","given":"Murray"},{"family":"Macfarlane","given":"Daniel"}],"issued":{"date-parts":[["2018",10,2]]}},"suppress-author":true}],"schema":"https://github.com/citation-style-language/schema/raw/master/csl-citation.json"} </w:instrText>
      </w:r>
      <w:r w:rsidR="00A12A9D" w:rsidRPr="00045DC0">
        <w:rPr>
          <w:rFonts w:eastAsia="Calibri"/>
        </w:rPr>
        <w:fldChar w:fldCharType="separate"/>
      </w:r>
      <w:r w:rsidR="00A12A9D" w:rsidRPr="00045DC0">
        <w:rPr>
          <w:rFonts w:eastAsia="Calibri"/>
          <w:noProof/>
        </w:rPr>
        <w:t>(2018)</w:t>
      </w:r>
      <w:r w:rsidR="00A12A9D" w:rsidRPr="00045DC0">
        <w:rPr>
          <w:rFonts w:eastAsia="Calibri"/>
        </w:rPr>
        <w:fldChar w:fldCharType="end"/>
      </w:r>
      <w:r w:rsidR="00DC3C2E" w:rsidRPr="00045DC0">
        <w:rPr>
          <w:rFonts w:eastAsia="Calibri"/>
        </w:rPr>
        <w:t xml:space="preserve"> </w:t>
      </w:r>
      <w:r w:rsidR="008C27CB" w:rsidRPr="00045DC0">
        <w:rPr>
          <w:rFonts w:eastAsia="Calibri"/>
        </w:rPr>
        <w:t xml:space="preserve">and </w:t>
      </w:r>
      <w:r w:rsidR="00045DC0" w:rsidRPr="00045DC0">
        <w:rPr>
          <w:rFonts w:eastAsia="Calibri"/>
        </w:rPr>
        <w:t xml:space="preserve">highlighted </w:t>
      </w:r>
      <w:r w:rsidR="00045DC0">
        <w:rPr>
          <w:rFonts w:eastAsia="Calibri"/>
        </w:rPr>
        <w:t>here</w:t>
      </w:r>
      <w:r w:rsidR="00A12A9D" w:rsidRPr="00045DC0">
        <w:rPr>
          <w:rFonts w:eastAsia="Calibri"/>
        </w:rPr>
        <w:t>.</w:t>
      </w:r>
      <w:r w:rsidR="000D052A">
        <w:rPr>
          <w:rFonts w:eastAsia="Calibri"/>
        </w:rPr>
        <w:t xml:space="preserve"> </w:t>
      </w:r>
      <w:r w:rsidRPr="00A36E44">
        <w:rPr>
          <w:rFonts w:eastAsia="Calibri"/>
        </w:rPr>
        <w:t>C</w:t>
      </w:r>
      <w:r w:rsidRPr="00A36E44">
        <w:rPr>
          <w:rFonts w:eastAsia="Calibri"/>
          <w:color w:val="000000"/>
        </w:rPr>
        <w:t>onsiderable uncertainty may well surround current and future situations but decisions are needed on the operation of interventions today</w:t>
      </w:r>
      <w:r w:rsidR="00814079">
        <w:rPr>
          <w:rFonts w:eastAsia="Calibri"/>
          <w:color w:val="000000"/>
        </w:rPr>
        <w:t xml:space="preserve"> using infrastructures </w:t>
      </w:r>
      <w:r w:rsidRPr="00A36E44">
        <w:rPr>
          <w:rFonts w:eastAsia="Calibri"/>
          <w:color w:val="000000"/>
        </w:rPr>
        <w:t>that were designed decades ago and may well last another 50 or 100 years.</w:t>
      </w:r>
      <w:r w:rsidR="006356DB" w:rsidRPr="00A36E44">
        <w:rPr>
          <w:rFonts w:eastAsia="Calibri"/>
          <w:color w:val="000000"/>
        </w:rPr>
        <w:t xml:space="preserve"> T</w:t>
      </w:r>
      <w:r w:rsidRPr="00A36E44">
        <w:rPr>
          <w:rFonts w:eastAsia="Calibri"/>
        </w:rPr>
        <w:t>he situation we have described shows a break in trust in the governance arrangements (notably</w:t>
      </w:r>
      <w:r w:rsidR="00AE55D6">
        <w:rPr>
          <w:rFonts w:eastAsia="Calibri"/>
        </w:rPr>
        <w:t xml:space="preserve"> in</w:t>
      </w:r>
      <w:r w:rsidRPr="00A36E44">
        <w:rPr>
          <w:rFonts w:eastAsia="Calibri"/>
        </w:rPr>
        <w:t xml:space="preserve"> the IJC) by some of the affected communities, a distrust of the science behind the flexible plan (which was misunderstood), and a pervasive requirement from that public and its politicians for greater certainty than the science suggested </w:t>
      </w:r>
      <w:r w:rsidR="00814079">
        <w:rPr>
          <w:rFonts w:eastAsia="Calibri"/>
        </w:rPr>
        <w:t>i</w:t>
      </w:r>
      <w:r w:rsidRPr="00A36E44">
        <w:rPr>
          <w:rFonts w:eastAsia="Calibri"/>
        </w:rPr>
        <w:t xml:space="preserve">s possible. </w:t>
      </w:r>
    </w:p>
    <w:p w14:paraId="65B4607D" w14:textId="017DA243" w:rsidR="00CD1C97" w:rsidRDefault="00E40325" w:rsidP="00AE55D6">
      <w:pPr>
        <w:ind w:right="855" w:firstLine="720"/>
        <w:rPr>
          <w:rFonts w:eastAsia="Calibri"/>
        </w:rPr>
      </w:pPr>
      <w:r w:rsidRPr="00A36E44">
        <w:rPr>
          <w:rFonts w:eastAsia="Calibri"/>
        </w:rPr>
        <w:t xml:space="preserve">In these ways, uncertainty puts much socio-political pressure on regulators who are expected to interpret hydro-meteorological forecasts and observations and to make decisions on mitigation pathways that are fair for all. It is not a given that the public accepts even overwhelming scientific evidence or arguments. </w:t>
      </w:r>
      <w:r w:rsidR="00CE795F" w:rsidRPr="00A36E44">
        <w:rPr>
          <w:rFonts w:eastAsia="Calibri"/>
        </w:rPr>
        <w:t>Additionally, the vocal public debate also exemplifies an underlying tension of transboundary governance that</w:t>
      </w:r>
      <w:r w:rsidR="00585FC0" w:rsidRPr="00A36E44">
        <w:rPr>
          <w:rFonts w:eastAsia="Calibri"/>
        </w:rPr>
        <w:t xml:space="preserve"> we articulated </w:t>
      </w:r>
      <w:r w:rsidR="00CE795F" w:rsidRPr="00A36E44">
        <w:rPr>
          <w:rFonts w:eastAsia="Calibri"/>
        </w:rPr>
        <w:t>earlier: whether we should make agreements and treaties stricter or loosen them. W</w:t>
      </w:r>
      <w:r w:rsidRPr="00A36E44">
        <w:rPr>
          <w:rFonts w:eastAsia="Calibri"/>
        </w:rPr>
        <w:t>hile in the past the role of the IJC has mostly been ignored by the public, recent developments propelled the institution into political consciousness; there seems to have been little previous understanding of the mechanisms of Plan 2014, its rationale of uncertainty, and even its transnational links. In this case, even though the IJC was created to balance out self-interest and has for years provided a platform for international cooperation, it has now been blamed for the 2017/19 crisis. We can see in this respect that the conditions for successful transboundary water governance raised earlier in this paper may be necessary but they are not sufficient.</w:t>
      </w:r>
      <w:r w:rsidR="00F577CB" w:rsidRPr="00A36E44">
        <w:rPr>
          <w:rFonts w:eastAsia="Calibri"/>
        </w:rPr>
        <w:t xml:space="preserve"> </w:t>
      </w:r>
    </w:p>
    <w:p w14:paraId="443C88B2" w14:textId="77777777" w:rsidR="00491C69" w:rsidRDefault="00491C69" w:rsidP="00491C69">
      <w:pPr>
        <w:ind w:right="855"/>
        <w:rPr>
          <w:rFonts w:eastAsia="Calibri"/>
          <w:b/>
          <w:i/>
        </w:rPr>
      </w:pPr>
    </w:p>
    <w:p w14:paraId="01F45346" w14:textId="602D4853" w:rsidR="00CD1C97" w:rsidRPr="00CD1C97" w:rsidRDefault="00CD1C97" w:rsidP="00491C69">
      <w:pPr>
        <w:ind w:right="855"/>
        <w:rPr>
          <w:rFonts w:eastAsia="Calibri"/>
          <w:b/>
          <w:i/>
        </w:rPr>
      </w:pPr>
      <w:r w:rsidRPr="00CD1C97">
        <w:rPr>
          <w:rFonts w:eastAsia="Calibri"/>
          <w:b/>
          <w:i/>
        </w:rPr>
        <w:t>Expert and lay opinion</w:t>
      </w:r>
    </w:p>
    <w:p w14:paraId="782065AC" w14:textId="77777777" w:rsidR="00814079" w:rsidRDefault="00E40325" w:rsidP="00AE55D6">
      <w:pPr>
        <w:ind w:right="855" w:firstLine="720"/>
        <w:rPr>
          <w:rFonts w:eastAsia="Calibri"/>
        </w:rPr>
      </w:pPr>
      <w:r w:rsidRPr="00A36E44">
        <w:rPr>
          <w:rFonts w:eastAsia="Calibri"/>
        </w:rPr>
        <w:t xml:space="preserve">The case also illustrates the problem of lay opinion versus expert opinion with regards to uncertainty (Table 2), and raises the question of which should dominate FRM decision-making. </w:t>
      </w:r>
    </w:p>
    <w:p w14:paraId="4865EDA0" w14:textId="10783AF3" w:rsidR="00E40325" w:rsidRPr="005B3D87" w:rsidRDefault="00E40325" w:rsidP="00FA371E">
      <w:pPr>
        <w:ind w:right="855" w:firstLine="720"/>
        <w:rPr>
          <w:rFonts w:eastAsia="Calibri"/>
        </w:rPr>
      </w:pPr>
      <w:r w:rsidRPr="005B3D87">
        <w:rPr>
          <w:rFonts w:eastAsia="Calibri"/>
        </w:rPr>
        <w:t xml:space="preserve">If we </w:t>
      </w:r>
      <w:r w:rsidR="00814079">
        <w:rPr>
          <w:rFonts w:eastAsia="Calibri"/>
        </w:rPr>
        <w:t xml:space="preserve">were to </w:t>
      </w:r>
      <w:r w:rsidRPr="005B3D87">
        <w:rPr>
          <w:rFonts w:eastAsia="Calibri"/>
        </w:rPr>
        <w:t xml:space="preserve">accept that lay opinion should dominate, because communities are flooded and losses are incurred while their taxes are paying for FRM, then the evolution towards more flexible and adaptive management </w:t>
      </w:r>
      <w:r w:rsidR="00814079">
        <w:rPr>
          <w:rFonts w:eastAsia="Calibri"/>
        </w:rPr>
        <w:t>might</w:t>
      </w:r>
      <w:r w:rsidRPr="005B3D87">
        <w:rPr>
          <w:rFonts w:eastAsia="Calibri"/>
        </w:rPr>
        <w:t xml:space="preserve"> </w:t>
      </w:r>
      <w:r w:rsidR="00AE55D6">
        <w:rPr>
          <w:rFonts w:eastAsia="Calibri"/>
        </w:rPr>
        <w:t xml:space="preserve">have to be </w:t>
      </w:r>
      <w:r w:rsidRPr="005B3D87">
        <w:rPr>
          <w:rFonts w:eastAsia="Calibri"/>
        </w:rPr>
        <w:t xml:space="preserve">reconsidered, because these communities seek stability and predictable outcomes. However, as this case study shows, </w:t>
      </w:r>
      <w:r w:rsidR="005B7E0D" w:rsidRPr="00484A4E">
        <w:rPr>
          <w:rFonts w:eastAsia="Calibri"/>
        </w:rPr>
        <w:t xml:space="preserve">predictable flood outcomes are hard to come by given </w:t>
      </w:r>
      <w:r w:rsidR="00814079">
        <w:rPr>
          <w:rFonts w:eastAsia="Calibri"/>
        </w:rPr>
        <w:t xml:space="preserve">the in-bult </w:t>
      </w:r>
      <w:r w:rsidR="005B7E0D" w:rsidRPr="00484A4E">
        <w:rPr>
          <w:rFonts w:eastAsia="Calibri"/>
        </w:rPr>
        <w:t>uncertainty in the phenomenon</w:t>
      </w:r>
      <w:r w:rsidR="006D5832" w:rsidRPr="00484A4E">
        <w:rPr>
          <w:rFonts w:eastAsia="Calibri"/>
        </w:rPr>
        <w:t>. T</w:t>
      </w:r>
      <w:r w:rsidR="005B7E0D" w:rsidRPr="00484A4E">
        <w:rPr>
          <w:rFonts w:eastAsia="Calibri"/>
        </w:rPr>
        <w:t xml:space="preserve">here is </w:t>
      </w:r>
      <w:r w:rsidR="00114CCC" w:rsidRPr="00484A4E">
        <w:rPr>
          <w:rFonts w:eastAsia="Calibri"/>
        </w:rPr>
        <w:t xml:space="preserve">also </w:t>
      </w:r>
      <w:r w:rsidRPr="005B3D87">
        <w:rPr>
          <w:rFonts w:eastAsia="Calibri"/>
        </w:rPr>
        <w:t xml:space="preserve">no such thing as a monolithic lay opinion on best FRM </w:t>
      </w:r>
      <w:r w:rsidRPr="00484A4E">
        <w:rPr>
          <w:rFonts w:eastAsia="Calibri"/>
        </w:rPr>
        <w:t>practices</w:t>
      </w:r>
      <w:r w:rsidR="00814079">
        <w:rPr>
          <w:rFonts w:eastAsia="Calibri"/>
        </w:rPr>
        <w:t xml:space="preserve">, not least owing to </w:t>
      </w:r>
      <w:r w:rsidR="005B7E0D" w:rsidRPr="00484A4E">
        <w:rPr>
          <w:rFonts w:eastAsia="Calibri"/>
        </w:rPr>
        <w:t>the dynamics between upstream and downstream communities. T</w:t>
      </w:r>
      <w:r w:rsidRPr="00484A4E">
        <w:rPr>
          <w:rFonts w:eastAsia="Calibri"/>
        </w:rPr>
        <w:t xml:space="preserve">he </w:t>
      </w:r>
      <w:r w:rsidR="006249E8" w:rsidRPr="00484A4E">
        <w:rPr>
          <w:rFonts w:eastAsia="Calibri"/>
        </w:rPr>
        <w:t xml:space="preserve">uncertainty that stems from the </w:t>
      </w:r>
      <w:r w:rsidRPr="00484A4E">
        <w:rPr>
          <w:rFonts w:eastAsia="Calibri"/>
        </w:rPr>
        <w:t xml:space="preserve">plurality of opinions </w:t>
      </w:r>
      <w:r w:rsidR="00114CCC" w:rsidRPr="00484A4E">
        <w:rPr>
          <w:rFonts w:eastAsia="Calibri"/>
        </w:rPr>
        <w:t xml:space="preserve">and interests </w:t>
      </w:r>
      <w:r w:rsidRPr="00484A4E">
        <w:rPr>
          <w:rFonts w:eastAsia="Calibri"/>
        </w:rPr>
        <w:t>is another issue faced by decision-makers.</w:t>
      </w:r>
    </w:p>
    <w:p w14:paraId="657E7823" w14:textId="4ABF9FAE" w:rsidR="00814079" w:rsidRDefault="00BF7625" w:rsidP="00AE55D6">
      <w:pPr>
        <w:ind w:right="855" w:firstLine="720"/>
        <w:rPr>
          <w:rFonts w:eastAsia="Calibri"/>
        </w:rPr>
      </w:pPr>
      <w:r w:rsidRPr="00A36E44">
        <w:rPr>
          <w:rFonts w:eastAsia="Calibri"/>
        </w:rPr>
        <w:tab/>
      </w:r>
      <w:r w:rsidR="00E40325" w:rsidRPr="00A36E44">
        <w:rPr>
          <w:rFonts w:eastAsia="Calibri"/>
        </w:rPr>
        <w:t xml:space="preserve">If, on the other hand, we make decisions based on scientific results and expert opinion about how to manage uncertainty in flood risk management across national boundaries, then we should persevere with flexible new rules in anticipation that they are best placed with which to manage the uncertainty inherent in the situations we observe, and put efforts into building relationships with communities to ensure that they are kept abreast of any changes in flood risk management strategies. </w:t>
      </w:r>
      <w:r w:rsidR="001F5758" w:rsidRPr="00A36E44">
        <w:rPr>
          <w:rFonts w:eastAsia="Calibri"/>
        </w:rPr>
        <w:t xml:space="preserve"> </w:t>
      </w:r>
    </w:p>
    <w:p w14:paraId="6D3FBD10" w14:textId="2DE8B24E" w:rsidR="00814079" w:rsidRDefault="00E40325" w:rsidP="00AE55D6">
      <w:pPr>
        <w:ind w:right="855" w:firstLine="720"/>
        <w:rPr>
          <w:rFonts w:eastAsia="Calibri"/>
          <w:b/>
          <w:bCs/>
          <w:i/>
          <w:iCs/>
        </w:rPr>
      </w:pPr>
      <w:r w:rsidRPr="00A36E44">
        <w:rPr>
          <w:rFonts w:eastAsia="Calibri"/>
        </w:rPr>
        <w:t xml:space="preserve">As researchers, we may prefer the latter strategy, but recognise that inherently this must involve greater communication between the experts and the lay community than has occurred hitherto, to explain the complexity of the situation, if we are to counter any of the </w:t>
      </w:r>
      <w:r w:rsidR="00814079">
        <w:rPr>
          <w:rFonts w:eastAsia="Calibri"/>
        </w:rPr>
        <w:t xml:space="preserve">inevitable </w:t>
      </w:r>
      <w:r w:rsidRPr="00A36E44">
        <w:rPr>
          <w:rFonts w:eastAsia="Calibri"/>
        </w:rPr>
        <w:t xml:space="preserve">public backlash when floods occur that expert opinion might not </w:t>
      </w:r>
      <w:r w:rsidR="00814079">
        <w:rPr>
          <w:rFonts w:eastAsia="Calibri"/>
        </w:rPr>
        <w:t xml:space="preserve">or could not </w:t>
      </w:r>
      <w:r w:rsidRPr="00A36E44">
        <w:rPr>
          <w:rFonts w:eastAsia="Calibri"/>
        </w:rPr>
        <w:t>have anticipated.</w:t>
      </w:r>
    </w:p>
    <w:p w14:paraId="114BE82D" w14:textId="77777777" w:rsidR="00491C69" w:rsidRDefault="00491C69" w:rsidP="00491C69">
      <w:pPr>
        <w:ind w:right="855"/>
        <w:rPr>
          <w:rFonts w:eastAsia="Calibri"/>
        </w:rPr>
      </w:pPr>
    </w:p>
    <w:p w14:paraId="5338C441" w14:textId="6154E7C2" w:rsidR="00583852" w:rsidRPr="00AE55D6" w:rsidRDefault="00C96B26" w:rsidP="00491C69">
      <w:pPr>
        <w:ind w:right="855"/>
        <w:rPr>
          <w:rFonts w:eastAsia="Calibri"/>
          <w:b/>
          <w:bCs/>
          <w:i/>
          <w:iCs/>
        </w:rPr>
      </w:pPr>
      <w:r w:rsidRPr="00AE55D6">
        <w:rPr>
          <w:rFonts w:eastAsia="Calibri"/>
          <w:b/>
          <w:bCs/>
          <w:i/>
          <w:iCs/>
        </w:rPr>
        <w:t>Planners and operators</w:t>
      </w:r>
    </w:p>
    <w:p w14:paraId="4B67903C" w14:textId="77777777" w:rsidR="00FA371E" w:rsidRDefault="00971C51">
      <w:pPr>
        <w:ind w:right="855" w:firstLine="720"/>
        <w:rPr>
          <w:rFonts w:eastAsia="Calibri"/>
        </w:rPr>
      </w:pPr>
      <w:r>
        <w:rPr>
          <w:rFonts w:eastAsia="Calibri"/>
        </w:rPr>
        <w:t xml:space="preserve">Decision-makers must be accountable and able to justify their actions based on the best available science. </w:t>
      </w:r>
    </w:p>
    <w:p w14:paraId="4A172474" w14:textId="77777777" w:rsidR="00FA371E" w:rsidRDefault="00971C51">
      <w:pPr>
        <w:ind w:right="855" w:firstLine="720"/>
        <w:rPr>
          <w:rFonts w:eastAsia="Calibri"/>
        </w:rPr>
      </w:pPr>
      <w:r>
        <w:rPr>
          <w:rFonts w:eastAsia="Calibri"/>
        </w:rPr>
        <w:t xml:space="preserve">Our example also illustrates that if we accept that increasing the flexibility of regulation is the best tool to deal with uncertainty, this means we are also shifting some responsibility for decision-making further away from the planners and closer to those implementing the rules: the operators. With more rigid regulations, the planners are accountable for the outcomes which they shape. The more flexible the regulations, the more this responsibility moves to those implementing and interpreting the rules. These operators therefore become more susceptible to criticism of their decisions, and more likely to experience political and public backlash, local lobbying and political influence, leading to unforeseen consequences and reactions. </w:t>
      </w:r>
    </w:p>
    <w:p w14:paraId="385BB0EC" w14:textId="5F152AC8" w:rsidR="00971C51" w:rsidRDefault="00971C51" w:rsidP="00AE55D6">
      <w:pPr>
        <w:ind w:right="855" w:firstLine="720"/>
        <w:rPr>
          <w:rFonts w:eastAsia="Calibri"/>
        </w:rPr>
      </w:pPr>
      <w:r>
        <w:rPr>
          <w:rFonts w:eastAsia="Calibri"/>
        </w:rPr>
        <w:t xml:space="preserve">Within the transboundary institution whose role is already to balance the interests of all involved by the management of  flood risk (in our case the IJC) it may be necessary to bolster clear and agreed inter-nation liability parameters and their associated dispute resolution mechanisms, recognising the positions of both the planners and the operators. </w:t>
      </w:r>
    </w:p>
    <w:p w14:paraId="0EA979E0" w14:textId="77777777" w:rsidR="00491C69" w:rsidRDefault="00491C69" w:rsidP="00491C69">
      <w:pPr>
        <w:ind w:right="855"/>
        <w:rPr>
          <w:rFonts w:eastAsia="Calibri"/>
        </w:rPr>
      </w:pPr>
    </w:p>
    <w:p w14:paraId="454079EA" w14:textId="2816D300" w:rsidR="00303B86" w:rsidRPr="00303B86" w:rsidRDefault="00303B86" w:rsidP="00491C69">
      <w:pPr>
        <w:ind w:right="855"/>
        <w:rPr>
          <w:i/>
          <w:iCs/>
          <w:color w:val="000000"/>
        </w:rPr>
      </w:pPr>
      <w:r w:rsidRPr="00303B86">
        <w:rPr>
          <w:b/>
          <w:bCs/>
          <w:i/>
          <w:iCs/>
          <w:color w:val="000000"/>
        </w:rPr>
        <w:t>Communicating uncertainty for transboundary cooperation </w:t>
      </w:r>
    </w:p>
    <w:p w14:paraId="5591D5E2" w14:textId="77777777" w:rsidR="00303B86" w:rsidRPr="00303B86" w:rsidRDefault="00303B86" w:rsidP="00303B86">
      <w:pPr>
        <w:ind w:right="855" w:firstLine="720"/>
        <w:rPr>
          <w:color w:val="000000"/>
        </w:rPr>
      </w:pPr>
      <w:r w:rsidRPr="00303B86">
        <w:rPr>
          <w:color w:val="000000"/>
        </w:rPr>
        <w:t>The effectiveness of transboundary flood risk management relies on adequate communication by decision-makers (i.e. planners and operators, in our context) and the continued success of transboundary institutions.  It is beyond the scope of this paper to fully examine the public communication surrounding Plan 2014, but two insights do emerge from the story.  </w:t>
      </w:r>
    </w:p>
    <w:p w14:paraId="56C721B5" w14:textId="115ECADD" w:rsidR="00303B86" w:rsidRPr="00303B86" w:rsidRDefault="00303B86" w:rsidP="00303B86">
      <w:pPr>
        <w:ind w:right="855" w:firstLine="720"/>
        <w:rPr>
          <w:color w:val="000000"/>
        </w:rPr>
      </w:pPr>
      <w:r w:rsidRPr="00303B86">
        <w:rPr>
          <w:color w:val="000000"/>
        </w:rPr>
        <w:t xml:space="preserve">First, effective cooperation requires sufficient information and its communication; all parties must have enough information about the situation and its uncertainties in order for them to trust and therefore support any decisions made. This is not easy. In our case, public backlash to Plan 2014 shows evidence that public understanding of flood risk's hydrometeorological uncertainty and of the role of the regulators is lacking. That uncertainty is a particularly complex concept for the public to grasp, as a large canon of literature records. This difficulty has been highlighted in the Great Lakes themselves in fact, for example in Chao et al (1999) which compares different tools to communicate climatic uncertainty in the </w:t>
      </w:r>
      <w:r w:rsidR="00627069">
        <w:rPr>
          <w:color w:val="000000"/>
        </w:rPr>
        <w:t>basin</w:t>
      </w:r>
      <w:r w:rsidRPr="00303B86">
        <w:rPr>
          <w:color w:val="000000"/>
        </w:rPr>
        <w:t>. </w:t>
      </w:r>
    </w:p>
    <w:p w14:paraId="3064F818" w14:textId="77777777" w:rsidR="00303B86" w:rsidRPr="00303B86" w:rsidRDefault="00303B86" w:rsidP="00303B86">
      <w:pPr>
        <w:ind w:right="855" w:firstLine="720"/>
        <w:rPr>
          <w:color w:val="000000"/>
        </w:rPr>
      </w:pPr>
      <w:r w:rsidRPr="00303B86">
        <w:rPr>
          <w:color w:val="000000"/>
        </w:rPr>
        <w:t>Secondly, for transboundary cooperation to be effective, information held and interpreted on both sides of the border also must be symmetrical, to promote  mutual confidence (Bernauer (2002); Durth (1996)). Again, this is not easy. There have clearly been different interpretations of Plan 2014 between the Canadian and American public and governments. This suggests asymmetries in the understanding and political framing of the regulation and of the responsibilities of the IJC's planners and the dam operators, leading inter alia to the lawsuit that we have described and our  concern that future flooding incidents will face the same complexities and lead to further disputes.</w:t>
      </w:r>
    </w:p>
    <w:p w14:paraId="40DDF8DA" w14:textId="77777777" w:rsidR="00491C69" w:rsidRDefault="00491C69" w:rsidP="00491C69">
      <w:pPr>
        <w:ind w:right="855"/>
        <w:rPr>
          <w:rFonts w:eastAsia="Calibri"/>
          <w:b/>
          <w:i/>
        </w:rPr>
      </w:pPr>
    </w:p>
    <w:p w14:paraId="1ADA40A2" w14:textId="16B535CF" w:rsidR="003B20DB" w:rsidRPr="003B20DB" w:rsidRDefault="003B20DB" w:rsidP="00491C69">
      <w:pPr>
        <w:ind w:right="855"/>
        <w:rPr>
          <w:rFonts w:eastAsia="Calibri"/>
          <w:b/>
          <w:i/>
        </w:rPr>
      </w:pPr>
      <w:r>
        <w:rPr>
          <w:rFonts w:eastAsia="Calibri"/>
          <w:b/>
          <w:i/>
        </w:rPr>
        <w:t>Social and political uncertain</w:t>
      </w:r>
      <w:r w:rsidR="0074740E">
        <w:rPr>
          <w:rFonts w:eastAsia="Calibri"/>
          <w:b/>
          <w:i/>
        </w:rPr>
        <w:t>ty</w:t>
      </w:r>
    </w:p>
    <w:p w14:paraId="6711CE85" w14:textId="0D32E707" w:rsidR="00604F07" w:rsidRDefault="001F5758" w:rsidP="003618FF">
      <w:pPr>
        <w:ind w:right="855" w:firstLine="720"/>
        <w:rPr>
          <w:rFonts w:eastAsia="Calibri"/>
        </w:rPr>
      </w:pPr>
      <w:r w:rsidRPr="00A36E44">
        <w:rPr>
          <w:rFonts w:eastAsia="Calibri"/>
        </w:rPr>
        <w:t xml:space="preserve">This story additionally allows us to expand our definitions of uncertainty: there is great social and political uncertainty </w:t>
      </w:r>
      <w:r w:rsidR="003618FF">
        <w:rPr>
          <w:rFonts w:eastAsia="Calibri"/>
        </w:rPr>
        <w:t>regarding</w:t>
      </w:r>
      <w:r w:rsidRPr="00A36E44">
        <w:rPr>
          <w:rFonts w:eastAsia="Calibri"/>
        </w:rPr>
        <w:t xml:space="preserve"> flooding, in people's reactions and in institutions' response</w:t>
      </w:r>
      <w:r w:rsidR="00585FC0" w:rsidRPr="00A36E44">
        <w:rPr>
          <w:rFonts w:eastAsia="Calibri"/>
        </w:rPr>
        <w:t>s</w:t>
      </w:r>
      <w:r w:rsidRPr="00A36E44">
        <w:rPr>
          <w:rFonts w:eastAsia="Calibri"/>
        </w:rPr>
        <w:t xml:space="preserve">, overlaid on epistemic and ontological uncertainty contained in the hazard </w:t>
      </w:r>
      <w:r w:rsidRPr="007B56ED">
        <w:rPr>
          <w:rFonts w:eastAsia="Calibri"/>
        </w:rPr>
        <w:t>itself</w:t>
      </w:r>
      <w:r w:rsidR="00FA371E">
        <w:rPr>
          <w:rFonts w:eastAsia="Calibri"/>
        </w:rPr>
        <w:t xml:space="preserve"> (</w:t>
      </w:r>
      <w:r w:rsidR="003618FF">
        <w:rPr>
          <w:rFonts w:eastAsia="Calibri"/>
        </w:rPr>
        <w:t xml:space="preserve">cf. </w:t>
      </w:r>
      <w:r w:rsidR="00FA371E">
        <w:rPr>
          <w:rFonts w:eastAsia="Calibri"/>
        </w:rPr>
        <w:t>Penning-Rowsell</w:t>
      </w:r>
      <w:r w:rsidR="003618FF">
        <w:rPr>
          <w:rFonts w:eastAsia="Calibri"/>
        </w:rPr>
        <w:t xml:space="preserve"> and Korndewal</w:t>
      </w:r>
      <w:r w:rsidR="00FA371E">
        <w:rPr>
          <w:rFonts w:eastAsia="Calibri"/>
        </w:rPr>
        <w:t>, 2018)</w:t>
      </w:r>
      <w:r w:rsidRPr="007B56ED">
        <w:rPr>
          <w:rFonts w:eastAsia="Calibri"/>
        </w:rPr>
        <w:t xml:space="preserve">.  </w:t>
      </w:r>
      <w:r w:rsidR="005D6A47" w:rsidRPr="00797AE7">
        <w:rPr>
          <w:rFonts w:eastAsia="Calibri"/>
        </w:rPr>
        <w:t xml:space="preserve">Parallels can be made here between Clamen and Macfarlane's </w:t>
      </w:r>
      <w:r w:rsidR="005D6A47" w:rsidRPr="00797AE7">
        <w:rPr>
          <w:rFonts w:eastAsia="Calibri"/>
        </w:rPr>
        <w:fldChar w:fldCharType="begin"/>
      </w:r>
      <w:r w:rsidR="005D6A47" w:rsidRPr="00797AE7">
        <w:rPr>
          <w:rFonts w:eastAsia="Calibri"/>
        </w:rPr>
        <w:instrText xml:space="preserve"> ADDIN ZOTERO_ITEM CSL_CITATION {"citationID":"FaXkGvvS","properties":{"formattedCitation":"(2018)","plainCitation":"(2018)","noteIndex":0},"citationItems":[{"id":2349,"uris":["http://zotero.org/users/local/LV0ujPfY/items/LGWXDYXM"],"uri":["http://zotero.org/users/local/LV0ujPfY/items/LGWXDYXM"],"itemData":{"id":2349,"type":"article-journal","container-title":"Canadian Water Resources Journal / Revue canadienne des ressources hydriques","issue":"4","journalAbbreviation":"Canadian Water Resources Journal / Revue canadienne des ressources hydriques","language":"en","page":"416-431","title":"Plan 2014: The historical evolution of Lake Ontario–St. Lawrence River regulation","title-short":"Plan 2014","volume":"43","author":[{"family":"Clamen","given":"Murray"},{"family":"Macfarlane","given":"Daniel"}],"issued":{"date-parts":[["2018",10,2]]}},"suppress-author":true}],"schema":"https://github.com/citation-style-language/schema/raw/master/csl-citation.json"} </w:instrText>
      </w:r>
      <w:r w:rsidR="005D6A47" w:rsidRPr="00797AE7">
        <w:rPr>
          <w:rFonts w:eastAsia="Calibri"/>
        </w:rPr>
        <w:fldChar w:fldCharType="separate"/>
      </w:r>
      <w:r w:rsidR="005D6A47" w:rsidRPr="00797AE7">
        <w:rPr>
          <w:rFonts w:eastAsia="Calibri"/>
          <w:noProof/>
        </w:rPr>
        <w:t>(2018)</w:t>
      </w:r>
      <w:r w:rsidR="005D6A47" w:rsidRPr="00797AE7">
        <w:rPr>
          <w:rFonts w:eastAsia="Calibri"/>
        </w:rPr>
        <w:fldChar w:fldCharType="end"/>
      </w:r>
      <w:r w:rsidR="005D6A47" w:rsidRPr="00797AE7">
        <w:rPr>
          <w:rFonts w:eastAsia="Calibri"/>
        </w:rPr>
        <w:t xml:space="preserve"> argument</w:t>
      </w:r>
      <w:r w:rsidR="005D6A47" w:rsidRPr="007B56ED">
        <w:rPr>
          <w:rFonts w:eastAsia="Calibri"/>
        </w:rPr>
        <w:t xml:space="preserve"> that </w:t>
      </w:r>
      <w:r w:rsidR="00744774" w:rsidRPr="007B56ED">
        <w:rPr>
          <w:rFonts w:eastAsia="Calibri"/>
        </w:rPr>
        <w:t xml:space="preserve">the IJC's strategic error might have been to ignore the non-technical aspects of </w:t>
      </w:r>
      <w:r w:rsidR="00610668" w:rsidRPr="007B56ED">
        <w:rPr>
          <w:rFonts w:eastAsia="Calibri"/>
        </w:rPr>
        <w:t xml:space="preserve">FRM and Hall's </w:t>
      </w:r>
      <w:r w:rsidR="00610668" w:rsidRPr="007B56ED">
        <w:rPr>
          <w:rFonts w:eastAsia="Calibri"/>
        </w:rPr>
        <w:fldChar w:fldCharType="begin"/>
      </w:r>
      <w:r w:rsidR="00610668" w:rsidRPr="007B56ED">
        <w:rPr>
          <w:rFonts w:eastAsia="Calibri"/>
        </w:rPr>
        <w:instrText xml:space="preserve"> ADDIN ZOTERO_ITEM CSL_CITATION {"citationID":"FSRrt6zU","properties":{"formattedCitation":"(2014)","plainCitation":"(2014)","noteIndex":0},"citationItems":[{"id":2346,"uris":["http://zotero.org/users/local/LV0ujPfY/items/9LIE4JUF"],"uri":["http://zotero.org/users/local/LV0ujPfY/items/9LIE4JUF"],"itemData":{"id":2346,"type":"chapter","abstract":"This volume provides an introduction for flood risk management practitioners, up-to-date methods for analysis of uncertainty and its use in risk-based decision making. It addresses decision making for both short-term (real-time forecasting) and long-term (flood risk planning under change) situations. It aims primarily at technical practitioners involved in flood risk analysis and flood warning, including hydrologists, engineers, flood modelers, risk analysts and those involved in the design and operation of flood warning systems. Many experienced practitioners are now expected to modify their way of working to fit into the new philosophy of flood risk management. This volume helps them to undertake that task with appropriate attention to the surrounding uncertainties. The book will also interest and benefit researchers and graduate students hoping to improve their knowledge of modern uncertainty analysis.","archive":"eBook Collection (EBSCOhost)","container-title":"Applied Uncertainty Analysis For Flood Risk Management","event-place":"London","ISBN":"978-1-84816-270-9","language":"English","publisher":"Imperial College Press","publisher-place":"London","source":"EBSCOhost","title":"Chapter 1:  Flood Risk Management: Decision Making Under Uncertainty","author":[{"family":"Hall","given":"J."}],"editor":[{"family":"Beven","given":"K.J"},{"family":"Hall","given":"J."}],"issued":{"date-parts":[["2014"]]}},"suppress-author":true}],"schema":"https://github.com/citation-style-language/schema/raw/master/csl-citation.json"} </w:instrText>
      </w:r>
      <w:r w:rsidR="00610668" w:rsidRPr="007B56ED">
        <w:rPr>
          <w:rFonts w:eastAsia="Calibri"/>
        </w:rPr>
        <w:fldChar w:fldCharType="separate"/>
      </w:r>
      <w:r w:rsidR="00610668" w:rsidRPr="007B56ED">
        <w:rPr>
          <w:rFonts w:eastAsia="Calibri"/>
          <w:noProof/>
        </w:rPr>
        <w:t>(2014)</w:t>
      </w:r>
      <w:r w:rsidR="00610668" w:rsidRPr="007B56ED">
        <w:rPr>
          <w:rFonts w:eastAsia="Calibri"/>
        </w:rPr>
        <w:fldChar w:fldCharType="end"/>
      </w:r>
      <w:r w:rsidR="00610668" w:rsidRPr="007B56ED">
        <w:rPr>
          <w:rFonts w:eastAsia="Calibri"/>
        </w:rPr>
        <w:t xml:space="preserve"> </w:t>
      </w:r>
      <w:r w:rsidR="00B86537" w:rsidRPr="007B56ED">
        <w:rPr>
          <w:rFonts w:eastAsia="Calibri"/>
        </w:rPr>
        <w:t xml:space="preserve">caution about </w:t>
      </w:r>
      <w:r w:rsidR="00273541" w:rsidRPr="007B56ED">
        <w:rPr>
          <w:rFonts w:eastAsia="Calibri"/>
        </w:rPr>
        <w:t xml:space="preserve">the importance of </w:t>
      </w:r>
      <w:r w:rsidR="002C2480" w:rsidRPr="007B56ED">
        <w:rPr>
          <w:rFonts w:eastAsia="Calibri"/>
        </w:rPr>
        <w:t xml:space="preserve">using </w:t>
      </w:r>
      <w:r w:rsidR="00273541" w:rsidRPr="007B56ED">
        <w:rPr>
          <w:rFonts w:eastAsia="Calibri"/>
        </w:rPr>
        <w:t xml:space="preserve">judgement in potentially </w:t>
      </w:r>
      <w:r w:rsidR="00FA2E85" w:rsidRPr="007B56ED">
        <w:rPr>
          <w:rFonts w:eastAsia="Calibri"/>
        </w:rPr>
        <w:t>contentious</w:t>
      </w:r>
      <w:r w:rsidR="001977C7" w:rsidRPr="007B56ED">
        <w:rPr>
          <w:rFonts w:eastAsia="Calibri"/>
        </w:rPr>
        <w:t xml:space="preserve"> situations</w:t>
      </w:r>
      <w:r w:rsidR="002C2480" w:rsidRPr="007B56ED">
        <w:rPr>
          <w:rFonts w:eastAsia="Calibri"/>
        </w:rPr>
        <w:t xml:space="preserve"> </w:t>
      </w:r>
      <w:r w:rsidR="007B56ED" w:rsidRPr="007B56ED">
        <w:rPr>
          <w:rFonts w:eastAsia="Calibri"/>
        </w:rPr>
        <w:t>dominated by</w:t>
      </w:r>
      <w:r w:rsidR="002C2480" w:rsidRPr="007B56ED">
        <w:rPr>
          <w:rFonts w:eastAsia="Calibri"/>
        </w:rPr>
        <w:t xml:space="preserve"> uncertainty</w:t>
      </w:r>
      <w:r w:rsidR="00C1644F">
        <w:rPr>
          <w:rFonts w:eastAsia="Calibri"/>
        </w:rPr>
        <w:t>.</w:t>
      </w:r>
      <w:r w:rsidR="00F47951">
        <w:rPr>
          <w:rFonts w:eastAsia="Calibri"/>
        </w:rPr>
        <w:t xml:space="preserve"> </w:t>
      </w:r>
      <w:r w:rsidRPr="007B56ED">
        <w:rPr>
          <w:rFonts w:eastAsia="Calibri"/>
        </w:rPr>
        <w:t>As such</w:t>
      </w:r>
      <w:r w:rsidRPr="00A36E44">
        <w:rPr>
          <w:rFonts w:eastAsia="Calibri"/>
        </w:rPr>
        <w:t xml:space="preserve">, not only is flexibility in structural flood risk management necessary to address uncertainty, </w:t>
      </w:r>
      <w:r w:rsidR="003618FF">
        <w:rPr>
          <w:rFonts w:eastAsia="Calibri"/>
        </w:rPr>
        <w:t xml:space="preserve">but </w:t>
      </w:r>
      <w:r w:rsidRPr="00A36E44">
        <w:rPr>
          <w:rFonts w:eastAsia="Calibri"/>
        </w:rPr>
        <w:t>accountability and flexibility in the managing institution may also be particularly important.</w:t>
      </w:r>
      <w:r w:rsidR="00DE2888">
        <w:rPr>
          <w:rFonts w:eastAsia="Calibri"/>
        </w:rPr>
        <w:t xml:space="preserve"> </w:t>
      </w:r>
      <w:r w:rsidR="007772A4">
        <w:rPr>
          <w:rFonts w:eastAsia="Calibri"/>
        </w:rPr>
        <w:t xml:space="preserve">Under more flexible systems, decision-makers such as dam </w:t>
      </w:r>
      <w:r w:rsidR="00EA1134">
        <w:rPr>
          <w:rFonts w:eastAsia="Calibri"/>
        </w:rPr>
        <w:t>operators</w:t>
      </w:r>
      <w:r w:rsidR="007772A4">
        <w:rPr>
          <w:rFonts w:eastAsia="Calibri"/>
        </w:rPr>
        <w:t xml:space="preserve"> </w:t>
      </w:r>
      <w:r w:rsidR="007B01BA">
        <w:rPr>
          <w:rFonts w:eastAsia="Calibri"/>
        </w:rPr>
        <w:t>may</w:t>
      </w:r>
      <w:r w:rsidR="007772A4">
        <w:rPr>
          <w:rFonts w:eastAsia="Calibri"/>
        </w:rPr>
        <w:t xml:space="preserve"> </w:t>
      </w:r>
      <w:r w:rsidR="007B01BA">
        <w:rPr>
          <w:rFonts w:eastAsia="Calibri"/>
        </w:rPr>
        <w:t>be</w:t>
      </w:r>
      <w:r w:rsidR="00053AEB">
        <w:rPr>
          <w:rFonts w:eastAsia="Calibri"/>
        </w:rPr>
        <w:t xml:space="preserve"> more often</w:t>
      </w:r>
      <w:r w:rsidR="007772A4">
        <w:rPr>
          <w:rFonts w:eastAsia="Calibri"/>
        </w:rPr>
        <w:t xml:space="preserve"> challenged</w:t>
      </w:r>
      <w:r w:rsidR="00221D58">
        <w:rPr>
          <w:rFonts w:eastAsia="Calibri"/>
        </w:rPr>
        <w:t>,</w:t>
      </w:r>
      <w:r w:rsidR="007772A4">
        <w:rPr>
          <w:rFonts w:eastAsia="Calibri"/>
        </w:rPr>
        <w:t xml:space="preserve"> </w:t>
      </w:r>
      <w:r w:rsidR="007A2047">
        <w:rPr>
          <w:rFonts w:eastAsia="Calibri"/>
        </w:rPr>
        <w:t xml:space="preserve">and </w:t>
      </w:r>
      <w:r w:rsidR="006A5DF4">
        <w:rPr>
          <w:rFonts w:eastAsia="Calibri"/>
        </w:rPr>
        <w:t xml:space="preserve">there is a need for </w:t>
      </w:r>
      <w:r w:rsidR="00FE3748">
        <w:rPr>
          <w:rFonts w:eastAsia="Calibri"/>
        </w:rPr>
        <w:t xml:space="preserve">liability to be </w:t>
      </w:r>
      <w:r w:rsidR="00B80826">
        <w:rPr>
          <w:rFonts w:eastAsia="Calibri"/>
        </w:rPr>
        <w:t>pre-</w:t>
      </w:r>
      <w:r w:rsidR="007A2047">
        <w:rPr>
          <w:rFonts w:eastAsia="Calibri"/>
        </w:rPr>
        <w:t>delimite</w:t>
      </w:r>
      <w:r w:rsidR="00FE3748">
        <w:rPr>
          <w:rFonts w:eastAsia="Calibri"/>
        </w:rPr>
        <w:t>d</w:t>
      </w:r>
      <w:r w:rsidR="007A2047">
        <w:rPr>
          <w:rFonts w:eastAsia="Calibri"/>
        </w:rPr>
        <w:t xml:space="preserve"> </w:t>
      </w:r>
      <w:r w:rsidR="00FE3748">
        <w:rPr>
          <w:rFonts w:eastAsia="Calibri"/>
        </w:rPr>
        <w:t xml:space="preserve">and </w:t>
      </w:r>
      <w:r w:rsidR="000451F9">
        <w:rPr>
          <w:rFonts w:eastAsia="Calibri"/>
        </w:rPr>
        <w:t xml:space="preserve">disputes </w:t>
      </w:r>
      <w:r w:rsidR="005D1824">
        <w:rPr>
          <w:rFonts w:eastAsia="Calibri"/>
        </w:rPr>
        <w:t>moderate</w:t>
      </w:r>
      <w:r w:rsidR="000451F9">
        <w:rPr>
          <w:rFonts w:eastAsia="Calibri"/>
        </w:rPr>
        <w:t>d</w:t>
      </w:r>
      <w:r w:rsidR="003618FF">
        <w:rPr>
          <w:rFonts w:eastAsia="Calibri"/>
        </w:rPr>
        <w:t xml:space="preserve">, and </w:t>
      </w:r>
      <w:r w:rsidR="00604F07">
        <w:rPr>
          <w:rFonts w:eastAsia="Calibri"/>
        </w:rPr>
        <w:t xml:space="preserve">in transboundary contexts </w:t>
      </w:r>
      <w:r w:rsidR="0070694E">
        <w:rPr>
          <w:rFonts w:eastAsia="Calibri"/>
        </w:rPr>
        <w:t xml:space="preserve">it would </w:t>
      </w:r>
      <w:r w:rsidR="00C60901">
        <w:rPr>
          <w:rFonts w:eastAsia="Calibri"/>
        </w:rPr>
        <w:t xml:space="preserve">always </w:t>
      </w:r>
      <w:r w:rsidR="0070694E">
        <w:rPr>
          <w:rFonts w:eastAsia="Calibri"/>
        </w:rPr>
        <w:t xml:space="preserve">be preferable that these </w:t>
      </w:r>
      <w:r w:rsidR="00FD5BCC">
        <w:rPr>
          <w:rFonts w:eastAsia="Calibri"/>
        </w:rPr>
        <w:t xml:space="preserve">accountability </w:t>
      </w:r>
      <w:r w:rsidR="0070694E">
        <w:rPr>
          <w:rFonts w:eastAsia="Calibri"/>
        </w:rPr>
        <w:t xml:space="preserve">mechanisms lie outside of national legal systems. </w:t>
      </w:r>
    </w:p>
    <w:p w14:paraId="072690B2" w14:textId="1915D14C" w:rsidR="007C3AC6" w:rsidRPr="00F1579E" w:rsidRDefault="001F5758" w:rsidP="00E93D70">
      <w:pPr>
        <w:ind w:right="855" w:firstLine="720"/>
        <w:rPr>
          <w:rFonts w:eastAsia="Calibri"/>
        </w:rPr>
      </w:pPr>
      <w:r w:rsidRPr="00A36E44">
        <w:rPr>
          <w:rFonts w:eastAsia="Calibri"/>
        </w:rPr>
        <w:t>Further case studies of cross-border flooding situations from other international contexts could enhance our understanding of these many dimensions and help formulate recommendations, as would longitudinal analyses of the story surrounding Plan 2014 as this will continue to develop and be</w:t>
      </w:r>
      <w:r w:rsidR="00696439" w:rsidRPr="00A36E44">
        <w:rPr>
          <w:rFonts w:eastAsia="Calibri"/>
        </w:rPr>
        <w:t xml:space="preserve"> </w:t>
      </w:r>
      <w:r w:rsidRPr="00A36E44">
        <w:rPr>
          <w:rFonts w:eastAsia="Calibri"/>
        </w:rPr>
        <w:t>discus</w:t>
      </w:r>
      <w:r w:rsidR="00E34D79" w:rsidRPr="00A36E44">
        <w:rPr>
          <w:rFonts w:eastAsia="Calibri"/>
        </w:rPr>
        <w:t>sed in the future</w:t>
      </w:r>
      <w:r w:rsidRPr="00A36E44">
        <w:rPr>
          <w:rFonts w:eastAsia="Calibri"/>
        </w:rPr>
        <w:t xml:space="preserve">. </w:t>
      </w:r>
      <w:sdt>
        <w:sdtPr>
          <w:tag w:val="goog_rdk_9"/>
          <w:id w:val="1383908352"/>
          <w:showingPlcHdr/>
        </w:sdtPr>
        <w:sdtEndPr/>
        <w:sdtContent>
          <w:r w:rsidR="005552F6">
            <w:t xml:space="preserve">     </w:t>
          </w:r>
        </w:sdtContent>
      </w:sdt>
      <w:bookmarkStart w:id="16" w:name="_heading=h.26in1rg" w:colFirst="0" w:colLast="0"/>
      <w:bookmarkEnd w:id="16"/>
    </w:p>
    <w:p w14:paraId="1E5D5923" w14:textId="2CBABED6" w:rsidR="00E1690A" w:rsidRDefault="00E40325" w:rsidP="00F07948">
      <w:pPr>
        <w:pStyle w:val="Heading1"/>
        <w:rPr>
          <w:b w:val="0"/>
        </w:rPr>
      </w:pPr>
      <w:r w:rsidRPr="006A1F4B">
        <w:t>Conclusion</w:t>
      </w:r>
      <w:r w:rsidR="00E93D70">
        <w:t>s</w:t>
      </w:r>
    </w:p>
    <w:p w14:paraId="60913234" w14:textId="77777777" w:rsidR="00780ECC" w:rsidRDefault="0059180B" w:rsidP="00AE55D6">
      <w:pPr>
        <w:ind w:right="855" w:firstLine="720"/>
        <w:rPr>
          <w:rFonts w:eastAsia="Calibri"/>
        </w:rPr>
      </w:pPr>
      <w:r w:rsidRPr="00A36E44">
        <w:rPr>
          <w:rFonts w:eastAsia="Calibri"/>
        </w:rPr>
        <w:t>T</w:t>
      </w:r>
      <w:r w:rsidR="00E40325" w:rsidRPr="00A36E44">
        <w:rPr>
          <w:rFonts w:eastAsia="Calibri"/>
        </w:rPr>
        <w:t xml:space="preserve">he case of Plan 2014 and recent floods </w:t>
      </w:r>
      <w:r w:rsidR="00185469" w:rsidRPr="00A36E44">
        <w:rPr>
          <w:rFonts w:eastAsia="Calibri"/>
        </w:rPr>
        <w:t xml:space="preserve">in the Lake Ontario/St. Lawrence River system </w:t>
      </w:r>
      <w:r w:rsidR="00E40325" w:rsidRPr="00A36E44">
        <w:rPr>
          <w:rFonts w:eastAsia="Calibri"/>
        </w:rPr>
        <w:t xml:space="preserve">exemplifies how uncertainty can exacerbate the complexity of transboundary flood risk management. </w:t>
      </w:r>
    </w:p>
    <w:p w14:paraId="19529885" w14:textId="25AC80E8" w:rsidR="002118EB" w:rsidRDefault="0059180B" w:rsidP="00AE55D6">
      <w:pPr>
        <w:ind w:right="855" w:firstLine="720"/>
        <w:rPr>
          <w:rFonts w:eastAsia="Calibri"/>
        </w:rPr>
      </w:pPr>
      <w:r w:rsidRPr="00A36E44">
        <w:rPr>
          <w:rFonts w:eastAsia="Calibri"/>
        </w:rPr>
        <w:t>Here</w:t>
      </w:r>
      <w:r w:rsidR="00DB2BA4" w:rsidRPr="00A36E44">
        <w:rPr>
          <w:rFonts w:eastAsia="Calibri"/>
        </w:rPr>
        <w:t>,</w:t>
      </w:r>
      <w:r w:rsidRPr="00A36E44">
        <w:rPr>
          <w:rFonts w:eastAsia="Calibri"/>
        </w:rPr>
        <w:t xml:space="preserve"> and elsewhere</w:t>
      </w:r>
      <w:r w:rsidR="00DB2BA4" w:rsidRPr="00A36E44">
        <w:rPr>
          <w:rFonts w:eastAsia="Calibri"/>
        </w:rPr>
        <w:t>,</w:t>
      </w:r>
      <w:r w:rsidRPr="00A36E44">
        <w:rPr>
          <w:rFonts w:eastAsia="Calibri"/>
        </w:rPr>
        <w:t xml:space="preserve"> c</w:t>
      </w:r>
      <w:r w:rsidR="00E40325" w:rsidRPr="00A36E44">
        <w:rPr>
          <w:rFonts w:eastAsia="Calibri"/>
        </w:rPr>
        <w:t>reating flexibility in the operation of structur</w:t>
      </w:r>
      <w:r w:rsidRPr="00A36E44">
        <w:rPr>
          <w:rFonts w:eastAsia="Calibri"/>
        </w:rPr>
        <w:t>al</w:t>
      </w:r>
      <w:r w:rsidR="00E40325" w:rsidRPr="00A36E44">
        <w:rPr>
          <w:rFonts w:eastAsia="Calibri"/>
        </w:rPr>
        <w:t xml:space="preserve"> </w:t>
      </w:r>
      <w:r w:rsidRPr="00A36E44">
        <w:rPr>
          <w:rFonts w:eastAsia="Calibri"/>
        </w:rPr>
        <w:t xml:space="preserve">and related other </w:t>
      </w:r>
      <w:r w:rsidR="00E40325" w:rsidRPr="00A36E44">
        <w:rPr>
          <w:rFonts w:eastAsia="Calibri"/>
        </w:rPr>
        <w:t xml:space="preserve">FRM measures is one way to address </w:t>
      </w:r>
      <w:r w:rsidR="007B56ED">
        <w:rPr>
          <w:rFonts w:eastAsia="Calibri"/>
        </w:rPr>
        <w:t xml:space="preserve">this </w:t>
      </w:r>
      <w:r w:rsidR="00E40325" w:rsidRPr="00A36E44">
        <w:rPr>
          <w:rFonts w:eastAsia="Calibri"/>
        </w:rPr>
        <w:t xml:space="preserve">hydro-meteorological uncertainty and prepare for a range of </w:t>
      </w:r>
      <w:r w:rsidR="000F79A4">
        <w:rPr>
          <w:rFonts w:eastAsia="Calibri"/>
        </w:rPr>
        <w:t xml:space="preserve">future </w:t>
      </w:r>
      <w:r w:rsidR="00E40325" w:rsidRPr="00A36E44">
        <w:rPr>
          <w:rFonts w:eastAsia="Calibri"/>
        </w:rPr>
        <w:t xml:space="preserve">flooding scenarios. However, with this strategy, transboundary water managers must negotiate different </w:t>
      </w:r>
      <w:r w:rsidR="00780ECC">
        <w:rPr>
          <w:rFonts w:eastAsia="Calibri"/>
        </w:rPr>
        <w:t xml:space="preserve">and difficult </w:t>
      </w:r>
      <w:r w:rsidR="00E40325" w:rsidRPr="00A36E44">
        <w:rPr>
          <w:rFonts w:eastAsia="Calibri"/>
        </w:rPr>
        <w:t xml:space="preserve">socio-political tensions, notably the need to balance the public demand for </w:t>
      </w:r>
      <w:r w:rsidR="00E40325" w:rsidRPr="007B56ED">
        <w:rPr>
          <w:rFonts w:eastAsia="Calibri"/>
        </w:rPr>
        <w:t>predictability as well as risk reduction,</w:t>
      </w:r>
      <w:r w:rsidR="00953865" w:rsidRPr="007B56ED">
        <w:rPr>
          <w:rFonts w:eastAsia="Calibri"/>
        </w:rPr>
        <w:t xml:space="preserve"> </w:t>
      </w:r>
      <w:r w:rsidR="00E40325" w:rsidRPr="007B56ED">
        <w:rPr>
          <w:rFonts w:eastAsia="Calibri"/>
        </w:rPr>
        <w:t>protect</w:t>
      </w:r>
      <w:r w:rsidR="00953865" w:rsidRPr="007B56ED">
        <w:rPr>
          <w:rFonts w:eastAsia="Calibri"/>
        </w:rPr>
        <w:t>ing</w:t>
      </w:r>
      <w:r w:rsidR="00E40325" w:rsidRPr="007B56ED">
        <w:rPr>
          <w:rFonts w:eastAsia="Calibri"/>
        </w:rPr>
        <w:t xml:space="preserve"> both upstream and downstream communities </w:t>
      </w:r>
      <w:r w:rsidR="00811B55" w:rsidRPr="007B56ED">
        <w:rPr>
          <w:rFonts w:eastAsia="Calibri"/>
        </w:rPr>
        <w:t xml:space="preserve">as much as possible </w:t>
      </w:r>
      <w:r w:rsidR="00E40325" w:rsidRPr="007B56ED">
        <w:rPr>
          <w:rFonts w:eastAsia="Calibri"/>
        </w:rPr>
        <w:t>f</w:t>
      </w:r>
      <w:r w:rsidRPr="007B56ED">
        <w:rPr>
          <w:rFonts w:eastAsia="Calibri"/>
        </w:rPr>
        <w:t>rom</w:t>
      </w:r>
      <w:r w:rsidR="00E40325" w:rsidRPr="007B56ED">
        <w:rPr>
          <w:rFonts w:eastAsia="Calibri"/>
        </w:rPr>
        <w:t xml:space="preserve"> the</w:t>
      </w:r>
      <w:r w:rsidR="00E40325" w:rsidRPr="00A36E44">
        <w:rPr>
          <w:rFonts w:eastAsia="Calibri"/>
        </w:rPr>
        <w:t xml:space="preserve"> impacts of </w:t>
      </w:r>
      <w:r w:rsidR="009D72F9" w:rsidRPr="00A36E44">
        <w:rPr>
          <w:rFonts w:eastAsia="Calibri"/>
        </w:rPr>
        <w:t>flooding</w:t>
      </w:r>
      <w:r w:rsidR="007B56ED">
        <w:rPr>
          <w:rFonts w:eastAsia="Calibri"/>
        </w:rPr>
        <w:t>.</w:t>
      </w:r>
      <w:r w:rsidR="00507A32" w:rsidRPr="00507A32">
        <w:rPr>
          <w:rFonts w:ascii="-webkit-standard" w:hAnsi="-webkit-standard"/>
          <w:color w:val="000000"/>
        </w:rPr>
        <w:t xml:space="preserve"> </w:t>
      </w:r>
      <w:r w:rsidR="00780ECC">
        <w:rPr>
          <w:rFonts w:ascii="-webkit-standard" w:hAnsi="-webkit-standard"/>
          <w:color w:val="000000"/>
        </w:rPr>
        <w:t xml:space="preserve">The roles of different actors will change, with sometimes unpredictable consequences. </w:t>
      </w:r>
      <w:bookmarkStart w:id="17" w:name="_Hlk51748250"/>
      <w:r w:rsidR="00901274" w:rsidRPr="00901274">
        <w:rPr>
          <w:rFonts w:eastAsia="Calibri"/>
        </w:rPr>
        <w:t xml:space="preserve">This reinforces the need for the delicate balance we are advocating, here between planner and operator, </w:t>
      </w:r>
      <w:r w:rsidR="00901274">
        <w:rPr>
          <w:rFonts w:eastAsia="Calibri"/>
        </w:rPr>
        <w:t xml:space="preserve">notably through </w:t>
      </w:r>
      <w:r w:rsidR="004C3B0B">
        <w:rPr>
          <w:rFonts w:eastAsia="Calibri"/>
        </w:rPr>
        <w:t>increased</w:t>
      </w:r>
      <w:r w:rsidR="00901274">
        <w:rPr>
          <w:rFonts w:eastAsia="Calibri"/>
        </w:rPr>
        <w:t xml:space="preserve"> transparency </w:t>
      </w:r>
      <w:r w:rsidR="00780ECC">
        <w:rPr>
          <w:rFonts w:eastAsia="Calibri"/>
        </w:rPr>
        <w:t>supported by</w:t>
      </w:r>
      <w:r w:rsidR="00901274">
        <w:rPr>
          <w:rFonts w:eastAsia="Calibri"/>
        </w:rPr>
        <w:t xml:space="preserve"> </w:t>
      </w:r>
      <w:r w:rsidR="002118EB">
        <w:rPr>
          <w:rFonts w:eastAsia="Calibri"/>
        </w:rPr>
        <w:t>proper</w:t>
      </w:r>
      <w:r w:rsidR="00901274">
        <w:rPr>
          <w:rFonts w:eastAsia="Calibri"/>
        </w:rPr>
        <w:t xml:space="preserve"> </w:t>
      </w:r>
      <w:r w:rsidR="00780ECC">
        <w:rPr>
          <w:rFonts w:eastAsia="Calibri"/>
        </w:rPr>
        <w:t xml:space="preserve">and agreed </w:t>
      </w:r>
      <w:r w:rsidR="003618FF">
        <w:rPr>
          <w:rFonts w:eastAsia="Calibri"/>
        </w:rPr>
        <w:t xml:space="preserve">and implementable </w:t>
      </w:r>
      <w:r w:rsidR="00901274">
        <w:rPr>
          <w:rFonts w:eastAsia="Calibri"/>
        </w:rPr>
        <w:t>dispute resolution processes</w:t>
      </w:r>
      <w:r w:rsidR="002118EB">
        <w:rPr>
          <w:rFonts w:eastAsia="Calibri"/>
        </w:rPr>
        <w:t xml:space="preserve">. </w:t>
      </w:r>
    </w:p>
    <w:bookmarkEnd w:id="17"/>
    <w:p w14:paraId="58563BD8" w14:textId="62C6EA1F" w:rsidR="002601DE" w:rsidRPr="00A414F6" w:rsidRDefault="00E40325" w:rsidP="00C60901">
      <w:pPr>
        <w:ind w:right="855" w:firstLine="720"/>
        <w:rPr>
          <w:rFonts w:eastAsia="Calibri"/>
        </w:rPr>
      </w:pPr>
      <w:r w:rsidRPr="00A36E44">
        <w:rPr>
          <w:rFonts w:eastAsia="Calibri"/>
        </w:rPr>
        <w:t>The theoretical underpinnings of Plan 2014, both in its institutional structure and rationale,</w:t>
      </w:r>
      <w:r w:rsidR="0080780D">
        <w:rPr>
          <w:rFonts w:eastAsia="Calibri"/>
        </w:rPr>
        <w:t xml:space="preserve"> might have</w:t>
      </w:r>
      <w:r w:rsidRPr="00A36E44">
        <w:rPr>
          <w:rFonts w:eastAsia="Calibri"/>
        </w:rPr>
        <w:t xml:space="preserve"> held the ingredients for a successful flood management tool. In practice, however, the public’s reaction suggests tensions </w:t>
      </w:r>
      <w:r w:rsidR="00201370" w:rsidRPr="00A36E44">
        <w:rPr>
          <w:rFonts w:eastAsia="Calibri"/>
        </w:rPr>
        <w:t>can</w:t>
      </w:r>
      <w:r w:rsidR="0003636A" w:rsidRPr="00A36E44">
        <w:rPr>
          <w:rFonts w:eastAsia="Calibri"/>
        </w:rPr>
        <w:t xml:space="preserve"> </w:t>
      </w:r>
      <w:r w:rsidR="00740317" w:rsidRPr="00A36E44">
        <w:rPr>
          <w:rFonts w:eastAsia="Calibri"/>
        </w:rPr>
        <w:t xml:space="preserve">exist </w:t>
      </w:r>
      <w:r w:rsidRPr="00A36E44">
        <w:rPr>
          <w:rFonts w:eastAsia="Calibri"/>
        </w:rPr>
        <w:t xml:space="preserve">no matter how grounded in expertise </w:t>
      </w:r>
      <w:r w:rsidR="00585FC0" w:rsidRPr="00A36E44">
        <w:rPr>
          <w:rFonts w:eastAsia="Calibri"/>
        </w:rPr>
        <w:t>i</w:t>
      </w:r>
      <w:r w:rsidR="0059180B" w:rsidRPr="00A36E44">
        <w:rPr>
          <w:rFonts w:eastAsia="Calibri"/>
        </w:rPr>
        <w:t>s</w:t>
      </w:r>
      <w:r w:rsidR="00585FC0" w:rsidRPr="00A36E44">
        <w:rPr>
          <w:rFonts w:eastAsia="Calibri"/>
        </w:rPr>
        <w:t xml:space="preserve"> </w:t>
      </w:r>
      <w:r w:rsidR="00CB1A1D" w:rsidRPr="00A36E44">
        <w:rPr>
          <w:rFonts w:eastAsia="Calibri"/>
        </w:rPr>
        <w:t>the</w:t>
      </w:r>
      <w:r w:rsidRPr="00A36E44">
        <w:rPr>
          <w:rFonts w:eastAsia="Calibri"/>
        </w:rPr>
        <w:t xml:space="preserve"> decision making</w:t>
      </w:r>
      <w:r w:rsidR="008A0DFC" w:rsidRPr="00A36E44">
        <w:rPr>
          <w:rFonts w:eastAsia="Calibri"/>
        </w:rPr>
        <w:t xml:space="preserve">, </w:t>
      </w:r>
      <w:r w:rsidR="00C60901">
        <w:rPr>
          <w:rFonts w:eastAsia="Calibri"/>
        </w:rPr>
        <w:t>pressures</w:t>
      </w:r>
      <w:r w:rsidR="008A0DFC" w:rsidRPr="00A36E44">
        <w:rPr>
          <w:rFonts w:eastAsia="Calibri"/>
        </w:rPr>
        <w:t xml:space="preserve"> which are heightened </w:t>
      </w:r>
      <w:r w:rsidR="00760447" w:rsidRPr="00A36E44">
        <w:rPr>
          <w:rFonts w:eastAsia="Calibri"/>
        </w:rPr>
        <w:t xml:space="preserve">in periods of </w:t>
      </w:r>
      <w:r w:rsidR="008A0E5B" w:rsidRPr="00A36E44">
        <w:rPr>
          <w:rFonts w:eastAsia="Calibri"/>
        </w:rPr>
        <w:t>crisis</w:t>
      </w:r>
      <w:r w:rsidRPr="00A36E44">
        <w:rPr>
          <w:rFonts w:eastAsia="Calibri"/>
        </w:rPr>
        <w:t xml:space="preserve">. The case study reveals in stark detail the multiple tensions concerning adaptive management of episodic events such as flooding: there is no </w:t>
      </w:r>
      <w:r w:rsidR="007256F2" w:rsidRPr="00A36E44">
        <w:rPr>
          <w:rFonts w:eastAsia="Calibri"/>
        </w:rPr>
        <w:t>‘</w:t>
      </w:r>
      <w:r w:rsidRPr="00A36E44">
        <w:rPr>
          <w:rFonts w:eastAsia="Calibri"/>
        </w:rPr>
        <w:t>silver bullet</w:t>
      </w:r>
      <w:r w:rsidR="007256F2" w:rsidRPr="00A36E44">
        <w:rPr>
          <w:rFonts w:eastAsia="Calibri"/>
        </w:rPr>
        <w:t>’</w:t>
      </w:r>
      <w:r w:rsidRPr="00A36E44">
        <w:rPr>
          <w:rFonts w:eastAsia="Calibri"/>
        </w:rPr>
        <w:t xml:space="preserve"> here. </w:t>
      </w:r>
    </w:p>
    <w:p w14:paraId="0F240899" w14:textId="4862CE65" w:rsidR="00E42EC5" w:rsidRDefault="00E40325" w:rsidP="00AE55D6">
      <w:pPr>
        <w:ind w:right="855" w:firstLine="720"/>
        <w:rPr>
          <w:rFonts w:eastAsia="Calibri"/>
        </w:rPr>
      </w:pPr>
      <w:r w:rsidRPr="00A36E44">
        <w:rPr>
          <w:rFonts w:eastAsia="Calibri"/>
        </w:rPr>
        <w:t xml:space="preserve">What is necessary, however, </w:t>
      </w:r>
      <w:r w:rsidR="0059180B" w:rsidRPr="00A36E44">
        <w:rPr>
          <w:rFonts w:eastAsia="Calibri"/>
        </w:rPr>
        <w:t>in these and similar situations internationally</w:t>
      </w:r>
      <w:r w:rsidR="00C8446F" w:rsidRPr="00A36E44">
        <w:rPr>
          <w:rFonts w:eastAsia="Calibri"/>
        </w:rPr>
        <w:t>,</w:t>
      </w:r>
      <w:r w:rsidR="0059180B" w:rsidRPr="00A36E44">
        <w:rPr>
          <w:rFonts w:eastAsia="Calibri"/>
        </w:rPr>
        <w:t xml:space="preserve"> </w:t>
      </w:r>
      <w:r w:rsidRPr="00A36E44">
        <w:rPr>
          <w:rFonts w:eastAsia="Calibri"/>
        </w:rPr>
        <w:t xml:space="preserve">is for this approach </w:t>
      </w:r>
      <w:r w:rsidR="0059180B" w:rsidRPr="00A36E44">
        <w:rPr>
          <w:rFonts w:eastAsia="Calibri"/>
        </w:rPr>
        <w:t xml:space="preserve">towards greater flexibility </w:t>
      </w:r>
      <w:r w:rsidRPr="00A36E44">
        <w:rPr>
          <w:rFonts w:eastAsia="Calibri"/>
        </w:rPr>
        <w:t>to recognise the need for clear and appropriate rules for the</w:t>
      </w:r>
      <w:r w:rsidR="00754154" w:rsidRPr="00A36E44">
        <w:rPr>
          <w:rFonts w:eastAsia="Calibri"/>
        </w:rPr>
        <w:t xml:space="preserve"> operation of </w:t>
      </w:r>
      <w:r w:rsidRPr="00A36E44">
        <w:rPr>
          <w:rFonts w:eastAsia="Calibri"/>
        </w:rPr>
        <w:t>flood risk management interventions</w:t>
      </w:r>
      <w:r w:rsidR="009B7EF9" w:rsidRPr="00A36E44">
        <w:rPr>
          <w:rFonts w:eastAsia="Calibri"/>
        </w:rPr>
        <w:t>.</w:t>
      </w:r>
      <w:r w:rsidRPr="00A36E44">
        <w:rPr>
          <w:rFonts w:eastAsia="Calibri"/>
        </w:rPr>
        <w:t xml:space="preserve"> </w:t>
      </w:r>
      <w:r w:rsidR="009B7EF9" w:rsidRPr="00A36E44">
        <w:rPr>
          <w:rFonts w:eastAsia="Calibri"/>
        </w:rPr>
        <w:t>B</w:t>
      </w:r>
      <w:r w:rsidRPr="00A36E44">
        <w:rPr>
          <w:rFonts w:eastAsia="Calibri"/>
        </w:rPr>
        <w:t>etter communication of the need for flexibility and the possible increased risk to members of the public</w:t>
      </w:r>
      <w:r w:rsidR="00D143B1" w:rsidRPr="00A36E44">
        <w:rPr>
          <w:rFonts w:eastAsia="Calibri"/>
        </w:rPr>
        <w:t xml:space="preserve"> is </w:t>
      </w:r>
      <w:r w:rsidR="00780ECC">
        <w:rPr>
          <w:rFonts w:eastAsia="Calibri"/>
        </w:rPr>
        <w:t xml:space="preserve">also </w:t>
      </w:r>
      <w:r w:rsidR="00D143B1" w:rsidRPr="00A36E44">
        <w:rPr>
          <w:rFonts w:eastAsia="Calibri"/>
        </w:rPr>
        <w:t>necessary. Additionally,</w:t>
      </w:r>
      <w:r w:rsidRPr="00A36E44">
        <w:rPr>
          <w:rFonts w:eastAsia="Calibri"/>
        </w:rPr>
        <w:t xml:space="preserve"> clear scientific attribution of the causes of any damaging event</w:t>
      </w:r>
      <w:r w:rsidR="00D143B1" w:rsidRPr="00A36E44">
        <w:rPr>
          <w:rFonts w:eastAsia="Calibri"/>
        </w:rPr>
        <w:t xml:space="preserve"> </w:t>
      </w:r>
      <w:r w:rsidR="00847B5E" w:rsidRPr="00A36E44">
        <w:rPr>
          <w:rFonts w:eastAsia="Calibri"/>
        </w:rPr>
        <w:t xml:space="preserve">must be </w:t>
      </w:r>
      <w:r w:rsidR="00C94977" w:rsidRPr="00A36E44">
        <w:rPr>
          <w:rFonts w:eastAsia="Calibri"/>
        </w:rPr>
        <w:t>communicated</w:t>
      </w:r>
      <w:r w:rsidRPr="00A36E44">
        <w:rPr>
          <w:rFonts w:eastAsia="Calibri"/>
        </w:rPr>
        <w:t xml:space="preserve">, so that false interpretations of the merits of flexibility are minimised. One way forward may be to ensure that </w:t>
      </w:r>
      <w:r w:rsidR="0059180B" w:rsidRPr="00A36E44">
        <w:rPr>
          <w:rFonts w:eastAsia="Calibri"/>
        </w:rPr>
        <w:t xml:space="preserve">the relevant </w:t>
      </w:r>
      <w:r w:rsidRPr="00A36E44">
        <w:rPr>
          <w:rFonts w:eastAsia="Calibri"/>
        </w:rPr>
        <w:t>institutions</w:t>
      </w:r>
      <w:r w:rsidR="0059180B" w:rsidRPr="00A36E44">
        <w:rPr>
          <w:rFonts w:eastAsia="Calibri"/>
        </w:rPr>
        <w:t xml:space="preserve"> - </w:t>
      </w:r>
      <w:r w:rsidRPr="00A36E44">
        <w:rPr>
          <w:rFonts w:eastAsia="Calibri"/>
        </w:rPr>
        <w:t>like the IJC</w:t>
      </w:r>
      <w:r w:rsidR="0059180B" w:rsidRPr="00A36E44">
        <w:rPr>
          <w:rFonts w:eastAsia="Calibri"/>
        </w:rPr>
        <w:t xml:space="preserve"> -</w:t>
      </w:r>
      <w:r w:rsidRPr="00A36E44">
        <w:rPr>
          <w:rFonts w:eastAsia="Calibri"/>
        </w:rPr>
        <w:t xml:space="preserve"> are </w:t>
      </w:r>
      <w:r w:rsidR="0059180B" w:rsidRPr="00A36E44">
        <w:rPr>
          <w:rFonts w:eastAsia="Calibri"/>
        </w:rPr>
        <w:t xml:space="preserve">properly </w:t>
      </w:r>
      <w:r w:rsidRPr="00A36E44">
        <w:rPr>
          <w:rFonts w:eastAsia="Calibri"/>
        </w:rPr>
        <w:t xml:space="preserve">equipped to make expert decisions transparently and independently from political considerations, whilst remaining accountable to communities on both sides of </w:t>
      </w:r>
      <w:r w:rsidR="0059180B" w:rsidRPr="00A36E44">
        <w:rPr>
          <w:rFonts w:eastAsia="Calibri"/>
        </w:rPr>
        <w:t>any</w:t>
      </w:r>
      <w:r w:rsidRPr="00A36E44">
        <w:rPr>
          <w:rFonts w:eastAsia="Calibri"/>
        </w:rPr>
        <w:t xml:space="preserve"> border</w:t>
      </w:r>
      <w:r w:rsidR="00C60901">
        <w:rPr>
          <w:rFonts w:eastAsia="Calibri"/>
        </w:rPr>
        <w:t xml:space="preserve"> and all parties are bound by agreed dispute resolution processes</w:t>
      </w:r>
      <w:r w:rsidRPr="00A36E44">
        <w:rPr>
          <w:rFonts w:eastAsia="Calibri"/>
        </w:rPr>
        <w:t xml:space="preserve">. </w:t>
      </w:r>
    </w:p>
    <w:p w14:paraId="3856A50C" w14:textId="77777777" w:rsidR="00B003D1" w:rsidRPr="00A36E44" w:rsidRDefault="00B003D1" w:rsidP="00AE55D6">
      <w:pPr>
        <w:ind w:right="855" w:firstLine="720"/>
        <w:rPr>
          <w:rFonts w:eastAsia="Calibri"/>
        </w:rPr>
      </w:pPr>
    </w:p>
    <w:p w14:paraId="4EABD226" w14:textId="63DB6E0C" w:rsidR="00F73F00" w:rsidRPr="003979B7" w:rsidRDefault="00F73F00" w:rsidP="00491C69">
      <w:pPr>
        <w:pStyle w:val="Heading1"/>
        <w:rPr>
          <w:rFonts w:eastAsia="Calibri"/>
        </w:rPr>
      </w:pPr>
      <w:r w:rsidRPr="003979B7">
        <w:rPr>
          <w:rFonts w:eastAsia="Calibri"/>
        </w:rPr>
        <w:t xml:space="preserve">Acknowledgements </w:t>
      </w:r>
    </w:p>
    <w:p w14:paraId="55D1B29C" w14:textId="1EC577CE" w:rsidR="00E40325" w:rsidRPr="003979B7" w:rsidRDefault="00E40325" w:rsidP="00AE55D6">
      <w:pPr>
        <w:ind w:firstLine="720"/>
        <w:rPr>
          <w:rFonts w:eastAsia="Calibri"/>
          <w:sz w:val="22"/>
          <w:szCs w:val="22"/>
        </w:rPr>
      </w:pPr>
    </w:p>
    <w:p w14:paraId="31E7C9F1" w14:textId="08B544B4" w:rsidR="00A87AD6" w:rsidRDefault="0065771C" w:rsidP="00AE55D6">
      <w:pPr>
        <w:ind w:firstLine="720"/>
        <w:rPr>
          <w:sz w:val="22"/>
          <w:szCs w:val="22"/>
        </w:rPr>
      </w:pPr>
      <w:r>
        <w:rPr>
          <w:sz w:val="22"/>
          <w:szCs w:val="22"/>
        </w:rPr>
        <w:t>Xxxxxxx Deleted for review</w:t>
      </w:r>
    </w:p>
    <w:p w14:paraId="2D1960A5" w14:textId="77777777" w:rsidR="00A84416" w:rsidRPr="003979B7" w:rsidRDefault="00A84416" w:rsidP="00AE55D6">
      <w:pPr>
        <w:ind w:firstLine="720"/>
        <w:rPr>
          <w:sz w:val="22"/>
          <w:szCs w:val="22"/>
        </w:rPr>
      </w:pPr>
    </w:p>
    <w:p w14:paraId="659FAA47" w14:textId="386A4B0A" w:rsidR="00CB26FF" w:rsidRPr="00313B52" w:rsidRDefault="00CB26FF" w:rsidP="00F07948">
      <w:pPr>
        <w:pStyle w:val="Heading1"/>
        <w:rPr>
          <w:b w:val="0"/>
        </w:rPr>
      </w:pPr>
      <w:r w:rsidRPr="00313B52">
        <w:t>References</w:t>
      </w:r>
    </w:p>
    <w:p w14:paraId="757559FE" w14:textId="320A4A21" w:rsidR="00751402" w:rsidRPr="00A36E44" w:rsidRDefault="00751402" w:rsidP="00AE55D6">
      <w:pPr>
        <w:ind w:firstLine="720"/>
      </w:pPr>
    </w:p>
    <w:p w14:paraId="7DEC22D8" w14:textId="77777777" w:rsidR="00A12A9D" w:rsidRPr="00A12A9D" w:rsidRDefault="00CB26FF" w:rsidP="005552F6">
      <w:pPr>
        <w:pStyle w:val="Bibliography"/>
        <w:spacing w:after="0"/>
        <w:rPr>
          <w:lang w:val="en-US"/>
        </w:rPr>
      </w:pPr>
      <w:r w:rsidRPr="00A36E44">
        <w:rPr>
          <w:b/>
        </w:rPr>
        <w:fldChar w:fldCharType="begin"/>
      </w:r>
      <w:r w:rsidR="006E6A2C">
        <w:rPr>
          <w:b/>
        </w:rPr>
        <w:instrText xml:space="preserve"> ADDIN ZOTERO_BIBL {"uncited":[],"omitted":[],"custom":[]} CSL_BIBLIOGRAPHY </w:instrText>
      </w:r>
      <w:r w:rsidRPr="00A36E44">
        <w:rPr>
          <w:b/>
        </w:rPr>
        <w:fldChar w:fldCharType="separate"/>
      </w:r>
      <w:r w:rsidR="00A12A9D" w:rsidRPr="00A12A9D">
        <w:rPr>
          <w:lang w:val="en-US"/>
        </w:rPr>
        <w:t xml:space="preserve">van Asselt, M.B.. A. &amp; Vos, E. (2006) The Precautionary Principle and the Uncertainty Paradox. </w:t>
      </w:r>
      <w:r w:rsidR="00A12A9D" w:rsidRPr="00A12A9D">
        <w:rPr>
          <w:i/>
          <w:iCs/>
          <w:lang w:val="en-US"/>
        </w:rPr>
        <w:t>Journal of Risk Research</w:t>
      </w:r>
      <w:r w:rsidR="00A12A9D" w:rsidRPr="00A12A9D">
        <w:rPr>
          <w:lang w:val="en-US"/>
        </w:rPr>
        <w:t>. 9 (4), 313–336.</w:t>
      </w:r>
    </w:p>
    <w:p w14:paraId="6701AD21" w14:textId="77777777" w:rsidR="00A12A9D" w:rsidRPr="00A12A9D" w:rsidRDefault="00A12A9D" w:rsidP="005552F6">
      <w:pPr>
        <w:pStyle w:val="Bibliography"/>
        <w:spacing w:after="0"/>
        <w:rPr>
          <w:lang w:val="en-US"/>
        </w:rPr>
      </w:pPr>
      <w:r w:rsidRPr="00A12A9D">
        <w:rPr>
          <w:lang w:val="en-US"/>
        </w:rPr>
        <w:t xml:space="preserve">Bakker, M. (2007) </w:t>
      </w:r>
      <w:r w:rsidRPr="00A12A9D">
        <w:rPr>
          <w:i/>
          <w:iCs/>
          <w:lang w:val="en-US"/>
        </w:rPr>
        <w:t>Transboundary River floods: Vulnerability of Continents, International River Basins and Countries</w:t>
      </w:r>
      <w:r w:rsidRPr="00A12A9D">
        <w:rPr>
          <w:lang w:val="en-US"/>
        </w:rPr>
        <w:t>. PhD. Oregon, USA, Oregon State University.</w:t>
      </w:r>
    </w:p>
    <w:p w14:paraId="465BC426" w14:textId="77777777" w:rsidR="00A12A9D" w:rsidRPr="00A12A9D" w:rsidRDefault="00A12A9D" w:rsidP="005552F6">
      <w:pPr>
        <w:pStyle w:val="Bibliography"/>
        <w:spacing w:after="0"/>
        <w:rPr>
          <w:lang w:val="en-US"/>
        </w:rPr>
      </w:pPr>
      <w:r w:rsidRPr="00A12A9D">
        <w:rPr>
          <w:lang w:val="en-US"/>
        </w:rPr>
        <w:t xml:space="preserve">Basic, F. (2009) </w:t>
      </w:r>
      <w:r w:rsidRPr="00A12A9D">
        <w:rPr>
          <w:i/>
          <w:iCs/>
          <w:lang w:val="en-US"/>
        </w:rPr>
        <w:t>Geographic Visualisation Tools for Communicating Flood Risks to the Public</w:t>
      </w:r>
      <w:r w:rsidRPr="00A12A9D">
        <w:rPr>
          <w:lang w:val="en-US"/>
        </w:rPr>
        <w:t>. PhD. Melbourne, Australia, RMIT University.</w:t>
      </w:r>
    </w:p>
    <w:p w14:paraId="4980B4A1" w14:textId="77777777" w:rsidR="00A12A9D" w:rsidRPr="00A12A9D" w:rsidRDefault="00A12A9D" w:rsidP="005552F6">
      <w:pPr>
        <w:pStyle w:val="Bibliography"/>
        <w:spacing w:after="0"/>
        <w:rPr>
          <w:lang w:val="en-US"/>
        </w:rPr>
      </w:pPr>
      <w:r w:rsidRPr="00A12A9D">
        <w:rPr>
          <w:lang w:val="en-US"/>
        </w:rPr>
        <w:t xml:space="preserve">Berkman, T.S. (2019) </w:t>
      </w:r>
      <w:r w:rsidRPr="00A12A9D">
        <w:rPr>
          <w:i/>
          <w:iCs/>
          <w:lang w:val="en-US"/>
        </w:rPr>
        <w:t>New York State Department Of Environmental Conservation against International Joint Commission</w:t>
      </w:r>
      <w:r w:rsidRPr="00A12A9D">
        <w:rPr>
          <w:lang w:val="en-US"/>
        </w:rPr>
        <w:t>. [Online]. Available from: https://www.courthousenews.com/wp-content/uploads/2019/10/NY_IJC_LakeOntarioFlooding-COMPLAINT.pdf.</w:t>
      </w:r>
    </w:p>
    <w:p w14:paraId="699E619F" w14:textId="77777777" w:rsidR="00A12A9D" w:rsidRPr="00A12A9D" w:rsidRDefault="00A12A9D" w:rsidP="005552F6">
      <w:pPr>
        <w:pStyle w:val="Bibliography"/>
        <w:spacing w:after="0"/>
        <w:rPr>
          <w:lang w:val="en-US"/>
        </w:rPr>
      </w:pPr>
      <w:r w:rsidRPr="00A12A9D">
        <w:rPr>
          <w:lang w:val="en-US"/>
        </w:rPr>
        <w:t xml:space="preserve">Bernauer, T. (2002) Explaining success and failure in international river management. </w:t>
      </w:r>
      <w:r w:rsidRPr="00A12A9D">
        <w:rPr>
          <w:i/>
          <w:iCs/>
          <w:lang w:val="en-US"/>
        </w:rPr>
        <w:t>Aquatic Sciences</w:t>
      </w:r>
      <w:r w:rsidRPr="00A12A9D">
        <w:rPr>
          <w:lang w:val="en-US"/>
        </w:rPr>
        <w:t>. 64, 19.</w:t>
      </w:r>
    </w:p>
    <w:p w14:paraId="7C14087E" w14:textId="77777777" w:rsidR="00A12A9D" w:rsidRPr="00A12A9D" w:rsidRDefault="00A12A9D" w:rsidP="005552F6">
      <w:pPr>
        <w:pStyle w:val="Bibliography"/>
        <w:spacing w:after="0"/>
        <w:rPr>
          <w:lang w:val="en-US"/>
        </w:rPr>
      </w:pPr>
      <w:r w:rsidRPr="00A12A9D">
        <w:rPr>
          <w:lang w:val="en-US"/>
        </w:rPr>
        <w:t xml:space="preserve">K.J Beven &amp; J. Hall (eds.) (2006) </w:t>
      </w:r>
      <w:r w:rsidRPr="00A12A9D">
        <w:rPr>
          <w:i/>
          <w:iCs/>
          <w:lang w:val="en-US"/>
        </w:rPr>
        <w:t>Completing the Forecast : Characterizing and Communicating Uncertainty for Better Decisions using Weather and Climate Forecasts</w:t>
      </w:r>
      <w:r w:rsidRPr="00A12A9D">
        <w:rPr>
          <w:lang w:val="en-US"/>
        </w:rPr>
        <w:t>. Ebook central. Washington, D.C., National Academies Press.</w:t>
      </w:r>
    </w:p>
    <w:p w14:paraId="2796D405" w14:textId="77777777" w:rsidR="00A12A9D" w:rsidRPr="00A12A9D" w:rsidRDefault="00A12A9D" w:rsidP="005552F6">
      <w:pPr>
        <w:pStyle w:val="Bibliography"/>
        <w:spacing w:after="0"/>
        <w:rPr>
          <w:lang w:val="en-US"/>
        </w:rPr>
      </w:pPr>
      <w:r w:rsidRPr="00A12A9D">
        <w:rPr>
          <w:lang w:val="en-US"/>
        </w:rPr>
        <w:t xml:space="preserve">van der Bles, A.M., van der Linden, S., Freeman, A.L.J., Mitchell, J., et al. (2019) Communicating uncertainty about facts, numbers and science. </w:t>
      </w:r>
      <w:r w:rsidRPr="00A12A9D">
        <w:rPr>
          <w:i/>
          <w:iCs/>
          <w:lang w:val="en-US"/>
        </w:rPr>
        <w:t>Royal Society Open Science</w:t>
      </w:r>
      <w:r w:rsidRPr="00A12A9D">
        <w:rPr>
          <w:lang w:val="en-US"/>
        </w:rPr>
        <w:t>. 6 (5), 181870.</w:t>
      </w:r>
    </w:p>
    <w:p w14:paraId="60507C3C" w14:textId="77777777" w:rsidR="00A12A9D" w:rsidRPr="00A12A9D" w:rsidRDefault="00A12A9D" w:rsidP="005552F6">
      <w:pPr>
        <w:pStyle w:val="Bibliography"/>
        <w:spacing w:after="0"/>
        <w:rPr>
          <w:lang w:val="en-US"/>
        </w:rPr>
      </w:pPr>
      <w:r w:rsidRPr="00A12A9D">
        <w:rPr>
          <w:lang w:val="en-US"/>
        </w:rPr>
        <w:t xml:space="preserve">Chao, P.T., Hobbs, B.F. &amp; Venkatesh, B.N. (1999) How Climate Uncertainty Should be Included in Great Lakes Management: Modeling Workshop Results. </w:t>
      </w:r>
      <w:r w:rsidRPr="00A12A9D">
        <w:rPr>
          <w:i/>
          <w:iCs/>
          <w:lang w:val="en-US"/>
        </w:rPr>
        <w:t>Journal of the American Water Resources Association</w:t>
      </w:r>
      <w:r w:rsidRPr="00A12A9D">
        <w:rPr>
          <w:lang w:val="en-US"/>
        </w:rPr>
        <w:t>. 35 (6), 1485–1497.</w:t>
      </w:r>
    </w:p>
    <w:p w14:paraId="0ABB0163" w14:textId="77777777" w:rsidR="00A12A9D" w:rsidRPr="00A12A9D" w:rsidRDefault="00A12A9D" w:rsidP="005552F6">
      <w:pPr>
        <w:pStyle w:val="Bibliography"/>
        <w:spacing w:after="0"/>
        <w:rPr>
          <w:lang w:val="en-US"/>
        </w:rPr>
      </w:pPr>
      <w:r w:rsidRPr="00A12A9D">
        <w:rPr>
          <w:lang w:val="en-US"/>
        </w:rPr>
        <w:t xml:space="preserve">Chauhan, S.S. &amp; Bowles, D.S. (2001) ‘Incorporating Uncertainty into Dam Safety Risk Assessment.’ In: </w:t>
      </w:r>
      <w:r w:rsidRPr="00A12A9D">
        <w:rPr>
          <w:i/>
          <w:iCs/>
          <w:lang w:val="en-US"/>
        </w:rPr>
        <w:t>Proceedings of Risk Analysis in Dam Safety, Third International Conference on Dam Safety Evaluation</w:t>
      </w:r>
      <w:r w:rsidRPr="00A12A9D">
        <w:rPr>
          <w:lang w:val="en-US"/>
        </w:rPr>
        <w:t>. 2001 Goa, India. p. 11.</w:t>
      </w:r>
    </w:p>
    <w:p w14:paraId="4330E28B" w14:textId="77777777" w:rsidR="00A12A9D" w:rsidRPr="00A12A9D" w:rsidRDefault="00A12A9D" w:rsidP="005552F6">
      <w:pPr>
        <w:pStyle w:val="Bibliography"/>
        <w:spacing w:after="0"/>
        <w:rPr>
          <w:lang w:val="en-US"/>
        </w:rPr>
      </w:pPr>
      <w:r w:rsidRPr="00A12A9D">
        <w:rPr>
          <w:lang w:val="en-US"/>
        </w:rPr>
        <w:t xml:space="preserve">Clamen, M. (2013) The IJC and Transboundary Water Disputes: Past, Present, and Future. In: </w:t>
      </w:r>
      <w:r w:rsidRPr="00A12A9D">
        <w:rPr>
          <w:i/>
          <w:iCs/>
          <w:lang w:val="en-US"/>
        </w:rPr>
        <w:t>Water Without Borders : Canada, the United States, and Shared Waters</w:t>
      </w:r>
      <w:r w:rsidRPr="00A12A9D">
        <w:rPr>
          <w:lang w:val="en-US"/>
        </w:rPr>
        <w:t>. Toronto, Canada, University of Toronto Press. pp. 70–87.</w:t>
      </w:r>
    </w:p>
    <w:p w14:paraId="456FD573" w14:textId="77777777" w:rsidR="00A12A9D" w:rsidRPr="00A12A9D" w:rsidRDefault="00A12A9D" w:rsidP="005552F6">
      <w:pPr>
        <w:pStyle w:val="Bibliography"/>
        <w:spacing w:after="0"/>
        <w:rPr>
          <w:lang w:val="en-US"/>
        </w:rPr>
      </w:pPr>
      <w:r w:rsidRPr="00A12A9D">
        <w:rPr>
          <w:lang w:val="en-US"/>
        </w:rPr>
        <w:t xml:space="preserve">Clamen, M. &amp; Macfarlane, D. (2018) Plan 2014: The historical evolution of Lake Ontario–St. Lawrence River regulation. </w:t>
      </w:r>
      <w:r w:rsidRPr="00A12A9D">
        <w:rPr>
          <w:i/>
          <w:iCs/>
          <w:lang w:val="en-US"/>
        </w:rPr>
        <w:t>Canadian Water Resources Journal / Revue canadienne des ressources hydriques</w:t>
      </w:r>
      <w:r w:rsidRPr="00A12A9D">
        <w:rPr>
          <w:lang w:val="en-US"/>
        </w:rPr>
        <w:t>. 43 (4), 416–431.</w:t>
      </w:r>
    </w:p>
    <w:p w14:paraId="6E5C6648" w14:textId="77777777" w:rsidR="00A12A9D" w:rsidRPr="00A12A9D" w:rsidRDefault="00A12A9D" w:rsidP="005552F6">
      <w:pPr>
        <w:pStyle w:val="Bibliography"/>
        <w:spacing w:after="0"/>
        <w:rPr>
          <w:lang w:val="en-US"/>
        </w:rPr>
      </w:pPr>
      <w:r w:rsidRPr="00A12A9D">
        <w:rPr>
          <w:lang w:val="en-US"/>
        </w:rPr>
        <w:t xml:space="preserve">Coin, G. (2019) Is Plan 2014 Getting a Bad Rap for Lake Ontario Flooding? </w:t>
      </w:r>
      <w:r w:rsidRPr="00A12A9D">
        <w:rPr>
          <w:i/>
          <w:iCs/>
          <w:lang w:val="en-US"/>
        </w:rPr>
        <w:t>New York Upstate</w:t>
      </w:r>
      <w:r w:rsidRPr="00A12A9D">
        <w:rPr>
          <w:lang w:val="en-US"/>
        </w:rPr>
        <w:t>. [Online] 24 May. Available from: https://www.newyorkupstate.com/weather/2019/05/is-plan-2014-getting-a-bad-rap-for-lake-ontario-flooding.html.</w:t>
      </w:r>
    </w:p>
    <w:p w14:paraId="69CCB943" w14:textId="77777777" w:rsidR="00A12A9D" w:rsidRPr="00A12A9D" w:rsidRDefault="00A12A9D" w:rsidP="005552F6">
      <w:pPr>
        <w:pStyle w:val="Bibliography"/>
        <w:spacing w:after="0"/>
        <w:rPr>
          <w:lang w:val="en-US"/>
        </w:rPr>
      </w:pPr>
      <w:r w:rsidRPr="00A12A9D">
        <w:rPr>
          <w:lang w:val="en-US"/>
        </w:rPr>
        <w:t xml:space="preserve">Cook, C. (2014) Governing jurisdictional fragmentation: Tracing patterns of water governance in Ontario, Canada. </w:t>
      </w:r>
      <w:r w:rsidRPr="00A12A9D">
        <w:rPr>
          <w:i/>
          <w:iCs/>
          <w:lang w:val="en-US"/>
        </w:rPr>
        <w:t>Geoforum</w:t>
      </w:r>
      <w:r w:rsidRPr="00A12A9D">
        <w:rPr>
          <w:lang w:val="en-US"/>
        </w:rPr>
        <w:t>. 56, 192–200.</w:t>
      </w:r>
    </w:p>
    <w:p w14:paraId="6DEC28C3" w14:textId="77777777" w:rsidR="00A12A9D" w:rsidRPr="00A12A9D" w:rsidRDefault="00A12A9D" w:rsidP="005552F6">
      <w:pPr>
        <w:pStyle w:val="Bibliography"/>
        <w:spacing w:after="0"/>
        <w:rPr>
          <w:lang w:val="en-US"/>
        </w:rPr>
      </w:pPr>
      <w:r w:rsidRPr="00A12A9D">
        <w:rPr>
          <w:lang w:val="en-US"/>
        </w:rPr>
        <w:t xml:space="preserve">Cooley, H., Christian-Smith, J., Gleick, P.H., Allen, L., et al. (2009) </w:t>
      </w:r>
      <w:r w:rsidRPr="00A12A9D">
        <w:rPr>
          <w:i/>
          <w:iCs/>
          <w:lang w:val="en-US"/>
        </w:rPr>
        <w:t>Understanding and Reducing the Risks of Climate Change for Transboundary Waters</w:t>
      </w:r>
      <w:r w:rsidRPr="00A12A9D">
        <w:rPr>
          <w:lang w:val="en-US"/>
        </w:rPr>
        <w:t>.p.38.</w:t>
      </w:r>
    </w:p>
    <w:p w14:paraId="46AC081E" w14:textId="584D1DB7" w:rsidR="00303B86" w:rsidRPr="005552F6" w:rsidRDefault="00A12A9D" w:rsidP="005552F6">
      <w:pPr>
        <w:pStyle w:val="Bibliography"/>
        <w:spacing w:after="0"/>
        <w:rPr>
          <w:lang w:val="en-US"/>
        </w:rPr>
      </w:pPr>
      <w:r w:rsidRPr="005552F6">
        <w:rPr>
          <w:lang w:val="en-US"/>
        </w:rPr>
        <w:t>Corriveau, J. (2020) Les dernières inondations ont coûté 17 millions à la Ville de Montréal. Le Devoir. [Online] 8 January. Available from: https://www.ledevoir.com/politique/montreal/570363/les-inondations-du-printemps-2019-ont-coute-17-millions-a-la-ville-de-montreal#:~:text=Jeanne%20Corriveau&amp;text=Les%20inondations%20du%20printemps%20dernier,des%20employ%C3%A9s%20de%20la%20Ville.</w:t>
      </w:r>
      <w:r w:rsidR="00303B86" w:rsidRPr="005552F6">
        <w:rPr>
          <w:lang w:val="en-US"/>
        </w:rPr>
        <w:t>            </w:t>
      </w:r>
    </w:p>
    <w:p w14:paraId="62B52ECA" w14:textId="45C9E894" w:rsidR="00303B86" w:rsidRPr="00303B86" w:rsidRDefault="00303B86" w:rsidP="005552F6">
      <w:pPr>
        <w:pStyle w:val="Bibliography"/>
        <w:spacing w:after="0"/>
        <w:rPr>
          <w:lang w:val="en-US"/>
        </w:rPr>
      </w:pPr>
      <w:r w:rsidRPr="005552F6">
        <w:rPr>
          <w:lang w:val="en-US"/>
        </w:rPr>
        <w:t>Chao, P. T., Hobbs, B. F., &amp; Venkatesh, B. N. (1999). How Climate Uncertainty Should be Included in Great Lakes Management: Modeling Workshop Results 1. Journal of the American Water Resources Association. 35(6), 1485-1497.</w:t>
      </w:r>
    </w:p>
    <w:p w14:paraId="3B535166" w14:textId="77777777" w:rsidR="00A12A9D" w:rsidRPr="00A12A9D" w:rsidRDefault="00A12A9D" w:rsidP="005552F6">
      <w:pPr>
        <w:pStyle w:val="Bibliography"/>
        <w:spacing w:after="0"/>
        <w:rPr>
          <w:lang w:val="en-US"/>
        </w:rPr>
      </w:pPr>
      <w:r w:rsidRPr="00A12A9D">
        <w:rPr>
          <w:lang w:val="en-US"/>
        </w:rPr>
        <w:t xml:space="preserve">Cosens, B. (2010) Transboundary River Governance in the Face of Uncertainty: Resilience Theory and the Columbia River Treaty. </w:t>
      </w:r>
      <w:r w:rsidRPr="00A12A9D">
        <w:rPr>
          <w:i/>
          <w:iCs/>
          <w:lang w:val="en-US"/>
        </w:rPr>
        <w:t>Journal of Land, Resources &amp; Environmental Law</w:t>
      </w:r>
      <w:r w:rsidRPr="00A12A9D">
        <w:rPr>
          <w:lang w:val="en-US"/>
        </w:rPr>
        <w:t>. 30 (2).</w:t>
      </w:r>
    </w:p>
    <w:p w14:paraId="0666936B" w14:textId="77777777" w:rsidR="00A12A9D" w:rsidRPr="00A12A9D" w:rsidRDefault="00A12A9D" w:rsidP="005552F6">
      <w:pPr>
        <w:pStyle w:val="Bibliography"/>
        <w:spacing w:after="0"/>
        <w:rPr>
          <w:lang w:val="en-US"/>
        </w:rPr>
      </w:pPr>
      <w:r w:rsidRPr="00A12A9D">
        <w:rPr>
          <w:lang w:val="en-US"/>
        </w:rPr>
        <w:t xml:space="preserve">Crow, B. &amp; Singh, N. (2009) The Management of International Rivers as Demands Grow and Supplies Tighten: India, China, Nepal, Pakistan, Bangladesh. </w:t>
      </w:r>
      <w:r w:rsidRPr="00A12A9D">
        <w:rPr>
          <w:i/>
          <w:iCs/>
          <w:lang w:val="en-US"/>
        </w:rPr>
        <w:t>India Review</w:t>
      </w:r>
      <w:r w:rsidRPr="00A12A9D">
        <w:rPr>
          <w:lang w:val="en-US"/>
        </w:rPr>
        <w:t>. 8 (3), 306–339.</w:t>
      </w:r>
    </w:p>
    <w:p w14:paraId="28322FC9" w14:textId="77777777" w:rsidR="00A12A9D" w:rsidRPr="00A12A9D" w:rsidRDefault="00A12A9D" w:rsidP="005552F6">
      <w:pPr>
        <w:pStyle w:val="Bibliography"/>
        <w:spacing w:after="0"/>
        <w:rPr>
          <w:lang w:val="en-US"/>
        </w:rPr>
      </w:pPr>
      <w:r w:rsidRPr="00A12A9D">
        <w:rPr>
          <w:lang w:val="en-US"/>
        </w:rPr>
        <w:t xml:space="preserve">Durth, R. (1996) European experience in the solution of cross-border environmental problems. </w:t>
      </w:r>
      <w:r w:rsidRPr="00A12A9D">
        <w:rPr>
          <w:i/>
          <w:iCs/>
          <w:lang w:val="en-US"/>
        </w:rPr>
        <w:t>Intereconomics</w:t>
      </w:r>
      <w:r w:rsidRPr="00A12A9D">
        <w:rPr>
          <w:lang w:val="en-US"/>
        </w:rPr>
        <w:t>. 31 (2), 62–67.</w:t>
      </w:r>
    </w:p>
    <w:p w14:paraId="2860098A" w14:textId="77777777" w:rsidR="00A12A9D" w:rsidRPr="00A12A9D" w:rsidRDefault="00A12A9D" w:rsidP="005552F6">
      <w:pPr>
        <w:pStyle w:val="Bibliography"/>
        <w:spacing w:after="0"/>
        <w:rPr>
          <w:lang w:val="en-US"/>
        </w:rPr>
      </w:pPr>
      <w:r w:rsidRPr="00A12A9D">
        <w:rPr>
          <w:lang w:val="en-US"/>
        </w:rPr>
        <w:t xml:space="preserve">Eagan, K. (2019) Protesters blame new Great Lakes plan for Ottawa River, Lake Ontario floods. </w:t>
      </w:r>
      <w:r w:rsidRPr="00A12A9D">
        <w:rPr>
          <w:i/>
          <w:iCs/>
          <w:lang w:val="en-US"/>
        </w:rPr>
        <w:t>Ottawa Citizen</w:t>
      </w:r>
      <w:r w:rsidRPr="00A12A9D">
        <w:rPr>
          <w:lang w:val="en-US"/>
        </w:rPr>
        <w:t>. [Online] 24 November. Available from: https://ottawacitizen.com/news/local-news/protesters-blame-new-great-lakes-plan-for-floods-on-lake-ontario-ottawa-river.</w:t>
      </w:r>
    </w:p>
    <w:p w14:paraId="075AAC9B" w14:textId="77777777" w:rsidR="00A12A9D" w:rsidRPr="00A12A9D" w:rsidRDefault="00A12A9D" w:rsidP="005552F6">
      <w:pPr>
        <w:pStyle w:val="Bibliography"/>
        <w:spacing w:after="0"/>
        <w:rPr>
          <w:lang w:val="en-US"/>
        </w:rPr>
      </w:pPr>
      <w:r w:rsidRPr="00A12A9D">
        <w:rPr>
          <w:lang w:val="en-US"/>
        </w:rPr>
        <w:t xml:space="preserve">European Commission Environment (2003) </w:t>
      </w:r>
      <w:r w:rsidRPr="00A12A9D">
        <w:rPr>
          <w:i/>
          <w:iCs/>
          <w:lang w:val="en-US"/>
        </w:rPr>
        <w:t>Best Practices on Flood Prevention, Protection, and Mitigation</w:t>
      </w:r>
      <w:r w:rsidRPr="00A12A9D">
        <w:rPr>
          <w:lang w:val="en-US"/>
        </w:rPr>
        <w:t>.</w:t>
      </w:r>
    </w:p>
    <w:p w14:paraId="3C9C7600" w14:textId="77777777" w:rsidR="00A12A9D" w:rsidRPr="00A12A9D" w:rsidRDefault="00A12A9D" w:rsidP="005552F6">
      <w:pPr>
        <w:pStyle w:val="Bibliography"/>
        <w:spacing w:after="0"/>
        <w:rPr>
          <w:lang w:val="en-US"/>
        </w:rPr>
      </w:pPr>
      <w:r w:rsidRPr="00A12A9D">
        <w:rPr>
          <w:lang w:val="en-US"/>
        </w:rPr>
        <w:t xml:space="preserve">Fay, D. (2005) Annex 3: Summary of Constraints and Assumption for Plan Formulation. In: </w:t>
      </w:r>
      <w:r w:rsidRPr="00A12A9D">
        <w:rPr>
          <w:i/>
          <w:iCs/>
          <w:lang w:val="en-US"/>
        </w:rPr>
        <w:t>Options for Managing Lake Ontario and St. Lawrence River Water Levels and Flows. Final Report by the International Lake Ontario - St. Lawrence River Study Board to the International Joint Commission</w:t>
      </w:r>
      <w:r w:rsidRPr="00A12A9D">
        <w:rPr>
          <w:lang w:val="en-US"/>
        </w:rPr>
        <w:t>. [Online]. p. Available from: https://www.iwr.usace.army.mil/Portals/70/docs/CPCX/SVP/LOSL%20Plan%20Description%20report-ann3-e.pdf?ver=2017-08-04-123924-933.</w:t>
      </w:r>
    </w:p>
    <w:p w14:paraId="5967A09C" w14:textId="77777777" w:rsidR="00A12A9D" w:rsidRPr="00A12A9D" w:rsidRDefault="00A12A9D" w:rsidP="005552F6">
      <w:pPr>
        <w:pStyle w:val="Bibliography"/>
        <w:spacing w:after="0"/>
        <w:rPr>
          <w:lang w:val="en-US"/>
        </w:rPr>
      </w:pPr>
      <w:r w:rsidRPr="00A12A9D">
        <w:rPr>
          <w:lang w:val="en-US"/>
        </w:rPr>
        <w:t xml:space="preserve">Fischhendler, I. (2004) Legal and institutional adaptation to climate uncertainty: a study of international rivers. </w:t>
      </w:r>
      <w:r w:rsidRPr="00A12A9D">
        <w:rPr>
          <w:i/>
          <w:iCs/>
          <w:lang w:val="en-US"/>
        </w:rPr>
        <w:t>Water Policy</w:t>
      </w:r>
      <w:r w:rsidRPr="00A12A9D">
        <w:rPr>
          <w:lang w:val="en-US"/>
        </w:rPr>
        <w:t>. 6 (4), 281–302.</w:t>
      </w:r>
    </w:p>
    <w:p w14:paraId="77896CDE" w14:textId="77777777" w:rsidR="00A12A9D" w:rsidRPr="00A12A9D" w:rsidRDefault="00A12A9D" w:rsidP="005552F6">
      <w:pPr>
        <w:pStyle w:val="Bibliography"/>
        <w:spacing w:after="0"/>
        <w:rPr>
          <w:lang w:val="en-US"/>
        </w:rPr>
      </w:pPr>
      <w:r w:rsidRPr="00A12A9D">
        <w:rPr>
          <w:lang w:val="en-US"/>
        </w:rPr>
        <w:t xml:space="preserve">Giambusso, D. &amp; French, M.J. (2017) Ontario blame game. </w:t>
      </w:r>
      <w:r w:rsidRPr="00A12A9D">
        <w:rPr>
          <w:i/>
          <w:iCs/>
          <w:lang w:val="en-US"/>
        </w:rPr>
        <w:t>Politico New York and New Jersey</w:t>
      </w:r>
      <w:r w:rsidRPr="00A12A9D">
        <w:rPr>
          <w:lang w:val="en-US"/>
        </w:rPr>
        <w:t>. [Online] 30 May. Available from: https://www.politico.com/states/new-york/tipsheets/politico-new-york-energy/2017/05/30/ontario-blame-game-007589.</w:t>
      </w:r>
    </w:p>
    <w:p w14:paraId="6E226593" w14:textId="77777777" w:rsidR="00A12A9D" w:rsidRPr="00A12A9D" w:rsidRDefault="00A12A9D" w:rsidP="005552F6">
      <w:pPr>
        <w:pStyle w:val="Bibliography"/>
        <w:spacing w:after="0"/>
        <w:rPr>
          <w:lang w:val="en-US"/>
        </w:rPr>
      </w:pPr>
      <w:r w:rsidRPr="00A12A9D">
        <w:rPr>
          <w:lang w:val="en-US"/>
        </w:rPr>
        <w:t xml:space="preserve">Glantz, M. (2003) Usable Science 8: Early Warning Systems: Do’s and Don’ts. In: </w:t>
      </w:r>
      <w:r w:rsidRPr="00A12A9D">
        <w:rPr>
          <w:i/>
          <w:iCs/>
          <w:lang w:val="en-US"/>
        </w:rPr>
        <w:t>EWS Workshop</w:t>
      </w:r>
      <w:r w:rsidRPr="00A12A9D">
        <w:rPr>
          <w:lang w:val="en-US"/>
        </w:rPr>
        <w:t>. 20 October 2003 Shanghai, National Center for Atmospheric Research. p. 77.</w:t>
      </w:r>
    </w:p>
    <w:p w14:paraId="389FAC04" w14:textId="77777777" w:rsidR="00A12A9D" w:rsidRPr="00A12A9D" w:rsidRDefault="00A12A9D" w:rsidP="005552F6">
      <w:pPr>
        <w:pStyle w:val="Bibliography"/>
        <w:spacing w:after="0"/>
        <w:rPr>
          <w:lang w:val="en-US"/>
        </w:rPr>
      </w:pPr>
      <w:r w:rsidRPr="00A12A9D">
        <w:rPr>
          <w:lang w:val="en-US"/>
        </w:rPr>
        <w:t xml:space="preserve">Green, M. &amp; Weatherhead, E.K. (2014) Coping with Climate Change Uncertainty for Adaptation Planning: An Improved Criterion for Decision Making under Uncertainty Using UKCP09. </w:t>
      </w:r>
      <w:r w:rsidRPr="00A12A9D">
        <w:rPr>
          <w:i/>
          <w:iCs/>
          <w:lang w:val="en-US"/>
        </w:rPr>
        <w:t>Climate Risk Management</w:t>
      </w:r>
      <w:r w:rsidRPr="00A12A9D">
        <w:rPr>
          <w:lang w:val="en-US"/>
        </w:rPr>
        <w:t>. 1, 63–75.</w:t>
      </w:r>
    </w:p>
    <w:p w14:paraId="6096F9C8" w14:textId="77777777" w:rsidR="00A12A9D" w:rsidRPr="00A12A9D" w:rsidRDefault="00A12A9D" w:rsidP="005552F6">
      <w:pPr>
        <w:pStyle w:val="Bibliography"/>
        <w:spacing w:after="0"/>
        <w:rPr>
          <w:lang w:val="en-US"/>
        </w:rPr>
      </w:pPr>
      <w:r w:rsidRPr="00A12A9D">
        <w:rPr>
          <w:lang w:val="en-US"/>
        </w:rPr>
        <w:t xml:space="preserve">Hall, J. (2014) Chapter 1:  Flood Risk Management: Decision Making Under Uncertainty. In: K.J Beven &amp; J. Hall (eds.). </w:t>
      </w:r>
      <w:r w:rsidRPr="00A12A9D">
        <w:rPr>
          <w:i/>
          <w:iCs/>
          <w:lang w:val="en-US"/>
        </w:rPr>
        <w:t>Applied Uncertainty Analysis For Flood Risk Management</w:t>
      </w:r>
      <w:r w:rsidRPr="00A12A9D">
        <w:rPr>
          <w:lang w:val="en-US"/>
        </w:rPr>
        <w:t>. London, Imperial College Press. p.</w:t>
      </w:r>
    </w:p>
    <w:p w14:paraId="1AF94FD1" w14:textId="77777777" w:rsidR="00A12A9D" w:rsidRPr="00A12A9D" w:rsidRDefault="00A12A9D" w:rsidP="005552F6">
      <w:pPr>
        <w:pStyle w:val="Bibliography"/>
        <w:spacing w:after="0"/>
        <w:rPr>
          <w:lang w:val="en-US"/>
        </w:rPr>
      </w:pPr>
      <w:r w:rsidRPr="00A12A9D">
        <w:rPr>
          <w:lang w:val="en-US"/>
        </w:rPr>
        <w:t xml:space="preserve">Hall, J. &amp; Solomatine, D. (2008) A Framework for Uncertainty Analysis in Flood Risk Management Decisions. </w:t>
      </w:r>
      <w:r w:rsidRPr="00A12A9D">
        <w:rPr>
          <w:i/>
          <w:iCs/>
          <w:lang w:val="en-US"/>
        </w:rPr>
        <w:t>International Journal of River Basin Management</w:t>
      </w:r>
      <w:r w:rsidRPr="00A12A9D">
        <w:rPr>
          <w:lang w:val="en-US"/>
        </w:rPr>
        <w:t>. 6 (2), 85–98.</w:t>
      </w:r>
    </w:p>
    <w:p w14:paraId="6977B674" w14:textId="77777777" w:rsidR="00A12A9D" w:rsidRPr="00A12A9D" w:rsidRDefault="00A12A9D" w:rsidP="005552F6">
      <w:pPr>
        <w:pStyle w:val="Bibliography"/>
        <w:spacing w:after="0"/>
        <w:rPr>
          <w:lang w:val="en-US"/>
        </w:rPr>
      </w:pPr>
      <w:r w:rsidRPr="00A12A9D">
        <w:rPr>
          <w:lang w:val="en-US"/>
        </w:rPr>
        <w:t xml:space="preserve">Hambleton, T. (2018) Frustration at Lake St. Lawrence water level meeting. </w:t>
      </w:r>
      <w:r w:rsidRPr="00A12A9D">
        <w:rPr>
          <w:i/>
          <w:iCs/>
          <w:lang w:val="en-US"/>
        </w:rPr>
        <w:t>Cornwall Standard-Freeholder</w:t>
      </w:r>
      <w:r w:rsidRPr="00A12A9D">
        <w:rPr>
          <w:lang w:val="en-US"/>
        </w:rPr>
        <w:t>. [Online] 12 September. Available from: https://www.standard-freeholder.com/news/local-news/frustration-at-lake-st-lawrence-water-level-meeting/wcm/2a9dd6b0-6840-4655-a6af-522864eb7294.</w:t>
      </w:r>
    </w:p>
    <w:p w14:paraId="309F5C74" w14:textId="77777777" w:rsidR="00A12A9D" w:rsidRPr="00A12A9D" w:rsidRDefault="00A12A9D" w:rsidP="005552F6">
      <w:pPr>
        <w:pStyle w:val="Bibliography"/>
        <w:spacing w:after="0"/>
        <w:rPr>
          <w:lang w:val="en-US"/>
        </w:rPr>
      </w:pPr>
      <w:r w:rsidRPr="00A12A9D">
        <w:rPr>
          <w:lang w:val="en-US"/>
        </w:rPr>
        <w:t xml:space="preserve">Hannigan, J.A. (1976) Newspaper Conflict and Cooperation Content After Disaster: An Exploratory Analysis. </w:t>
      </w:r>
      <w:r w:rsidRPr="00A12A9D">
        <w:rPr>
          <w:i/>
          <w:iCs/>
          <w:lang w:val="en-US"/>
        </w:rPr>
        <w:t>University of Delaware Disaster Research Center</w:t>
      </w:r>
      <w:r w:rsidRPr="00A12A9D">
        <w:rPr>
          <w:lang w:val="en-US"/>
        </w:rPr>
        <w:t>. 15.</w:t>
      </w:r>
    </w:p>
    <w:p w14:paraId="6CAA9F96" w14:textId="77777777" w:rsidR="00A12A9D" w:rsidRPr="00A12A9D" w:rsidRDefault="00A12A9D" w:rsidP="005552F6">
      <w:pPr>
        <w:pStyle w:val="Bibliography"/>
        <w:spacing w:after="0"/>
        <w:rPr>
          <w:lang w:val="en-US"/>
        </w:rPr>
      </w:pPr>
      <w:r w:rsidRPr="00A12A9D">
        <w:rPr>
          <w:lang w:val="en-US"/>
        </w:rPr>
        <w:t xml:space="preserve">Hildebrand, L.P., Pebbles, V. &amp; Fraser, D.A. (2002) Cooperative ecosystem management across the Canada–US border: approaches and experiences of transboundary programs in the Gulf of Maine, Great Lakes and Georgia Basin/Puget Sound. </w:t>
      </w:r>
      <w:r w:rsidRPr="00A12A9D">
        <w:rPr>
          <w:i/>
          <w:iCs/>
          <w:lang w:val="en-US"/>
        </w:rPr>
        <w:t>Ocean &amp; Coastal Management</w:t>
      </w:r>
      <w:r w:rsidRPr="00A12A9D">
        <w:rPr>
          <w:lang w:val="en-US"/>
        </w:rPr>
        <w:t>. 45 (6), 421–457.</w:t>
      </w:r>
    </w:p>
    <w:p w14:paraId="68B92856" w14:textId="77777777" w:rsidR="00A12A9D" w:rsidRPr="00A12A9D" w:rsidRDefault="00A12A9D" w:rsidP="005552F6">
      <w:pPr>
        <w:pStyle w:val="Bibliography"/>
        <w:spacing w:after="0"/>
        <w:rPr>
          <w:lang w:val="en-US"/>
        </w:rPr>
      </w:pPr>
      <w:r w:rsidRPr="00A12A9D">
        <w:rPr>
          <w:lang w:val="en-US"/>
        </w:rPr>
        <w:t xml:space="preserve">Hudon, C. (2004) </w:t>
      </w:r>
      <w:r w:rsidRPr="00A12A9D">
        <w:rPr>
          <w:i/>
          <w:iCs/>
          <w:lang w:val="en-US"/>
        </w:rPr>
        <w:t>Managing St. Lawrence River Discharge in Times of Climatic Uncertainty : How Water Quantity Affects Wildlife, Recreation and the Economy</w:t>
      </w:r>
      <w:r w:rsidRPr="00A12A9D">
        <w:rPr>
          <w:lang w:val="en-US"/>
        </w:rPr>
        <w:t>. In: 14 March 2004 Spokane, WA. p. 21.</w:t>
      </w:r>
    </w:p>
    <w:p w14:paraId="224D6C59" w14:textId="77777777" w:rsidR="00A12A9D" w:rsidRPr="00A12A9D" w:rsidRDefault="00A12A9D" w:rsidP="005552F6">
      <w:pPr>
        <w:pStyle w:val="Bibliography"/>
        <w:spacing w:after="0"/>
        <w:rPr>
          <w:lang w:val="en-US"/>
        </w:rPr>
      </w:pPr>
      <w:r w:rsidRPr="00A12A9D">
        <w:rPr>
          <w:lang w:val="en-US"/>
        </w:rPr>
        <w:t xml:space="preserve">Intergovernmental Panel on Climate Change (2001) </w:t>
      </w:r>
      <w:r w:rsidRPr="00A12A9D">
        <w:rPr>
          <w:i/>
          <w:iCs/>
          <w:lang w:val="en-US"/>
        </w:rPr>
        <w:t>Climate change 2001: impacts, adaptation, and vulnerability: contribution of Working Group II to the third assessment report of the Intergovernmental Panel on Climate Change</w:t>
      </w:r>
      <w:r w:rsidRPr="00A12A9D">
        <w:rPr>
          <w:lang w:val="en-US"/>
        </w:rPr>
        <w:t>. J. J. McCarthy, O. F. Canziani, N. A. Leary, D. J. Dokken, et al. (eds.). Cambridge, UK ; New York, Cambridge University Press.</w:t>
      </w:r>
    </w:p>
    <w:p w14:paraId="0F42448A" w14:textId="77777777" w:rsidR="00A12A9D" w:rsidRPr="00A12A9D" w:rsidRDefault="00A12A9D" w:rsidP="005552F6">
      <w:pPr>
        <w:pStyle w:val="Bibliography"/>
        <w:spacing w:after="0"/>
        <w:rPr>
          <w:lang w:val="en-US"/>
        </w:rPr>
      </w:pPr>
      <w:r w:rsidRPr="00A12A9D">
        <w:rPr>
          <w:lang w:val="en-US"/>
        </w:rPr>
        <w:t xml:space="preserve">Intergovernmental Panel on Climate Change (2014) </w:t>
      </w:r>
      <w:r w:rsidRPr="00A12A9D">
        <w:rPr>
          <w:i/>
          <w:iCs/>
          <w:lang w:val="en-US"/>
        </w:rPr>
        <w:t>Climate Change 2014: Synthesis Report. Contribution of Working Groups I, II and III to the Fifth Assessment Report of the Intergovernmental Panel on Climate Change</w:t>
      </w:r>
      <w:r w:rsidRPr="00A12A9D">
        <w:rPr>
          <w:lang w:val="en-US"/>
        </w:rPr>
        <w:t>. Geneva, Switzerland.</w:t>
      </w:r>
    </w:p>
    <w:p w14:paraId="7C4C0A11" w14:textId="77777777" w:rsidR="00A12A9D" w:rsidRPr="00A12A9D" w:rsidRDefault="00A12A9D" w:rsidP="005552F6">
      <w:pPr>
        <w:pStyle w:val="Bibliography"/>
        <w:spacing w:after="0"/>
        <w:rPr>
          <w:lang w:val="en-US"/>
        </w:rPr>
      </w:pPr>
      <w:r w:rsidRPr="00A12A9D">
        <w:rPr>
          <w:lang w:val="en-US"/>
        </w:rPr>
        <w:t xml:space="preserve">Intergovernmental Panel on Climate Change (2012) </w:t>
      </w:r>
      <w:r w:rsidRPr="00A12A9D">
        <w:rPr>
          <w:i/>
          <w:iCs/>
          <w:lang w:val="en-US"/>
        </w:rPr>
        <w:t>Managing the Risks of Extreme Events and Disasters to Advance Climate Change Adaptation: Special Report of the Intergovernmental Panel on Climate Change</w:t>
      </w:r>
      <w:r w:rsidRPr="00A12A9D">
        <w:rPr>
          <w:lang w:val="en-US"/>
        </w:rPr>
        <w:t>. Christopher B. Field, Vicente Barros, Thomas F. Stocker, &amp; Qin Dahe (eds.). [Online]. Cambridge, Cambridge University Press. Available from: http://ebooks.cambridge.org/ref/id/CBO9781139177245 [Accessed: 12 January 2019].</w:t>
      </w:r>
    </w:p>
    <w:p w14:paraId="0C2B2743" w14:textId="77777777" w:rsidR="00A12A9D" w:rsidRPr="00A12A9D" w:rsidRDefault="00A12A9D" w:rsidP="005552F6">
      <w:pPr>
        <w:pStyle w:val="Bibliography"/>
        <w:spacing w:after="0"/>
        <w:rPr>
          <w:lang w:val="en-US"/>
        </w:rPr>
      </w:pPr>
      <w:r w:rsidRPr="00A12A9D">
        <w:rPr>
          <w:lang w:val="en-US"/>
        </w:rPr>
        <w:t xml:space="preserve">International Joint Commission (2014) </w:t>
      </w:r>
      <w:r w:rsidRPr="00A12A9D">
        <w:rPr>
          <w:i/>
          <w:iCs/>
          <w:lang w:val="en-US"/>
        </w:rPr>
        <w:t>Lake Ontario -St. Lawrence River Plan 2014 Protecting against extreme water levels, restoring wetlands and preparing for climate change: A Report to the Governments of Canada and the United States by the International Joint Commission</w:t>
      </w:r>
      <w:r w:rsidRPr="00A12A9D">
        <w:rPr>
          <w:lang w:val="en-US"/>
        </w:rPr>
        <w:t>. [Online]. Available from: https://legacyfiles.ijc.org/tinymce/uploaded/LOSLR/IJC_LOSR_EN_Web.pdf.</w:t>
      </w:r>
    </w:p>
    <w:p w14:paraId="6E8DFD32" w14:textId="77777777" w:rsidR="00A12A9D" w:rsidRPr="00A12A9D" w:rsidRDefault="00A12A9D" w:rsidP="005552F6">
      <w:pPr>
        <w:pStyle w:val="Bibliography"/>
        <w:spacing w:after="0"/>
        <w:rPr>
          <w:lang w:val="en-US"/>
        </w:rPr>
      </w:pPr>
      <w:r w:rsidRPr="00A12A9D">
        <w:rPr>
          <w:lang w:val="en-US"/>
        </w:rPr>
        <w:t xml:space="preserve">International Lake Ontario- St. Lawrence River Board (2020a) </w:t>
      </w:r>
      <w:r w:rsidRPr="00A12A9D">
        <w:rPr>
          <w:i/>
          <w:iCs/>
          <w:lang w:val="en-US"/>
        </w:rPr>
        <w:t>Lake Ontario-St. Lawrence River 2019 High Water Levels Questions and Answers</w:t>
      </w:r>
      <w:r w:rsidRPr="00A12A9D">
        <w:rPr>
          <w:lang w:val="en-US"/>
        </w:rPr>
        <w:t>. [Online]. 2020. Available from: https://ijc.org/sites/default/files/2020-01/ILOSLRB_2019HighWaterQAs_Final_20200122.pdf.</w:t>
      </w:r>
    </w:p>
    <w:p w14:paraId="5837486B" w14:textId="77777777" w:rsidR="00A12A9D" w:rsidRPr="00A12A9D" w:rsidRDefault="00A12A9D" w:rsidP="005552F6">
      <w:pPr>
        <w:pStyle w:val="Bibliography"/>
        <w:spacing w:after="0"/>
        <w:rPr>
          <w:lang w:val="en-US"/>
        </w:rPr>
      </w:pPr>
      <w:r w:rsidRPr="00A12A9D">
        <w:rPr>
          <w:lang w:val="en-US"/>
        </w:rPr>
        <w:t xml:space="preserve">International Lake Ontario- St. Lawrence River Board (2020b) </w:t>
      </w:r>
      <w:r w:rsidRPr="00A12A9D">
        <w:rPr>
          <w:i/>
          <w:iCs/>
          <w:lang w:val="en-US"/>
        </w:rPr>
        <w:t>Lake St. Lawrence</w:t>
      </w:r>
      <w:r w:rsidRPr="00A12A9D">
        <w:rPr>
          <w:lang w:val="en-US"/>
        </w:rPr>
        <w:t>. [Online]. 2020. IJC.org. Available from: https://ijc.org/en/loslrb/lake-st-lawrences.</w:t>
      </w:r>
    </w:p>
    <w:p w14:paraId="5BE22861" w14:textId="77777777" w:rsidR="00A12A9D" w:rsidRPr="00A12A9D" w:rsidRDefault="00A12A9D" w:rsidP="005552F6">
      <w:pPr>
        <w:pStyle w:val="Bibliography"/>
        <w:spacing w:after="0"/>
        <w:rPr>
          <w:lang w:val="en-US"/>
        </w:rPr>
      </w:pPr>
      <w:r w:rsidRPr="00A12A9D">
        <w:rPr>
          <w:lang w:val="en-US"/>
        </w:rPr>
        <w:t xml:space="preserve">International Lake Ontario- St. Lawrence River Board (2020c) </w:t>
      </w:r>
      <w:r w:rsidRPr="00A12A9D">
        <w:rPr>
          <w:i/>
          <w:iCs/>
          <w:lang w:val="en-US"/>
        </w:rPr>
        <w:t>Section 2: Effects of Regulation on Levels and Flows</w:t>
      </w:r>
      <w:r w:rsidRPr="00A12A9D">
        <w:rPr>
          <w:lang w:val="en-US"/>
        </w:rPr>
        <w:t>. [Online]. 2020. IJC.org. Available from: https://ijc.org/en/loslrb/watershed/faq/2.</w:t>
      </w:r>
    </w:p>
    <w:p w14:paraId="0E340694" w14:textId="77777777" w:rsidR="00A12A9D" w:rsidRPr="00A12A9D" w:rsidRDefault="00A12A9D" w:rsidP="005552F6">
      <w:pPr>
        <w:pStyle w:val="Bibliography"/>
        <w:spacing w:after="0"/>
        <w:rPr>
          <w:lang w:val="en-US"/>
        </w:rPr>
      </w:pPr>
      <w:r w:rsidRPr="00A12A9D">
        <w:rPr>
          <w:lang w:val="en-US"/>
        </w:rPr>
        <w:t xml:space="preserve">International St. Lawrence River Board Of Control Working Committee (1959) </w:t>
      </w:r>
      <w:r w:rsidRPr="00A12A9D">
        <w:rPr>
          <w:i/>
          <w:iCs/>
          <w:lang w:val="en-US"/>
        </w:rPr>
        <w:t>Operational Guides for Plan 1958 - C Report to The International Joint Commission</w:t>
      </w:r>
      <w:r w:rsidRPr="00A12A9D">
        <w:rPr>
          <w:lang w:val="en-US"/>
        </w:rPr>
        <w:t>. [Online]. Available from: Report to The International Joint Commission. https.</w:t>
      </w:r>
    </w:p>
    <w:p w14:paraId="7CED2079" w14:textId="77777777" w:rsidR="00A12A9D" w:rsidRPr="00A12A9D" w:rsidRDefault="00A12A9D" w:rsidP="005552F6">
      <w:pPr>
        <w:pStyle w:val="Bibliography"/>
        <w:spacing w:after="0"/>
        <w:rPr>
          <w:lang w:val="en-US"/>
        </w:rPr>
      </w:pPr>
      <w:r w:rsidRPr="00A12A9D">
        <w:rPr>
          <w:lang w:val="en-US"/>
        </w:rPr>
        <w:t xml:space="preserve">International Upper Canada Lakes Study (2012) </w:t>
      </w:r>
      <w:r w:rsidRPr="00A12A9D">
        <w:rPr>
          <w:i/>
          <w:iCs/>
          <w:lang w:val="en-US"/>
        </w:rPr>
        <w:t>Lake Superior Regulation: Addressing Uncertainty In Upper Great Lakes Water Levels Summary Of Findings And Recommendations</w:t>
      </w:r>
      <w:r w:rsidRPr="00A12A9D">
        <w:rPr>
          <w:lang w:val="en-US"/>
        </w:rPr>
        <w:t>.</w:t>
      </w:r>
    </w:p>
    <w:p w14:paraId="3003B174" w14:textId="77777777" w:rsidR="00A12A9D" w:rsidRPr="00A12A9D" w:rsidRDefault="00A12A9D" w:rsidP="005552F6">
      <w:pPr>
        <w:pStyle w:val="Bibliography"/>
        <w:spacing w:after="0"/>
        <w:rPr>
          <w:lang w:val="en-US"/>
        </w:rPr>
      </w:pPr>
      <w:r w:rsidRPr="00A12A9D">
        <w:rPr>
          <w:lang w:val="en-US"/>
        </w:rPr>
        <w:t xml:space="preserve">van der Keur, P., Henriksen, H.J., Refsgaard, J.C., Brugnach, M., et al. (2008) Identification of Major Sources of Uncertainty in Current IWRM Practice. Illustrated for the Rhine Basin. </w:t>
      </w:r>
      <w:r w:rsidRPr="00A12A9D">
        <w:rPr>
          <w:i/>
          <w:iCs/>
          <w:lang w:val="en-US"/>
        </w:rPr>
        <w:t>Water Resources Management</w:t>
      </w:r>
      <w:r w:rsidRPr="00A12A9D">
        <w:rPr>
          <w:lang w:val="en-US"/>
        </w:rPr>
        <w:t>.</w:t>
      </w:r>
    </w:p>
    <w:p w14:paraId="18BB6D69" w14:textId="77777777" w:rsidR="00A12A9D" w:rsidRPr="00A12A9D" w:rsidRDefault="00A12A9D" w:rsidP="005552F6">
      <w:pPr>
        <w:pStyle w:val="Bibliography"/>
        <w:spacing w:after="0"/>
        <w:rPr>
          <w:lang w:val="en-US"/>
        </w:rPr>
      </w:pPr>
      <w:r w:rsidRPr="00A12A9D">
        <w:rPr>
          <w:lang w:val="en-US"/>
        </w:rPr>
        <w:t xml:space="preserve">LeMarquand, D.G. (1977) Google-Books-ID: yY0RAAAAYAAJ. </w:t>
      </w:r>
      <w:r w:rsidRPr="00A12A9D">
        <w:rPr>
          <w:i/>
          <w:iCs/>
          <w:lang w:val="en-US"/>
        </w:rPr>
        <w:t>International Rivers: The Politics of Cooperation</w:t>
      </w:r>
      <w:r w:rsidRPr="00A12A9D">
        <w:rPr>
          <w:lang w:val="en-US"/>
        </w:rPr>
        <w:t>. Westwater Research Centre, University of British Colombia.</w:t>
      </w:r>
    </w:p>
    <w:p w14:paraId="69610672" w14:textId="77777777" w:rsidR="00A12A9D" w:rsidRPr="00A12A9D" w:rsidRDefault="00A12A9D" w:rsidP="005552F6">
      <w:pPr>
        <w:pStyle w:val="Bibliography"/>
        <w:spacing w:after="0"/>
        <w:rPr>
          <w:lang w:val="en-US"/>
        </w:rPr>
      </w:pPr>
      <w:r w:rsidRPr="00A12A9D">
        <w:rPr>
          <w:lang w:val="en-US"/>
        </w:rPr>
        <w:t xml:space="preserve">LeMarquand, D.G. (1993) The International Joint Commission and Changing Canada-United States Boundary Relations. </w:t>
      </w:r>
      <w:r w:rsidRPr="00A12A9D">
        <w:rPr>
          <w:i/>
          <w:iCs/>
          <w:lang w:val="en-US"/>
        </w:rPr>
        <w:t>Natural Resources Journal</w:t>
      </w:r>
      <w:r w:rsidRPr="00A12A9D">
        <w:rPr>
          <w:lang w:val="en-US"/>
        </w:rPr>
        <w:t>. 33 (1), 59–91.</w:t>
      </w:r>
    </w:p>
    <w:p w14:paraId="4A41312F" w14:textId="77777777" w:rsidR="00A12A9D" w:rsidRPr="00A12A9D" w:rsidRDefault="00A12A9D" w:rsidP="005552F6">
      <w:pPr>
        <w:pStyle w:val="Bibliography"/>
        <w:spacing w:after="0"/>
        <w:rPr>
          <w:lang w:val="en-US"/>
        </w:rPr>
      </w:pPr>
      <w:r w:rsidRPr="00A12A9D">
        <w:rPr>
          <w:lang w:val="en-US"/>
        </w:rPr>
        <w:t xml:space="preserve">MacFarlane, D. (2014) Google-Books-ID: NO_kAgAAQBAJ. </w:t>
      </w:r>
      <w:r w:rsidRPr="00A12A9D">
        <w:rPr>
          <w:i/>
          <w:iCs/>
          <w:lang w:val="en-US"/>
        </w:rPr>
        <w:t>Negotiating a River: Canada, the Us, and the Creation of the St. Lawrence Seaway</w:t>
      </w:r>
      <w:r w:rsidRPr="00A12A9D">
        <w:rPr>
          <w:lang w:val="en-US"/>
        </w:rPr>
        <w:t>. UBC Press.</w:t>
      </w:r>
    </w:p>
    <w:p w14:paraId="4208B5E2" w14:textId="77777777" w:rsidR="00A12A9D" w:rsidRPr="00A12A9D" w:rsidRDefault="00A12A9D" w:rsidP="005552F6">
      <w:pPr>
        <w:pStyle w:val="Bibliography"/>
        <w:spacing w:after="0"/>
        <w:rPr>
          <w:lang w:val="en-US"/>
        </w:rPr>
      </w:pPr>
      <w:r w:rsidRPr="00A12A9D">
        <w:rPr>
          <w:lang w:val="en-US"/>
        </w:rPr>
        <w:t xml:space="preserve">McDermott, M.M. (2019) IJC Commissioners Visit Lake Ontario Flooding and Say No Plan Would Have Prevented It. </w:t>
      </w:r>
      <w:r w:rsidRPr="00A12A9D">
        <w:rPr>
          <w:i/>
          <w:iCs/>
          <w:lang w:val="en-US"/>
        </w:rPr>
        <w:t>Democrat and Chronicle</w:t>
      </w:r>
      <w:r w:rsidRPr="00A12A9D">
        <w:rPr>
          <w:lang w:val="en-US"/>
        </w:rPr>
        <w:t>. [Online] 28 May. Available from: https://www.democratandchronicle.com/story/news/2019/05/28/lake-ontario-flooding-international-joint-commission-greece-plan-2014-corwin-beland/1258828001/.</w:t>
      </w:r>
    </w:p>
    <w:p w14:paraId="633688D3" w14:textId="77777777" w:rsidR="00A12A9D" w:rsidRPr="00A12A9D" w:rsidRDefault="00A12A9D" w:rsidP="005552F6">
      <w:pPr>
        <w:pStyle w:val="Bibliography"/>
        <w:spacing w:after="0"/>
        <w:rPr>
          <w:lang w:val="en-US"/>
        </w:rPr>
      </w:pPr>
      <w:r w:rsidRPr="00A12A9D">
        <w:rPr>
          <w:lang w:val="en-US"/>
        </w:rPr>
        <w:t xml:space="preserve">McKinley, J. (2016) Fiercely Debated Water Level Plan Is Adopted for Lake Ontario. </w:t>
      </w:r>
      <w:r w:rsidRPr="00A12A9D">
        <w:rPr>
          <w:i/>
          <w:iCs/>
          <w:lang w:val="en-US"/>
        </w:rPr>
        <w:t>New York Times</w:t>
      </w:r>
      <w:r w:rsidRPr="00A12A9D">
        <w:rPr>
          <w:lang w:val="en-US"/>
        </w:rPr>
        <w:t>. [Online] 9 December. Available from: https://www.nytimes.com/2016/12/09/nyregion/fiercely-debated-water-level-plan-is-adopted-for-lake-ontario.html.</w:t>
      </w:r>
    </w:p>
    <w:p w14:paraId="3E2BEBCE" w14:textId="77777777" w:rsidR="00A12A9D" w:rsidRPr="00A12A9D" w:rsidRDefault="00A12A9D" w:rsidP="005552F6">
      <w:pPr>
        <w:pStyle w:val="Bibliography"/>
        <w:spacing w:after="0"/>
        <w:rPr>
          <w:lang w:val="en-US"/>
        </w:rPr>
      </w:pPr>
      <w:r w:rsidRPr="00A12A9D">
        <w:rPr>
          <w:lang w:val="en-US"/>
        </w:rPr>
        <w:t xml:space="preserve">McNeese, T. (2005) </w:t>
      </w:r>
      <w:r w:rsidRPr="00A12A9D">
        <w:rPr>
          <w:i/>
          <w:iCs/>
          <w:lang w:val="en-US"/>
        </w:rPr>
        <w:t>The St. Lawrence River</w:t>
      </w:r>
      <w:r w:rsidRPr="00A12A9D">
        <w:rPr>
          <w:lang w:val="en-US"/>
        </w:rPr>
        <w:t>. New York, NY, Chelsea House Publishers.</w:t>
      </w:r>
    </w:p>
    <w:p w14:paraId="36021FEB" w14:textId="77777777" w:rsidR="00A12A9D" w:rsidRPr="00A12A9D" w:rsidRDefault="00A12A9D" w:rsidP="005552F6">
      <w:pPr>
        <w:pStyle w:val="Bibliography"/>
        <w:spacing w:after="0"/>
        <w:rPr>
          <w:lang w:val="en-US"/>
        </w:rPr>
      </w:pPr>
      <w:r w:rsidRPr="00A12A9D">
        <w:rPr>
          <w:lang w:val="en-US"/>
        </w:rPr>
        <w:t xml:space="preserve">National Research Council (U.S.) (2006) 2. Uncertainty in Decision Making. In: </w:t>
      </w:r>
      <w:r w:rsidRPr="00A12A9D">
        <w:rPr>
          <w:i/>
          <w:iCs/>
          <w:lang w:val="en-US"/>
        </w:rPr>
        <w:t>Completing the Forecast : Characterizing and Communicating Uncertainty for Better Decisions Using Weather and Climate Forecasts</w:t>
      </w:r>
      <w:r w:rsidRPr="00A12A9D">
        <w:rPr>
          <w:lang w:val="en-US"/>
        </w:rPr>
        <w:t>. Washington, D.C., National Academies Press. p.</w:t>
      </w:r>
    </w:p>
    <w:p w14:paraId="0A8F4B4C" w14:textId="77777777" w:rsidR="00A12A9D" w:rsidRPr="00A12A9D" w:rsidRDefault="00A12A9D" w:rsidP="005552F6">
      <w:pPr>
        <w:pStyle w:val="Bibliography"/>
        <w:spacing w:after="0"/>
        <w:rPr>
          <w:lang w:val="en-US"/>
        </w:rPr>
      </w:pPr>
      <w:r w:rsidRPr="00A12A9D">
        <w:rPr>
          <w:lang w:val="en-US"/>
        </w:rPr>
        <w:t xml:space="preserve">Norman, E.S. &amp; Bakker, K. (2013) Rise of the Local? Delegation and Devolution in Transboundary Water Governance. In: </w:t>
      </w:r>
      <w:r w:rsidRPr="00A12A9D">
        <w:rPr>
          <w:i/>
          <w:iCs/>
          <w:lang w:val="en-US"/>
        </w:rPr>
        <w:t>Water Without Borders : Canada, the United States, and Shared Waters</w:t>
      </w:r>
      <w:r w:rsidRPr="00A12A9D">
        <w:rPr>
          <w:lang w:val="en-US"/>
        </w:rPr>
        <w:t>. Toronto, Canada, University of Toronto Press. pp. 47–69.</w:t>
      </w:r>
    </w:p>
    <w:p w14:paraId="36485CAE" w14:textId="77777777" w:rsidR="00A12A9D" w:rsidRPr="00A12A9D" w:rsidRDefault="00A12A9D" w:rsidP="005552F6">
      <w:pPr>
        <w:pStyle w:val="Bibliography"/>
        <w:spacing w:after="0"/>
        <w:rPr>
          <w:lang w:val="en-US"/>
        </w:rPr>
      </w:pPr>
      <w:r w:rsidRPr="00A12A9D">
        <w:rPr>
          <w:lang w:val="en-US"/>
        </w:rPr>
        <w:t xml:space="preserve">Norman, E.S. &amp; Bakker, K. (2009) Transgressing Scales: Water Governance Across the Canada–U.S. Borderland. </w:t>
      </w:r>
      <w:r w:rsidRPr="00A12A9D">
        <w:rPr>
          <w:i/>
          <w:iCs/>
          <w:lang w:val="en-US"/>
        </w:rPr>
        <w:t>Annals of the Association of American Geographers</w:t>
      </w:r>
      <w:r w:rsidRPr="00A12A9D">
        <w:rPr>
          <w:lang w:val="en-US"/>
        </w:rPr>
        <w:t>. 99 (1), 99–117.</w:t>
      </w:r>
    </w:p>
    <w:p w14:paraId="11185049" w14:textId="77777777" w:rsidR="00A12A9D" w:rsidRPr="00A12A9D" w:rsidRDefault="00A12A9D" w:rsidP="005552F6">
      <w:pPr>
        <w:pStyle w:val="Bibliography"/>
        <w:spacing w:after="0"/>
        <w:rPr>
          <w:lang w:val="en-US"/>
        </w:rPr>
      </w:pPr>
      <w:r w:rsidRPr="00A12A9D">
        <w:rPr>
          <w:lang w:val="en-US"/>
        </w:rPr>
        <w:t xml:space="preserve">Orr, S. (2018) Extreme Weather to Blame for 2017 Lake Ontario Flood, Board Concludes. </w:t>
      </w:r>
      <w:r w:rsidRPr="00A12A9D">
        <w:rPr>
          <w:i/>
          <w:iCs/>
          <w:lang w:val="en-US"/>
        </w:rPr>
        <w:t>Democrat and Chronicle</w:t>
      </w:r>
      <w:r w:rsidRPr="00A12A9D">
        <w:rPr>
          <w:lang w:val="en-US"/>
        </w:rPr>
        <w:t>. [Online] 21 June. Available from: https://eu.democratandchronicle.com/story/news/2018/06/21/lake-ontario-shoreline-flooding-2017-caused-extreme-rain-not-regulations-board-report/722182002/.</w:t>
      </w:r>
    </w:p>
    <w:p w14:paraId="6CCCC886" w14:textId="77777777" w:rsidR="00A12A9D" w:rsidRPr="00A12A9D" w:rsidRDefault="00A12A9D" w:rsidP="005552F6">
      <w:pPr>
        <w:pStyle w:val="Bibliography"/>
        <w:spacing w:after="0"/>
        <w:rPr>
          <w:lang w:val="en-US"/>
        </w:rPr>
      </w:pPr>
      <w:r w:rsidRPr="00A12A9D">
        <w:rPr>
          <w:lang w:val="en-US"/>
        </w:rPr>
        <w:t xml:space="preserve">Orr, S. &amp; McDermott, M.M. (2017) Shared Struggle: Flood Waters in Rochester, Montreal Trigger Balancing Act. </w:t>
      </w:r>
      <w:r w:rsidRPr="00A12A9D">
        <w:rPr>
          <w:i/>
          <w:iCs/>
          <w:lang w:val="en-US"/>
        </w:rPr>
        <w:t>Democrat and Chronicle</w:t>
      </w:r>
      <w:r w:rsidRPr="00A12A9D">
        <w:rPr>
          <w:lang w:val="en-US"/>
        </w:rPr>
        <w:t>. [Online] 5 July. Available from: https://eu.democratandchronicle.com/story/news/2017/05/06/montreal-canada-flooding-rochester-lake-ontario-st-lawrence-dam/101279100/.</w:t>
      </w:r>
    </w:p>
    <w:p w14:paraId="0735ABE1" w14:textId="77777777" w:rsidR="00A12A9D" w:rsidRPr="00A12A9D" w:rsidRDefault="00A12A9D" w:rsidP="005552F6">
      <w:pPr>
        <w:pStyle w:val="Bibliography"/>
        <w:spacing w:after="0"/>
        <w:rPr>
          <w:lang w:val="en-US"/>
        </w:rPr>
      </w:pPr>
      <w:r w:rsidRPr="00A12A9D">
        <w:rPr>
          <w:lang w:val="en-US"/>
        </w:rPr>
        <w:t xml:space="preserve">Parham, C.P. (2009) </w:t>
      </w:r>
      <w:r w:rsidRPr="00A12A9D">
        <w:rPr>
          <w:i/>
          <w:iCs/>
          <w:lang w:val="en-US"/>
        </w:rPr>
        <w:t>The St. Lawrence Seaway and Power Project: An oral history of the greatest construction show on earth</w:t>
      </w:r>
      <w:r w:rsidRPr="00A12A9D">
        <w:rPr>
          <w:lang w:val="en-US"/>
        </w:rPr>
        <w:t>. Syracuse, N.Y, Syracuse University Press.</w:t>
      </w:r>
    </w:p>
    <w:p w14:paraId="37AFB9C4" w14:textId="77777777" w:rsidR="003618FF" w:rsidRPr="00AE55D6" w:rsidRDefault="003618FF" w:rsidP="005552F6">
      <w:pPr>
        <w:overflowPunct w:val="0"/>
        <w:autoSpaceDE w:val="0"/>
        <w:autoSpaceDN w:val="0"/>
        <w:adjustRightInd w:val="0"/>
        <w:ind w:left="720" w:hanging="720"/>
        <w:textAlignment w:val="baseline"/>
      </w:pPr>
      <w:r w:rsidRPr="00AE55D6">
        <w:t>Penning-Rowsell, E.C. and Korndewal, M. (2018) The realities of managing uncertainties surrounding urban pluvial flood risk: An ex post analysis in three European cities.</w:t>
      </w:r>
      <w:r w:rsidRPr="00AE55D6">
        <w:rPr>
          <w:i/>
          <w:iCs/>
        </w:rPr>
        <w:t xml:space="preserve"> Journal of Flood Risk Management</w:t>
      </w:r>
      <w:r w:rsidRPr="00AE55D6">
        <w:t xml:space="preserve">. </w:t>
      </w:r>
      <w:hyperlink r:id="rId8" w:history="1">
        <w:r w:rsidRPr="00AE55D6">
          <w:t>doi.org/10.1111/jfr3.12467</w:t>
        </w:r>
      </w:hyperlink>
    </w:p>
    <w:p w14:paraId="310F7922" w14:textId="77777777" w:rsidR="00A12A9D" w:rsidRPr="00A12A9D" w:rsidRDefault="00A12A9D" w:rsidP="005552F6">
      <w:pPr>
        <w:pStyle w:val="Bibliography"/>
        <w:spacing w:after="0"/>
        <w:rPr>
          <w:lang w:val="en-US"/>
        </w:rPr>
      </w:pPr>
      <w:r w:rsidRPr="00A12A9D">
        <w:rPr>
          <w:lang w:val="en-US"/>
        </w:rPr>
        <w:t xml:space="preserve">Perreaux, L. (2018) What did we learn from 2017’s floods in Quebec and Ontario? Inside the politics of water. </w:t>
      </w:r>
      <w:r w:rsidRPr="00A12A9D">
        <w:rPr>
          <w:i/>
          <w:iCs/>
          <w:lang w:val="en-US"/>
        </w:rPr>
        <w:t>Globe and Mail</w:t>
      </w:r>
      <w:r w:rsidRPr="00A12A9D">
        <w:rPr>
          <w:lang w:val="en-US"/>
        </w:rPr>
        <w:t>. [Online] 5 January. Available from: https://www.theglobeandmail.com/news/national/quebec-ontario-floods-water-management-politics/article37511432/.</w:t>
      </w:r>
    </w:p>
    <w:p w14:paraId="39A6CF24" w14:textId="77777777" w:rsidR="00A12A9D" w:rsidRPr="00A12A9D" w:rsidRDefault="00A12A9D" w:rsidP="005552F6">
      <w:pPr>
        <w:pStyle w:val="Bibliography"/>
        <w:spacing w:after="0"/>
        <w:rPr>
          <w:lang w:val="en-US"/>
        </w:rPr>
      </w:pPr>
      <w:r w:rsidRPr="008B54D9">
        <w:rPr>
          <w:lang w:val="fr-CA"/>
        </w:rPr>
        <w:t xml:space="preserve">Ranger, N., Millner, A., Dietz, S., Lopez, A., et al. </w:t>
      </w:r>
      <w:r w:rsidRPr="00A12A9D">
        <w:rPr>
          <w:lang w:val="en-US"/>
        </w:rPr>
        <w:t xml:space="preserve">(2010) </w:t>
      </w:r>
      <w:r w:rsidRPr="00A12A9D">
        <w:rPr>
          <w:i/>
          <w:iCs/>
          <w:lang w:val="en-US"/>
        </w:rPr>
        <w:t>Adaptation in the UK: a decision-making process</w:t>
      </w:r>
      <w:r w:rsidRPr="00A12A9D">
        <w:rPr>
          <w:lang w:val="en-US"/>
        </w:rPr>
        <w:t>.</w:t>
      </w:r>
    </w:p>
    <w:p w14:paraId="4F655DFC" w14:textId="77777777" w:rsidR="00A12A9D" w:rsidRPr="00A12A9D" w:rsidRDefault="00A12A9D" w:rsidP="005552F6">
      <w:pPr>
        <w:pStyle w:val="Bibliography"/>
        <w:spacing w:after="0"/>
        <w:rPr>
          <w:lang w:val="en-US"/>
        </w:rPr>
      </w:pPr>
      <w:r w:rsidRPr="00A12A9D">
        <w:rPr>
          <w:lang w:val="en-US"/>
        </w:rPr>
        <w:t xml:space="preserve">Semeniuk, I. (2017) Politics of Lake Ontario Water Levels Diverge from Science. </w:t>
      </w:r>
      <w:r w:rsidRPr="00A12A9D">
        <w:rPr>
          <w:i/>
          <w:iCs/>
          <w:lang w:val="en-US"/>
        </w:rPr>
        <w:t>Globe and Mail</w:t>
      </w:r>
      <w:r w:rsidRPr="00A12A9D">
        <w:rPr>
          <w:lang w:val="en-US"/>
        </w:rPr>
        <w:t>. [Online] 7 May. Available from: https://www.theglobeandmail.com/news/national/politics-of-lake-ontario-water-levels-diverge-from-science/article34916084/.</w:t>
      </w:r>
    </w:p>
    <w:p w14:paraId="7ED37871" w14:textId="77777777" w:rsidR="00A12A9D" w:rsidRPr="00A12A9D" w:rsidRDefault="00A12A9D" w:rsidP="005552F6">
      <w:pPr>
        <w:pStyle w:val="Bibliography"/>
        <w:spacing w:after="0"/>
        <w:rPr>
          <w:lang w:val="en-US"/>
        </w:rPr>
      </w:pPr>
      <w:r w:rsidRPr="008B54D9">
        <w:rPr>
          <w:lang w:val="fr-CA"/>
        </w:rPr>
        <w:t xml:space="preserve">Service de sécurité incendie de Montréal/ Direction de la sécurité civile et de la résilience (2017) </w:t>
      </w:r>
      <w:r w:rsidRPr="008B54D9">
        <w:rPr>
          <w:i/>
          <w:iCs/>
          <w:lang w:val="fr-CA"/>
        </w:rPr>
        <w:t>Rapport d’événement et de rétroaction Inondations 2017: Faire de Montréal une communauté résiliente aux inondations.</w:t>
      </w:r>
      <w:r w:rsidRPr="008B54D9">
        <w:rPr>
          <w:lang w:val="fr-CA"/>
        </w:rPr>
        <w:t xml:space="preserve"> </w:t>
      </w:r>
      <w:r w:rsidRPr="00A12A9D">
        <w:rPr>
          <w:lang w:val="en-US"/>
        </w:rPr>
        <w:t>[Online]. Available from: http://ville.montreal.qc.ca/pls/portal/docs/PAGE/COMMISSIONS_PERM_V2_FR/MEDIA/DOCUMENTS/DOCCONSULT_20171212.PDF.</w:t>
      </w:r>
    </w:p>
    <w:p w14:paraId="11C07679" w14:textId="77777777" w:rsidR="00A12A9D" w:rsidRPr="00A12A9D" w:rsidRDefault="00A12A9D" w:rsidP="005552F6">
      <w:pPr>
        <w:pStyle w:val="Bibliography"/>
        <w:spacing w:after="0"/>
        <w:rPr>
          <w:lang w:val="en-US"/>
        </w:rPr>
      </w:pPr>
      <w:r w:rsidRPr="00A12A9D">
        <w:rPr>
          <w:lang w:val="en-US"/>
        </w:rPr>
        <w:t xml:space="preserve">Stainforth, D.A., Allen, M.R., Tredger, E.R. &amp; Smith, L.A. (2007) Confidence, uncertainty and decision-support relevance in climate predictions. </w:t>
      </w:r>
      <w:r w:rsidRPr="00A12A9D">
        <w:rPr>
          <w:i/>
          <w:iCs/>
          <w:lang w:val="en-US"/>
        </w:rPr>
        <w:t>Philosophical Transactions of the Royal Society A: Mathematical, Physical and Engineering Sciences</w:t>
      </w:r>
      <w:r w:rsidRPr="00A12A9D">
        <w:rPr>
          <w:lang w:val="en-US"/>
        </w:rPr>
        <w:t>. [Online] Available from: https://royalsocietypublishing.org/doi/abs/10.1098/rsta.2007.2074.</w:t>
      </w:r>
    </w:p>
    <w:p w14:paraId="1F8DB755" w14:textId="77777777" w:rsidR="00A12A9D" w:rsidRPr="00A12A9D" w:rsidRDefault="00A12A9D" w:rsidP="005552F6">
      <w:pPr>
        <w:pStyle w:val="Bibliography"/>
        <w:spacing w:after="0"/>
        <w:rPr>
          <w:lang w:val="en-US"/>
        </w:rPr>
      </w:pPr>
      <w:r w:rsidRPr="00A12A9D">
        <w:rPr>
          <w:lang w:val="en-US"/>
        </w:rPr>
        <w:t xml:space="preserve">Swanenvleugel, B. (2012) </w:t>
      </w:r>
      <w:r w:rsidRPr="00A12A9D">
        <w:rPr>
          <w:i/>
          <w:iCs/>
          <w:lang w:val="en-US"/>
        </w:rPr>
        <w:t>Good practice examples for cross-border flood risk management</w:t>
      </w:r>
      <w:r w:rsidRPr="00A12A9D">
        <w:rPr>
          <w:lang w:val="en-US"/>
        </w:rPr>
        <w:t>. [Online]. Available from: http://floodwise.nl/wp-content/uploads/130214GoodPracticesDoc-def-version-2-2.pdf.</w:t>
      </w:r>
    </w:p>
    <w:p w14:paraId="1ABEF446" w14:textId="77777777" w:rsidR="00A12A9D" w:rsidRPr="00A12A9D" w:rsidRDefault="00A12A9D" w:rsidP="005552F6">
      <w:pPr>
        <w:pStyle w:val="Bibliography"/>
        <w:spacing w:after="0"/>
        <w:rPr>
          <w:lang w:val="en-US"/>
        </w:rPr>
      </w:pPr>
      <w:r w:rsidRPr="00A12A9D">
        <w:rPr>
          <w:lang w:val="en-US"/>
        </w:rPr>
        <w:t xml:space="preserve">Venkatesh, B.N. &amp; Hobbs, B.F. (1999) Analyzing Investments for Managing Lake Erie Levels under Climate Change Uncertainty. </w:t>
      </w:r>
      <w:r w:rsidRPr="00A12A9D">
        <w:rPr>
          <w:i/>
          <w:iCs/>
          <w:lang w:val="en-US"/>
        </w:rPr>
        <w:t>Water Resources Research</w:t>
      </w:r>
      <w:r w:rsidRPr="00A12A9D">
        <w:rPr>
          <w:lang w:val="en-US"/>
        </w:rPr>
        <w:t>. 35 (5), 1671–1683.</w:t>
      </w:r>
    </w:p>
    <w:p w14:paraId="2AADE458" w14:textId="77777777" w:rsidR="00A12A9D" w:rsidRPr="00A12A9D" w:rsidRDefault="00A12A9D" w:rsidP="005552F6">
      <w:pPr>
        <w:pStyle w:val="Bibliography"/>
        <w:spacing w:after="0"/>
        <w:rPr>
          <w:lang w:val="en-US"/>
        </w:rPr>
      </w:pPr>
      <w:r w:rsidRPr="00A12A9D">
        <w:rPr>
          <w:lang w:val="en-US"/>
        </w:rPr>
        <w:t xml:space="preserve">Walker, W.E., Harremoës, P., Rotmans, J., Van Der Sluijs, J.P., et al. (2003) Defining uncertainty: a conceptual basis for uncertainty management in model-based decision support. </w:t>
      </w:r>
      <w:r w:rsidRPr="00A12A9D">
        <w:rPr>
          <w:i/>
          <w:iCs/>
          <w:lang w:val="en-US"/>
        </w:rPr>
        <w:t>Integrated assessment</w:t>
      </w:r>
      <w:r w:rsidRPr="00A12A9D">
        <w:rPr>
          <w:lang w:val="en-US"/>
        </w:rPr>
        <w:t>. 4 (1), 5–17.</w:t>
      </w:r>
    </w:p>
    <w:p w14:paraId="6C1DBF4F" w14:textId="77777777" w:rsidR="00A12A9D" w:rsidRPr="00A12A9D" w:rsidRDefault="00A12A9D" w:rsidP="005552F6">
      <w:pPr>
        <w:pStyle w:val="Bibliography"/>
        <w:spacing w:after="0"/>
        <w:rPr>
          <w:lang w:val="en-US"/>
        </w:rPr>
      </w:pPr>
      <w:r w:rsidRPr="00A12A9D">
        <w:rPr>
          <w:lang w:val="en-US"/>
        </w:rPr>
        <w:t xml:space="preserve">Wiering, M., Verwijmeren, J., Lulofs, K. &amp; Feld, C. (2010) Experiences in Regional Cross Border Co-operation in River Management. Comparing Three Cases at the Dutch–German Border. </w:t>
      </w:r>
      <w:r w:rsidRPr="00A12A9D">
        <w:rPr>
          <w:i/>
          <w:iCs/>
          <w:lang w:val="en-US"/>
        </w:rPr>
        <w:t>Water Resources Management</w:t>
      </w:r>
      <w:r w:rsidRPr="00A12A9D">
        <w:rPr>
          <w:lang w:val="en-US"/>
        </w:rPr>
        <w:t>. 24 (11), 2647–2672.</w:t>
      </w:r>
    </w:p>
    <w:p w14:paraId="4C413482" w14:textId="77777777" w:rsidR="00A12A9D" w:rsidRPr="00A12A9D" w:rsidRDefault="00A12A9D" w:rsidP="005552F6">
      <w:pPr>
        <w:pStyle w:val="Bibliography"/>
        <w:spacing w:after="0"/>
        <w:rPr>
          <w:lang w:val="en-US"/>
        </w:rPr>
      </w:pPr>
      <w:r w:rsidRPr="00A12A9D">
        <w:rPr>
          <w:lang w:val="en-US"/>
        </w:rPr>
        <w:t xml:space="preserve">Yin, R.K. (2009) </w:t>
      </w:r>
      <w:r w:rsidRPr="00A12A9D">
        <w:rPr>
          <w:i/>
          <w:iCs/>
          <w:lang w:val="en-US"/>
        </w:rPr>
        <w:t>Case study research: Design and methods</w:t>
      </w:r>
      <w:r w:rsidRPr="00A12A9D">
        <w:rPr>
          <w:lang w:val="en-US"/>
        </w:rPr>
        <w:t>. 4th Edition. Los Angeles and London, SAGE.</w:t>
      </w:r>
    </w:p>
    <w:p w14:paraId="5D9A8BC0" w14:textId="64B10DBF" w:rsidR="00BF4C9B" w:rsidRPr="00A36E44" w:rsidRDefault="00CB26FF" w:rsidP="005552F6">
      <w:pPr>
        <w:ind w:right="855" w:hanging="720"/>
        <w:rPr>
          <w:b/>
          <w:sz w:val="32"/>
          <w:szCs w:val="32"/>
        </w:rPr>
      </w:pPr>
      <w:r w:rsidRPr="00A36E44">
        <w:rPr>
          <w:b/>
        </w:rPr>
        <w:fldChar w:fldCharType="end"/>
      </w:r>
    </w:p>
    <w:p w14:paraId="74ACA330" w14:textId="2EB0ED95" w:rsidR="00BF4C9B" w:rsidRPr="00A36E44" w:rsidRDefault="00BF4C9B" w:rsidP="00AE55D6">
      <w:pPr>
        <w:ind w:right="855" w:firstLine="720"/>
        <w:rPr>
          <w:b/>
          <w:sz w:val="32"/>
          <w:szCs w:val="32"/>
        </w:rPr>
      </w:pPr>
    </w:p>
    <w:p w14:paraId="549726E6" w14:textId="45BC211E" w:rsidR="002570A1" w:rsidRPr="00A36E44" w:rsidRDefault="002570A1" w:rsidP="00AE55D6">
      <w:pPr>
        <w:ind w:right="855" w:firstLine="720"/>
        <w:rPr>
          <w:b/>
          <w:sz w:val="32"/>
          <w:szCs w:val="32"/>
        </w:rPr>
      </w:pPr>
    </w:p>
    <w:p w14:paraId="48DDF71C" w14:textId="02AE5BCA" w:rsidR="002570A1" w:rsidRPr="00A36E44" w:rsidRDefault="002570A1" w:rsidP="00AE55D6">
      <w:pPr>
        <w:ind w:right="855" w:firstLine="720"/>
        <w:rPr>
          <w:b/>
          <w:sz w:val="32"/>
          <w:szCs w:val="32"/>
        </w:rPr>
      </w:pPr>
    </w:p>
    <w:p w14:paraId="76040C80" w14:textId="14608C95" w:rsidR="00BD4374" w:rsidRPr="00A36E44" w:rsidRDefault="00BD4374" w:rsidP="00AE55D6">
      <w:pPr>
        <w:ind w:right="855" w:firstLine="720"/>
        <w:rPr>
          <w:b/>
          <w:sz w:val="32"/>
          <w:szCs w:val="32"/>
        </w:rPr>
      </w:pPr>
    </w:p>
    <w:p w14:paraId="56FDE0E8" w14:textId="77A24EB2" w:rsidR="00BD4374" w:rsidRDefault="00BD4374" w:rsidP="00AE55D6">
      <w:pPr>
        <w:ind w:right="855" w:firstLine="720"/>
        <w:rPr>
          <w:b/>
          <w:sz w:val="32"/>
          <w:szCs w:val="32"/>
        </w:rPr>
      </w:pPr>
    </w:p>
    <w:p w14:paraId="28B2026B" w14:textId="5013912C" w:rsidR="004E5026" w:rsidRDefault="004E5026" w:rsidP="00AE55D6">
      <w:pPr>
        <w:ind w:right="855" w:firstLine="720"/>
        <w:rPr>
          <w:b/>
          <w:sz w:val="32"/>
          <w:szCs w:val="32"/>
        </w:rPr>
      </w:pPr>
    </w:p>
    <w:p w14:paraId="19B517B5" w14:textId="535B429C" w:rsidR="004E5026" w:rsidRDefault="004E5026" w:rsidP="00AE55D6">
      <w:pPr>
        <w:ind w:right="855" w:firstLine="720"/>
        <w:rPr>
          <w:b/>
          <w:sz w:val="32"/>
          <w:szCs w:val="32"/>
        </w:rPr>
      </w:pPr>
    </w:p>
    <w:p w14:paraId="6F173BED" w14:textId="6962EA75" w:rsidR="004E5026" w:rsidRDefault="004E5026" w:rsidP="00AE55D6">
      <w:pPr>
        <w:ind w:right="855" w:firstLine="720"/>
        <w:rPr>
          <w:b/>
          <w:sz w:val="32"/>
          <w:szCs w:val="32"/>
        </w:rPr>
      </w:pPr>
    </w:p>
    <w:p w14:paraId="40C09612" w14:textId="77777777" w:rsidR="004E5026" w:rsidRDefault="004E5026" w:rsidP="00AE55D6">
      <w:pPr>
        <w:ind w:right="855" w:firstLine="720"/>
        <w:rPr>
          <w:b/>
          <w:sz w:val="32"/>
          <w:szCs w:val="32"/>
        </w:rPr>
      </w:pPr>
    </w:p>
    <w:p w14:paraId="7D87EAF0" w14:textId="66CBDCD0" w:rsidR="004B7F46" w:rsidRDefault="004B7F46" w:rsidP="00AE55D6">
      <w:pPr>
        <w:ind w:firstLine="720"/>
        <w:rPr>
          <w:b/>
          <w:sz w:val="32"/>
          <w:szCs w:val="32"/>
        </w:rPr>
      </w:pPr>
    </w:p>
    <w:p w14:paraId="35E2F6CC" w14:textId="5F22C4C7" w:rsidR="006E6A2C" w:rsidRDefault="006E6A2C" w:rsidP="00AE55D6">
      <w:pPr>
        <w:ind w:firstLine="720"/>
        <w:rPr>
          <w:b/>
          <w:sz w:val="32"/>
          <w:szCs w:val="32"/>
        </w:rPr>
      </w:pPr>
    </w:p>
    <w:p w14:paraId="53E3E9DF" w14:textId="698FF935" w:rsidR="006E6A2C" w:rsidRDefault="006E6A2C" w:rsidP="00AE55D6">
      <w:pPr>
        <w:ind w:firstLine="720"/>
        <w:rPr>
          <w:b/>
          <w:sz w:val="32"/>
          <w:szCs w:val="32"/>
        </w:rPr>
      </w:pPr>
    </w:p>
    <w:p w14:paraId="5358675B" w14:textId="0181E6A1" w:rsidR="006E6A2C" w:rsidRDefault="006E6A2C" w:rsidP="00AE55D6">
      <w:pPr>
        <w:ind w:firstLine="720"/>
        <w:rPr>
          <w:b/>
          <w:sz w:val="32"/>
          <w:szCs w:val="32"/>
        </w:rPr>
      </w:pPr>
    </w:p>
    <w:p w14:paraId="6F79566C" w14:textId="5FE6411D" w:rsidR="006E6A2C" w:rsidRDefault="006E6A2C" w:rsidP="00AE55D6">
      <w:pPr>
        <w:ind w:firstLine="720"/>
        <w:rPr>
          <w:b/>
          <w:sz w:val="32"/>
          <w:szCs w:val="32"/>
        </w:rPr>
      </w:pPr>
    </w:p>
    <w:p w14:paraId="1F5CF045" w14:textId="4B7A4EC6" w:rsidR="006E6A2C" w:rsidRDefault="006E6A2C" w:rsidP="00AE55D6">
      <w:pPr>
        <w:ind w:firstLine="720"/>
        <w:rPr>
          <w:b/>
          <w:sz w:val="32"/>
          <w:szCs w:val="32"/>
        </w:rPr>
      </w:pPr>
    </w:p>
    <w:p w14:paraId="2E2CD540" w14:textId="08FDD17E" w:rsidR="006E6A2C" w:rsidRDefault="006E6A2C" w:rsidP="00AE55D6">
      <w:pPr>
        <w:ind w:firstLine="720"/>
        <w:rPr>
          <w:b/>
          <w:sz w:val="32"/>
          <w:szCs w:val="32"/>
        </w:rPr>
      </w:pPr>
    </w:p>
    <w:p w14:paraId="0C5A8F11" w14:textId="092F2CD0" w:rsidR="006E6A2C" w:rsidRDefault="006E6A2C" w:rsidP="00AE55D6">
      <w:pPr>
        <w:ind w:firstLine="720"/>
        <w:rPr>
          <w:b/>
          <w:sz w:val="32"/>
          <w:szCs w:val="32"/>
        </w:rPr>
      </w:pPr>
    </w:p>
    <w:p w14:paraId="71D6CC6D" w14:textId="3E430F40" w:rsidR="006E6A2C" w:rsidRDefault="006E6A2C" w:rsidP="00AE55D6">
      <w:pPr>
        <w:ind w:firstLine="720"/>
        <w:rPr>
          <w:b/>
          <w:sz w:val="32"/>
          <w:szCs w:val="32"/>
        </w:rPr>
      </w:pPr>
    </w:p>
    <w:p w14:paraId="2DACE6CA" w14:textId="5D1E935F" w:rsidR="006E6A2C" w:rsidRDefault="006E6A2C" w:rsidP="00AE55D6">
      <w:pPr>
        <w:ind w:firstLine="720"/>
        <w:rPr>
          <w:b/>
          <w:sz w:val="32"/>
          <w:szCs w:val="32"/>
        </w:rPr>
      </w:pPr>
    </w:p>
    <w:p w14:paraId="790881FE" w14:textId="77777777" w:rsidR="006E6A2C" w:rsidRDefault="006E6A2C" w:rsidP="00AE55D6">
      <w:pPr>
        <w:ind w:firstLine="720"/>
        <w:rPr>
          <w:b/>
          <w:sz w:val="32"/>
          <w:szCs w:val="32"/>
        </w:rPr>
      </w:pPr>
    </w:p>
    <w:p w14:paraId="1E9C17FB" w14:textId="6550B240" w:rsidR="00BD4374" w:rsidRPr="00A36E44" w:rsidRDefault="00BD4374" w:rsidP="00AE55D6">
      <w:pPr>
        <w:ind w:firstLine="720"/>
        <w:rPr>
          <w:b/>
          <w:sz w:val="32"/>
          <w:szCs w:val="32"/>
        </w:rPr>
      </w:pPr>
    </w:p>
    <w:p w14:paraId="2F58BB6B" w14:textId="0746F8D9" w:rsidR="004503ED" w:rsidRPr="0060355A" w:rsidRDefault="00652216" w:rsidP="00AE55D6">
      <w:pPr>
        <w:ind w:firstLine="720"/>
      </w:pPr>
      <w:r w:rsidRPr="007B56ED">
        <w:t>Figure 1</w:t>
      </w:r>
      <w:r w:rsidR="004503ED" w:rsidRPr="007B56ED">
        <w:t xml:space="preserve">. </w:t>
      </w:r>
      <w:r w:rsidR="004503ED" w:rsidRPr="007B56ED">
        <w:rPr>
          <w:rFonts w:eastAsia="Calibri"/>
        </w:rPr>
        <w:t>The Great Lakes and the St. Lawrence River Basin (</w:t>
      </w:r>
      <w:r w:rsidR="00DF3BC1" w:rsidRPr="007B56ED">
        <w:rPr>
          <w:rFonts w:eastAsia="Calibri"/>
        </w:rPr>
        <w:t xml:space="preserve">Map courtesy </w:t>
      </w:r>
      <w:r w:rsidR="00CD6596" w:rsidRPr="007B56ED">
        <w:rPr>
          <w:rFonts w:eastAsia="Calibri"/>
        </w:rPr>
        <w:t>IJC</w:t>
      </w:r>
      <w:r w:rsidR="001B3A7A" w:rsidRPr="007B56ED">
        <w:rPr>
          <w:rFonts w:eastAsia="Calibri"/>
        </w:rPr>
        <w:t xml:space="preserve">, 2018, </w:t>
      </w:r>
      <w:hyperlink r:id="rId9" w:history="1">
        <w:r w:rsidR="0060355A" w:rsidRPr="007B56ED">
          <w:rPr>
            <w:rStyle w:val="Hyperlink"/>
            <w:rFonts w:eastAsiaTheme="majorEastAsia"/>
          </w:rPr>
          <w:t>https://ijc.org/en/great-lakes-st-lawrence-river</w:t>
        </w:r>
      </w:hyperlink>
      <w:r w:rsidR="00DF3BC1" w:rsidRPr="007B56ED">
        <w:rPr>
          <w:rFonts w:eastAsia="Calibri"/>
        </w:rPr>
        <w:t>)</w:t>
      </w:r>
    </w:p>
    <w:p w14:paraId="5EE194A4" w14:textId="77777777" w:rsidR="00574DA1" w:rsidRPr="00A36E44" w:rsidRDefault="00574DA1" w:rsidP="00AE55D6">
      <w:pPr>
        <w:ind w:firstLine="720"/>
        <w:rPr>
          <w:b/>
        </w:rPr>
      </w:pPr>
    </w:p>
    <w:p w14:paraId="3618C3F1" w14:textId="7A2B7A33" w:rsidR="00BD4374" w:rsidRPr="00A36E44" w:rsidRDefault="001B0A84" w:rsidP="00AE55D6">
      <w:pPr>
        <w:ind w:firstLine="720"/>
        <w:rPr>
          <w:b/>
          <w:sz w:val="32"/>
          <w:szCs w:val="32"/>
        </w:rPr>
      </w:pPr>
      <w:r w:rsidRPr="00A36E44">
        <w:rPr>
          <w:b/>
          <w:noProof/>
          <w:sz w:val="32"/>
          <w:szCs w:val="32"/>
          <w:lang w:val="en-GB" w:eastAsia="en-GB"/>
        </w:rPr>
        <w:drawing>
          <wp:inline distT="0" distB="0" distL="0" distR="0" wp14:anchorId="70FC0171" wp14:editId="1B184358">
            <wp:extent cx="5810865" cy="42862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GLAM_EN_Final-1_0.png"/>
                    <pic:cNvPicPr/>
                  </pic:nvPicPr>
                  <pic:blipFill rotWithShape="1">
                    <a:blip r:embed="rId10" cstate="print">
                      <a:extLst>
                        <a:ext uri="{28A0092B-C50C-407E-A947-70E740481C1C}">
                          <a14:useLocalDpi xmlns:a14="http://schemas.microsoft.com/office/drawing/2010/main" val="0"/>
                        </a:ext>
                      </a:extLst>
                    </a:blip>
                    <a:srcRect l="1324" t="1119" r="884" b="1227"/>
                    <a:stretch/>
                  </pic:blipFill>
                  <pic:spPr bwMode="auto">
                    <a:xfrm>
                      <a:off x="0" y="0"/>
                      <a:ext cx="5812402" cy="4287384"/>
                    </a:xfrm>
                    <a:prstGeom prst="rect">
                      <a:avLst/>
                    </a:prstGeom>
                    <a:ln>
                      <a:noFill/>
                    </a:ln>
                    <a:extLst>
                      <a:ext uri="{53640926-AAD7-44D8-BBD7-CCE9431645EC}">
                        <a14:shadowObscured xmlns:a14="http://schemas.microsoft.com/office/drawing/2010/main"/>
                      </a:ext>
                    </a:extLst>
                  </pic:spPr>
                </pic:pic>
              </a:graphicData>
            </a:graphic>
          </wp:inline>
        </w:drawing>
      </w:r>
    </w:p>
    <w:p w14:paraId="6554D0D3" w14:textId="71B20CAB" w:rsidR="00BD4374" w:rsidRPr="00A36E44" w:rsidRDefault="00BD4374" w:rsidP="00AE55D6">
      <w:pPr>
        <w:ind w:firstLine="720"/>
        <w:rPr>
          <w:b/>
          <w:sz w:val="32"/>
          <w:szCs w:val="32"/>
        </w:rPr>
      </w:pPr>
    </w:p>
    <w:sectPr w:rsidR="00BD4374" w:rsidRPr="00A36E44" w:rsidSect="00D32B27">
      <w:footerReference w:type="even"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46581" w14:textId="77777777" w:rsidR="005777A5" w:rsidRDefault="005777A5" w:rsidP="00E40325">
      <w:r>
        <w:separator/>
      </w:r>
    </w:p>
  </w:endnote>
  <w:endnote w:type="continuationSeparator" w:id="0">
    <w:p w14:paraId="357BE60C" w14:textId="77777777" w:rsidR="005777A5" w:rsidRDefault="005777A5" w:rsidP="00E40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17963037"/>
      <w:docPartObj>
        <w:docPartGallery w:val="Page Numbers (Bottom of Page)"/>
        <w:docPartUnique/>
      </w:docPartObj>
    </w:sdtPr>
    <w:sdtEndPr>
      <w:rPr>
        <w:rStyle w:val="PageNumber"/>
      </w:rPr>
    </w:sdtEndPr>
    <w:sdtContent>
      <w:p w14:paraId="082F285C" w14:textId="7834D82E" w:rsidR="00FA371E" w:rsidRDefault="00FA371E" w:rsidP="00830C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5021FE" w14:textId="77777777" w:rsidR="00FA371E" w:rsidRDefault="00FA371E" w:rsidP="000E59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76720046"/>
      <w:docPartObj>
        <w:docPartGallery w:val="Page Numbers (Bottom of Page)"/>
        <w:docPartUnique/>
      </w:docPartObj>
    </w:sdtPr>
    <w:sdtEndPr>
      <w:rPr>
        <w:rStyle w:val="PageNumber"/>
      </w:rPr>
    </w:sdtEndPr>
    <w:sdtContent>
      <w:p w14:paraId="707DA7DC" w14:textId="5D03A03F" w:rsidR="00FA371E" w:rsidRDefault="00FA371E" w:rsidP="00830C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51452">
          <w:rPr>
            <w:rStyle w:val="PageNumber"/>
            <w:noProof/>
          </w:rPr>
          <w:t>1</w:t>
        </w:r>
        <w:r>
          <w:rPr>
            <w:rStyle w:val="PageNumber"/>
          </w:rPr>
          <w:fldChar w:fldCharType="end"/>
        </w:r>
      </w:p>
    </w:sdtContent>
  </w:sdt>
  <w:p w14:paraId="1EDDFD5B" w14:textId="77777777" w:rsidR="00FA371E" w:rsidRDefault="00FA371E" w:rsidP="000E590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0406D" w14:textId="77777777" w:rsidR="005777A5" w:rsidRDefault="005777A5" w:rsidP="00E40325">
      <w:r>
        <w:separator/>
      </w:r>
    </w:p>
  </w:footnote>
  <w:footnote w:type="continuationSeparator" w:id="0">
    <w:p w14:paraId="37CFC3DD" w14:textId="77777777" w:rsidR="005777A5" w:rsidRDefault="005777A5" w:rsidP="00E40325">
      <w:r>
        <w:continuationSeparator/>
      </w:r>
    </w:p>
  </w:footnote>
  <w:footnote w:id="1">
    <w:p w14:paraId="29C0F586" w14:textId="77777777" w:rsidR="00C50CEF" w:rsidRDefault="00C50CEF" w:rsidP="00C50CEF">
      <w:pPr>
        <w:pStyle w:val="FootnoteText"/>
        <w:rPr>
          <w:lang w:val="en-GB"/>
        </w:rPr>
      </w:pPr>
      <w:r>
        <w:rPr>
          <w:rStyle w:val="FootnoteReference"/>
        </w:rPr>
        <w:footnoteRef/>
      </w:r>
      <w:r>
        <w:t xml:space="preserve"> </w:t>
      </w:r>
      <w:r>
        <w:rPr>
          <w:lang w:val="en-GB"/>
        </w:rPr>
        <w:t xml:space="preserve">Corresponding author: </w:t>
      </w:r>
      <w:hyperlink r:id="rId1" w:history="1">
        <w:r>
          <w:rPr>
            <w:rStyle w:val="Hyperlink"/>
            <w:rFonts w:eastAsiaTheme="majorEastAsia"/>
            <w:lang w:val="en-GB"/>
          </w:rPr>
          <w:t>Edmund@penningrowsell.com</w:t>
        </w:r>
      </w:hyperlink>
    </w:p>
    <w:p w14:paraId="6A97E6AD" w14:textId="77777777" w:rsidR="00C50CEF" w:rsidRDefault="00C50CEF" w:rsidP="00C50CEF">
      <w:pPr>
        <w:pStyle w:val="FootnoteText"/>
        <w:rPr>
          <w:lang w:val="en-GB"/>
        </w:rPr>
      </w:pPr>
    </w:p>
  </w:footnote>
  <w:footnote w:id="2">
    <w:p w14:paraId="08E21DC9" w14:textId="42320CD5" w:rsidR="00FA371E" w:rsidRPr="00173DD0" w:rsidRDefault="00FA371E" w:rsidP="00E40325">
      <w:pPr>
        <w:pBdr>
          <w:top w:val="nil"/>
          <w:left w:val="nil"/>
          <w:bottom w:val="nil"/>
          <w:right w:val="nil"/>
          <w:between w:val="nil"/>
        </w:pBdr>
        <w:rPr>
          <w:rFonts w:eastAsia="Calibri"/>
          <w:sz w:val="22"/>
          <w:szCs w:val="22"/>
        </w:rPr>
      </w:pPr>
      <w:r w:rsidRPr="00AA08FC">
        <w:rPr>
          <w:rStyle w:val="FootnoteReference"/>
        </w:rPr>
        <w:footnoteRef/>
      </w:r>
      <w:r w:rsidRPr="00173DD0">
        <w:rPr>
          <w:rFonts w:eastAsia="Calibri"/>
          <w:sz w:val="22"/>
          <w:szCs w:val="22"/>
        </w:rPr>
        <w:t xml:space="preserve"> The history of this regulation in fact goes back to 1952 with the ‘1952 Order of Approval’ for the Moses-Saunders dam. In July 1958, a working committee began discussing the ‘operation details’ of rule-based regulation called Plan 1958-A (1960) </w:t>
      </w:r>
      <w:r w:rsidRPr="00173DD0">
        <w:rPr>
          <w:rFonts w:eastAsia="Calibri"/>
          <w:sz w:val="22"/>
          <w:szCs w:val="22"/>
        </w:rPr>
        <w:fldChar w:fldCharType="begin"/>
      </w:r>
      <w:r w:rsidRPr="00173DD0">
        <w:rPr>
          <w:rFonts w:eastAsia="Calibri"/>
          <w:sz w:val="22"/>
          <w:szCs w:val="22"/>
        </w:rPr>
        <w:instrText xml:space="preserve"> ADDIN ZOTERO_ITEM CSL_CITATION {"citationID":"7xfdrwJr","properties":{"formattedCitation":"(International St. Lawrence River Board Of Control Working Committee, 1959:p.1)","plainCitation":"(International St. Lawrence River Board Of Control Working Committee, 1959:p.1)","noteIndex":1},"citationItems":[{"id":2319,"uris":["http://zotero.org/users/local/LV0ujPfY/items/NWZVD9CW"],"uri":["http://zotero.org/users/local/LV0ujPfY/items/NWZVD9CW"],"itemData":{"id":2319,"type":"report","publisher":"International Joint Commission","title":"Operational Guides for Plan 1958 - C Report to The International Joint Commission","URL":"Report to The International Joint Commission. https","author":[{"family":"International St. Lawrence River Board Of Control Working Committee","given":""}],"issued":{"date-parts":[["1959",2,24]]}},"locator":"1"}],"schema":"https://github.com/citation-style-language/schema/raw/master/csl-citation.json"} </w:instrText>
      </w:r>
      <w:r w:rsidRPr="00173DD0">
        <w:rPr>
          <w:rFonts w:eastAsia="Calibri"/>
          <w:sz w:val="22"/>
          <w:szCs w:val="22"/>
        </w:rPr>
        <w:fldChar w:fldCharType="separate"/>
      </w:r>
      <w:r w:rsidRPr="00173DD0">
        <w:rPr>
          <w:rFonts w:eastAsia="Calibri"/>
          <w:noProof/>
          <w:sz w:val="22"/>
          <w:szCs w:val="22"/>
        </w:rPr>
        <w:t>(International St. Lawrence River Board Of Control Working Committee, 1959:p.1)</w:t>
      </w:r>
      <w:r w:rsidRPr="00173DD0">
        <w:rPr>
          <w:rFonts w:eastAsia="Calibri"/>
          <w:sz w:val="22"/>
          <w:szCs w:val="22"/>
        </w:rPr>
        <w:fldChar w:fldCharType="end"/>
      </w:r>
      <w:r w:rsidRPr="00173DD0">
        <w:rPr>
          <w:rFonts w:eastAsia="Calibri"/>
          <w:sz w:val="22"/>
          <w:szCs w:val="22"/>
        </w:rPr>
        <w:t xml:space="preserve"> . This document was then refined in quick succession by Plan 1958-C (1962) and then by Plan 1958-D in 1963 </w:t>
      </w:r>
      <w:r w:rsidRPr="00173DD0">
        <w:rPr>
          <w:rFonts w:eastAsia="Calibri"/>
          <w:sz w:val="22"/>
          <w:szCs w:val="22"/>
        </w:rPr>
        <w:fldChar w:fldCharType="begin"/>
      </w:r>
      <w:r>
        <w:rPr>
          <w:rFonts w:eastAsia="Calibri"/>
          <w:sz w:val="22"/>
          <w:szCs w:val="22"/>
        </w:rPr>
        <w:instrText xml:space="preserve"> ADDIN ZOTERO_ITEM CSL_CITATION {"citationID":"tUxYGlWe","properties":{"formattedCitation":"(International Joint Commission, 2014:pp.9\\uc0\\u8211{}10)","plainCitation":"(International Joint Commission, 2014:pp.9–10)","noteIndex":1},"citationItems":[{"id":647,"uris":["http://zotero.org/users/local/LV0ujPfY/items/ETCZ4GJY"],"uri":["http://zotero.org/users/local/LV0ujPfY/items/ETCZ4GJY"],"itemData":{"id":647,"type":"report","language":"98","publisher":"International Joint Commission","title":"Lake Ontario -St. Lawrence River Plan 2014 Protecting against extreme water levels, restoring wetlands and preparing for climate change: A Report to the Governments of Canada and the United States by the International Joint Commission","URL":"https://legacyfiles.ijc.org/tinymce/uploaded/LOSLR/IJC_LOSR_EN_Web.pdf","author":[{"family":"International Joint Commission","given":""}],"issued":{"date-parts":[["2014",6]]}},"locator":"9-10"}],"schema":"https://github.com/citation-style-language/schema/raw/master/csl-citation.json"} </w:instrText>
      </w:r>
      <w:r w:rsidRPr="00173DD0">
        <w:rPr>
          <w:rFonts w:eastAsia="Calibri"/>
          <w:sz w:val="22"/>
          <w:szCs w:val="22"/>
        </w:rPr>
        <w:fldChar w:fldCharType="separate"/>
      </w:r>
      <w:r w:rsidRPr="00173DD0">
        <w:rPr>
          <w:sz w:val="22"/>
          <w:szCs w:val="22"/>
          <w:lang w:val="en-US"/>
        </w:rPr>
        <w:t>(International Joint Commission, 2014:pp.9–10)</w:t>
      </w:r>
      <w:r w:rsidRPr="00173DD0">
        <w:rPr>
          <w:rFonts w:eastAsia="Calibri"/>
          <w:sz w:val="22"/>
          <w:szCs w:val="22"/>
        </w:rPr>
        <w:fldChar w:fldCharType="end"/>
      </w:r>
      <w:r w:rsidRPr="00173DD0">
        <w:rPr>
          <w:rFonts w:eastAsia="Calibri"/>
          <w:sz w:val="22"/>
          <w:szCs w:val="22"/>
        </w:rPr>
        <w:t xml:space="preserve">.  </w:t>
      </w:r>
    </w:p>
    <w:p w14:paraId="73A4764B" w14:textId="17D7DEE2" w:rsidR="00FA371E" w:rsidRPr="00F277C4" w:rsidRDefault="00FA371E" w:rsidP="00E40325">
      <w:pPr>
        <w:pBdr>
          <w:top w:val="nil"/>
          <w:left w:val="nil"/>
          <w:bottom w:val="nil"/>
          <w:right w:val="nil"/>
          <w:between w:val="nil"/>
        </w:pBdr>
        <w:rPr>
          <w:rFonts w:ascii="Calibri" w:eastAsia="Calibri" w:hAnsi="Calibri" w:cs="Calibri"/>
          <w:sz w:val="20"/>
          <w:szCs w:val="20"/>
        </w:rPr>
      </w:pPr>
    </w:p>
  </w:footnote>
  <w:footnote w:id="3">
    <w:p w14:paraId="14385BBC" w14:textId="4DB0EC56" w:rsidR="00FA371E" w:rsidRPr="00AE55D6" w:rsidRDefault="00FA371E">
      <w:pPr>
        <w:pStyle w:val="FootnoteText"/>
        <w:rPr>
          <w:lang w:val="en-GB"/>
        </w:rPr>
      </w:pPr>
      <w:r>
        <w:rPr>
          <w:rStyle w:val="FootnoteReference"/>
        </w:rPr>
        <w:footnoteRef/>
      </w:r>
      <w:r>
        <w:t xml:space="preserve"> The </w:t>
      </w:r>
      <w:r w:rsidRPr="00AE55D6">
        <w:t>New York State Department of Environmental Conservation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1778A"/>
    <w:multiLevelType w:val="hybridMultilevel"/>
    <w:tmpl w:val="744A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27598E"/>
    <w:multiLevelType w:val="multilevel"/>
    <w:tmpl w:val="E2F44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AF63A4"/>
    <w:multiLevelType w:val="hybridMultilevel"/>
    <w:tmpl w:val="C6D2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D24B6"/>
    <w:multiLevelType w:val="hybridMultilevel"/>
    <w:tmpl w:val="235C02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211D3F"/>
    <w:multiLevelType w:val="multilevel"/>
    <w:tmpl w:val="7B3AE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873DCD"/>
    <w:multiLevelType w:val="multilevel"/>
    <w:tmpl w:val="2144911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 w15:restartNumberingAfterBreak="0">
    <w:nsid w:val="54453491"/>
    <w:multiLevelType w:val="multilevel"/>
    <w:tmpl w:val="D6865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8816BE"/>
    <w:multiLevelType w:val="multilevel"/>
    <w:tmpl w:val="D6865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925E1B"/>
    <w:multiLevelType w:val="hybridMultilevel"/>
    <w:tmpl w:val="D91CA7E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6CB11925"/>
    <w:multiLevelType w:val="multilevel"/>
    <w:tmpl w:val="9022E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C7C78FD"/>
    <w:multiLevelType w:val="hybridMultilevel"/>
    <w:tmpl w:val="B59EF26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9"/>
  </w:num>
  <w:num w:numId="2">
    <w:abstractNumId w:val="1"/>
  </w:num>
  <w:num w:numId="3">
    <w:abstractNumId w:val="5"/>
  </w:num>
  <w:num w:numId="4">
    <w:abstractNumId w:val="6"/>
  </w:num>
  <w:num w:numId="5">
    <w:abstractNumId w:val="4"/>
  </w:num>
  <w:num w:numId="6">
    <w:abstractNumId w:val="2"/>
  </w:num>
  <w:num w:numId="7">
    <w:abstractNumId w:val="8"/>
  </w:num>
  <w:num w:numId="8">
    <w:abstractNumId w:val="10"/>
  </w:num>
  <w:num w:numId="9">
    <w:abstractNumId w:val="0"/>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325"/>
    <w:rsid w:val="00004C65"/>
    <w:rsid w:val="000063CD"/>
    <w:rsid w:val="0000722C"/>
    <w:rsid w:val="0000762A"/>
    <w:rsid w:val="00007812"/>
    <w:rsid w:val="0001023B"/>
    <w:rsid w:val="0001156D"/>
    <w:rsid w:val="00011673"/>
    <w:rsid w:val="000117AE"/>
    <w:rsid w:val="00013B28"/>
    <w:rsid w:val="00013CD5"/>
    <w:rsid w:val="000147DE"/>
    <w:rsid w:val="00014AA7"/>
    <w:rsid w:val="0001514F"/>
    <w:rsid w:val="00016950"/>
    <w:rsid w:val="00016CE1"/>
    <w:rsid w:val="000203C1"/>
    <w:rsid w:val="00024EDF"/>
    <w:rsid w:val="00024FF8"/>
    <w:rsid w:val="00025115"/>
    <w:rsid w:val="000256A3"/>
    <w:rsid w:val="00025E7A"/>
    <w:rsid w:val="000302C5"/>
    <w:rsid w:val="00030802"/>
    <w:rsid w:val="00030849"/>
    <w:rsid w:val="0003170D"/>
    <w:rsid w:val="00031AF0"/>
    <w:rsid w:val="00032395"/>
    <w:rsid w:val="00033567"/>
    <w:rsid w:val="00034B07"/>
    <w:rsid w:val="0003522C"/>
    <w:rsid w:val="00035257"/>
    <w:rsid w:val="0003636A"/>
    <w:rsid w:val="00036464"/>
    <w:rsid w:val="0004144C"/>
    <w:rsid w:val="00041BB8"/>
    <w:rsid w:val="00043797"/>
    <w:rsid w:val="000451F9"/>
    <w:rsid w:val="00045DC0"/>
    <w:rsid w:val="00046A58"/>
    <w:rsid w:val="00047342"/>
    <w:rsid w:val="000476DF"/>
    <w:rsid w:val="00047D0A"/>
    <w:rsid w:val="000501F8"/>
    <w:rsid w:val="00051ADF"/>
    <w:rsid w:val="00053835"/>
    <w:rsid w:val="00053A08"/>
    <w:rsid w:val="00053AEB"/>
    <w:rsid w:val="000541F6"/>
    <w:rsid w:val="00054B2D"/>
    <w:rsid w:val="00054DAC"/>
    <w:rsid w:val="00055A66"/>
    <w:rsid w:val="00056C2A"/>
    <w:rsid w:val="00060203"/>
    <w:rsid w:val="00064A2D"/>
    <w:rsid w:val="00064A55"/>
    <w:rsid w:val="00065258"/>
    <w:rsid w:val="00066690"/>
    <w:rsid w:val="00070D9A"/>
    <w:rsid w:val="000721F3"/>
    <w:rsid w:val="00072E33"/>
    <w:rsid w:val="00073C2A"/>
    <w:rsid w:val="00074AAA"/>
    <w:rsid w:val="00075360"/>
    <w:rsid w:val="0007693E"/>
    <w:rsid w:val="000779D8"/>
    <w:rsid w:val="000815CF"/>
    <w:rsid w:val="0008164B"/>
    <w:rsid w:val="00081D98"/>
    <w:rsid w:val="000822F0"/>
    <w:rsid w:val="00083341"/>
    <w:rsid w:val="00084A76"/>
    <w:rsid w:val="00084E03"/>
    <w:rsid w:val="00086EC2"/>
    <w:rsid w:val="00087BB3"/>
    <w:rsid w:val="00090679"/>
    <w:rsid w:val="00092812"/>
    <w:rsid w:val="00092B80"/>
    <w:rsid w:val="000933C8"/>
    <w:rsid w:val="00093952"/>
    <w:rsid w:val="00096CCE"/>
    <w:rsid w:val="000976CB"/>
    <w:rsid w:val="000A0E57"/>
    <w:rsid w:val="000A13C1"/>
    <w:rsid w:val="000A233B"/>
    <w:rsid w:val="000A3554"/>
    <w:rsid w:val="000A3E7B"/>
    <w:rsid w:val="000A4BFF"/>
    <w:rsid w:val="000A565F"/>
    <w:rsid w:val="000A6187"/>
    <w:rsid w:val="000A6EAC"/>
    <w:rsid w:val="000A765E"/>
    <w:rsid w:val="000B02B9"/>
    <w:rsid w:val="000B0A1E"/>
    <w:rsid w:val="000B1D76"/>
    <w:rsid w:val="000B307E"/>
    <w:rsid w:val="000B356F"/>
    <w:rsid w:val="000B3C5E"/>
    <w:rsid w:val="000B3CA7"/>
    <w:rsid w:val="000B442F"/>
    <w:rsid w:val="000C0312"/>
    <w:rsid w:val="000C0702"/>
    <w:rsid w:val="000C0835"/>
    <w:rsid w:val="000C29E0"/>
    <w:rsid w:val="000C3D83"/>
    <w:rsid w:val="000C44D2"/>
    <w:rsid w:val="000C4592"/>
    <w:rsid w:val="000C48D1"/>
    <w:rsid w:val="000C531A"/>
    <w:rsid w:val="000C555B"/>
    <w:rsid w:val="000C5FB5"/>
    <w:rsid w:val="000C67FE"/>
    <w:rsid w:val="000C7CBB"/>
    <w:rsid w:val="000D052A"/>
    <w:rsid w:val="000D2888"/>
    <w:rsid w:val="000D2D5D"/>
    <w:rsid w:val="000D2E81"/>
    <w:rsid w:val="000D3F0C"/>
    <w:rsid w:val="000D5812"/>
    <w:rsid w:val="000D5F17"/>
    <w:rsid w:val="000E09D5"/>
    <w:rsid w:val="000E1046"/>
    <w:rsid w:val="000E1564"/>
    <w:rsid w:val="000E1767"/>
    <w:rsid w:val="000E27DA"/>
    <w:rsid w:val="000E2E59"/>
    <w:rsid w:val="000E412D"/>
    <w:rsid w:val="000E5362"/>
    <w:rsid w:val="000E590F"/>
    <w:rsid w:val="000E5E30"/>
    <w:rsid w:val="000E601D"/>
    <w:rsid w:val="000E7607"/>
    <w:rsid w:val="000E7F09"/>
    <w:rsid w:val="000F3EA5"/>
    <w:rsid w:val="000F4471"/>
    <w:rsid w:val="000F4497"/>
    <w:rsid w:val="000F640D"/>
    <w:rsid w:val="000F79A4"/>
    <w:rsid w:val="001027E7"/>
    <w:rsid w:val="00103D13"/>
    <w:rsid w:val="0010436D"/>
    <w:rsid w:val="0010480F"/>
    <w:rsid w:val="001048B2"/>
    <w:rsid w:val="00104C26"/>
    <w:rsid w:val="001058DB"/>
    <w:rsid w:val="00106244"/>
    <w:rsid w:val="001102F9"/>
    <w:rsid w:val="001104C1"/>
    <w:rsid w:val="00111A18"/>
    <w:rsid w:val="00112374"/>
    <w:rsid w:val="00112756"/>
    <w:rsid w:val="00112AC5"/>
    <w:rsid w:val="00114CCC"/>
    <w:rsid w:val="00116753"/>
    <w:rsid w:val="00117B04"/>
    <w:rsid w:val="00120DF5"/>
    <w:rsid w:val="00123CB1"/>
    <w:rsid w:val="00123E29"/>
    <w:rsid w:val="001245A5"/>
    <w:rsid w:val="00125006"/>
    <w:rsid w:val="001260FB"/>
    <w:rsid w:val="00130760"/>
    <w:rsid w:val="00130AFE"/>
    <w:rsid w:val="00130DF1"/>
    <w:rsid w:val="001337D0"/>
    <w:rsid w:val="00133EA6"/>
    <w:rsid w:val="00135F88"/>
    <w:rsid w:val="00136455"/>
    <w:rsid w:val="00137D31"/>
    <w:rsid w:val="001409EC"/>
    <w:rsid w:val="00140D77"/>
    <w:rsid w:val="00140F16"/>
    <w:rsid w:val="0014162F"/>
    <w:rsid w:val="001420C9"/>
    <w:rsid w:val="00143874"/>
    <w:rsid w:val="001438DF"/>
    <w:rsid w:val="00144074"/>
    <w:rsid w:val="001443D7"/>
    <w:rsid w:val="00144F10"/>
    <w:rsid w:val="00145BCD"/>
    <w:rsid w:val="00146018"/>
    <w:rsid w:val="00146C74"/>
    <w:rsid w:val="0014794E"/>
    <w:rsid w:val="00147E8E"/>
    <w:rsid w:val="0015130B"/>
    <w:rsid w:val="0015293A"/>
    <w:rsid w:val="0015422E"/>
    <w:rsid w:val="0016120A"/>
    <w:rsid w:val="00164A45"/>
    <w:rsid w:val="001655F7"/>
    <w:rsid w:val="00165ED6"/>
    <w:rsid w:val="00166A3E"/>
    <w:rsid w:val="00166B11"/>
    <w:rsid w:val="00171ADB"/>
    <w:rsid w:val="00173117"/>
    <w:rsid w:val="001736A1"/>
    <w:rsid w:val="00173DD0"/>
    <w:rsid w:val="001754B3"/>
    <w:rsid w:val="0018000D"/>
    <w:rsid w:val="0018009C"/>
    <w:rsid w:val="001807F0"/>
    <w:rsid w:val="001812CE"/>
    <w:rsid w:val="001814D5"/>
    <w:rsid w:val="00181A2D"/>
    <w:rsid w:val="00183D08"/>
    <w:rsid w:val="00184BE5"/>
    <w:rsid w:val="00184CB2"/>
    <w:rsid w:val="00185469"/>
    <w:rsid w:val="00185990"/>
    <w:rsid w:val="00185A89"/>
    <w:rsid w:val="00186150"/>
    <w:rsid w:val="001868B2"/>
    <w:rsid w:val="001879A8"/>
    <w:rsid w:val="001879DF"/>
    <w:rsid w:val="0019174D"/>
    <w:rsid w:val="00191C21"/>
    <w:rsid w:val="00192F69"/>
    <w:rsid w:val="001935DC"/>
    <w:rsid w:val="00193F6C"/>
    <w:rsid w:val="0019421B"/>
    <w:rsid w:val="001948A9"/>
    <w:rsid w:val="00195347"/>
    <w:rsid w:val="00195641"/>
    <w:rsid w:val="00195C8F"/>
    <w:rsid w:val="00195DE1"/>
    <w:rsid w:val="00196FD7"/>
    <w:rsid w:val="001977C7"/>
    <w:rsid w:val="001A087A"/>
    <w:rsid w:val="001A12D0"/>
    <w:rsid w:val="001A20A0"/>
    <w:rsid w:val="001A20DB"/>
    <w:rsid w:val="001A56D9"/>
    <w:rsid w:val="001A5F7E"/>
    <w:rsid w:val="001A6C32"/>
    <w:rsid w:val="001B0A84"/>
    <w:rsid w:val="001B12F6"/>
    <w:rsid w:val="001B21DA"/>
    <w:rsid w:val="001B23E2"/>
    <w:rsid w:val="001B287A"/>
    <w:rsid w:val="001B2BC7"/>
    <w:rsid w:val="001B357F"/>
    <w:rsid w:val="001B3A7A"/>
    <w:rsid w:val="001B3E00"/>
    <w:rsid w:val="001B42B4"/>
    <w:rsid w:val="001B6A4B"/>
    <w:rsid w:val="001B6F69"/>
    <w:rsid w:val="001B728B"/>
    <w:rsid w:val="001B78F2"/>
    <w:rsid w:val="001C0357"/>
    <w:rsid w:val="001C0637"/>
    <w:rsid w:val="001C0AC4"/>
    <w:rsid w:val="001C2751"/>
    <w:rsid w:val="001C2864"/>
    <w:rsid w:val="001C3B35"/>
    <w:rsid w:val="001C43BE"/>
    <w:rsid w:val="001C4EC3"/>
    <w:rsid w:val="001C57B3"/>
    <w:rsid w:val="001C5E80"/>
    <w:rsid w:val="001C6910"/>
    <w:rsid w:val="001C7C70"/>
    <w:rsid w:val="001D067F"/>
    <w:rsid w:val="001D6029"/>
    <w:rsid w:val="001D79F3"/>
    <w:rsid w:val="001E0767"/>
    <w:rsid w:val="001E296D"/>
    <w:rsid w:val="001E2DDB"/>
    <w:rsid w:val="001E5521"/>
    <w:rsid w:val="001E5EEC"/>
    <w:rsid w:val="001E71CE"/>
    <w:rsid w:val="001F2FBC"/>
    <w:rsid w:val="001F3B8E"/>
    <w:rsid w:val="001F4BCA"/>
    <w:rsid w:val="001F5758"/>
    <w:rsid w:val="001F577C"/>
    <w:rsid w:val="001F59BC"/>
    <w:rsid w:val="001F7B85"/>
    <w:rsid w:val="001F7D2D"/>
    <w:rsid w:val="001F7EF4"/>
    <w:rsid w:val="00200039"/>
    <w:rsid w:val="00200237"/>
    <w:rsid w:val="00201370"/>
    <w:rsid w:val="002017E4"/>
    <w:rsid w:val="00201F67"/>
    <w:rsid w:val="00203FA4"/>
    <w:rsid w:val="002041C8"/>
    <w:rsid w:val="00204441"/>
    <w:rsid w:val="0020496D"/>
    <w:rsid w:val="0020508B"/>
    <w:rsid w:val="00205562"/>
    <w:rsid w:val="002064BC"/>
    <w:rsid w:val="002118B9"/>
    <w:rsid w:val="002118EB"/>
    <w:rsid w:val="0021209E"/>
    <w:rsid w:val="002126CA"/>
    <w:rsid w:val="00215FBB"/>
    <w:rsid w:val="002160C3"/>
    <w:rsid w:val="002161BD"/>
    <w:rsid w:val="00216D83"/>
    <w:rsid w:val="00216E18"/>
    <w:rsid w:val="00221D58"/>
    <w:rsid w:val="002265D0"/>
    <w:rsid w:val="002268F6"/>
    <w:rsid w:val="00227639"/>
    <w:rsid w:val="00230027"/>
    <w:rsid w:val="0023062B"/>
    <w:rsid w:val="00231339"/>
    <w:rsid w:val="002315B5"/>
    <w:rsid w:val="00231AFE"/>
    <w:rsid w:val="00232C8B"/>
    <w:rsid w:val="002341E7"/>
    <w:rsid w:val="00234203"/>
    <w:rsid w:val="00234392"/>
    <w:rsid w:val="00234765"/>
    <w:rsid w:val="00236430"/>
    <w:rsid w:val="002366A9"/>
    <w:rsid w:val="00240571"/>
    <w:rsid w:val="00241D8E"/>
    <w:rsid w:val="00242C05"/>
    <w:rsid w:val="00243263"/>
    <w:rsid w:val="00250060"/>
    <w:rsid w:val="002521BA"/>
    <w:rsid w:val="00255295"/>
    <w:rsid w:val="00255391"/>
    <w:rsid w:val="00255F19"/>
    <w:rsid w:val="00256932"/>
    <w:rsid w:val="002570A1"/>
    <w:rsid w:val="002601DE"/>
    <w:rsid w:val="00261F49"/>
    <w:rsid w:val="00262ABE"/>
    <w:rsid w:val="00262EC5"/>
    <w:rsid w:val="002636EE"/>
    <w:rsid w:val="0026466B"/>
    <w:rsid w:val="00264952"/>
    <w:rsid w:val="002650CA"/>
    <w:rsid w:val="00265574"/>
    <w:rsid w:val="00265F0F"/>
    <w:rsid w:val="00266149"/>
    <w:rsid w:val="002661A8"/>
    <w:rsid w:val="002665FD"/>
    <w:rsid w:val="00266BE1"/>
    <w:rsid w:val="00270773"/>
    <w:rsid w:val="00273541"/>
    <w:rsid w:val="002737AC"/>
    <w:rsid w:val="0027397B"/>
    <w:rsid w:val="002742A6"/>
    <w:rsid w:val="00275577"/>
    <w:rsid w:val="00275889"/>
    <w:rsid w:val="00275FDE"/>
    <w:rsid w:val="00277FD3"/>
    <w:rsid w:val="00280079"/>
    <w:rsid w:val="00281824"/>
    <w:rsid w:val="00281839"/>
    <w:rsid w:val="00281AAD"/>
    <w:rsid w:val="00281EB0"/>
    <w:rsid w:val="00282473"/>
    <w:rsid w:val="00283838"/>
    <w:rsid w:val="002846BF"/>
    <w:rsid w:val="00286F30"/>
    <w:rsid w:val="002911A2"/>
    <w:rsid w:val="002963F9"/>
    <w:rsid w:val="00296D71"/>
    <w:rsid w:val="002A2C17"/>
    <w:rsid w:val="002A5583"/>
    <w:rsid w:val="002A5AB2"/>
    <w:rsid w:val="002A7634"/>
    <w:rsid w:val="002A7B49"/>
    <w:rsid w:val="002B343B"/>
    <w:rsid w:val="002B7076"/>
    <w:rsid w:val="002B7A6F"/>
    <w:rsid w:val="002C09F8"/>
    <w:rsid w:val="002C2338"/>
    <w:rsid w:val="002C2480"/>
    <w:rsid w:val="002C357A"/>
    <w:rsid w:val="002C369E"/>
    <w:rsid w:val="002C4456"/>
    <w:rsid w:val="002C52EC"/>
    <w:rsid w:val="002C5E6C"/>
    <w:rsid w:val="002C6EAF"/>
    <w:rsid w:val="002C7618"/>
    <w:rsid w:val="002D2795"/>
    <w:rsid w:val="002D2BE8"/>
    <w:rsid w:val="002D33EA"/>
    <w:rsid w:val="002D39FE"/>
    <w:rsid w:val="002D4F96"/>
    <w:rsid w:val="002D5620"/>
    <w:rsid w:val="002D5B13"/>
    <w:rsid w:val="002D5B73"/>
    <w:rsid w:val="002D69C7"/>
    <w:rsid w:val="002E0138"/>
    <w:rsid w:val="002E0C91"/>
    <w:rsid w:val="002E119D"/>
    <w:rsid w:val="002E3A4D"/>
    <w:rsid w:val="002E4761"/>
    <w:rsid w:val="002E5418"/>
    <w:rsid w:val="002E6EEC"/>
    <w:rsid w:val="002E787A"/>
    <w:rsid w:val="002F1AD7"/>
    <w:rsid w:val="002F4639"/>
    <w:rsid w:val="002F4920"/>
    <w:rsid w:val="002F56C9"/>
    <w:rsid w:val="002F5A2E"/>
    <w:rsid w:val="00303833"/>
    <w:rsid w:val="00303B86"/>
    <w:rsid w:val="003048D2"/>
    <w:rsid w:val="00305387"/>
    <w:rsid w:val="003067B8"/>
    <w:rsid w:val="00313B52"/>
    <w:rsid w:val="003146DD"/>
    <w:rsid w:val="00315595"/>
    <w:rsid w:val="003205B0"/>
    <w:rsid w:val="00322B42"/>
    <w:rsid w:val="00326430"/>
    <w:rsid w:val="003310C5"/>
    <w:rsid w:val="003310E0"/>
    <w:rsid w:val="0033178A"/>
    <w:rsid w:val="003317C1"/>
    <w:rsid w:val="0033185E"/>
    <w:rsid w:val="003319A8"/>
    <w:rsid w:val="00332528"/>
    <w:rsid w:val="00332FA7"/>
    <w:rsid w:val="0033347A"/>
    <w:rsid w:val="00334457"/>
    <w:rsid w:val="003344AC"/>
    <w:rsid w:val="003349D7"/>
    <w:rsid w:val="00334AF7"/>
    <w:rsid w:val="00334C27"/>
    <w:rsid w:val="00335014"/>
    <w:rsid w:val="0033601F"/>
    <w:rsid w:val="0033718A"/>
    <w:rsid w:val="003377F3"/>
    <w:rsid w:val="003417EC"/>
    <w:rsid w:val="00341C74"/>
    <w:rsid w:val="00343161"/>
    <w:rsid w:val="00343C75"/>
    <w:rsid w:val="003447B0"/>
    <w:rsid w:val="00345259"/>
    <w:rsid w:val="0034631D"/>
    <w:rsid w:val="003464F0"/>
    <w:rsid w:val="00347A70"/>
    <w:rsid w:val="003523D8"/>
    <w:rsid w:val="00352577"/>
    <w:rsid w:val="0035278D"/>
    <w:rsid w:val="00353BFE"/>
    <w:rsid w:val="00354755"/>
    <w:rsid w:val="0035483B"/>
    <w:rsid w:val="00354DBB"/>
    <w:rsid w:val="00356F91"/>
    <w:rsid w:val="00357833"/>
    <w:rsid w:val="00357E42"/>
    <w:rsid w:val="003618FF"/>
    <w:rsid w:val="003639EB"/>
    <w:rsid w:val="00363C16"/>
    <w:rsid w:val="0036577E"/>
    <w:rsid w:val="00365DD6"/>
    <w:rsid w:val="003664F1"/>
    <w:rsid w:val="0036720A"/>
    <w:rsid w:val="0037098B"/>
    <w:rsid w:val="00370D80"/>
    <w:rsid w:val="00370E32"/>
    <w:rsid w:val="00371564"/>
    <w:rsid w:val="003729D0"/>
    <w:rsid w:val="0037384F"/>
    <w:rsid w:val="003741AE"/>
    <w:rsid w:val="00375E07"/>
    <w:rsid w:val="00375F85"/>
    <w:rsid w:val="00376268"/>
    <w:rsid w:val="0037773D"/>
    <w:rsid w:val="00377963"/>
    <w:rsid w:val="00377FB6"/>
    <w:rsid w:val="00381695"/>
    <w:rsid w:val="00383509"/>
    <w:rsid w:val="00384E9B"/>
    <w:rsid w:val="00385F2B"/>
    <w:rsid w:val="0038687A"/>
    <w:rsid w:val="00386D7A"/>
    <w:rsid w:val="00387374"/>
    <w:rsid w:val="00387F36"/>
    <w:rsid w:val="00391416"/>
    <w:rsid w:val="00391D52"/>
    <w:rsid w:val="00392106"/>
    <w:rsid w:val="00394DCB"/>
    <w:rsid w:val="00395C46"/>
    <w:rsid w:val="0039766B"/>
    <w:rsid w:val="003979B7"/>
    <w:rsid w:val="003A0D01"/>
    <w:rsid w:val="003A124F"/>
    <w:rsid w:val="003A2834"/>
    <w:rsid w:val="003A2975"/>
    <w:rsid w:val="003A2F16"/>
    <w:rsid w:val="003A30FD"/>
    <w:rsid w:val="003A4BB1"/>
    <w:rsid w:val="003A60EB"/>
    <w:rsid w:val="003A6EBF"/>
    <w:rsid w:val="003B06A3"/>
    <w:rsid w:val="003B1B2B"/>
    <w:rsid w:val="003B20DB"/>
    <w:rsid w:val="003B29E7"/>
    <w:rsid w:val="003B2B39"/>
    <w:rsid w:val="003B3237"/>
    <w:rsid w:val="003B4CED"/>
    <w:rsid w:val="003B5722"/>
    <w:rsid w:val="003B5E71"/>
    <w:rsid w:val="003B6995"/>
    <w:rsid w:val="003B7B8C"/>
    <w:rsid w:val="003C2371"/>
    <w:rsid w:val="003C2CBC"/>
    <w:rsid w:val="003C2E2C"/>
    <w:rsid w:val="003C33CC"/>
    <w:rsid w:val="003C4D8B"/>
    <w:rsid w:val="003C64B1"/>
    <w:rsid w:val="003C6B03"/>
    <w:rsid w:val="003C6FC9"/>
    <w:rsid w:val="003D1011"/>
    <w:rsid w:val="003D2594"/>
    <w:rsid w:val="003D4CE1"/>
    <w:rsid w:val="003E2001"/>
    <w:rsid w:val="003E7CB9"/>
    <w:rsid w:val="003E7E53"/>
    <w:rsid w:val="003F0476"/>
    <w:rsid w:val="003F0BA9"/>
    <w:rsid w:val="003F3C70"/>
    <w:rsid w:val="003F41B5"/>
    <w:rsid w:val="003F4559"/>
    <w:rsid w:val="003F48FC"/>
    <w:rsid w:val="003F5AA3"/>
    <w:rsid w:val="003F61DA"/>
    <w:rsid w:val="003F7750"/>
    <w:rsid w:val="003F78F6"/>
    <w:rsid w:val="00400F48"/>
    <w:rsid w:val="00402BB1"/>
    <w:rsid w:val="004036C0"/>
    <w:rsid w:val="00403B97"/>
    <w:rsid w:val="00404981"/>
    <w:rsid w:val="00404DE4"/>
    <w:rsid w:val="00404F58"/>
    <w:rsid w:val="0040690B"/>
    <w:rsid w:val="0041062F"/>
    <w:rsid w:val="00411504"/>
    <w:rsid w:val="00411AB3"/>
    <w:rsid w:val="0041792A"/>
    <w:rsid w:val="00420021"/>
    <w:rsid w:val="00420781"/>
    <w:rsid w:val="00420D01"/>
    <w:rsid w:val="00421266"/>
    <w:rsid w:val="0042180D"/>
    <w:rsid w:val="00422A9A"/>
    <w:rsid w:val="00423EA0"/>
    <w:rsid w:val="004243CD"/>
    <w:rsid w:val="00425F31"/>
    <w:rsid w:val="00426149"/>
    <w:rsid w:val="00426FA3"/>
    <w:rsid w:val="00427408"/>
    <w:rsid w:val="00427C29"/>
    <w:rsid w:val="00430C12"/>
    <w:rsid w:val="00434C98"/>
    <w:rsid w:val="00435115"/>
    <w:rsid w:val="004365E4"/>
    <w:rsid w:val="00436700"/>
    <w:rsid w:val="00440886"/>
    <w:rsid w:val="00440D27"/>
    <w:rsid w:val="00442206"/>
    <w:rsid w:val="0044310E"/>
    <w:rsid w:val="004443DE"/>
    <w:rsid w:val="00446673"/>
    <w:rsid w:val="00446B26"/>
    <w:rsid w:val="00446BF6"/>
    <w:rsid w:val="00447D41"/>
    <w:rsid w:val="004503ED"/>
    <w:rsid w:val="00450789"/>
    <w:rsid w:val="00451CBF"/>
    <w:rsid w:val="00451E2D"/>
    <w:rsid w:val="004555F0"/>
    <w:rsid w:val="00455601"/>
    <w:rsid w:val="00455B00"/>
    <w:rsid w:val="00455E98"/>
    <w:rsid w:val="00456600"/>
    <w:rsid w:val="00456D6C"/>
    <w:rsid w:val="0045708C"/>
    <w:rsid w:val="00457F82"/>
    <w:rsid w:val="0046149B"/>
    <w:rsid w:val="00461732"/>
    <w:rsid w:val="004624BD"/>
    <w:rsid w:val="00463305"/>
    <w:rsid w:val="004649AB"/>
    <w:rsid w:val="00465748"/>
    <w:rsid w:val="00466517"/>
    <w:rsid w:val="0046779A"/>
    <w:rsid w:val="00470755"/>
    <w:rsid w:val="0047253B"/>
    <w:rsid w:val="00474EA4"/>
    <w:rsid w:val="00477004"/>
    <w:rsid w:val="004778EA"/>
    <w:rsid w:val="00480B53"/>
    <w:rsid w:val="0048387B"/>
    <w:rsid w:val="00484A4E"/>
    <w:rsid w:val="00487063"/>
    <w:rsid w:val="004874A4"/>
    <w:rsid w:val="00487B43"/>
    <w:rsid w:val="00490118"/>
    <w:rsid w:val="00491C69"/>
    <w:rsid w:val="004927EB"/>
    <w:rsid w:val="00494A09"/>
    <w:rsid w:val="0049533E"/>
    <w:rsid w:val="004957A7"/>
    <w:rsid w:val="00495B3B"/>
    <w:rsid w:val="004960DB"/>
    <w:rsid w:val="004961AC"/>
    <w:rsid w:val="00496FF8"/>
    <w:rsid w:val="00497E76"/>
    <w:rsid w:val="004A0031"/>
    <w:rsid w:val="004A0A2D"/>
    <w:rsid w:val="004A0EB2"/>
    <w:rsid w:val="004A21CB"/>
    <w:rsid w:val="004A3805"/>
    <w:rsid w:val="004A4B2E"/>
    <w:rsid w:val="004A7B73"/>
    <w:rsid w:val="004A7DDB"/>
    <w:rsid w:val="004A7E14"/>
    <w:rsid w:val="004B0A91"/>
    <w:rsid w:val="004B10D6"/>
    <w:rsid w:val="004B1DF2"/>
    <w:rsid w:val="004B203E"/>
    <w:rsid w:val="004B2597"/>
    <w:rsid w:val="004B4563"/>
    <w:rsid w:val="004B4E1D"/>
    <w:rsid w:val="004B57F7"/>
    <w:rsid w:val="004B7F46"/>
    <w:rsid w:val="004C0FEA"/>
    <w:rsid w:val="004C3B0B"/>
    <w:rsid w:val="004C440E"/>
    <w:rsid w:val="004C44E7"/>
    <w:rsid w:val="004C53D6"/>
    <w:rsid w:val="004D12C1"/>
    <w:rsid w:val="004D14C0"/>
    <w:rsid w:val="004D2BA1"/>
    <w:rsid w:val="004D4DE7"/>
    <w:rsid w:val="004D4F2D"/>
    <w:rsid w:val="004E03A8"/>
    <w:rsid w:val="004E16AD"/>
    <w:rsid w:val="004E3039"/>
    <w:rsid w:val="004E3242"/>
    <w:rsid w:val="004E5026"/>
    <w:rsid w:val="004F0A68"/>
    <w:rsid w:val="004F0E9E"/>
    <w:rsid w:val="004F2A10"/>
    <w:rsid w:val="004F2CA7"/>
    <w:rsid w:val="004F314F"/>
    <w:rsid w:val="004F3651"/>
    <w:rsid w:val="004F4AE3"/>
    <w:rsid w:val="004F5D97"/>
    <w:rsid w:val="004F5E20"/>
    <w:rsid w:val="005020A5"/>
    <w:rsid w:val="00504168"/>
    <w:rsid w:val="0050510E"/>
    <w:rsid w:val="00506FFB"/>
    <w:rsid w:val="00507A32"/>
    <w:rsid w:val="00510117"/>
    <w:rsid w:val="00510E96"/>
    <w:rsid w:val="0051138B"/>
    <w:rsid w:val="00511AD6"/>
    <w:rsid w:val="00513859"/>
    <w:rsid w:val="00514F75"/>
    <w:rsid w:val="00515DD0"/>
    <w:rsid w:val="0051621C"/>
    <w:rsid w:val="00516584"/>
    <w:rsid w:val="005172D9"/>
    <w:rsid w:val="005239FB"/>
    <w:rsid w:val="00523C81"/>
    <w:rsid w:val="005249B9"/>
    <w:rsid w:val="00525386"/>
    <w:rsid w:val="00525B81"/>
    <w:rsid w:val="00526979"/>
    <w:rsid w:val="00526F3F"/>
    <w:rsid w:val="0052717E"/>
    <w:rsid w:val="00527793"/>
    <w:rsid w:val="0053131C"/>
    <w:rsid w:val="00531C88"/>
    <w:rsid w:val="00532057"/>
    <w:rsid w:val="00532235"/>
    <w:rsid w:val="005338D0"/>
    <w:rsid w:val="005369BD"/>
    <w:rsid w:val="00536E35"/>
    <w:rsid w:val="00536FE0"/>
    <w:rsid w:val="005376A8"/>
    <w:rsid w:val="00541162"/>
    <w:rsid w:val="0054246B"/>
    <w:rsid w:val="00543264"/>
    <w:rsid w:val="00553276"/>
    <w:rsid w:val="005542B2"/>
    <w:rsid w:val="00554D7E"/>
    <w:rsid w:val="005552B4"/>
    <w:rsid w:val="005552F6"/>
    <w:rsid w:val="00556316"/>
    <w:rsid w:val="0055784C"/>
    <w:rsid w:val="00561AAB"/>
    <w:rsid w:val="00562703"/>
    <w:rsid w:val="00562E4A"/>
    <w:rsid w:val="005662BD"/>
    <w:rsid w:val="005676C5"/>
    <w:rsid w:val="005703CC"/>
    <w:rsid w:val="0057202A"/>
    <w:rsid w:val="00573428"/>
    <w:rsid w:val="00574DA1"/>
    <w:rsid w:val="00574DBD"/>
    <w:rsid w:val="0057633F"/>
    <w:rsid w:val="005777A5"/>
    <w:rsid w:val="005777B4"/>
    <w:rsid w:val="00577997"/>
    <w:rsid w:val="00580D72"/>
    <w:rsid w:val="0058241D"/>
    <w:rsid w:val="00583852"/>
    <w:rsid w:val="005843F6"/>
    <w:rsid w:val="00585059"/>
    <w:rsid w:val="00585A7A"/>
    <w:rsid w:val="00585FC0"/>
    <w:rsid w:val="00587B05"/>
    <w:rsid w:val="0059180B"/>
    <w:rsid w:val="00591EBA"/>
    <w:rsid w:val="00596723"/>
    <w:rsid w:val="00597F72"/>
    <w:rsid w:val="005A077C"/>
    <w:rsid w:val="005A155E"/>
    <w:rsid w:val="005A6367"/>
    <w:rsid w:val="005A66BF"/>
    <w:rsid w:val="005A7A87"/>
    <w:rsid w:val="005B29E0"/>
    <w:rsid w:val="005B33C2"/>
    <w:rsid w:val="005B3810"/>
    <w:rsid w:val="005B3D87"/>
    <w:rsid w:val="005B4D23"/>
    <w:rsid w:val="005B5CC4"/>
    <w:rsid w:val="005B74A3"/>
    <w:rsid w:val="005B7E0D"/>
    <w:rsid w:val="005C2866"/>
    <w:rsid w:val="005C28D7"/>
    <w:rsid w:val="005C2B07"/>
    <w:rsid w:val="005C32A1"/>
    <w:rsid w:val="005C3A53"/>
    <w:rsid w:val="005C3DBD"/>
    <w:rsid w:val="005C3F9A"/>
    <w:rsid w:val="005C44F1"/>
    <w:rsid w:val="005C5D27"/>
    <w:rsid w:val="005C6DEC"/>
    <w:rsid w:val="005C7611"/>
    <w:rsid w:val="005D041A"/>
    <w:rsid w:val="005D1824"/>
    <w:rsid w:val="005D2B93"/>
    <w:rsid w:val="005D4EDB"/>
    <w:rsid w:val="005D67D3"/>
    <w:rsid w:val="005D6A47"/>
    <w:rsid w:val="005E0BE3"/>
    <w:rsid w:val="005E2B4A"/>
    <w:rsid w:val="005E40B1"/>
    <w:rsid w:val="005E4378"/>
    <w:rsid w:val="005E60BE"/>
    <w:rsid w:val="005E69FD"/>
    <w:rsid w:val="005E6F9C"/>
    <w:rsid w:val="005E7969"/>
    <w:rsid w:val="005F11C8"/>
    <w:rsid w:val="005F19CF"/>
    <w:rsid w:val="005F1CE5"/>
    <w:rsid w:val="005F2CD8"/>
    <w:rsid w:val="005F34F9"/>
    <w:rsid w:val="005F4924"/>
    <w:rsid w:val="005F4E2E"/>
    <w:rsid w:val="005F5F06"/>
    <w:rsid w:val="005F5F5B"/>
    <w:rsid w:val="005F7AF8"/>
    <w:rsid w:val="0060097B"/>
    <w:rsid w:val="0060127F"/>
    <w:rsid w:val="006019CA"/>
    <w:rsid w:val="00601E22"/>
    <w:rsid w:val="006028D4"/>
    <w:rsid w:val="00603438"/>
    <w:rsid w:val="0060355A"/>
    <w:rsid w:val="00603C33"/>
    <w:rsid w:val="006044C1"/>
    <w:rsid w:val="00604F07"/>
    <w:rsid w:val="0060608E"/>
    <w:rsid w:val="006061DD"/>
    <w:rsid w:val="006069BE"/>
    <w:rsid w:val="00606A9E"/>
    <w:rsid w:val="0060795B"/>
    <w:rsid w:val="00610668"/>
    <w:rsid w:val="0061105E"/>
    <w:rsid w:val="006123E8"/>
    <w:rsid w:val="00612CA7"/>
    <w:rsid w:val="00615D6E"/>
    <w:rsid w:val="00617643"/>
    <w:rsid w:val="00617F82"/>
    <w:rsid w:val="006210E9"/>
    <w:rsid w:val="0062192C"/>
    <w:rsid w:val="00621F90"/>
    <w:rsid w:val="006249E8"/>
    <w:rsid w:val="00626887"/>
    <w:rsid w:val="0062690A"/>
    <w:rsid w:val="00627069"/>
    <w:rsid w:val="00627611"/>
    <w:rsid w:val="00627B2B"/>
    <w:rsid w:val="0063102D"/>
    <w:rsid w:val="00631411"/>
    <w:rsid w:val="00631CEB"/>
    <w:rsid w:val="00633FA0"/>
    <w:rsid w:val="006356DB"/>
    <w:rsid w:val="006365AF"/>
    <w:rsid w:val="00636CD2"/>
    <w:rsid w:val="006400AF"/>
    <w:rsid w:val="0064197E"/>
    <w:rsid w:val="00642766"/>
    <w:rsid w:val="00643287"/>
    <w:rsid w:val="00643F18"/>
    <w:rsid w:val="00644BE2"/>
    <w:rsid w:val="006458F6"/>
    <w:rsid w:val="00646D33"/>
    <w:rsid w:val="00652216"/>
    <w:rsid w:val="00652972"/>
    <w:rsid w:val="00653932"/>
    <w:rsid w:val="00653A06"/>
    <w:rsid w:val="00653D38"/>
    <w:rsid w:val="00654D7E"/>
    <w:rsid w:val="00655060"/>
    <w:rsid w:val="00655546"/>
    <w:rsid w:val="00655748"/>
    <w:rsid w:val="00655AF1"/>
    <w:rsid w:val="00655C16"/>
    <w:rsid w:val="00655D76"/>
    <w:rsid w:val="00656414"/>
    <w:rsid w:val="00657157"/>
    <w:rsid w:val="0065771C"/>
    <w:rsid w:val="00661E70"/>
    <w:rsid w:val="006630E4"/>
    <w:rsid w:val="00663118"/>
    <w:rsid w:val="00663471"/>
    <w:rsid w:val="00663BB4"/>
    <w:rsid w:val="00664152"/>
    <w:rsid w:val="00665656"/>
    <w:rsid w:val="00665871"/>
    <w:rsid w:val="006659C7"/>
    <w:rsid w:val="0066643F"/>
    <w:rsid w:val="0066654D"/>
    <w:rsid w:val="006665E6"/>
    <w:rsid w:val="00666A44"/>
    <w:rsid w:val="0066774B"/>
    <w:rsid w:val="00670295"/>
    <w:rsid w:val="00670575"/>
    <w:rsid w:val="0067093A"/>
    <w:rsid w:val="00671745"/>
    <w:rsid w:val="00671F00"/>
    <w:rsid w:val="006720AB"/>
    <w:rsid w:val="006726D4"/>
    <w:rsid w:val="00672D2E"/>
    <w:rsid w:val="00673BE4"/>
    <w:rsid w:val="006740C6"/>
    <w:rsid w:val="00676325"/>
    <w:rsid w:val="0067678B"/>
    <w:rsid w:val="00677792"/>
    <w:rsid w:val="006804F2"/>
    <w:rsid w:val="006813DE"/>
    <w:rsid w:val="006824DA"/>
    <w:rsid w:val="006825D1"/>
    <w:rsid w:val="00682772"/>
    <w:rsid w:val="00683295"/>
    <w:rsid w:val="006846E6"/>
    <w:rsid w:val="00690986"/>
    <w:rsid w:val="00691342"/>
    <w:rsid w:val="00693896"/>
    <w:rsid w:val="006945E6"/>
    <w:rsid w:val="00695095"/>
    <w:rsid w:val="00695717"/>
    <w:rsid w:val="00696439"/>
    <w:rsid w:val="0069700A"/>
    <w:rsid w:val="006974F2"/>
    <w:rsid w:val="006A1F4B"/>
    <w:rsid w:val="006A23A5"/>
    <w:rsid w:val="006A2CE7"/>
    <w:rsid w:val="006A3EF9"/>
    <w:rsid w:val="006A4109"/>
    <w:rsid w:val="006A4E56"/>
    <w:rsid w:val="006A4F6C"/>
    <w:rsid w:val="006A4F9A"/>
    <w:rsid w:val="006A5B9D"/>
    <w:rsid w:val="006A5DF4"/>
    <w:rsid w:val="006A6523"/>
    <w:rsid w:val="006A658A"/>
    <w:rsid w:val="006A77D3"/>
    <w:rsid w:val="006A7CED"/>
    <w:rsid w:val="006A7EE1"/>
    <w:rsid w:val="006B0C9F"/>
    <w:rsid w:val="006B1233"/>
    <w:rsid w:val="006B243A"/>
    <w:rsid w:val="006B25D2"/>
    <w:rsid w:val="006B30E0"/>
    <w:rsid w:val="006B42DE"/>
    <w:rsid w:val="006B579D"/>
    <w:rsid w:val="006B6347"/>
    <w:rsid w:val="006C36ED"/>
    <w:rsid w:val="006C403F"/>
    <w:rsid w:val="006C4843"/>
    <w:rsid w:val="006C4A01"/>
    <w:rsid w:val="006C5EEF"/>
    <w:rsid w:val="006D149A"/>
    <w:rsid w:val="006D1FF9"/>
    <w:rsid w:val="006D25B7"/>
    <w:rsid w:val="006D2F51"/>
    <w:rsid w:val="006D3565"/>
    <w:rsid w:val="006D502D"/>
    <w:rsid w:val="006D5832"/>
    <w:rsid w:val="006D60C2"/>
    <w:rsid w:val="006D6FA1"/>
    <w:rsid w:val="006E01F7"/>
    <w:rsid w:val="006E0BE0"/>
    <w:rsid w:val="006E351A"/>
    <w:rsid w:val="006E3FEF"/>
    <w:rsid w:val="006E4128"/>
    <w:rsid w:val="006E5032"/>
    <w:rsid w:val="006E5325"/>
    <w:rsid w:val="006E5B78"/>
    <w:rsid w:val="006E5C24"/>
    <w:rsid w:val="006E6A2C"/>
    <w:rsid w:val="006E6D4A"/>
    <w:rsid w:val="006E6F16"/>
    <w:rsid w:val="006F348C"/>
    <w:rsid w:val="006F382E"/>
    <w:rsid w:val="006F5A70"/>
    <w:rsid w:val="006F5E00"/>
    <w:rsid w:val="006F5F56"/>
    <w:rsid w:val="006F65E5"/>
    <w:rsid w:val="006F725F"/>
    <w:rsid w:val="006F7C57"/>
    <w:rsid w:val="00701427"/>
    <w:rsid w:val="00701759"/>
    <w:rsid w:val="00701850"/>
    <w:rsid w:val="00701AE0"/>
    <w:rsid w:val="00702464"/>
    <w:rsid w:val="00704934"/>
    <w:rsid w:val="00705FF9"/>
    <w:rsid w:val="007062B6"/>
    <w:rsid w:val="007063DB"/>
    <w:rsid w:val="0070694E"/>
    <w:rsid w:val="00710F20"/>
    <w:rsid w:val="00711E92"/>
    <w:rsid w:val="00713340"/>
    <w:rsid w:val="00713E4D"/>
    <w:rsid w:val="00715FB7"/>
    <w:rsid w:val="00722855"/>
    <w:rsid w:val="00722CE4"/>
    <w:rsid w:val="00724A85"/>
    <w:rsid w:val="00724BB7"/>
    <w:rsid w:val="007250EE"/>
    <w:rsid w:val="0072550E"/>
    <w:rsid w:val="007256F2"/>
    <w:rsid w:val="00725C45"/>
    <w:rsid w:val="00726265"/>
    <w:rsid w:val="00726D2F"/>
    <w:rsid w:val="00727A1E"/>
    <w:rsid w:val="00730016"/>
    <w:rsid w:val="00730479"/>
    <w:rsid w:val="00732D5D"/>
    <w:rsid w:val="00732D6D"/>
    <w:rsid w:val="0073334C"/>
    <w:rsid w:val="00734184"/>
    <w:rsid w:val="00736418"/>
    <w:rsid w:val="00736D46"/>
    <w:rsid w:val="007379A3"/>
    <w:rsid w:val="00740317"/>
    <w:rsid w:val="00741405"/>
    <w:rsid w:val="00741819"/>
    <w:rsid w:val="0074352D"/>
    <w:rsid w:val="00743545"/>
    <w:rsid w:val="00743999"/>
    <w:rsid w:val="0074409B"/>
    <w:rsid w:val="00744774"/>
    <w:rsid w:val="007459E9"/>
    <w:rsid w:val="00745A15"/>
    <w:rsid w:val="00746BFD"/>
    <w:rsid w:val="0074740E"/>
    <w:rsid w:val="00747541"/>
    <w:rsid w:val="007504DD"/>
    <w:rsid w:val="007508AC"/>
    <w:rsid w:val="00751402"/>
    <w:rsid w:val="00753AD4"/>
    <w:rsid w:val="00754154"/>
    <w:rsid w:val="00754766"/>
    <w:rsid w:val="0075574F"/>
    <w:rsid w:val="00755855"/>
    <w:rsid w:val="00760447"/>
    <w:rsid w:val="007630CD"/>
    <w:rsid w:val="00763156"/>
    <w:rsid w:val="00763E39"/>
    <w:rsid w:val="00763F5D"/>
    <w:rsid w:val="00764F43"/>
    <w:rsid w:val="007674B9"/>
    <w:rsid w:val="0077018C"/>
    <w:rsid w:val="00770595"/>
    <w:rsid w:val="00770852"/>
    <w:rsid w:val="00770DCB"/>
    <w:rsid w:val="00772D66"/>
    <w:rsid w:val="007739DA"/>
    <w:rsid w:val="00773B3F"/>
    <w:rsid w:val="0077573C"/>
    <w:rsid w:val="007772A4"/>
    <w:rsid w:val="007803FF"/>
    <w:rsid w:val="00780ECC"/>
    <w:rsid w:val="007812CB"/>
    <w:rsid w:val="0078212A"/>
    <w:rsid w:val="0078257B"/>
    <w:rsid w:val="00783609"/>
    <w:rsid w:val="0078518B"/>
    <w:rsid w:val="00786F59"/>
    <w:rsid w:val="007902B7"/>
    <w:rsid w:val="007908E5"/>
    <w:rsid w:val="00790EAF"/>
    <w:rsid w:val="007916F6"/>
    <w:rsid w:val="00791D6F"/>
    <w:rsid w:val="007935F8"/>
    <w:rsid w:val="00793FA3"/>
    <w:rsid w:val="0079400C"/>
    <w:rsid w:val="0079585D"/>
    <w:rsid w:val="00796402"/>
    <w:rsid w:val="00797AE7"/>
    <w:rsid w:val="007A0FC5"/>
    <w:rsid w:val="007A2047"/>
    <w:rsid w:val="007A2305"/>
    <w:rsid w:val="007A5612"/>
    <w:rsid w:val="007A6A4A"/>
    <w:rsid w:val="007A772A"/>
    <w:rsid w:val="007B01BA"/>
    <w:rsid w:val="007B0AC1"/>
    <w:rsid w:val="007B56ED"/>
    <w:rsid w:val="007B6C72"/>
    <w:rsid w:val="007B717A"/>
    <w:rsid w:val="007B740E"/>
    <w:rsid w:val="007B7CEA"/>
    <w:rsid w:val="007C048A"/>
    <w:rsid w:val="007C0D2F"/>
    <w:rsid w:val="007C0EFF"/>
    <w:rsid w:val="007C17CA"/>
    <w:rsid w:val="007C1BAD"/>
    <w:rsid w:val="007C2980"/>
    <w:rsid w:val="007C3AC6"/>
    <w:rsid w:val="007C5820"/>
    <w:rsid w:val="007C6EF6"/>
    <w:rsid w:val="007C7884"/>
    <w:rsid w:val="007D0031"/>
    <w:rsid w:val="007D02FE"/>
    <w:rsid w:val="007D1993"/>
    <w:rsid w:val="007D21B7"/>
    <w:rsid w:val="007D3362"/>
    <w:rsid w:val="007D3F29"/>
    <w:rsid w:val="007D5112"/>
    <w:rsid w:val="007D5BC6"/>
    <w:rsid w:val="007D5C89"/>
    <w:rsid w:val="007D5EBD"/>
    <w:rsid w:val="007D6154"/>
    <w:rsid w:val="007E107C"/>
    <w:rsid w:val="007E2DE0"/>
    <w:rsid w:val="007E42DC"/>
    <w:rsid w:val="007E4849"/>
    <w:rsid w:val="007E5592"/>
    <w:rsid w:val="007E56D7"/>
    <w:rsid w:val="007E66F3"/>
    <w:rsid w:val="007F0AD2"/>
    <w:rsid w:val="007F132B"/>
    <w:rsid w:val="007F18DB"/>
    <w:rsid w:val="007F1DDC"/>
    <w:rsid w:val="007F2AF7"/>
    <w:rsid w:val="007F2CFD"/>
    <w:rsid w:val="007F2DE0"/>
    <w:rsid w:val="007F44E5"/>
    <w:rsid w:val="007F645D"/>
    <w:rsid w:val="007F748B"/>
    <w:rsid w:val="007F770F"/>
    <w:rsid w:val="007F7713"/>
    <w:rsid w:val="007F7A16"/>
    <w:rsid w:val="00801DC5"/>
    <w:rsid w:val="00803120"/>
    <w:rsid w:val="0080334B"/>
    <w:rsid w:val="0080356F"/>
    <w:rsid w:val="00803AD4"/>
    <w:rsid w:val="00803ECF"/>
    <w:rsid w:val="008055DE"/>
    <w:rsid w:val="00805BAB"/>
    <w:rsid w:val="00805F9C"/>
    <w:rsid w:val="0080620D"/>
    <w:rsid w:val="0080780D"/>
    <w:rsid w:val="00811B55"/>
    <w:rsid w:val="00812609"/>
    <w:rsid w:val="00813BEB"/>
    <w:rsid w:val="00814079"/>
    <w:rsid w:val="0081430F"/>
    <w:rsid w:val="00815603"/>
    <w:rsid w:val="00816D8D"/>
    <w:rsid w:val="00820204"/>
    <w:rsid w:val="00821055"/>
    <w:rsid w:val="0082456A"/>
    <w:rsid w:val="00824761"/>
    <w:rsid w:val="008252CC"/>
    <w:rsid w:val="00826F97"/>
    <w:rsid w:val="00827FD1"/>
    <w:rsid w:val="008305AA"/>
    <w:rsid w:val="00830CA4"/>
    <w:rsid w:val="0083273B"/>
    <w:rsid w:val="00834AB6"/>
    <w:rsid w:val="00836C82"/>
    <w:rsid w:val="00836FB5"/>
    <w:rsid w:val="0084090A"/>
    <w:rsid w:val="00842A6B"/>
    <w:rsid w:val="008430E8"/>
    <w:rsid w:val="008433B1"/>
    <w:rsid w:val="008436DE"/>
    <w:rsid w:val="008443B1"/>
    <w:rsid w:val="00847B5E"/>
    <w:rsid w:val="00847C37"/>
    <w:rsid w:val="0085031F"/>
    <w:rsid w:val="008509B9"/>
    <w:rsid w:val="00850D3B"/>
    <w:rsid w:val="008517CC"/>
    <w:rsid w:val="008519D6"/>
    <w:rsid w:val="00851B56"/>
    <w:rsid w:val="008523B2"/>
    <w:rsid w:val="008535DC"/>
    <w:rsid w:val="00854C49"/>
    <w:rsid w:val="00855473"/>
    <w:rsid w:val="00855A09"/>
    <w:rsid w:val="0085778E"/>
    <w:rsid w:val="0086005E"/>
    <w:rsid w:val="00860FBC"/>
    <w:rsid w:val="008616EF"/>
    <w:rsid w:val="00864AB6"/>
    <w:rsid w:val="00864C39"/>
    <w:rsid w:val="0086568C"/>
    <w:rsid w:val="00865DC8"/>
    <w:rsid w:val="008716A5"/>
    <w:rsid w:val="00873A86"/>
    <w:rsid w:val="00875848"/>
    <w:rsid w:val="0087638F"/>
    <w:rsid w:val="00876651"/>
    <w:rsid w:val="0087692A"/>
    <w:rsid w:val="00876A38"/>
    <w:rsid w:val="00877D11"/>
    <w:rsid w:val="00880C6D"/>
    <w:rsid w:val="008810D3"/>
    <w:rsid w:val="00881796"/>
    <w:rsid w:val="008818DC"/>
    <w:rsid w:val="008835A3"/>
    <w:rsid w:val="00884B20"/>
    <w:rsid w:val="00885481"/>
    <w:rsid w:val="0088666C"/>
    <w:rsid w:val="00886904"/>
    <w:rsid w:val="008874ED"/>
    <w:rsid w:val="00887E3D"/>
    <w:rsid w:val="0089268D"/>
    <w:rsid w:val="008955DE"/>
    <w:rsid w:val="00895F82"/>
    <w:rsid w:val="00896588"/>
    <w:rsid w:val="00896CDB"/>
    <w:rsid w:val="00897B71"/>
    <w:rsid w:val="008A0837"/>
    <w:rsid w:val="008A0B13"/>
    <w:rsid w:val="008A0DFC"/>
    <w:rsid w:val="008A0E5B"/>
    <w:rsid w:val="008A2F8D"/>
    <w:rsid w:val="008A326A"/>
    <w:rsid w:val="008A3986"/>
    <w:rsid w:val="008A3A97"/>
    <w:rsid w:val="008A4F36"/>
    <w:rsid w:val="008B01EF"/>
    <w:rsid w:val="008B0434"/>
    <w:rsid w:val="008B07AC"/>
    <w:rsid w:val="008B1A3D"/>
    <w:rsid w:val="008B1B02"/>
    <w:rsid w:val="008B247C"/>
    <w:rsid w:val="008B2F06"/>
    <w:rsid w:val="008B393E"/>
    <w:rsid w:val="008B4165"/>
    <w:rsid w:val="008B4A13"/>
    <w:rsid w:val="008B54D9"/>
    <w:rsid w:val="008B6F02"/>
    <w:rsid w:val="008B7084"/>
    <w:rsid w:val="008C1574"/>
    <w:rsid w:val="008C1680"/>
    <w:rsid w:val="008C178A"/>
    <w:rsid w:val="008C25A2"/>
    <w:rsid w:val="008C26BA"/>
    <w:rsid w:val="008C27CB"/>
    <w:rsid w:val="008C2D9F"/>
    <w:rsid w:val="008C41DF"/>
    <w:rsid w:val="008C47EB"/>
    <w:rsid w:val="008C50A4"/>
    <w:rsid w:val="008C5D88"/>
    <w:rsid w:val="008C5ED3"/>
    <w:rsid w:val="008C6A7A"/>
    <w:rsid w:val="008C6B87"/>
    <w:rsid w:val="008D1303"/>
    <w:rsid w:val="008D1E84"/>
    <w:rsid w:val="008D21A9"/>
    <w:rsid w:val="008D308C"/>
    <w:rsid w:val="008D486F"/>
    <w:rsid w:val="008D5A01"/>
    <w:rsid w:val="008D5FC1"/>
    <w:rsid w:val="008D639F"/>
    <w:rsid w:val="008D6D72"/>
    <w:rsid w:val="008D75B4"/>
    <w:rsid w:val="008D7D3F"/>
    <w:rsid w:val="008D7F48"/>
    <w:rsid w:val="008E1B2A"/>
    <w:rsid w:val="008E200A"/>
    <w:rsid w:val="008E2E02"/>
    <w:rsid w:val="008E2E9E"/>
    <w:rsid w:val="008E48AB"/>
    <w:rsid w:val="008E4E2C"/>
    <w:rsid w:val="008E5454"/>
    <w:rsid w:val="008E5EE5"/>
    <w:rsid w:val="008F2316"/>
    <w:rsid w:val="008F249E"/>
    <w:rsid w:val="008F24B8"/>
    <w:rsid w:val="008F3F66"/>
    <w:rsid w:val="008F5E22"/>
    <w:rsid w:val="008F736F"/>
    <w:rsid w:val="008F7790"/>
    <w:rsid w:val="00900E99"/>
    <w:rsid w:val="00901274"/>
    <w:rsid w:val="00901E01"/>
    <w:rsid w:val="00902496"/>
    <w:rsid w:val="009032FB"/>
    <w:rsid w:val="00903335"/>
    <w:rsid w:val="00903A83"/>
    <w:rsid w:val="00904D5F"/>
    <w:rsid w:val="0090538B"/>
    <w:rsid w:val="00905860"/>
    <w:rsid w:val="009062E7"/>
    <w:rsid w:val="0090642F"/>
    <w:rsid w:val="009065D0"/>
    <w:rsid w:val="009105F7"/>
    <w:rsid w:val="00914839"/>
    <w:rsid w:val="009165E2"/>
    <w:rsid w:val="00916AEA"/>
    <w:rsid w:val="00916CB6"/>
    <w:rsid w:val="00917136"/>
    <w:rsid w:val="00917190"/>
    <w:rsid w:val="009171CC"/>
    <w:rsid w:val="00917781"/>
    <w:rsid w:val="009179D7"/>
    <w:rsid w:val="009179DF"/>
    <w:rsid w:val="00921740"/>
    <w:rsid w:val="009253B4"/>
    <w:rsid w:val="00925753"/>
    <w:rsid w:val="00925A6A"/>
    <w:rsid w:val="00925BE1"/>
    <w:rsid w:val="00925C85"/>
    <w:rsid w:val="00926BD2"/>
    <w:rsid w:val="00926F94"/>
    <w:rsid w:val="00927E33"/>
    <w:rsid w:val="0093040A"/>
    <w:rsid w:val="00930A7D"/>
    <w:rsid w:val="009317FA"/>
    <w:rsid w:val="0093489F"/>
    <w:rsid w:val="0093604C"/>
    <w:rsid w:val="00936B78"/>
    <w:rsid w:val="00937779"/>
    <w:rsid w:val="0094059C"/>
    <w:rsid w:val="00940E17"/>
    <w:rsid w:val="0094169D"/>
    <w:rsid w:val="009423B4"/>
    <w:rsid w:val="00942DEE"/>
    <w:rsid w:val="00943430"/>
    <w:rsid w:val="00944185"/>
    <w:rsid w:val="0094424C"/>
    <w:rsid w:val="00945E44"/>
    <w:rsid w:val="0094629C"/>
    <w:rsid w:val="00946588"/>
    <w:rsid w:val="009471AE"/>
    <w:rsid w:val="00947DA3"/>
    <w:rsid w:val="00952A1D"/>
    <w:rsid w:val="00952A8C"/>
    <w:rsid w:val="00953865"/>
    <w:rsid w:val="0095441A"/>
    <w:rsid w:val="00955986"/>
    <w:rsid w:val="00956E77"/>
    <w:rsid w:val="009572DD"/>
    <w:rsid w:val="00960820"/>
    <w:rsid w:val="00961C8F"/>
    <w:rsid w:val="00962183"/>
    <w:rsid w:val="009625F0"/>
    <w:rsid w:val="00971676"/>
    <w:rsid w:val="00971C51"/>
    <w:rsid w:val="009722C3"/>
    <w:rsid w:val="0097282A"/>
    <w:rsid w:val="00972D93"/>
    <w:rsid w:val="00973601"/>
    <w:rsid w:val="009738C4"/>
    <w:rsid w:val="00976BB9"/>
    <w:rsid w:val="00976E68"/>
    <w:rsid w:val="00980217"/>
    <w:rsid w:val="0098172C"/>
    <w:rsid w:val="00981DF3"/>
    <w:rsid w:val="009830C5"/>
    <w:rsid w:val="00984194"/>
    <w:rsid w:val="009849E3"/>
    <w:rsid w:val="00985AC2"/>
    <w:rsid w:val="009928C1"/>
    <w:rsid w:val="00994126"/>
    <w:rsid w:val="00994FA6"/>
    <w:rsid w:val="009966BE"/>
    <w:rsid w:val="00996A0C"/>
    <w:rsid w:val="00997524"/>
    <w:rsid w:val="009A07C6"/>
    <w:rsid w:val="009A08F3"/>
    <w:rsid w:val="009A0BFA"/>
    <w:rsid w:val="009A174C"/>
    <w:rsid w:val="009A27BA"/>
    <w:rsid w:val="009A3F6B"/>
    <w:rsid w:val="009A5A4E"/>
    <w:rsid w:val="009A63C0"/>
    <w:rsid w:val="009B279B"/>
    <w:rsid w:val="009B3313"/>
    <w:rsid w:val="009B3B93"/>
    <w:rsid w:val="009B3E0A"/>
    <w:rsid w:val="009B6010"/>
    <w:rsid w:val="009B762C"/>
    <w:rsid w:val="009B7EF9"/>
    <w:rsid w:val="009C4E35"/>
    <w:rsid w:val="009C552B"/>
    <w:rsid w:val="009D1E97"/>
    <w:rsid w:val="009D41DF"/>
    <w:rsid w:val="009D5E0B"/>
    <w:rsid w:val="009D72F9"/>
    <w:rsid w:val="009D77D8"/>
    <w:rsid w:val="009D78B9"/>
    <w:rsid w:val="009D7FA1"/>
    <w:rsid w:val="009E1014"/>
    <w:rsid w:val="009E1DAC"/>
    <w:rsid w:val="009E2134"/>
    <w:rsid w:val="009E28F4"/>
    <w:rsid w:val="009E5653"/>
    <w:rsid w:val="009E6751"/>
    <w:rsid w:val="009E7BEA"/>
    <w:rsid w:val="009E7D98"/>
    <w:rsid w:val="009F39B0"/>
    <w:rsid w:val="009F4949"/>
    <w:rsid w:val="009F61F2"/>
    <w:rsid w:val="009F69F0"/>
    <w:rsid w:val="009F7D10"/>
    <w:rsid w:val="00A001D8"/>
    <w:rsid w:val="00A0072A"/>
    <w:rsid w:val="00A01430"/>
    <w:rsid w:val="00A03A18"/>
    <w:rsid w:val="00A03EDE"/>
    <w:rsid w:val="00A0487B"/>
    <w:rsid w:val="00A04890"/>
    <w:rsid w:val="00A05992"/>
    <w:rsid w:val="00A1088F"/>
    <w:rsid w:val="00A119D3"/>
    <w:rsid w:val="00A12057"/>
    <w:rsid w:val="00A12A9D"/>
    <w:rsid w:val="00A12C95"/>
    <w:rsid w:val="00A13128"/>
    <w:rsid w:val="00A13564"/>
    <w:rsid w:val="00A1542E"/>
    <w:rsid w:val="00A1622D"/>
    <w:rsid w:val="00A1639C"/>
    <w:rsid w:val="00A227B2"/>
    <w:rsid w:val="00A2287F"/>
    <w:rsid w:val="00A22C7A"/>
    <w:rsid w:val="00A2421C"/>
    <w:rsid w:val="00A246AE"/>
    <w:rsid w:val="00A27D27"/>
    <w:rsid w:val="00A30E39"/>
    <w:rsid w:val="00A311CA"/>
    <w:rsid w:val="00A3244D"/>
    <w:rsid w:val="00A331DE"/>
    <w:rsid w:val="00A35320"/>
    <w:rsid w:val="00A36E44"/>
    <w:rsid w:val="00A37E70"/>
    <w:rsid w:val="00A414F6"/>
    <w:rsid w:val="00A41EC2"/>
    <w:rsid w:val="00A42A6D"/>
    <w:rsid w:val="00A42E75"/>
    <w:rsid w:val="00A44E93"/>
    <w:rsid w:val="00A45F51"/>
    <w:rsid w:val="00A50DB4"/>
    <w:rsid w:val="00A51452"/>
    <w:rsid w:val="00A5191A"/>
    <w:rsid w:val="00A533D9"/>
    <w:rsid w:val="00A5524D"/>
    <w:rsid w:val="00A57AC0"/>
    <w:rsid w:val="00A6088D"/>
    <w:rsid w:val="00A617D2"/>
    <w:rsid w:val="00A61B90"/>
    <w:rsid w:val="00A62C4F"/>
    <w:rsid w:val="00A63C84"/>
    <w:rsid w:val="00A63F2D"/>
    <w:rsid w:val="00A645B6"/>
    <w:rsid w:val="00A65569"/>
    <w:rsid w:val="00A65F80"/>
    <w:rsid w:val="00A66B4E"/>
    <w:rsid w:val="00A703E5"/>
    <w:rsid w:val="00A73360"/>
    <w:rsid w:val="00A752C9"/>
    <w:rsid w:val="00A76445"/>
    <w:rsid w:val="00A7799F"/>
    <w:rsid w:val="00A8087B"/>
    <w:rsid w:val="00A81B24"/>
    <w:rsid w:val="00A83F48"/>
    <w:rsid w:val="00A84416"/>
    <w:rsid w:val="00A8523F"/>
    <w:rsid w:val="00A85488"/>
    <w:rsid w:val="00A85590"/>
    <w:rsid w:val="00A85D41"/>
    <w:rsid w:val="00A85F25"/>
    <w:rsid w:val="00A87054"/>
    <w:rsid w:val="00A8742B"/>
    <w:rsid w:val="00A87AD6"/>
    <w:rsid w:val="00A90216"/>
    <w:rsid w:val="00A903C9"/>
    <w:rsid w:val="00A917EB"/>
    <w:rsid w:val="00A920CA"/>
    <w:rsid w:val="00A9234B"/>
    <w:rsid w:val="00A923F8"/>
    <w:rsid w:val="00A9240B"/>
    <w:rsid w:val="00A93E12"/>
    <w:rsid w:val="00A96712"/>
    <w:rsid w:val="00A9728E"/>
    <w:rsid w:val="00AA08FC"/>
    <w:rsid w:val="00AA1147"/>
    <w:rsid w:val="00AA130B"/>
    <w:rsid w:val="00AA1477"/>
    <w:rsid w:val="00AA2488"/>
    <w:rsid w:val="00AA2F3B"/>
    <w:rsid w:val="00AA319A"/>
    <w:rsid w:val="00AA4900"/>
    <w:rsid w:val="00AA5CC8"/>
    <w:rsid w:val="00AA68D1"/>
    <w:rsid w:val="00AA7379"/>
    <w:rsid w:val="00AA7935"/>
    <w:rsid w:val="00AA7DE6"/>
    <w:rsid w:val="00AB132B"/>
    <w:rsid w:val="00AB28E8"/>
    <w:rsid w:val="00AB5F8C"/>
    <w:rsid w:val="00AB6DA2"/>
    <w:rsid w:val="00AB6E23"/>
    <w:rsid w:val="00AB7AC2"/>
    <w:rsid w:val="00AB7FF2"/>
    <w:rsid w:val="00AC4864"/>
    <w:rsid w:val="00AC56E2"/>
    <w:rsid w:val="00AC62B7"/>
    <w:rsid w:val="00AC695B"/>
    <w:rsid w:val="00AC7840"/>
    <w:rsid w:val="00AD1169"/>
    <w:rsid w:val="00AD1420"/>
    <w:rsid w:val="00AD2A2A"/>
    <w:rsid w:val="00AD39C9"/>
    <w:rsid w:val="00AD4DF9"/>
    <w:rsid w:val="00AD76ED"/>
    <w:rsid w:val="00AD7A5A"/>
    <w:rsid w:val="00AD7E5B"/>
    <w:rsid w:val="00AE04BC"/>
    <w:rsid w:val="00AE2C32"/>
    <w:rsid w:val="00AE3D49"/>
    <w:rsid w:val="00AE47EA"/>
    <w:rsid w:val="00AE55D6"/>
    <w:rsid w:val="00AE5D2F"/>
    <w:rsid w:val="00AE682C"/>
    <w:rsid w:val="00AE792F"/>
    <w:rsid w:val="00AE7DD5"/>
    <w:rsid w:val="00AF03A3"/>
    <w:rsid w:val="00AF0EF7"/>
    <w:rsid w:val="00AF0F28"/>
    <w:rsid w:val="00AF17CE"/>
    <w:rsid w:val="00AF23B3"/>
    <w:rsid w:val="00AF3D13"/>
    <w:rsid w:val="00AF5415"/>
    <w:rsid w:val="00AF6BA4"/>
    <w:rsid w:val="00AF6D8A"/>
    <w:rsid w:val="00AF758D"/>
    <w:rsid w:val="00B0016E"/>
    <w:rsid w:val="00B00318"/>
    <w:rsid w:val="00B003D1"/>
    <w:rsid w:val="00B00DD4"/>
    <w:rsid w:val="00B00E8E"/>
    <w:rsid w:val="00B00F8A"/>
    <w:rsid w:val="00B02E78"/>
    <w:rsid w:val="00B0340F"/>
    <w:rsid w:val="00B03948"/>
    <w:rsid w:val="00B03A86"/>
    <w:rsid w:val="00B03FED"/>
    <w:rsid w:val="00B063C3"/>
    <w:rsid w:val="00B0762F"/>
    <w:rsid w:val="00B07CA2"/>
    <w:rsid w:val="00B11167"/>
    <w:rsid w:val="00B1193E"/>
    <w:rsid w:val="00B13718"/>
    <w:rsid w:val="00B158CE"/>
    <w:rsid w:val="00B16B66"/>
    <w:rsid w:val="00B24A8F"/>
    <w:rsid w:val="00B26E2E"/>
    <w:rsid w:val="00B276FB"/>
    <w:rsid w:val="00B328C3"/>
    <w:rsid w:val="00B32C6F"/>
    <w:rsid w:val="00B332F5"/>
    <w:rsid w:val="00B35BE8"/>
    <w:rsid w:val="00B35EF4"/>
    <w:rsid w:val="00B37A38"/>
    <w:rsid w:val="00B40B10"/>
    <w:rsid w:val="00B42F58"/>
    <w:rsid w:val="00B42FBC"/>
    <w:rsid w:val="00B439D0"/>
    <w:rsid w:val="00B43C5B"/>
    <w:rsid w:val="00B448AD"/>
    <w:rsid w:val="00B44AA3"/>
    <w:rsid w:val="00B47927"/>
    <w:rsid w:val="00B50302"/>
    <w:rsid w:val="00B50E58"/>
    <w:rsid w:val="00B52FC0"/>
    <w:rsid w:val="00B549F6"/>
    <w:rsid w:val="00B551D1"/>
    <w:rsid w:val="00B5583E"/>
    <w:rsid w:val="00B56E53"/>
    <w:rsid w:val="00B57BA2"/>
    <w:rsid w:val="00B62173"/>
    <w:rsid w:val="00B64B25"/>
    <w:rsid w:val="00B64C3B"/>
    <w:rsid w:val="00B6522B"/>
    <w:rsid w:val="00B65E98"/>
    <w:rsid w:val="00B674FA"/>
    <w:rsid w:val="00B70084"/>
    <w:rsid w:val="00B70144"/>
    <w:rsid w:val="00B70A44"/>
    <w:rsid w:val="00B70D1A"/>
    <w:rsid w:val="00B71244"/>
    <w:rsid w:val="00B71DB0"/>
    <w:rsid w:val="00B72B6D"/>
    <w:rsid w:val="00B75BD4"/>
    <w:rsid w:val="00B75DCF"/>
    <w:rsid w:val="00B76841"/>
    <w:rsid w:val="00B76D05"/>
    <w:rsid w:val="00B80826"/>
    <w:rsid w:val="00B808CC"/>
    <w:rsid w:val="00B81A07"/>
    <w:rsid w:val="00B82170"/>
    <w:rsid w:val="00B852D5"/>
    <w:rsid w:val="00B85A4C"/>
    <w:rsid w:val="00B86537"/>
    <w:rsid w:val="00B867AE"/>
    <w:rsid w:val="00B86C03"/>
    <w:rsid w:val="00B9216F"/>
    <w:rsid w:val="00B934F9"/>
    <w:rsid w:val="00B94692"/>
    <w:rsid w:val="00B952CF"/>
    <w:rsid w:val="00B96A54"/>
    <w:rsid w:val="00B96C76"/>
    <w:rsid w:val="00B9728F"/>
    <w:rsid w:val="00BA0BF1"/>
    <w:rsid w:val="00BA104B"/>
    <w:rsid w:val="00BA2559"/>
    <w:rsid w:val="00BA5073"/>
    <w:rsid w:val="00BA50A5"/>
    <w:rsid w:val="00BA7A60"/>
    <w:rsid w:val="00BA7CF3"/>
    <w:rsid w:val="00BB0064"/>
    <w:rsid w:val="00BB2307"/>
    <w:rsid w:val="00BB3AE2"/>
    <w:rsid w:val="00BB3DD3"/>
    <w:rsid w:val="00BB42F2"/>
    <w:rsid w:val="00BB4F59"/>
    <w:rsid w:val="00BB57CF"/>
    <w:rsid w:val="00BB6253"/>
    <w:rsid w:val="00BB649B"/>
    <w:rsid w:val="00BB69C5"/>
    <w:rsid w:val="00BB7AEB"/>
    <w:rsid w:val="00BB7D08"/>
    <w:rsid w:val="00BC1083"/>
    <w:rsid w:val="00BC5397"/>
    <w:rsid w:val="00BC5C1E"/>
    <w:rsid w:val="00BC5FF3"/>
    <w:rsid w:val="00BC709E"/>
    <w:rsid w:val="00BD09BA"/>
    <w:rsid w:val="00BD1392"/>
    <w:rsid w:val="00BD1537"/>
    <w:rsid w:val="00BD279E"/>
    <w:rsid w:val="00BD4374"/>
    <w:rsid w:val="00BD5CA0"/>
    <w:rsid w:val="00BD6D1E"/>
    <w:rsid w:val="00BD7080"/>
    <w:rsid w:val="00BD7406"/>
    <w:rsid w:val="00BE1A4D"/>
    <w:rsid w:val="00BE1CA6"/>
    <w:rsid w:val="00BE3907"/>
    <w:rsid w:val="00BE3D18"/>
    <w:rsid w:val="00BE3E5D"/>
    <w:rsid w:val="00BE4611"/>
    <w:rsid w:val="00BE50D2"/>
    <w:rsid w:val="00BE6453"/>
    <w:rsid w:val="00BE668B"/>
    <w:rsid w:val="00BE6A91"/>
    <w:rsid w:val="00BE73DB"/>
    <w:rsid w:val="00BE7689"/>
    <w:rsid w:val="00BF27C3"/>
    <w:rsid w:val="00BF4C9B"/>
    <w:rsid w:val="00BF5553"/>
    <w:rsid w:val="00BF5997"/>
    <w:rsid w:val="00BF5FBA"/>
    <w:rsid w:val="00BF7625"/>
    <w:rsid w:val="00BF7E32"/>
    <w:rsid w:val="00C00E60"/>
    <w:rsid w:val="00C0233E"/>
    <w:rsid w:val="00C02BD7"/>
    <w:rsid w:val="00C03B05"/>
    <w:rsid w:val="00C075A2"/>
    <w:rsid w:val="00C101D2"/>
    <w:rsid w:val="00C102CD"/>
    <w:rsid w:val="00C10B14"/>
    <w:rsid w:val="00C10C6D"/>
    <w:rsid w:val="00C1366A"/>
    <w:rsid w:val="00C1370C"/>
    <w:rsid w:val="00C13BE1"/>
    <w:rsid w:val="00C15435"/>
    <w:rsid w:val="00C1549A"/>
    <w:rsid w:val="00C1585C"/>
    <w:rsid w:val="00C1620A"/>
    <w:rsid w:val="00C1644F"/>
    <w:rsid w:val="00C16BB7"/>
    <w:rsid w:val="00C205E3"/>
    <w:rsid w:val="00C22012"/>
    <w:rsid w:val="00C22F7F"/>
    <w:rsid w:val="00C23113"/>
    <w:rsid w:val="00C2331E"/>
    <w:rsid w:val="00C2571F"/>
    <w:rsid w:val="00C26479"/>
    <w:rsid w:val="00C274DE"/>
    <w:rsid w:val="00C307A4"/>
    <w:rsid w:val="00C30A3D"/>
    <w:rsid w:val="00C33D5E"/>
    <w:rsid w:val="00C35931"/>
    <w:rsid w:val="00C35E60"/>
    <w:rsid w:val="00C37314"/>
    <w:rsid w:val="00C37B9A"/>
    <w:rsid w:val="00C4097C"/>
    <w:rsid w:val="00C40C38"/>
    <w:rsid w:val="00C41B95"/>
    <w:rsid w:val="00C41FC3"/>
    <w:rsid w:val="00C4479D"/>
    <w:rsid w:val="00C50CEF"/>
    <w:rsid w:val="00C51DDC"/>
    <w:rsid w:val="00C53392"/>
    <w:rsid w:val="00C53817"/>
    <w:rsid w:val="00C53DD9"/>
    <w:rsid w:val="00C54103"/>
    <w:rsid w:val="00C561FB"/>
    <w:rsid w:val="00C5640C"/>
    <w:rsid w:val="00C57EC1"/>
    <w:rsid w:val="00C60901"/>
    <w:rsid w:val="00C60A48"/>
    <w:rsid w:val="00C60DE5"/>
    <w:rsid w:val="00C60F17"/>
    <w:rsid w:val="00C6186E"/>
    <w:rsid w:val="00C61B83"/>
    <w:rsid w:val="00C62612"/>
    <w:rsid w:val="00C62936"/>
    <w:rsid w:val="00C63982"/>
    <w:rsid w:val="00C639FA"/>
    <w:rsid w:val="00C64422"/>
    <w:rsid w:val="00C65A71"/>
    <w:rsid w:val="00C66EBA"/>
    <w:rsid w:val="00C67BD1"/>
    <w:rsid w:val="00C70473"/>
    <w:rsid w:val="00C71126"/>
    <w:rsid w:val="00C71B79"/>
    <w:rsid w:val="00C72A43"/>
    <w:rsid w:val="00C73B79"/>
    <w:rsid w:val="00C812CC"/>
    <w:rsid w:val="00C81B35"/>
    <w:rsid w:val="00C823E4"/>
    <w:rsid w:val="00C835F0"/>
    <w:rsid w:val="00C839CC"/>
    <w:rsid w:val="00C8446F"/>
    <w:rsid w:val="00C844D9"/>
    <w:rsid w:val="00C84C59"/>
    <w:rsid w:val="00C86EF5"/>
    <w:rsid w:val="00C9100D"/>
    <w:rsid w:val="00C91BC1"/>
    <w:rsid w:val="00C92732"/>
    <w:rsid w:val="00C92EFE"/>
    <w:rsid w:val="00C9337C"/>
    <w:rsid w:val="00C9487C"/>
    <w:rsid w:val="00C94977"/>
    <w:rsid w:val="00C955CF"/>
    <w:rsid w:val="00C95765"/>
    <w:rsid w:val="00C966F6"/>
    <w:rsid w:val="00C96B26"/>
    <w:rsid w:val="00C96CFD"/>
    <w:rsid w:val="00C97C40"/>
    <w:rsid w:val="00CA3F1D"/>
    <w:rsid w:val="00CA505D"/>
    <w:rsid w:val="00CA5262"/>
    <w:rsid w:val="00CA579C"/>
    <w:rsid w:val="00CB1A1D"/>
    <w:rsid w:val="00CB1D87"/>
    <w:rsid w:val="00CB26F8"/>
    <w:rsid w:val="00CB26FF"/>
    <w:rsid w:val="00CB3976"/>
    <w:rsid w:val="00CB40BA"/>
    <w:rsid w:val="00CB624F"/>
    <w:rsid w:val="00CB647E"/>
    <w:rsid w:val="00CB6762"/>
    <w:rsid w:val="00CB6BF7"/>
    <w:rsid w:val="00CB73AD"/>
    <w:rsid w:val="00CC17AC"/>
    <w:rsid w:val="00CC1BDB"/>
    <w:rsid w:val="00CC1E7B"/>
    <w:rsid w:val="00CC219A"/>
    <w:rsid w:val="00CC2F30"/>
    <w:rsid w:val="00CC3066"/>
    <w:rsid w:val="00CC31AA"/>
    <w:rsid w:val="00CC51EE"/>
    <w:rsid w:val="00CC5684"/>
    <w:rsid w:val="00CC6776"/>
    <w:rsid w:val="00CC6BF9"/>
    <w:rsid w:val="00CC6C74"/>
    <w:rsid w:val="00CD0033"/>
    <w:rsid w:val="00CD1674"/>
    <w:rsid w:val="00CD1C97"/>
    <w:rsid w:val="00CD251C"/>
    <w:rsid w:val="00CD329A"/>
    <w:rsid w:val="00CD3CA1"/>
    <w:rsid w:val="00CD54E3"/>
    <w:rsid w:val="00CD5AE7"/>
    <w:rsid w:val="00CD6596"/>
    <w:rsid w:val="00CD65B9"/>
    <w:rsid w:val="00CD665D"/>
    <w:rsid w:val="00CD6B48"/>
    <w:rsid w:val="00CD7397"/>
    <w:rsid w:val="00CD7D92"/>
    <w:rsid w:val="00CE2EBE"/>
    <w:rsid w:val="00CE38EB"/>
    <w:rsid w:val="00CE3BE0"/>
    <w:rsid w:val="00CE455D"/>
    <w:rsid w:val="00CE4CE8"/>
    <w:rsid w:val="00CE6210"/>
    <w:rsid w:val="00CE624C"/>
    <w:rsid w:val="00CE6AB8"/>
    <w:rsid w:val="00CE795F"/>
    <w:rsid w:val="00CF0144"/>
    <w:rsid w:val="00CF02A6"/>
    <w:rsid w:val="00CF0CFE"/>
    <w:rsid w:val="00CF1D4A"/>
    <w:rsid w:val="00CF1F4A"/>
    <w:rsid w:val="00CF2D7D"/>
    <w:rsid w:val="00CF3E16"/>
    <w:rsid w:val="00CF66F3"/>
    <w:rsid w:val="00D00116"/>
    <w:rsid w:val="00D002AE"/>
    <w:rsid w:val="00D01C2F"/>
    <w:rsid w:val="00D038A0"/>
    <w:rsid w:val="00D03D37"/>
    <w:rsid w:val="00D04783"/>
    <w:rsid w:val="00D048DE"/>
    <w:rsid w:val="00D06611"/>
    <w:rsid w:val="00D06F9B"/>
    <w:rsid w:val="00D07018"/>
    <w:rsid w:val="00D074FA"/>
    <w:rsid w:val="00D0798D"/>
    <w:rsid w:val="00D106A4"/>
    <w:rsid w:val="00D10C1A"/>
    <w:rsid w:val="00D12813"/>
    <w:rsid w:val="00D13827"/>
    <w:rsid w:val="00D143B1"/>
    <w:rsid w:val="00D15E93"/>
    <w:rsid w:val="00D15F3D"/>
    <w:rsid w:val="00D204AC"/>
    <w:rsid w:val="00D20974"/>
    <w:rsid w:val="00D20F84"/>
    <w:rsid w:val="00D2171A"/>
    <w:rsid w:val="00D22E0A"/>
    <w:rsid w:val="00D258C0"/>
    <w:rsid w:val="00D25B9E"/>
    <w:rsid w:val="00D25D07"/>
    <w:rsid w:val="00D25EDB"/>
    <w:rsid w:val="00D262EB"/>
    <w:rsid w:val="00D277D0"/>
    <w:rsid w:val="00D2782A"/>
    <w:rsid w:val="00D31CF1"/>
    <w:rsid w:val="00D32B27"/>
    <w:rsid w:val="00D33B60"/>
    <w:rsid w:val="00D33E21"/>
    <w:rsid w:val="00D36C83"/>
    <w:rsid w:val="00D36DE7"/>
    <w:rsid w:val="00D407FA"/>
    <w:rsid w:val="00D41956"/>
    <w:rsid w:val="00D432B5"/>
    <w:rsid w:val="00D44EA4"/>
    <w:rsid w:val="00D46A7E"/>
    <w:rsid w:val="00D46D73"/>
    <w:rsid w:val="00D46E6E"/>
    <w:rsid w:val="00D46F35"/>
    <w:rsid w:val="00D4792F"/>
    <w:rsid w:val="00D47F27"/>
    <w:rsid w:val="00D500D1"/>
    <w:rsid w:val="00D51251"/>
    <w:rsid w:val="00D514F7"/>
    <w:rsid w:val="00D520BB"/>
    <w:rsid w:val="00D54E45"/>
    <w:rsid w:val="00D56C10"/>
    <w:rsid w:val="00D56FCF"/>
    <w:rsid w:val="00D61050"/>
    <w:rsid w:val="00D61923"/>
    <w:rsid w:val="00D62ABE"/>
    <w:rsid w:val="00D62F13"/>
    <w:rsid w:val="00D63654"/>
    <w:rsid w:val="00D639D4"/>
    <w:rsid w:val="00D66EE7"/>
    <w:rsid w:val="00D70039"/>
    <w:rsid w:val="00D71CB5"/>
    <w:rsid w:val="00D71D05"/>
    <w:rsid w:val="00D7281F"/>
    <w:rsid w:val="00D72CD8"/>
    <w:rsid w:val="00D72DAC"/>
    <w:rsid w:val="00D731C0"/>
    <w:rsid w:val="00D747D9"/>
    <w:rsid w:val="00D77B59"/>
    <w:rsid w:val="00D77F2A"/>
    <w:rsid w:val="00D80904"/>
    <w:rsid w:val="00D812CA"/>
    <w:rsid w:val="00D84312"/>
    <w:rsid w:val="00D84C38"/>
    <w:rsid w:val="00D8525D"/>
    <w:rsid w:val="00D87669"/>
    <w:rsid w:val="00D90F42"/>
    <w:rsid w:val="00D91000"/>
    <w:rsid w:val="00D91650"/>
    <w:rsid w:val="00D928C0"/>
    <w:rsid w:val="00D93014"/>
    <w:rsid w:val="00D93373"/>
    <w:rsid w:val="00D9514A"/>
    <w:rsid w:val="00D951D5"/>
    <w:rsid w:val="00D977CA"/>
    <w:rsid w:val="00D97BCD"/>
    <w:rsid w:val="00D97EF7"/>
    <w:rsid w:val="00DA073A"/>
    <w:rsid w:val="00DA0B50"/>
    <w:rsid w:val="00DA22F6"/>
    <w:rsid w:val="00DA2A6A"/>
    <w:rsid w:val="00DA3898"/>
    <w:rsid w:val="00DA4AE1"/>
    <w:rsid w:val="00DA4D77"/>
    <w:rsid w:val="00DA5A1D"/>
    <w:rsid w:val="00DA5F2C"/>
    <w:rsid w:val="00DA5FB6"/>
    <w:rsid w:val="00DA6951"/>
    <w:rsid w:val="00DA7334"/>
    <w:rsid w:val="00DA7CD5"/>
    <w:rsid w:val="00DB061E"/>
    <w:rsid w:val="00DB1C61"/>
    <w:rsid w:val="00DB2866"/>
    <w:rsid w:val="00DB2BA4"/>
    <w:rsid w:val="00DB3A2F"/>
    <w:rsid w:val="00DB42E8"/>
    <w:rsid w:val="00DC3C2E"/>
    <w:rsid w:val="00DC4E2D"/>
    <w:rsid w:val="00DC56A2"/>
    <w:rsid w:val="00DC6BFE"/>
    <w:rsid w:val="00DD3A01"/>
    <w:rsid w:val="00DD3C66"/>
    <w:rsid w:val="00DD5987"/>
    <w:rsid w:val="00DD75ED"/>
    <w:rsid w:val="00DD7904"/>
    <w:rsid w:val="00DD7E0A"/>
    <w:rsid w:val="00DE00F7"/>
    <w:rsid w:val="00DE0970"/>
    <w:rsid w:val="00DE2888"/>
    <w:rsid w:val="00DE31C2"/>
    <w:rsid w:val="00DE37A3"/>
    <w:rsid w:val="00DE38AF"/>
    <w:rsid w:val="00DE38D6"/>
    <w:rsid w:val="00DE4170"/>
    <w:rsid w:val="00DE76A3"/>
    <w:rsid w:val="00DE7759"/>
    <w:rsid w:val="00DF0C55"/>
    <w:rsid w:val="00DF2093"/>
    <w:rsid w:val="00DF3BC1"/>
    <w:rsid w:val="00DF4435"/>
    <w:rsid w:val="00DF4EA3"/>
    <w:rsid w:val="00DF4ED3"/>
    <w:rsid w:val="00DF60DB"/>
    <w:rsid w:val="00DF7036"/>
    <w:rsid w:val="00DF7DD5"/>
    <w:rsid w:val="00E00332"/>
    <w:rsid w:val="00E00975"/>
    <w:rsid w:val="00E00A67"/>
    <w:rsid w:val="00E06111"/>
    <w:rsid w:val="00E0657C"/>
    <w:rsid w:val="00E065E3"/>
    <w:rsid w:val="00E11DAF"/>
    <w:rsid w:val="00E125AD"/>
    <w:rsid w:val="00E128AD"/>
    <w:rsid w:val="00E1671B"/>
    <w:rsid w:val="00E1690A"/>
    <w:rsid w:val="00E16BB4"/>
    <w:rsid w:val="00E204FE"/>
    <w:rsid w:val="00E2153A"/>
    <w:rsid w:val="00E229CD"/>
    <w:rsid w:val="00E230D5"/>
    <w:rsid w:val="00E232A1"/>
    <w:rsid w:val="00E239F2"/>
    <w:rsid w:val="00E2462C"/>
    <w:rsid w:val="00E24E20"/>
    <w:rsid w:val="00E253BC"/>
    <w:rsid w:val="00E26121"/>
    <w:rsid w:val="00E26384"/>
    <w:rsid w:val="00E27A3C"/>
    <w:rsid w:val="00E307A1"/>
    <w:rsid w:val="00E30D1A"/>
    <w:rsid w:val="00E32CCF"/>
    <w:rsid w:val="00E337A0"/>
    <w:rsid w:val="00E33C12"/>
    <w:rsid w:val="00E341F4"/>
    <w:rsid w:val="00E349C5"/>
    <w:rsid w:val="00E34D79"/>
    <w:rsid w:val="00E35646"/>
    <w:rsid w:val="00E35FFA"/>
    <w:rsid w:val="00E36075"/>
    <w:rsid w:val="00E40325"/>
    <w:rsid w:val="00E40B46"/>
    <w:rsid w:val="00E41849"/>
    <w:rsid w:val="00E41C1D"/>
    <w:rsid w:val="00E42EC5"/>
    <w:rsid w:val="00E435FB"/>
    <w:rsid w:val="00E43FCF"/>
    <w:rsid w:val="00E44395"/>
    <w:rsid w:val="00E44D98"/>
    <w:rsid w:val="00E44E73"/>
    <w:rsid w:val="00E459C7"/>
    <w:rsid w:val="00E46D15"/>
    <w:rsid w:val="00E503D7"/>
    <w:rsid w:val="00E50763"/>
    <w:rsid w:val="00E52835"/>
    <w:rsid w:val="00E53C86"/>
    <w:rsid w:val="00E54897"/>
    <w:rsid w:val="00E555FA"/>
    <w:rsid w:val="00E5685A"/>
    <w:rsid w:val="00E56C91"/>
    <w:rsid w:val="00E61680"/>
    <w:rsid w:val="00E635DD"/>
    <w:rsid w:val="00E64A9D"/>
    <w:rsid w:val="00E64AE6"/>
    <w:rsid w:val="00E65D41"/>
    <w:rsid w:val="00E6634F"/>
    <w:rsid w:val="00E67C6B"/>
    <w:rsid w:val="00E70E8C"/>
    <w:rsid w:val="00E714E6"/>
    <w:rsid w:val="00E72A9F"/>
    <w:rsid w:val="00E73427"/>
    <w:rsid w:val="00E76D50"/>
    <w:rsid w:val="00E77076"/>
    <w:rsid w:val="00E80351"/>
    <w:rsid w:val="00E81AE6"/>
    <w:rsid w:val="00E8223C"/>
    <w:rsid w:val="00E82695"/>
    <w:rsid w:val="00E82C57"/>
    <w:rsid w:val="00E82EA4"/>
    <w:rsid w:val="00E859C8"/>
    <w:rsid w:val="00E860A6"/>
    <w:rsid w:val="00E86ED2"/>
    <w:rsid w:val="00E912D4"/>
    <w:rsid w:val="00E912E2"/>
    <w:rsid w:val="00E91FEE"/>
    <w:rsid w:val="00E926C0"/>
    <w:rsid w:val="00E92CAD"/>
    <w:rsid w:val="00E93D70"/>
    <w:rsid w:val="00E95DA7"/>
    <w:rsid w:val="00E96534"/>
    <w:rsid w:val="00E96847"/>
    <w:rsid w:val="00E972BB"/>
    <w:rsid w:val="00E974BB"/>
    <w:rsid w:val="00E97C92"/>
    <w:rsid w:val="00EA00FE"/>
    <w:rsid w:val="00EA0BF1"/>
    <w:rsid w:val="00EA0C32"/>
    <w:rsid w:val="00EA1134"/>
    <w:rsid w:val="00EA2C88"/>
    <w:rsid w:val="00EA4358"/>
    <w:rsid w:val="00EA46A3"/>
    <w:rsid w:val="00EA4829"/>
    <w:rsid w:val="00EA67CC"/>
    <w:rsid w:val="00EA69D6"/>
    <w:rsid w:val="00EA75CE"/>
    <w:rsid w:val="00EB12B2"/>
    <w:rsid w:val="00EB1317"/>
    <w:rsid w:val="00EB147C"/>
    <w:rsid w:val="00EB2D99"/>
    <w:rsid w:val="00EB60C3"/>
    <w:rsid w:val="00EB7902"/>
    <w:rsid w:val="00EC3C26"/>
    <w:rsid w:val="00EC447C"/>
    <w:rsid w:val="00EC54A1"/>
    <w:rsid w:val="00EC54EC"/>
    <w:rsid w:val="00EC5A3A"/>
    <w:rsid w:val="00EC7E94"/>
    <w:rsid w:val="00ED0732"/>
    <w:rsid w:val="00ED0A98"/>
    <w:rsid w:val="00ED0C9B"/>
    <w:rsid w:val="00ED1C77"/>
    <w:rsid w:val="00ED29AB"/>
    <w:rsid w:val="00ED31B6"/>
    <w:rsid w:val="00ED463F"/>
    <w:rsid w:val="00ED49A9"/>
    <w:rsid w:val="00ED4F9F"/>
    <w:rsid w:val="00ED603B"/>
    <w:rsid w:val="00ED6AF6"/>
    <w:rsid w:val="00EE0295"/>
    <w:rsid w:val="00EE1F20"/>
    <w:rsid w:val="00EE368B"/>
    <w:rsid w:val="00EE3D0E"/>
    <w:rsid w:val="00EE3EC0"/>
    <w:rsid w:val="00EE439D"/>
    <w:rsid w:val="00EE4A82"/>
    <w:rsid w:val="00EE51B1"/>
    <w:rsid w:val="00EE561F"/>
    <w:rsid w:val="00EE6AE8"/>
    <w:rsid w:val="00EE6F0E"/>
    <w:rsid w:val="00EE7328"/>
    <w:rsid w:val="00EF0F2E"/>
    <w:rsid w:val="00EF4A03"/>
    <w:rsid w:val="00EF4DC3"/>
    <w:rsid w:val="00EF6313"/>
    <w:rsid w:val="00F00039"/>
    <w:rsid w:val="00F00945"/>
    <w:rsid w:val="00F00A9A"/>
    <w:rsid w:val="00F01E14"/>
    <w:rsid w:val="00F0231E"/>
    <w:rsid w:val="00F0343E"/>
    <w:rsid w:val="00F041BF"/>
    <w:rsid w:val="00F04BAE"/>
    <w:rsid w:val="00F05486"/>
    <w:rsid w:val="00F07948"/>
    <w:rsid w:val="00F10D61"/>
    <w:rsid w:val="00F11559"/>
    <w:rsid w:val="00F11FE3"/>
    <w:rsid w:val="00F13E72"/>
    <w:rsid w:val="00F1579E"/>
    <w:rsid w:val="00F167C6"/>
    <w:rsid w:val="00F170DB"/>
    <w:rsid w:val="00F17739"/>
    <w:rsid w:val="00F17EC3"/>
    <w:rsid w:val="00F21940"/>
    <w:rsid w:val="00F22EC3"/>
    <w:rsid w:val="00F2518D"/>
    <w:rsid w:val="00F31A5B"/>
    <w:rsid w:val="00F31B47"/>
    <w:rsid w:val="00F31E40"/>
    <w:rsid w:val="00F33B32"/>
    <w:rsid w:val="00F33C5D"/>
    <w:rsid w:val="00F34283"/>
    <w:rsid w:val="00F34E03"/>
    <w:rsid w:val="00F362BC"/>
    <w:rsid w:val="00F412AF"/>
    <w:rsid w:val="00F41668"/>
    <w:rsid w:val="00F43478"/>
    <w:rsid w:val="00F4366E"/>
    <w:rsid w:val="00F4600B"/>
    <w:rsid w:val="00F47299"/>
    <w:rsid w:val="00F47951"/>
    <w:rsid w:val="00F50F3E"/>
    <w:rsid w:val="00F511A8"/>
    <w:rsid w:val="00F51976"/>
    <w:rsid w:val="00F535E2"/>
    <w:rsid w:val="00F5487B"/>
    <w:rsid w:val="00F54A23"/>
    <w:rsid w:val="00F55759"/>
    <w:rsid w:val="00F55F63"/>
    <w:rsid w:val="00F560E9"/>
    <w:rsid w:val="00F568CE"/>
    <w:rsid w:val="00F577CB"/>
    <w:rsid w:val="00F57C24"/>
    <w:rsid w:val="00F57F11"/>
    <w:rsid w:val="00F62A33"/>
    <w:rsid w:val="00F63749"/>
    <w:rsid w:val="00F63F82"/>
    <w:rsid w:val="00F64139"/>
    <w:rsid w:val="00F643F8"/>
    <w:rsid w:val="00F668E4"/>
    <w:rsid w:val="00F705EB"/>
    <w:rsid w:val="00F709F9"/>
    <w:rsid w:val="00F7105E"/>
    <w:rsid w:val="00F7319E"/>
    <w:rsid w:val="00F73F00"/>
    <w:rsid w:val="00F740ED"/>
    <w:rsid w:val="00F757B8"/>
    <w:rsid w:val="00F779B7"/>
    <w:rsid w:val="00F80F5B"/>
    <w:rsid w:val="00F8356B"/>
    <w:rsid w:val="00F84F0D"/>
    <w:rsid w:val="00F8602A"/>
    <w:rsid w:val="00F8648C"/>
    <w:rsid w:val="00F9027C"/>
    <w:rsid w:val="00F91344"/>
    <w:rsid w:val="00F93A75"/>
    <w:rsid w:val="00F93BDC"/>
    <w:rsid w:val="00F94086"/>
    <w:rsid w:val="00F95119"/>
    <w:rsid w:val="00F95433"/>
    <w:rsid w:val="00F95CC4"/>
    <w:rsid w:val="00F95E46"/>
    <w:rsid w:val="00FA0BD2"/>
    <w:rsid w:val="00FA265B"/>
    <w:rsid w:val="00FA2E85"/>
    <w:rsid w:val="00FA371E"/>
    <w:rsid w:val="00FA3D8E"/>
    <w:rsid w:val="00FA4DD4"/>
    <w:rsid w:val="00FA4F88"/>
    <w:rsid w:val="00FA5E73"/>
    <w:rsid w:val="00FA62FC"/>
    <w:rsid w:val="00FA6B48"/>
    <w:rsid w:val="00FA75AA"/>
    <w:rsid w:val="00FB0A6A"/>
    <w:rsid w:val="00FB249D"/>
    <w:rsid w:val="00FB45B0"/>
    <w:rsid w:val="00FB54B3"/>
    <w:rsid w:val="00FB5AE2"/>
    <w:rsid w:val="00FB5D6B"/>
    <w:rsid w:val="00FC2C43"/>
    <w:rsid w:val="00FC345C"/>
    <w:rsid w:val="00FC52D2"/>
    <w:rsid w:val="00FC7436"/>
    <w:rsid w:val="00FD04DE"/>
    <w:rsid w:val="00FD0C80"/>
    <w:rsid w:val="00FD1632"/>
    <w:rsid w:val="00FD1706"/>
    <w:rsid w:val="00FD318E"/>
    <w:rsid w:val="00FD4298"/>
    <w:rsid w:val="00FD5BCC"/>
    <w:rsid w:val="00FD660A"/>
    <w:rsid w:val="00FD7AFB"/>
    <w:rsid w:val="00FE0DE6"/>
    <w:rsid w:val="00FE2022"/>
    <w:rsid w:val="00FE2364"/>
    <w:rsid w:val="00FE25C0"/>
    <w:rsid w:val="00FE2A5B"/>
    <w:rsid w:val="00FE2E35"/>
    <w:rsid w:val="00FE3748"/>
    <w:rsid w:val="00FE4872"/>
    <w:rsid w:val="00FE521F"/>
    <w:rsid w:val="00FE5C76"/>
    <w:rsid w:val="00FE6359"/>
    <w:rsid w:val="00FE71B4"/>
    <w:rsid w:val="00FE7CB0"/>
    <w:rsid w:val="00FE7D39"/>
    <w:rsid w:val="00FE7FA6"/>
    <w:rsid w:val="00FF09EA"/>
    <w:rsid w:val="00FF1082"/>
    <w:rsid w:val="00FF1693"/>
    <w:rsid w:val="00FF1B67"/>
    <w:rsid w:val="00FF24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1292B"/>
  <w15:chartTrackingRefBased/>
  <w15:docId w15:val="{62984DAB-AA33-0747-8F5F-898CC09E0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073"/>
    <w:rPr>
      <w:rFonts w:ascii="Times New Roman" w:eastAsia="Times New Roman" w:hAnsi="Times New Roman" w:cs="Times New Roman"/>
    </w:rPr>
  </w:style>
  <w:style w:type="paragraph" w:styleId="Heading1">
    <w:name w:val="heading 1"/>
    <w:basedOn w:val="Normal"/>
    <w:next w:val="Normal"/>
    <w:link w:val="Heading1Char"/>
    <w:uiPriority w:val="9"/>
    <w:qFormat/>
    <w:rsid w:val="00F07948"/>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E40325"/>
    <w:pPr>
      <w:keepNext/>
      <w:keepLines/>
      <w:spacing w:before="40"/>
      <w:outlineLvl w:val="1"/>
    </w:pPr>
    <w:rPr>
      <w:rFonts w:asciiTheme="majorHAnsi" w:eastAsiaTheme="majorEastAsia" w:hAnsiTheme="majorHAnsi" w:cstheme="majorBidi"/>
      <w:b/>
      <w:color w:val="FF0000"/>
      <w:sz w:val="26"/>
      <w:szCs w:val="26"/>
      <w:lang w:eastAsia="en-GB"/>
    </w:rPr>
  </w:style>
  <w:style w:type="paragraph" w:styleId="Heading3">
    <w:name w:val="heading 3"/>
    <w:basedOn w:val="Normal"/>
    <w:next w:val="Normal"/>
    <w:link w:val="Heading3Char"/>
    <w:uiPriority w:val="9"/>
    <w:unhideWhenUsed/>
    <w:qFormat/>
    <w:rsid w:val="00E40325"/>
    <w:pPr>
      <w:keepNext/>
      <w:keepLines/>
      <w:spacing w:before="40"/>
      <w:outlineLvl w:val="2"/>
    </w:pPr>
    <w:rPr>
      <w:rFonts w:asciiTheme="majorHAnsi" w:eastAsiaTheme="majorEastAsia" w:hAnsiTheme="majorHAnsi" w:cstheme="majorBidi"/>
      <w:i/>
      <w:color w:val="000000" w:themeColor="text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40325"/>
    <w:rPr>
      <w:rFonts w:asciiTheme="majorHAnsi" w:eastAsiaTheme="majorEastAsia" w:hAnsiTheme="majorHAnsi" w:cstheme="majorBidi"/>
      <w:b/>
      <w:color w:val="FF0000"/>
      <w:sz w:val="26"/>
      <w:szCs w:val="26"/>
      <w:lang w:eastAsia="en-GB"/>
    </w:rPr>
  </w:style>
  <w:style w:type="character" w:customStyle="1" w:styleId="Heading3Char">
    <w:name w:val="Heading 3 Char"/>
    <w:basedOn w:val="DefaultParagraphFont"/>
    <w:link w:val="Heading3"/>
    <w:uiPriority w:val="9"/>
    <w:rsid w:val="00E40325"/>
    <w:rPr>
      <w:rFonts w:asciiTheme="majorHAnsi" w:eastAsiaTheme="majorEastAsia" w:hAnsiTheme="majorHAnsi" w:cstheme="majorBidi"/>
      <w:i/>
      <w:color w:val="000000" w:themeColor="text1"/>
      <w:lang w:eastAsia="en-GB"/>
    </w:rPr>
  </w:style>
  <w:style w:type="paragraph" w:styleId="Title">
    <w:name w:val="Title"/>
    <w:basedOn w:val="Normal"/>
    <w:next w:val="Normal"/>
    <w:link w:val="TitleChar"/>
    <w:uiPriority w:val="10"/>
    <w:qFormat/>
    <w:rsid w:val="00E40325"/>
    <w:pPr>
      <w:contextualSpacing/>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uiPriority w:val="10"/>
    <w:rsid w:val="00E40325"/>
    <w:rPr>
      <w:rFonts w:asciiTheme="majorHAnsi" w:eastAsiaTheme="majorEastAsia" w:hAnsiTheme="majorHAnsi" w:cstheme="majorBidi"/>
      <w:spacing w:val="-10"/>
      <w:kern w:val="28"/>
      <w:sz w:val="56"/>
      <w:szCs w:val="56"/>
      <w:lang w:eastAsia="en-GB"/>
    </w:rPr>
  </w:style>
  <w:style w:type="character" w:styleId="CommentReference">
    <w:name w:val="annotation reference"/>
    <w:basedOn w:val="DefaultParagraphFont"/>
    <w:uiPriority w:val="99"/>
    <w:semiHidden/>
    <w:unhideWhenUsed/>
    <w:rsid w:val="00E40325"/>
    <w:rPr>
      <w:sz w:val="16"/>
      <w:szCs w:val="16"/>
    </w:rPr>
  </w:style>
  <w:style w:type="paragraph" w:styleId="CommentText">
    <w:name w:val="annotation text"/>
    <w:basedOn w:val="Normal"/>
    <w:link w:val="CommentTextChar"/>
    <w:uiPriority w:val="99"/>
    <w:unhideWhenUsed/>
    <w:rsid w:val="00E40325"/>
    <w:rPr>
      <w:sz w:val="20"/>
      <w:szCs w:val="20"/>
      <w:lang w:eastAsia="en-GB"/>
    </w:rPr>
  </w:style>
  <w:style w:type="character" w:customStyle="1" w:styleId="CommentTextChar">
    <w:name w:val="Comment Text Char"/>
    <w:basedOn w:val="DefaultParagraphFont"/>
    <w:link w:val="CommentText"/>
    <w:uiPriority w:val="99"/>
    <w:rsid w:val="00E40325"/>
    <w:rPr>
      <w:sz w:val="20"/>
      <w:szCs w:val="20"/>
      <w:lang w:eastAsia="en-GB"/>
    </w:rPr>
  </w:style>
  <w:style w:type="character" w:styleId="FootnoteReference">
    <w:name w:val="footnote reference"/>
    <w:basedOn w:val="DefaultParagraphFont"/>
    <w:uiPriority w:val="99"/>
    <w:semiHidden/>
    <w:unhideWhenUsed/>
    <w:rsid w:val="00E40325"/>
    <w:rPr>
      <w:vertAlign w:val="superscript"/>
    </w:rPr>
  </w:style>
  <w:style w:type="paragraph" w:styleId="BalloonText">
    <w:name w:val="Balloon Text"/>
    <w:basedOn w:val="Normal"/>
    <w:link w:val="BalloonTextChar"/>
    <w:uiPriority w:val="99"/>
    <w:semiHidden/>
    <w:unhideWhenUsed/>
    <w:rsid w:val="00E40325"/>
    <w:rPr>
      <w:sz w:val="18"/>
      <w:szCs w:val="18"/>
    </w:rPr>
  </w:style>
  <w:style w:type="character" w:customStyle="1" w:styleId="BalloonTextChar">
    <w:name w:val="Balloon Text Char"/>
    <w:basedOn w:val="DefaultParagraphFont"/>
    <w:link w:val="BalloonText"/>
    <w:uiPriority w:val="99"/>
    <w:semiHidden/>
    <w:rsid w:val="00E40325"/>
    <w:rPr>
      <w:rFonts w:ascii="Times New Roman" w:hAnsi="Times New Roman" w:cs="Times New Roman"/>
      <w:sz w:val="18"/>
      <w:szCs w:val="18"/>
    </w:rPr>
  </w:style>
  <w:style w:type="character" w:styleId="Hyperlink">
    <w:name w:val="Hyperlink"/>
    <w:basedOn w:val="DefaultParagraphFont"/>
    <w:uiPriority w:val="99"/>
    <w:unhideWhenUsed/>
    <w:rsid w:val="00F8602A"/>
    <w:rPr>
      <w:color w:val="0000FF"/>
      <w:u w:val="single"/>
    </w:rPr>
  </w:style>
  <w:style w:type="paragraph" w:styleId="NormalWeb">
    <w:name w:val="Normal (Web)"/>
    <w:basedOn w:val="Normal"/>
    <w:uiPriority w:val="99"/>
    <w:unhideWhenUsed/>
    <w:rsid w:val="001048B2"/>
    <w:pPr>
      <w:spacing w:before="100" w:beforeAutospacing="1" w:after="100" w:afterAutospacing="1"/>
    </w:pPr>
  </w:style>
  <w:style w:type="character" w:customStyle="1" w:styleId="Heading1Char">
    <w:name w:val="Heading 1 Char"/>
    <w:basedOn w:val="DefaultParagraphFont"/>
    <w:link w:val="Heading1"/>
    <w:uiPriority w:val="9"/>
    <w:rsid w:val="00F07948"/>
    <w:rPr>
      <w:rFonts w:asciiTheme="majorHAnsi" w:eastAsiaTheme="majorEastAsia" w:hAnsiTheme="majorHAnsi" w:cstheme="majorBidi"/>
      <w:b/>
      <w:sz w:val="32"/>
      <w:szCs w:val="32"/>
    </w:rPr>
  </w:style>
  <w:style w:type="character" w:customStyle="1" w:styleId="UnresolvedMention">
    <w:name w:val="Unresolved Mention"/>
    <w:basedOn w:val="DefaultParagraphFont"/>
    <w:uiPriority w:val="99"/>
    <w:semiHidden/>
    <w:unhideWhenUsed/>
    <w:rsid w:val="00DC6BF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317FA"/>
    <w:rPr>
      <w:b/>
      <w:bCs/>
      <w:lang w:eastAsia="en-US"/>
    </w:rPr>
  </w:style>
  <w:style w:type="character" w:customStyle="1" w:styleId="CommentSubjectChar">
    <w:name w:val="Comment Subject Char"/>
    <w:basedOn w:val="CommentTextChar"/>
    <w:link w:val="CommentSubject"/>
    <w:uiPriority w:val="99"/>
    <w:semiHidden/>
    <w:rsid w:val="009317FA"/>
    <w:rPr>
      <w:rFonts w:ascii="Times New Roman" w:eastAsia="Times New Roman" w:hAnsi="Times New Roman" w:cs="Times New Roman"/>
      <w:b/>
      <w:bCs/>
      <w:sz w:val="20"/>
      <w:szCs w:val="20"/>
      <w:lang w:eastAsia="en-GB"/>
    </w:rPr>
  </w:style>
  <w:style w:type="paragraph" w:styleId="ListParagraph">
    <w:name w:val="List Paragraph"/>
    <w:basedOn w:val="Normal"/>
    <w:uiPriority w:val="34"/>
    <w:qFormat/>
    <w:rsid w:val="00F11559"/>
    <w:pPr>
      <w:ind w:left="720"/>
      <w:contextualSpacing/>
    </w:pPr>
  </w:style>
  <w:style w:type="paragraph" w:styleId="Header">
    <w:name w:val="header"/>
    <w:basedOn w:val="Normal"/>
    <w:link w:val="HeaderChar"/>
    <w:uiPriority w:val="99"/>
    <w:unhideWhenUsed/>
    <w:rsid w:val="000E590F"/>
    <w:pPr>
      <w:tabs>
        <w:tab w:val="center" w:pos="4680"/>
        <w:tab w:val="right" w:pos="9360"/>
      </w:tabs>
    </w:pPr>
  </w:style>
  <w:style w:type="character" w:customStyle="1" w:styleId="HeaderChar">
    <w:name w:val="Header Char"/>
    <w:basedOn w:val="DefaultParagraphFont"/>
    <w:link w:val="Header"/>
    <w:uiPriority w:val="99"/>
    <w:rsid w:val="000E590F"/>
    <w:rPr>
      <w:rFonts w:ascii="Times New Roman" w:eastAsia="Times New Roman" w:hAnsi="Times New Roman" w:cs="Times New Roman"/>
    </w:rPr>
  </w:style>
  <w:style w:type="paragraph" w:styleId="Footer">
    <w:name w:val="footer"/>
    <w:basedOn w:val="Normal"/>
    <w:link w:val="FooterChar"/>
    <w:uiPriority w:val="99"/>
    <w:unhideWhenUsed/>
    <w:rsid w:val="000E590F"/>
    <w:pPr>
      <w:tabs>
        <w:tab w:val="center" w:pos="4680"/>
        <w:tab w:val="right" w:pos="9360"/>
      </w:tabs>
    </w:pPr>
  </w:style>
  <w:style w:type="character" w:customStyle="1" w:styleId="FooterChar">
    <w:name w:val="Footer Char"/>
    <w:basedOn w:val="DefaultParagraphFont"/>
    <w:link w:val="Footer"/>
    <w:uiPriority w:val="99"/>
    <w:rsid w:val="000E590F"/>
    <w:rPr>
      <w:rFonts w:ascii="Times New Roman" w:eastAsia="Times New Roman" w:hAnsi="Times New Roman" w:cs="Times New Roman"/>
    </w:rPr>
  </w:style>
  <w:style w:type="character" w:styleId="PageNumber">
    <w:name w:val="page number"/>
    <w:basedOn w:val="DefaultParagraphFont"/>
    <w:uiPriority w:val="99"/>
    <w:semiHidden/>
    <w:unhideWhenUsed/>
    <w:rsid w:val="000E590F"/>
  </w:style>
  <w:style w:type="character" w:styleId="FollowedHyperlink">
    <w:name w:val="FollowedHyperlink"/>
    <w:basedOn w:val="DefaultParagraphFont"/>
    <w:uiPriority w:val="99"/>
    <w:semiHidden/>
    <w:unhideWhenUsed/>
    <w:rsid w:val="003B2B39"/>
    <w:rPr>
      <w:color w:val="954F72" w:themeColor="followedHyperlink"/>
      <w:u w:val="single"/>
    </w:rPr>
  </w:style>
  <w:style w:type="paragraph" w:styleId="Revision">
    <w:name w:val="Revision"/>
    <w:hidden/>
    <w:uiPriority w:val="99"/>
    <w:semiHidden/>
    <w:rsid w:val="00C86EF5"/>
    <w:rPr>
      <w:rFonts w:ascii="Times New Roman" w:eastAsia="Times New Roman" w:hAnsi="Times New Roman" w:cs="Times New Roman"/>
    </w:rPr>
  </w:style>
  <w:style w:type="paragraph" w:styleId="Bibliography">
    <w:name w:val="Bibliography"/>
    <w:basedOn w:val="Normal"/>
    <w:next w:val="Normal"/>
    <w:uiPriority w:val="37"/>
    <w:unhideWhenUsed/>
    <w:rsid w:val="00E41849"/>
    <w:pPr>
      <w:spacing w:after="240"/>
      <w:ind w:left="720" w:hanging="720"/>
    </w:pPr>
  </w:style>
  <w:style w:type="character" w:styleId="Emphasis">
    <w:name w:val="Emphasis"/>
    <w:basedOn w:val="DefaultParagraphFont"/>
    <w:uiPriority w:val="20"/>
    <w:qFormat/>
    <w:rsid w:val="00770DCB"/>
    <w:rPr>
      <w:i/>
      <w:iCs/>
    </w:rPr>
  </w:style>
  <w:style w:type="paragraph" w:styleId="FootnoteText">
    <w:name w:val="footnote text"/>
    <w:basedOn w:val="Normal"/>
    <w:link w:val="FootnoteTextChar"/>
    <w:uiPriority w:val="99"/>
    <w:semiHidden/>
    <w:unhideWhenUsed/>
    <w:rsid w:val="00386D7A"/>
    <w:rPr>
      <w:sz w:val="20"/>
      <w:szCs w:val="20"/>
    </w:rPr>
  </w:style>
  <w:style w:type="character" w:customStyle="1" w:styleId="FootnoteTextChar">
    <w:name w:val="Footnote Text Char"/>
    <w:basedOn w:val="DefaultParagraphFont"/>
    <w:link w:val="FootnoteText"/>
    <w:uiPriority w:val="99"/>
    <w:semiHidden/>
    <w:rsid w:val="00386D7A"/>
    <w:rPr>
      <w:rFonts w:ascii="Times New Roman" w:eastAsia="Times New Roman" w:hAnsi="Times New Roman" w:cs="Times New Roman"/>
      <w:sz w:val="20"/>
      <w:szCs w:val="20"/>
    </w:rPr>
  </w:style>
  <w:style w:type="paragraph" w:customStyle="1" w:styleId="Abstract">
    <w:name w:val="Abstract"/>
    <w:basedOn w:val="Normal"/>
    <w:next w:val="Normal"/>
    <w:qFormat/>
    <w:rsid w:val="00A13564"/>
    <w:pPr>
      <w:spacing w:before="360" w:after="300" w:line="360" w:lineRule="auto"/>
      <w:ind w:left="720" w:right="567"/>
    </w:pPr>
    <w:rPr>
      <w:sz w:val="22"/>
      <w:lang w:val="en-GB" w:eastAsia="en-GB"/>
    </w:rPr>
  </w:style>
  <w:style w:type="paragraph" w:customStyle="1" w:styleId="Keywords">
    <w:name w:val="Keywords"/>
    <w:basedOn w:val="Normal"/>
    <w:next w:val="Normal"/>
    <w:qFormat/>
    <w:rsid w:val="00A36E44"/>
    <w:pPr>
      <w:spacing w:before="240" w:after="240" w:line="360" w:lineRule="auto"/>
      <w:ind w:left="720" w:right="567"/>
    </w:pPr>
    <w:rPr>
      <w:sz w:val="22"/>
      <w:lang w:val="en-GB" w:eastAsia="en-GB"/>
    </w:rPr>
  </w:style>
  <w:style w:type="paragraph" w:customStyle="1" w:styleId="Subjectcodes">
    <w:name w:val="Subject codes"/>
    <w:basedOn w:val="Keywords"/>
    <w:next w:val="Normal"/>
    <w:qFormat/>
    <w:rsid w:val="00A36E44"/>
  </w:style>
  <w:style w:type="paragraph" w:customStyle="1" w:styleId="Paragraph">
    <w:name w:val="Paragraph"/>
    <w:basedOn w:val="Normal"/>
    <w:next w:val="Normal"/>
    <w:qFormat/>
    <w:rsid w:val="00A36E44"/>
    <w:pPr>
      <w:widowControl w:val="0"/>
      <w:spacing w:before="240" w:line="480" w:lineRule="auto"/>
    </w:pPr>
    <w:rPr>
      <w:lang w:val="en-GB" w:eastAsia="en-GB"/>
    </w:rPr>
  </w:style>
  <w:style w:type="paragraph" w:customStyle="1" w:styleId="Tabletitle">
    <w:name w:val="Table title"/>
    <w:basedOn w:val="Normal"/>
    <w:next w:val="Normal"/>
    <w:qFormat/>
    <w:rsid w:val="004503ED"/>
    <w:pPr>
      <w:spacing w:before="240" w:line="360" w:lineRule="auto"/>
    </w:pPr>
    <w:rPr>
      <w:lang w:val="en-GB" w:eastAsia="en-GB"/>
    </w:rPr>
  </w:style>
  <w:style w:type="paragraph" w:customStyle="1" w:styleId="Authornames">
    <w:name w:val="Author names"/>
    <w:basedOn w:val="Normal"/>
    <w:next w:val="Normal"/>
    <w:qFormat/>
    <w:rsid w:val="000E1564"/>
    <w:pPr>
      <w:spacing w:before="240" w:line="360" w:lineRule="auto"/>
    </w:pPr>
    <w:rPr>
      <w:sz w:val="28"/>
      <w:lang w:val="en-GB" w:eastAsia="en-GB"/>
    </w:rPr>
  </w:style>
  <w:style w:type="paragraph" w:customStyle="1" w:styleId="Affiliation">
    <w:name w:val="Affiliation"/>
    <w:basedOn w:val="Normal"/>
    <w:qFormat/>
    <w:rsid w:val="003D4CE1"/>
    <w:pPr>
      <w:spacing w:before="240" w:line="360" w:lineRule="auto"/>
    </w:pPr>
    <w:rPr>
      <w:i/>
      <w:lang w:val="en-GB" w:eastAsia="en-GB"/>
    </w:rPr>
  </w:style>
  <w:style w:type="paragraph" w:customStyle="1" w:styleId="Correspondencedetails">
    <w:name w:val="Correspondence details"/>
    <w:basedOn w:val="Normal"/>
    <w:qFormat/>
    <w:rsid w:val="003D4CE1"/>
    <w:pPr>
      <w:spacing w:before="240" w:line="360" w:lineRule="auto"/>
    </w:pPr>
    <w:rPr>
      <w:lang w:val="en-GB" w:eastAsia="en-GB"/>
    </w:rPr>
  </w:style>
  <w:style w:type="paragraph" w:customStyle="1" w:styleId="Notesoncontributors">
    <w:name w:val="Notes on contributors"/>
    <w:basedOn w:val="Normal"/>
    <w:qFormat/>
    <w:rsid w:val="003D4CE1"/>
    <w:pPr>
      <w:spacing w:before="240" w:line="360" w:lineRule="auto"/>
    </w:pPr>
    <w:rPr>
      <w:sz w:val="22"/>
      <w:lang w:val="en-GB" w:eastAsia="en-GB"/>
    </w:rPr>
  </w:style>
  <w:style w:type="character" w:styleId="EndnoteReference">
    <w:name w:val="endnote reference"/>
    <w:basedOn w:val="DefaultParagraphFont"/>
    <w:uiPriority w:val="99"/>
    <w:semiHidden/>
    <w:unhideWhenUsed/>
    <w:rsid w:val="00AA08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46830">
      <w:bodyDiv w:val="1"/>
      <w:marLeft w:val="0"/>
      <w:marRight w:val="0"/>
      <w:marTop w:val="0"/>
      <w:marBottom w:val="0"/>
      <w:divBdr>
        <w:top w:val="none" w:sz="0" w:space="0" w:color="auto"/>
        <w:left w:val="none" w:sz="0" w:space="0" w:color="auto"/>
        <w:bottom w:val="none" w:sz="0" w:space="0" w:color="auto"/>
        <w:right w:val="none" w:sz="0" w:space="0" w:color="auto"/>
      </w:divBdr>
    </w:div>
    <w:div w:id="132258468">
      <w:bodyDiv w:val="1"/>
      <w:marLeft w:val="0"/>
      <w:marRight w:val="0"/>
      <w:marTop w:val="0"/>
      <w:marBottom w:val="0"/>
      <w:divBdr>
        <w:top w:val="none" w:sz="0" w:space="0" w:color="auto"/>
        <w:left w:val="none" w:sz="0" w:space="0" w:color="auto"/>
        <w:bottom w:val="none" w:sz="0" w:space="0" w:color="auto"/>
        <w:right w:val="none" w:sz="0" w:space="0" w:color="auto"/>
      </w:divBdr>
    </w:div>
    <w:div w:id="173348594">
      <w:bodyDiv w:val="1"/>
      <w:marLeft w:val="0"/>
      <w:marRight w:val="0"/>
      <w:marTop w:val="0"/>
      <w:marBottom w:val="0"/>
      <w:divBdr>
        <w:top w:val="none" w:sz="0" w:space="0" w:color="auto"/>
        <w:left w:val="none" w:sz="0" w:space="0" w:color="auto"/>
        <w:bottom w:val="none" w:sz="0" w:space="0" w:color="auto"/>
        <w:right w:val="none" w:sz="0" w:space="0" w:color="auto"/>
      </w:divBdr>
    </w:div>
    <w:div w:id="312414419">
      <w:bodyDiv w:val="1"/>
      <w:marLeft w:val="0"/>
      <w:marRight w:val="0"/>
      <w:marTop w:val="0"/>
      <w:marBottom w:val="0"/>
      <w:divBdr>
        <w:top w:val="none" w:sz="0" w:space="0" w:color="auto"/>
        <w:left w:val="none" w:sz="0" w:space="0" w:color="auto"/>
        <w:bottom w:val="none" w:sz="0" w:space="0" w:color="auto"/>
        <w:right w:val="none" w:sz="0" w:space="0" w:color="auto"/>
      </w:divBdr>
      <w:divsChild>
        <w:div w:id="144049817">
          <w:marLeft w:val="0"/>
          <w:marRight w:val="0"/>
          <w:marTop w:val="0"/>
          <w:marBottom w:val="0"/>
          <w:divBdr>
            <w:top w:val="none" w:sz="0" w:space="0" w:color="auto"/>
            <w:left w:val="none" w:sz="0" w:space="0" w:color="auto"/>
            <w:bottom w:val="none" w:sz="0" w:space="0" w:color="auto"/>
            <w:right w:val="none" w:sz="0" w:space="0" w:color="auto"/>
          </w:divBdr>
          <w:divsChild>
            <w:div w:id="127012318">
              <w:marLeft w:val="0"/>
              <w:marRight w:val="0"/>
              <w:marTop w:val="0"/>
              <w:marBottom w:val="0"/>
              <w:divBdr>
                <w:top w:val="none" w:sz="0" w:space="0" w:color="auto"/>
                <w:left w:val="none" w:sz="0" w:space="0" w:color="auto"/>
                <w:bottom w:val="none" w:sz="0" w:space="0" w:color="auto"/>
                <w:right w:val="none" w:sz="0" w:space="0" w:color="auto"/>
              </w:divBdr>
              <w:divsChild>
                <w:div w:id="15041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54809">
      <w:bodyDiv w:val="1"/>
      <w:marLeft w:val="0"/>
      <w:marRight w:val="0"/>
      <w:marTop w:val="0"/>
      <w:marBottom w:val="0"/>
      <w:divBdr>
        <w:top w:val="none" w:sz="0" w:space="0" w:color="auto"/>
        <w:left w:val="none" w:sz="0" w:space="0" w:color="auto"/>
        <w:bottom w:val="none" w:sz="0" w:space="0" w:color="auto"/>
        <w:right w:val="none" w:sz="0" w:space="0" w:color="auto"/>
      </w:divBdr>
    </w:div>
    <w:div w:id="316610207">
      <w:bodyDiv w:val="1"/>
      <w:marLeft w:val="0"/>
      <w:marRight w:val="0"/>
      <w:marTop w:val="0"/>
      <w:marBottom w:val="0"/>
      <w:divBdr>
        <w:top w:val="none" w:sz="0" w:space="0" w:color="auto"/>
        <w:left w:val="none" w:sz="0" w:space="0" w:color="auto"/>
        <w:bottom w:val="none" w:sz="0" w:space="0" w:color="auto"/>
        <w:right w:val="none" w:sz="0" w:space="0" w:color="auto"/>
      </w:divBdr>
      <w:divsChild>
        <w:div w:id="275790725">
          <w:marLeft w:val="0"/>
          <w:marRight w:val="0"/>
          <w:marTop w:val="0"/>
          <w:marBottom w:val="0"/>
          <w:divBdr>
            <w:top w:val="none" w:sz="0" w:space="0" w:color="auto"/>
            <w:left w:val="none" w:sz="0" w:space="0" w:color="auto"/>
            <w:bottom w:val="none" w:sz="0" w:space="0" w:color="auto"/>
            <w:right w:val="none" w:sz="0" w:space="0" w:color="auto"/>
          </w:divBdr>
          <w:divsChild>
            <w:div w:id="1681078947">
              <w:marLeft w:val="0"/>
              <w:marRight w:val="0"/>
              <w:marTop w:val="0"/>
              <w:marBottom w:val="0"/>
              <w:divBdr>
                <w:top w:val="none" w:sz="0" w:space="0" w:color="auto"/>
                <w:left w:val="none" w:sz="0" w:space="0" w:color="auto"/>
                <w:bottom w:val="none" w:sz="0" w:space="0" w:color="auto"/>
                <w:right w:val="none" w:sz="0" w:space="0" w:color="auto"/>
              </w:divBdr>
            </w:div>
          </w:divsChild>
        </w:div>
        <w:div w:id="108092279">
          <w:marLeft w:val="0"/>
          <w:marRight w:val="0"/>
          <w:marTop w:val="375"/>
          <w:marBottom w:val="0"/>
          <w:divBdr>
            <w:top w:val="single" w:sz="6" w:space="19" w:color="DDDDDD"/>
            <w:left w:val="none" w:sz="0" w:space="0" w:color="auto"/>
            <w:bottom w:val="none" w:sz="0" w:space="0" w:color="auto"/>
            <w:right w:val="none" w:sz="0" w:space="0" w:color="auto"/>
          </w:divBdr>
        </w:div>
      </w:divsChild>
    </w:div>
    <w:div w:id="328488997">
      <w:bodyDiv w:val="1"/>
      <w:marLeft w:val="0"/>
      <w:marRight w:val="0"/>
      <w:marTop w:val="0"/>
      <w:marBottom w:val="0"/>
      <w:divBdr>
        <w:top w:val="none" w:sz="0" w:space="0" w:color="auto"/>
        <w:left w:val="none" w:sz="0" w:space="0" w:color="auto"/>
        <w:bottom w:val="none" w:sz="0" w:space="0" w:color="auto"/>
        <w:right w:val="none" w:sz="0" w:space="0" w:color="auto"/>
      </w:divBdr>
    </w:div>
    <w:div w:id="479738187">
      <w:bodyDiv w:val="1"/>
      <w:marLeft w:val="0"/>
      <w:marRight w:val="0"/>
      <w:marTop w:val="0"/>
      <w:marBottom w:val="0"/>
      <w:divBdr>
        <w:top w:val="none" w:sz="0" w:space="0" w:color="auto"/>
        <w:left w:val="none" w:sz="0" w:space="0" w:color="auto"/>
        <w:bottom w:val="none" w:sz="0" w:space="0" w:color="auto"/>
        <w:right w:val="none" w:sz="0" w:space="0" w:color="auto"/>
      </w:divBdr>
    </w:div>
    <w:div w:id="576940959">
      <w:bodyDiv w:val="1"/>
      <w:marLeft w:val="0"/>
      <w:marRight w:val="0"/>
      <w:marTop w:val="0"/>
      <w:marBottom w:val="0"/>
      <w:divBdr>
        <w:top w:val="none" w:sz="0" w:space="0" w:color="auto"/>
        <w:left w:val="none" w:sz="0" w:space="0" w:color="auto"/>
        <w:bottom w:val="none" w:sz="0" w:space="0" w:color="auto"/>
        <w:right w:val="none" w:sz="0" w:space="0" w:color="auto"/>
      </w:divBdr>
      <w:divsChild>
        <w:div w:id="2035229025">
          <w:marLeft w:val="480"/>
          <w:marRight w:val="0"/>
          <w:marTop w:val="0"/>
          <w:marBottom w:val="0"/>
          <w:divBdr>
            <w:top w:val="none" w:sz="0" w:space="0" w:color="auto"/>
            <w:left w:val="none" w:sz="0" w:space="0" w:color="auto"/>
            <w:bottom w:val="none" w:sz="0" w:space="0" w:color="auto"/>
            <w:right w:val="none" w:sz="0" w:space="0" w:color="auto"/>
          </w:divBdr>
          <w:divsChild>
            <w:div w:id="154648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465391">
      <w:bodyDiv w:val="1"/>
      <w:marLeft w:val="0"/>
      <w:marRight w:val="0"/>
      <w:marTop w:val="0"/>
      <w:marBottom w:val="0"/>
      <w:divBdr>
        <w:top w:val="none" w:sz="0" w:space="0" w:color="auto"/>
        <w:left w:val="none" w:sz="0" w:space="0" w:color="auto"/>
        <w:bottom w:val="none" w:sz="0" w:space="0" w:color="auto"/>
        <w:right w:val="none" w:sz="0" w:space="0" w:color="auto"/>
      </w:divBdr>
    </w:div>
    <w:div w:id="630064423">
      <w:bodyDiv w:val="1"/>
      <w:marLeft w:val="0"/>
      <w:marRight w:val="0"/>
      <w:marTop w:val="0"/>
      <w:marBottom w:val="0"/>
      <w:divBdr>
        <w:top w:val="none" w:sz="0" w:space="0" w:color="auto"/>
        <w:left w:val="none" w:sz="0" w:space="0" w:color="auto"/>
        <w:bottom w:val="none" w:sz="0" w:space="0" w:color="auto"/>
        <w:right w:val="none" w:sz="0" w:space="0" w:color="auto"/>
      </w:divBdr>
    </w:div>
    <w:div w:id="643631566">
      <w:bodyDiv w:val="1"/>
      <w:marLeft w:val="0"/>
      <w:marRight w:val="0"/>
      <w:marTop w:val="0"/>
      <w:marBottom w:val="0"/>
      <w:divBdr>
        <w:top w:val="none" w:sz="0" w:space="0" w:color="auto"/>
        <w:left w:val="none" w:sz="0" w:space="0" w:color="auto"/>
        <w:bottom w:val="none" w:sz="0" w:space="0" w:color="auto"/>
        <w:right w:val="none" w:sz="0" w:space="0" w:color="auto"/>
      </w:divBdr>
    </w:div>
    <w:div w:id="658119521">
      <w:bodyDiv w:val="1"/>
      <w:marLeft w:val="0"/>
      <w:marRight w:val="0"/>
      <w:marTop w:val="0"/>
      <w:marBottom w:val="0"/>
      <w:divBdr>
        <w:top w:val="none" w:sz="0" w:space="0" w:color="auto"/>
        <w:left w:val="none" w:sz="0" w:space="0" w:color="auto"/>
        <w:bottom w:val="none" w:sz="0" w:space="0" w:color="auto"/>
        <w:right w:val="none" w:sz="0" w:space="0" w:color="auto"/>
      </w:divBdr>
      <w:divsChild>
        <w:div w:id="1735355821">
          <w:marLeft w:val="0"/>
          <w:marRight w:val="0"/>
          <w:marTop w:val="0"/>
          <w:marBottom w:val="0"/>
          <w:divBdr>
            <w:top w:val="none" w:sz="0" w:space="0" w:color="auto"/>
            <w:left w:val="none" w:sz="0" w:space="0" w:color="auto"/>
            <w:bottom w:val="none" w:sz="0" w:space="0" w:color="auto"/>
            <w:right w:val="none" w:sz="0" w:space="0" w:color="auto"/>
          </w:divBdr>
        </w:div>
      </w:divsChild>
    </w:div>
    <w:div w:id="690424281">
      <w:bodyDiv w:val="1"/>
      <w:marLeft w:val="0"/>
      <w:marRight w:val="0"/>
      <w:marTop w:val="0"/>
      <w:marBottom w:val="0"/>
      <w:divBdr>
        <w:top w:val="none" w:sz="0" w:space="0" w:color="auto"/>
        <w:left w:val="none" w:sz="0" w:space="0" w:color="auto"/>
        <w:bottom w:val="none" w:sz="0" w:space="0" w:color="auto"/>
        <w:right w:val="none" w:sz="0" w:space="0" w:color="auto"/>
      </w:divBdr>
    </w:div>
    <w:div w:id="718865256">
      <w:bodyDiv w:val="1"/>
      <w:marLeft w:val="0"/>
      <w:marRight w:val="0"/>
      <w:marTop w:val="0"/>
      <w:marBottom w:val="0"/>
      <w:divBdr>
        <w:top w:val="none" w:sz="0" w:space="0" w:color="auto"/>
        <w:left w:val="none" w:sz="0" w:space="0" w:color="auto"/>
        <w:bottom w:val="none" w:sz="0" w:space="0" w:color="auto"/>
        <w:right w:val="none" w:sz="0" w:space="0" w:color="auto"/>
      </w:divBdr>
    </w:div>
    <w:div w:id="720634814">
      <w:bodyDiv w:val="1"/>
      <w:marLeft w:val="0"/>
      <w:marRight w:val="0"/>
      <w:marTop w:val="0"/>
      <w:marBottom w:val="0"/>
      <w:divBdr>
        <w:top w:val="none" w:sz="0" w:space="0" w:color="auto"/>
        <w:left w:val="none" w:sz="0" w:space="0" w:color="auto"/>
        <w:bottom w:val="none" w:sz="0" w:space="0" w:color="auto"/>
        <w:right w:val="none" w:sz="0" w:space="0" w:color="auto"/>
      </w:divBdr>
    </w:div>
    <w:div w:id="726227833">
      <w:bodyDiv w:val="1"/>
      <w:marLeft w:val="0"/>
      <w:marRight w:val="0"/>
      <w:marTop w:val="0"/>
      <w:marBottom w:val="0"/>
      <w:divBdr>
        <w:top w:val="none" w:sz="0" w:space="0" w:color="auto"/>
        <w:left w:val="none" w:sz="0" w:space="0" w:color="auto"/>
        <w:bottom w:val="none" w:sz="0" w:space="0" w:color="auto"/>
        <w:right w:val="none" w:sz="0" w:space="0" w:color="auto"/>
      </w:divBdr>
    </w:div>
    <w:div w:id="736779477">
      <w:bodyDiv w:val="1"/>
      <w:marLeft w:val="0"/>
      <w:marRight w:val="0"/>
      <w:marTop w:val="0"/>
      <w:marBottom w:val="0"/>
      <w:divBdr>
        <w:top w:val="none" w:sz="0" w:space="0" w:color="auto"/>
        <w:left w:val="none" w:sz="0" w:space="0" w:color="auto"/>
        <w:bottom w:val="none" w:sz="0" w:space="0" w:color="auto"/>
        <w:right w:val="none" w:sz="0" w:space="0" w:color="auto"/>
      </w:divBdr>
    </w:div>
    <w:div w:id="751656612">
      <w:bodyDiv w:val="1"/>
      <w:marLeft w:val="0"/>
      <w:marRight w:val="0"/>
      <w:marTop w:val="0"/>
      <w:marBottom w:val="0"/>
      <w:divBdr>
        <w:top w:val="none" w:sz="0" w:space="0" w:color="auto"/>
        <w:left w:val="none" w:sz="0" w:space="0" w:color="auto"/>
        <w:bottom w:val="none" w:sz="0" w:space="0" w:color="auto"/>
        <w:right w:val="none" w:sz="0" w:space="0" w:color="auto"/>
      </w:divBdr>
    </w:div>
    <w:div w:id="821892855">
      <w:bodyDiv w:val="1"/>
      <w:marLeft w:val="0"/>
      <w:marRight w:val="0"/>
      <w:marTop w:val="0"/>
      <w:marBottom w:val="0"/>
      <w:divBdr>
        <w:top w:val="none" w:sz="0" w:space="0" w:color="auto"/>
        <w:left w:val="none" w:sz="0" w:space="0" w:color="auto"/>
        <w:bottom w:val="none" w:sz="0" w:space="0" w:color="auto"/>
        <w:right w:val="none" w:sz="0" w:space="0" w:color="auto"/>
      </w:divBdr>
    </w:div>
    <w:div w:id="884215962">
      <w:bodyDiv w:val="1"/>
      <w:marLeft w:val="0"/>
      <w:marRight w:val="0"/>
      <w:marTop w:val="0"/>
      <w:marBottom w:val="0"/>
      <w:divBdr>
        <w:top w:val="none" w:sz="0" w:space="0" w:color="auto"/>
        <w:left w:val="none" w:sz="0" w:space="0" w:color="auto"/>
        <w:bottom w:val="none" w:sz="0" w:space="0" w:color="auto"/>
        <w:right w:val="none" w:sz="0" w:space="0" w:color="auto"/>
      </w:divBdr>
    </w:div>
    <w:div w:id="935940558">
      <w:bodyDiv w:val="1"/>
      <w:marLeft w:val="0"/>
      <w:marRight w:val="0"/>
      <w:marTop w:val="0"/>
      <w:marBottom w:val="0"/>
      <w:divBdr>
        <w:top w:val="none" w:sz="0" w:space="0" w:color="auto"/>
        <w:left w:val="none" w:sz="0" w:space="0" w:color="auto"/>
        <w:bottom w:val="none" w:sz="0" w:space="0" w:color="auto"/>
        <w:right w:val="none" w:sz="0" w:space="0" w:color="auto"/>
      </w:divBdr>
    </w:div>
    <w:div w:id="1000041833">
      <w:bodyDiv w:val="1"/>
      <w:marLeft w:val="0"/>
      <w:marRight w:val="0"/>
      <w:marTop w:val="0"/>
      <w:marBottom w:val="0"/>
      <w:divBdr>
        <w:top w:val="none" w:sz="0" w:space="0" w:color="auto"/>
        <w:left w:val="none" w:sz="0" w:space="0" w:color="auto"/>
        <w:bottom w:val="none" w:sz="0" w:space="0" w:color="auto"/>
        <w:right w:val="none" w:sz="0" w:space="0" w:color="auto"/>
      </w:divBdr>
      <w:divsChild>
        <w:div w:id="1503738245">
          <w:marLeft w:val="480"/>
          <w:marRight w:val="0"/>
          <w:marTop w:val="0"/>
          <w:marBottom w:val="0"/>
          <w:divBdr>
            <w:top w:val="none" w:sz="0" w:space="0" w:color="auto"/>
            <w:left w:val="none" w:sz="0" w:space="0" w:color="auto"/>
            <w:bottom w:val="none" w:sz="0" w:space="0" w:color="auto"/>
            <w:right w:val="none" w:sz="0" w:space="0" w:color="auto"/>
          </w:divBdr>
          <w:divsChild>
            <w:div w:id="29513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403442">
      <w:bodyDiv w:val="1"/>
      <w:marLeft w:val="0"/>
      <w:marRight w:val="0"/>
      <w:marTop w:val="0"/>
      <w:marBottom w:val="0"/>
      <w:divBdr>
        <w:top w:val="none" w:sz="0" w:space="0" w:color="auto"/>
        <w:left w:val="none" w:sz="0" w:space="0" w:color="auto"/>
        <w:bottom w:val="none" w:sz="0" w:space="0" w:color="auto"/>
        <w:right w:val="none" w:sz="0" w:space="0" w:color="auto"/>
      </w:divBdr>
    </w:div>
    <w:div w:id="1017465476">
      <w:bodyDiv w:val="1"/>
      <w:marLeft w:val="0"/>
      <w:marRight w:val="0"/>
      <w:marTop w:val="0"/>
      <w:marBottom w:val="0"/>
      <w:divBdr>
        <w:top w:val="none" w:sz="0" w:space="0" w:color="auto"/>
        <w:left w:val="none" w:sz="0" w:space="0" w:color="auto"/>
        <w:bottom w:val="none" w:sz="0" w:space="0" w:color="auto"/>
        <w:right w:val="none" w:sz="0" w:space="0" w:color="auto"/>
      </w:divBdr>
      <w:divsChild>
        <w:div w:id="81411578">
          <w:marLeft w:val="0"/>
          <w:marRight w:val="0"/>
          <w:marTop w:val="0"/>
          <w:marBottom w:val="0"/>
          <w:divBdr>
            <w:top w:val="none" w:sz="0" w:space="0" w:color="auto"/>
            <w:left w:val="none" w:sz="0" w:space="0" w:color="auto"/>
            <w:bottom w:val="none" w:sz="0" w:space="0" w:color="auto"/>
            <w:right w:val="none" w:sz="0" w:space="0" w:color="auto"/>
          </w:divBdr>
        </w:div>
      </w:divsChild>
    </w:div>
    <w:div w:id="1065490294">
      <w:bodyDiv w:val="1"/>
      <w:marLeft w:val="0"/>
      <w:marRight w:val="0"/>
      <w:marTop w:val="0"/>
      <w:marBottom w:val="0"/>
      <w:divBdr>
        <w:top w:val="none" w:sz="0" w:space="0" w:color="auto"/>
        <w:left w:val="none" w:sz="0" w:space="0" w:color="auto"/>
        <w:bottom w:val="none" w:sz="0" w:space="0" w:color="auto"/>
        <w:right w:val="none" w:sz="0" w:space="0" w:color="auto"/>
      </w:divBdr>
    </w:div>
    <w:div w:id="1078212393">
      <w:bodyDiv w:val="1"/>
      <w:marLeft w:val="0"/>
      <w:marRight w:val="0"/>
      <w:marTop w:val="0"/>
      <w:marBottom w:val="0"/>
      <w:divBdr>
        <w:top w:val="none" w:sz="0" w:space="0" w:color="auto"/>
        <w:left w:val="none" w:sz="0" w:space="0" w:color="auto"/>
        <w:bottom w:val="none" w:sz="0" w:space="0" w:color="auto"/>
        <w:right w:val="none" w:sz="0" w:space="0" w:color="auto"/>
      </w:divBdr>
    </w:div>
    <w:div w:id="1083721017">
      <w:bodyDiv w:val="1"/>
      <w:marLeft w:val="0"/>
      <w:marRight w:val="0"/>
      <w:marTop w:val="0"/>
      <w:marBottom w:val="0"/>
      <w:divBdr>
        <w:top w:val="none" w:sz="0" w:space="0" w:color="auto"/>
        <w:left w:val="none" w:sz="0" w:space="0" w:color="auto"/>
        <w:bottom w:val="none" w:sz="0" w:space="0" w:color="auto"/>
        <w:right w:val="none" w:sz="0" w:space="0" w:color="auto"/>
      </w:divBdr>
    </w:div>
    <w:div w:id="1133868183">
      <w:bodyDiv w:val="1"/>
      <w:marLeft w:val="0"/>
      <w:marRight w:val="0"/>
      <w:marTop w:val="0"/>
      <w:marBottom w:val="0"/>
      <w:divBdr>
        <w:top w:val="none" w:sz="0" w:space="0" w:color="auto"/>
        <w:left w:val="none" w:sz="0" w:space="0" w:color="auto"/>
        <w:bottom w:val="none" w:sz="0" w:space="0" w:color="auto"/>
        <w:right w:val="none" w:sz="0" w:space="0" w:color="auto"/>
      </w:divBdr>
    </w:div>
    <w:div w:id="1144469266">
      <w:bodyDiv w:val="1"/>
      <w:marLeft w:val="0"/>
      <w:marRight w:val="0"/>
      <w:marTop w:val="0"/>
      <w:marBottom w:val="0"/>
      <w:divBdr>
        <w:top w:val="none" w:sz="0" w:space="0" w:color="auto"/>
        <w:left w:val="none" w:sz="0" w:space="0" w:color="auto"/>
        <w:bottom w:val="none" w:sz="0" w:space="0" w:color="auto"/>
        <w:right w:val="none" w:sz="0" w:space="0" w:color="auto"/>
      </w:divBdr>
    </w:div>
    <w:div w:id="1176849914">
      <w:bodyDiv w:val="1"/>
      <w:marLeft w:val="0"/>
      <w:marRight w:val="0"/>
      <w:marTop w:val="0"/>
      <w:marBottom w:val="0"/>
      <w:divBdr>
        <w:top w:val="none" w:sz="0" w:space="0" w:color="auto"/>
        <w:left w:val="none" w:sz="0" w:space="0" w:color="auto"/>
        <w:bottom w:val="none" w:sz="0" w:space="0" w:color="auto"/>
        <w:right w:val="none" w:sz="0" w:space="0" w:color="auto"/>
      </w:divBdr>
    </w:div>
    <w:div w:id="1262179721">
      <w:bodyDiv w:val="1"/>
      <w:marLeft w:val="0"/>
      <w:marRight w:val="0"/>
      <w:marTop w:val="0"/>
      <w:marBottom w:val="0"/>
      <w:divBdr>
        <w:top w:val="none" w:sz="0" w:space="0" w:color="auto"/>
        <w:left w:val="none" w:sz="0" w:space="0" w:color="auto"/>
        <w:bottom w:val="none" w:sz="0" w:space="0" w:color="auto"/>
        <w:right w:val="none" w:sz="0" w:space="0" w:color="auto"/>
      </w:divBdr>
    </w:div>
    <w:div w:id="1313750682">
      <w:bodyDiv w:val="1"/>
      <w:marLeft w:val="0"/>
      <w:marRight w:val="0"/>
      <w:marTop w:val="0"/>
      <w:marBottom w:val="0"/>
      <w:divBdr>
        <w:top w:val="none" w:sz="0" w:space="0" w:color="auto"/>
        <w:left w:val="none" w:sz="0" w:space="0" w:color="auto"/>
        <w:bottom w:val="none" w:sz="0" w:space="0" w:color="auto"/>
        <w:right w:val="none" w:sz="0" w:space="0" w:color="auto"/>
      </w:divBdr>
      <w:divsChild>
        <w:div w:id="1188786376">
          <w:marLeft w:val="480"/>
          <w:marRight w:val="0"/>
          <w:marTop w:val="0"/>
          <w:marBottom w:val="0"/>
          <w:divBdr>
            <w:top w:val="none" w:sz="0" w:space="0" w:color="auto"/>
            <w:left w:val="none" w:sz="0" w:space="0" w:color="auto"/>
            <w:bottom w:val="none" w:sz="0" w:space="0" w:color="auto"/>
            <w:right w:val="none" w:sz="0" w:space="0" w:color="auto"/>
          </w:divBdr>
          <w:divsChild>
            <w:div w:id="1299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83513">
      <w:bodyDiv w:val="1"/>
      <w:marLeft w:val="0"/>
      <w:marRight w:val="0"/>
      <w:marTop w:val="0"/>
      <w:marBottom w:val="0"/>
      <w:divBdr>
        <w:top w:val="none" w:sz="0" w:space="0" w:color="auto"/>
        <w:left w:val="none" w:sz="0" w:space="0" w:color="auto"/>
        <w:bottom w:val="none" w:sz="0" w:space="0" w:color="auto"/>
        <w:right w:val="none" w:sz="0" w:space="0" w:color="auto"/>
      </w:divBdr>
    </w:div>
    <w:div w:id="1358460016">
      <w:bodyDiv w:val="1"/>
      <w:marLeft w:val="0"/>
      <w:marRight w:val="0"/>
      <w:marTop w:val="0"/>
      <w:marBottom w:val="0"/>
      <w:divBdr>
        <w:top w:val="none" w:sz="0" w:space="0" w:color="auto"/>
        <w:left w:val="none" w:sz="0" w:space="0" w:color="auto"/>
        <w:bottom w:val="none" w:sz="0" w:space="0" w:color="auto"/>
        <w:right w:val="none" w:sz="0" w:space="0" w:color="auto"/>
      </w:divBdr>
    </w:div>
    <w:div w:id="1383021479">
      <w:bodyDiv w:val="1"/>
      <w:marLeft w:val="0"/>
      <w:marRight w:val="0"/>
      <w:marTop w:val="0"/>
      <w:marBottom w:val="0"/>
      <w:divBdr>
        <w:top w:val="none" w:sz="0" w:space="0" w:color="auto"/>
        <w:left w:val="none" w:sz="0" w:space="0" w:color="auto"/>
        <w:bottom w:val="none" w:sz="0" w:space="0" w:color="auto"/>
        <w:right w:val="none" w:sz="0" w:space="0" w:color="auto"/>
      </w:divBdr>
    </w:div>
    <w:div w:id="1407216891">
      <w:bodyDiv w:val="1"/>
      <w:marLeft w:val="0"/>
      <w:marRight w:val="0"/>
      <w:marTop w:val="0"/>
      <w:marBottom w:val="0"/>
      <w:divBdr>
        <w:top w:val="none" w:sz="0" w:space="0" w:color="auto"/>
        <w:left w:val="none" w:sz="0" w:space="0" w:color="auto"/>
        <w:bottom w:val="none" w:sz="0" w:space="0" w:color="auto"/>
        <w:right w:val="none" w:sz="0" w:space="0" w:color="auto"/>
      </w:divBdr>
    </w:div>
    <w:div w:id="1412042319">
      <w:bodyDiv w:val="1"/>
      <w:marLeft w:val="0"/>
      <w:marRight w:val="0"/>
      <w:marTop w:val="0"/>
      <w:marBottom w:val="0"/>
      <w:divBdr>
        <w:top w:val="none" w:sz="0" w:space="0" w:color="auto"/>
        <w:left w:val="none" w:sz="0" w:space="0" w:color="auto"/>
        <w:bottom w:val="none" w:sz="0" w:space="0" w:color="auto"/>
        <w:right w:val="none" w:sz="0" w:space="0" w:color="auto"/>
      </w:divBdr>
    </w:div>
    <w:div w:id="1425998147">
      <w:bodyDiv w:val="1"/>
      <w:marLeft w:val="0"/>
      <w:marRight w:val="0"/>
      <w:marTop w:val="0"/>
      <w:marBottom w:val="0"/>
      <w:divBdr>
        <w:top w:val="none" w:sz="0" w:space="0" w:color="auto"/>
        <w:left w:val="none" w:sz="0" w:space="0" w:color="auto"/>
        <w:bottom w:val="none" w:sz="0" w:space="0" w:color="auto"/>
        <w:right w:val="none" w:sz="0" w:space="0" w:color="auto"/>
      </w:divBdr>
    </w:div>
    <w:div w:id="1439176597">
      <w:bodyDiv w:val="1"/>
      <w:marLeft w:val="0"/>
      <w:marRight w:val="0"/>
      <w:marTop w:val="0"/>
      <w:marBottom w:val="0"/>
      <w:divBdr>
        <w:top w:val="none" w:sz="0" w:space="0" w:color="auto"/>
        <w:left w:val="none" w:sz="0" w:space="0" w:color="auto"/>
        <w:bottom w:val="none" w:sz="0" w:space="0" w:color="auto"/>
        <w:right w:val="none" w:sz="0" w:space="0" w:color="auto"/>
      </w:divBdr>
    </w:div>
    <w:div w:id="1462771693">
      <w:bodyDiv w:val="1"/>
      <w:marLeft w:val="0"/>
      <w:marRight w:val="0"/>
      <w:marTop w:val="0"/>
      <w:marBottom w:val="0"/>
      <w:divBdr>
        <w:top w:val="none" w:sz="0" w:space="0" w:color="auto"/>
        <w:left w:val="none" w:sz="0" w:space="0" w:color="auto"/>
        <w:bottom w:val="none" w:sz="0" w:space="0" w:color="auto"/>
        <w:right w:val="none" w:sz="0" w:space="0" w:color="auto"/>
      </w:divBdr>
    </w:div>
    <w:div w:id="1537622710">
      <w:bodyDiv w:val="1"/>
      <w:marLeft w:val="0"/>
      <w:marRight w:val="0"/>
      <w:marTop w:val="0"/>
      <w:marBottom w:val="0"/>
      <w:divBdr>
        <w:top w:val="none" w:sz="0" w:space="0" w:color="auto"/>
        <w:left w:val="none" w:sz="0" w:space="0" w:color="auto"/>
        <w:bottom w:val="none" w:sz="0" w:space="0" w:color="auto"/>
        <w:right w:val="none" w:sz="0" w:space="0" w:color="auto"/>
      </w:divBdr>
    </w:div>
    <w:div w:id="1602949849">
      <w:bodyDiv w:val="1"/>
      <w:marLeft w:val="0"/>
      <w:marRight w:val="0"/>
      <w:marTop w:val="0"/>
      <w:marBottom w:val="0"/>
      <w:divBdr>
        <w:top w:val="none" w:sz="0" w:space="0" w:color="auto"/>
        <w:left w:val="none" w:sz="0" w:space="0" w:color="auto"/>
        <w:bottom w:val="none" w:sz="0" w:space="0" w:color="auto"/>
        <w:right w:val="none" w:sz="0" w:space="0" w:color="auto"/>
      </w:divBdr>
      <w:divsChild>
        <w:div w:id="1528445231">
          <w:marLeft w:val="0"/>
          <w:marRight w:val="0"/>
          <w:marTop w:val="0"/>
          <w:marBottom w:val="0"/>
          <w:divBdr>
            <w:top w:val="none" w:sz="0" w:space="0" w:color="auto"/>
            <w:left w:val="none" w:sz="0" w:space="0" w:color="auto"/>
            <w:bottom w:val="none" w:sz="0" w:space="0" w:color="auto"/>
            <w:right w:val="none" w:sz="0" w:space="0" w:color="auto"/>
          </w:divBdr>
          <w:divsChild>
            <w:div w:id="609356810">
              <w:marLeft w:val="0"/>
              <w:marRight w:val="0"/>
              <w:marTop w:val="0"/>
              <w:marBottom w:val="0"/>
              <w:divBdr>
                <w:top w:val="none" w:sz="0" w:space="0" w:color="auto"/>
                <w:left w:val="none" w:sz="0" w:space="0" w:color="auto"/>
                <w:bottom w:val="none" w:sz="0" w:space="0" w:color="auto"/>
                <w:right w:val="none" w:sz="0" w:space="0" w:color="auto"/>
              </w:divBdr>
              <w:divsChild>
                <w:div w:id="5410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7808">
      <w:bodyDiv w:val="1"/>
      <w:marLeft w:val="0"/>
      <w:marRight w:val="0"/>
      <w:marTop w:val="0"/>
      <w:marBottom w:val="0"/>
      <w:divBdr>
        <w:top w:val="none" w:sz="0" w:space="0" w:color="auto"/>
        <w:left w:val="none" w:sz="0" w:space="0" w:color="auto"/>
        <w:bottom w:val="none" w:sz="0" w:space="0" w:color="auto"/>
        <w:right w:val="none" w:sz="0" w:space="0" w:color="auto"/>
      </w:divBdr>
    </w:div>
    <w:div w:id="1683580977">
      <w:bodyDiv w:val="1"/>
      <w:marLeft w:val="0"/>
      <w:marRight w:val="0"/>
      <w:marTop w:val="0"/>
      <w:marBottom w:val="0"/>
      <w:divBdr>
        <w:top w:val="none" w:sz="0" w:space="0" w:color="auto"/>
        <w:left w:val="none" w:sz="0" w:space="0" w:color="auto"/>
        <w:bottom w:val="none" w:sz="0" w:space="0" w:color="auto"/>
        <w:right w:val="none" w:sz="0" w:space="0" w:color="auto"/>
      </w:divBdr>
    </w:div>
    <w:div w:id="1690568590">
      <w:bodyDiv w:val="1"/>
      <w:marLeft w:val="0"/>
      <w:marRight w:val="0"/>
      <w:marTop w:val="0"/>
      <w:marBottom w:val="0"/>
      <w:divBdr>
        <w:top w:val="none" w:sz="0" w:space="0" w:color="auto"/>
        <w:left w:val="none" w:sz="0" w:space="0" w:color="auto"/>
        <w:bottom w:val="none" w:sz="0" w:space="0" w:color="auto"/>
        <w:right w:val="none" w:sz="0" w:space="0" w:color="auto"/>
      </w:divBdr>
    </w:div>
    <w:div w:id="1737168357">
      <w:bodyDiv w:val="1"/>
      <w:marLeft w:val="0"/>
      <w:marRight w:val="0"/>
      <w:marTop w:val="0"/>
      <w:marBottom w:val="0"/>
      <w:divBdr>
        <w:top w:val="none" w:sz="0" w:space="0" w:color="auto"/>
        <w:left w:val="none" w:sz="0" w:space="0" w:color="auto"/>
        <w:bottom w:val="none" w:sz="0" w:space="0" w:color="auto"/>
        <w:right w:val="none" w:sz="0" w:space="0" w:color="auto"/>
      </w:divBdr>
    </w:div>
    <w:div w:id="1798177446">
      <w:bodyDiv w:val="1"/>
      <w:marLeft w:val="0"/>
      <w:marRight w:val="0"/>
      <w:marTop w:val="0"/>
      <w:marBottom w:val="0"/>
      <w:divBdr>
        <w:top w:val="none" w:sz="0" w:space="0" w:color="auto"/>
        <w:left w:val="none" w:sz="0" w:space="0" w:color="auto"/>
        <w:bottom w:val="none" w:sz="0" w:space="0" w:color="auto"/>
        <w:right w:val="none" w:sz="0" w:space="0" w:color="auto"/>
      </w:divBdr>
    </w:div>
    <w:div w:id="1825582207">
      <w:bodyDiv w:val="1"/>
      <w:marLeft w:val="0"/>
      <w:marRight w:val="0"/>
      <w:marTop w:val="0"/>
      <w:marBottom w:val="0"/>
      <w:divBdr>
        <w:top w:val="none" w:sz="0" w:space="0" w:color="auto"/>
        <w:left w:val="none" w:sz="0" w:space="0" w:color="auto"/>
        <w:bottom w:val="none" w:sz="0" w:space="0" w:color="auto"/>
        <w:right w:val="none" w:sz="0" w:space="0" w:color="auto"/>
      </w:divBdr>
    </w:div>
    <w:div w:id="1842311090">
      <w:bodyDiv w:val="1"/>
      <w:marLeft w:val="0"/>
      <w:marRight w:val="0"/>
      <w:marTop w:val="0"/>
      <w:marBottom w:val="0"/>
      <w:divBdr>
        <w:top w:val="none" w:sz="0" w:space="0" w:color="auto"/>
        <w:left w:val="none" w:sz="0" w:space="0" w:color="auto"/>
        <w:bottom w:val="none" w:sz="0" w:space="0" w:color="auto"/>
        <w:right w:val="none" w:sz="0" w:space="0" w:color="auto"/>
      </w:divBdr>
      <w:divsChild>
        <w:div w:id="408622398">
          <w:marLeft w:val="480"/>
          <w:marRight w:val="0"/>
          <w:marTop w:val="0"/>
          <w:marBottom w:val="0"/>
          <w:divBdr>
            <w:top w:val="none" w:sz="0" w:space="0" w:color="auto"/>
            <w:left w:val="none" w:sz="0" w:space="0" w:color="auto"/>
            <w:bottom w:val="none" w:sz="0" w:space="0" w:color="auto"/>
            <w:right w:val="none" w:sz="0" w:space="0" w:color="auto"/>
          </w:divBdr>
          <w:divsChild>
            <w:div w:id="480774831">
              <w:marLeft w:val="0"/>
              <w:marRight w:val="0"/>
              <w:marTop w:val="0"/>
              <w:marBottom w:val="0"/>
              <w:divBdr>
                <w:top w:val="none" w:sz="0" w:space="0" w:color="auto"/>
                <w:left w:val="none" w:sz="0" w:space="0" w:color="auto"/>
                <w:bottom w:val="none" w:sz="0" w:space="0" w:color="auto"/>
                <w:right w:val="none" w:sz="0" w:space="0" w:color="auto"/>
              </w:divBdr>
            </w:div>
            <w:div w:id="179864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3041">
      <w:bodyDiv w:val="1"/>
      <w:marLeft w:val="0"/>
      <w:marRight w:val="0"/>
      <w:marTop w:val="0"/>
      <w:marBottom w:val="0"/>
      <w:divBdr>
        <w:top w:val="none" w:sz="0" w:space="0" w:color="auto"/>
        <w:left w:val="none" w:sz="0" w:space="0" w:color="auto"/>
        <w:bottom w:val="none" w:sz="0" w:space="0" w:color="auto"/>
        <w:right w:val="none" w:sz="0" w:space="0" w:color="auto"/>
      </w:divBdr>
    </w:div>
    <w:div w:id="1870102182">
      <w:bodyDiv w:val="1"/>
      <w:marLeft w:val="0"/>
      <w:marRight w:val="0"/>
      <w:marTop w:val="0"/>
      <w:marBottom w:val="0"/>
      <w:divBdr>
        <w:top w:val="none" w:sz="0" w:space="0" w:color="auto"/>
        <w:left w:val="none" w:sz="0" w:space="0" w:color="auto"/>
        <w:bottom w:val="none" w:sz="0" w:space="0" w:color="auto"/>
        <w:right w:val="none" w:sz="0" w:space="0" w:color="auto"/>
      </w:divBdr>
    </w:div>
    <w:div w:id="1916470470">
      <w:bodyDiv w:val="1"/>
      <w:marLeft w:val="0"/>
      <w:marRight w:val="0"/>
      <w:marTop w:val="0"/>
      <w:marBottom w:val="0"/>
      <w:divBdr>
        <w:top w:val="none" w:sz="0" w:space="0" w:color="auto"/>
        <w:left w:val="none" w:sz="0" w:space="0" w:color="auto"/>
        <w:bottom w:val="none" w:sz="0" w:space="0" w:color="auto"/>
        <w:right w:val="none" w:sz="0" w:space="0" w:color="auto"/>
      </w:divBdr>
    </w:div>
    <w:div w:id="1932425020">
      <w:bodyDiv w:val="1"/>
      <w:marLeft w:val="0"/>
      <w:marRight w:val="0"/>
      <w:marTop w:val="0"/>
      <w:marBottom w:val="0"/>
      <w:divBdr>
        <w:top w:val="none" w:sz="0" w:space="0" w:color="auto"/>
        <w:left w:val="none" w:sz="0" w:space="0" w:color="auto"/>
        <w:bottom w:val="none" w:sz="0" w:space="0" w:color="auto"/>
        <w:right w:val="none" w:sz="0" w:space="0" w:color="auto"/>
      </w:divBdr>
      <w:divsChild>
        <w:div w:id="628559903">
          <w:marLeft w:val="0"/>
          <w:marRight w:val="0"/>
          <w:marTop w:val="0"/>
          <w:marBottom w:val="0"/>
          <w:divBdr>
            <w:top w:val="none" w:sz="0" w:space="0" w:color="auto"/>
            <w:left w:val="none" w:sz="0" w:space="0" w:color="auto"/>
            <w:bottom w:val="none" w:sz="0" w:space="0" w:color="auto"/>
            <w:right w:val="none" w:sz="0" w:space="0" w:color="auto"/>
          </w:divBdr>
        </w:div>
      </w:divsChild>
    </w:div>
    <w:div w:id="2042123210">
      <w:bodyDiv w:val="1"/>
      <w:marLeft w:val="0"/>
      <w:marRight w:val="0"/>
      <w:marTop w:val="0"/>
      <w:marBottom w:val="0"/>
      <w:divBdr>
        <w:top w:val="none" w:sz="0" w:space="0" w:color="auto"/>
        <w:left w:val="none" w:sz="0" w:space="0" w:color="auto"/>
        <w:bottom w:val="none" w:sz="0" w:space="0" w:color="auto"/>
        <w:right w:val="none" w:sz="0" w:space="0" w:color="auto"/>
      </w:divBdr>
    </w:div>
    <w:div w:id="2052918536">
      <w:bodyDiv w:val="1"/>
      <w:marLeft w:val="0"/>
      <w:marRight w:val="0"/>
      <w:marTop w:val="0"/>
      <w:marBottom w:val="0"/>
      <w:divBdr>
        <w:top w:val="none" w:sz="0" w:space="0" w:color="auto"/>
        <w:left w:val="none" w:sz="0" w:space="0" w:color="auto"/>
        <w:bottom w:val="none" w:sz="0" w:space="0" w:color="auto"/>
        <w:right w:val="none" w:sz="0" w:space="0" w:color="auto"/>
      </w:divBdr>
      <w:divsChild>
        <w:div w:id="192428419">
          <w:marLeft w:val="0"/>
          <w:marRight w:val="0"/>
          <w:marTop w:val="0"/>
          <w:marBottom w:val="0"/>
          <w:divBdr>
            <w:top w:val="none" w:sz="0" w:space="0" w:color="auto"/>
            <w:left w:val="none" w:sz="0" w:space="0" w:color="auto"/>
            <w:bottom w:val="none" w:sz="0" w:space="0" w:color="auto"/>
            <w:right w:val="none" w:sz="0" w:space="0" w:color="auto"/>
          </w:divBdr>
          <w:divsChild>
            <w:div w:id="2022269322">
              <w:marLeft w:val="0"/>
              <w:marRight w:val="0"/>
              <w:marTop w:val="0"/>
              <w:marBottom w:val="0"/>
              <w:divBdr>
                <w:top w:val="none" w:sz="0" w:space="0" w:color="auto"/>
                <w:left w:val="none" w:sz="0" w:space="0" w:color="auto"/>
                <w:bottom w:val="none" w:sz="0" w:space="0" w:color="auto"/>
                <w:right w:val="none" w:sz="0" w:space="0" w:color="auto"/>
              </w:divBdr>
              <w:divsChild>
                <w:div w:id="1871987590">
                  <w:marLeft w:val="0"/>
                  <w:marRight w:val="0"/>
                  <w:marTop w:val="0"/>
                  <w:marBottom w:val="0"/>
                  <w:divBdr>
                    <w:top w:val="none" w:sz="0" w:space="0" w:color="auto"/>
                    <w:left w:val="none" w:sz="0" w:space="0" w:color="auto"/>
                    <w:bottom w:val="none" w:sz="0" w:space="0" w:color="auto"/>
                    <w:right w:val="none" w:sz="0" w:space="0" w:color="auto"/>
                  </w:divBdr>
                  <w:divsChild>
                    <w:div w:id="110338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88570">
      <w:bodyDiv w:val="1"/>
      <w:marLeft w:val="0"/>
      <w:marRight w:val="0"/>
      <w:marTop w:val="0"/>
      <w:marBottom w:val="0"/>
      <w:divBdr>
        <w:top w:val="none" w:sz="0" w:space="0" w:color="auto"/>
        <w:left w:val="none" w:sz="0" w:space="0" w:color="auto"/>
        <w:bottom w:val="none" w:sz="0" w:space="0" w:color="auto"/>
        <w:right w:val="none" w:sz="0" w:space="0" w:color="auto"/>
      </w:divBdr>
    </w:div>
    <w:div w:id="213104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jfr3.1246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ijc.org/en/great-lakes-st-lawrence-river"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Edmund@penningrowse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2FF4D-00D3-4D7A-9548-D6B325CA9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25305</Words>
  <Characters>144239</Characters>
  <Application>Microsoft Office Word</Application>
  <DocSecurity>4</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Josie Joyce</cp:lastModifiedBy>
  <cp:revision>2</cp:revision>
  <cp:lastPrinted>2020-09-23T09:42:00Z</cp:lastPrinted>
  <dcterms:created xsi:type="dcterms:W3CDTF">2020-10-16T13:50:00Z</dcterms:created>
  <dcterms:modified xsi:type="dcterms:W3CDTF">2020-10-16T13:50:00Z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id="068VnmKg"/&gt;&lt;style id="http://www.zotero.org/styles/harvard-imperial-college-london" hasBibliography="1" bibliographyStyleHasBeenSet="1"/&gt;&lt;prefs&gt;&lt;pref name="fieldType" value="Field"/&gt;&lt;pref name="a</vt:lpwstr>
  </property>
  <property fmtid="{D5CDD505-2E9C-101B-9397-08002B2CF9AE}" pid="3" name="ZOTERO_PREF_2">
    <vt:lpwstr>utomaticJournalAbbreviations" value="true"/&gt;&lt;pref name="dontAskDelayCitationUpdates" value="true"/&gt;&lt;/prefs&gt;&lt;/data&gt;</vt:lpwstr>
  </property>
</Properties>
</file>