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66" w:rsidRDefault="00083DB7" w:rsidP="00C31D7B">
      <w:pPr>
        <w:spacing w:after="120"/>
        <w:jc w:val="center"/>
        <w:rPr>
          <w:b/>
          <w:bCs/>
          <w:sz w:val="28"/>
          <w:szCs w:val="28"/>
          <w:lang w:val="en-GB"/>
        </w:rPr>
      </w:pPr>
      <w:r>
        <w:rPr>
          <w:b/>
          <w:bCs/>
          <w:sz w:val="28"/>
          <w:szCs w:val="28"/>
          <w:lang w:val="en-GB"/>
        </w:rPr>
        <w:t>Preprint version</w:t>
      </w:r>
    </w:p>
    <w:p w:rsidR="00E23666" w:rsidRDefault="00E23666" w:rsidP="00C31D7B">
      <w:pPr>
        <w:spacing w:after="120"/>
        <w:jc w:val="center"/>
        <w:rPr>
          <w:b/>
          <w:bCs/>
          <w:sz w:val="28"/>
          <w:szCs w:val="28"/>
          <w:lang w:val="en-GB"/>
        </w:rPr>
      </w:pPr>
      <w:bookmarkStart w:id="0" w:name="_GoBack"/>
      <w:bookmarkEnd w:id="0"/>
    </w:p>
    <w:p w:rsidR="00C31D7B" w:rsidRPr="0095050D" w:rsidRDefault="00C31D7B" w:rsidP="00C31D7B">
      <w:pPr>
        <w:spacing w:after="120"/>
        <w:jc w:val="center"/>
        <w:rPr>
          <w:b/>
          <w:bCs/>
          <w:sz w:val="28"/>
          <w:szCs w:val="28"/>
          <w:lang w:val="en-GB"/>
        </w:rPr>
      </w:pPr>
      <w:r w:rsidRPr="0095050D">
        <w:rPr>
          <w:b/>
          <w:bCs/>
          <w:sz w:val="28"/>
          <w:szCs w:val="28"/>
          <w:lang w:val="en-GB"/>
        </w:rPr>
        <w:t>CAN THE PERFORMANCE EFFECT BE IGNORED IN THE ATTENDANCE POLICY DISCUSSION?</w:t>
      </w:r>
    </w:p>
    <w:p w:rsidR="00C31D7B" w:rsidRPr="0095050D" w:rsidRDefault="00C31D7B" w:rsidP="00C31D7B">
      <w:pPr>
        <w:spacing w:after="120" w:line="240" w:lineRule="auto"/>
        <w:jc w:val="center"/>
        <w:rPr>
          <w:bCs/>
          <w:sz w:val="28"/>
          <w:szCs w:val="28"/>
          <w:lang w:val="en-GB"/>
        </w:rPr>
      </w:pPr>
    </w:p>
    <w:p w:rsidR="00C31D7B" w:rsidRPr="0095050D" w:rsidRDefault="00C31D7B" w:rsidP="00C31D7B">
      <w:pPr>
        <w:spacing w:after="120" w:line="240" w:lineRule="auto"/>
        <w:jc w:val="center"/>
        <w:rPr>
          <w:bCs/>
          <w:sz w:val="28"/>
          <w:szCs w:val="28"/>
          <w:lang w:val="en-GB"/>
        </w:rPr>
      </w:pPr>
      <w:r w:rsidRPr="0095050D">
        <w:rPr>
          <w:bCs/>
          <w:sz w:val="28"/>
          <w:szCs w:val="28"/>
          <w:lang w:val="en-GB"/>
        </w:rPr>
        <w:t>Kristian J. Sund*</w:t>
      </w:r>
    </w:p>
    <w:p w:rsidR="00C31D7B" w:rsidRPr="0095050D" w:rsidRDefault="00C31D7B" w:rsidP="00C31D7B">
      <w:pPr>
        <w:spacing w:after="120" w:line="240" w:lineRule="auto"/>
        <w:jc w:val="center"/>
        <w:rPr>
          <w:bCs/>
          <w:sz w:val="28"/>
          <w:szCs w:val="28"/>
          <w:lang w:val="en-GB"/>
        </w:rPr>
      </w:pPr>
      <w:r w:rsidRPr="0095050D">
        <w:rPr>
          <w:bCs/>
          <w:sz w:val="28"/>
          <w:szCs w:val="28"/>
          <w:lang w:val="en-GB"/>
        </w:rPr>
        <w:t>&amp;</w:t>
      </w:r>
    </w:p>
    <w:p w:rsidR="00C31D7B" w:rsidRPr="0095050D" w:rsidRDefault="00C31D7B" w:rsidP="00C31D7B">
      <w:pPr>
        <w:spacing w:after="120" w:line="240" w:lineRule="auto"/>
        <w:jc w:val="center"/>
        <w:rPr>
          <w:bCs/>
          <w:sz w:val="28"/>
          <w:szCs w:val="28"/>
          <w:lang w:val="en-GB"/>
        </w:rPr>
      </w:pPr>
      <w:r w:rsidRPr="0095050D">
        <w:rPr>
          <w:bCs/>
          <w:sz w:val="28"/>
          <w:szCs w:val="28"/>
          <w:lang w:val="en-GB"/>
        </w:rPr>
        <w:t>Stephane Bignoux</w:t>
      </w:r>
    </w:p>
    <w:p w:rsidR="00C31D7B" w:rsidRPr="0095050D" w:rsidRDefault="00C31D7B" w:rsidP="00C31D7B">
      <w:pPr>
        <w:spacing w:line="240" w:lineRule="auto"/>
        <w:rPr>
          <w:b/>
          <w:bCs/>
          <w:lang w:val="en-GB"/>
        </w:rPr>
      </w:pPr>
    </w:p>
    <w:p w:rsidR="00C31D7B" w:rsidRPr="0095050D" w:rsidRDefault="00C31D7B" w:rsidP="00C31D7B">
      <w:pPr>
        <w:spacing w:line="240" w:lineRule="auto"/>
        <w:rPr>
          <w:b/>
          <w:bCs/>
          <w:lang w:val="en-GB"/>
        </w:rPr>
      </w:pPr>
    </w:p>
    <w:p w:rsidR="00C31D7B" w:rsidRPr="0095050D" w:rsidRDefault="00C31D7B" w:rsidP="00C31D7B">
      <w:pPr>
        <w:spacing w:line="240" w:lineRule="auto"/>
        <w:rPr>
          <w:b/>
          <w:bCs/>
          <w:lang w:val="en-GB"/>
        </w:rPr>
      </w:pPr>
    </w:p>
    <w:p w:rsidR="00C31D7B" w:rsidRPr="0095050D" w:rsidRDefault="00C31D7B" w:rsidP="00C31D7B">
      <w:pPr>
        <w:spacing w:line="240" w:lineRule="auto"/>
        <w:rPr>
          <w:bCs/>
          <w:lang w:val="en-GB"/>
        </w:rPr>
      </w:pPr>
      <w:r w:rsidRPr="0095050D">
        <w:rPr>
          <w:bCs/>
          <w:lang w:val="en-GB"/>
        </w:rPr>
        <w:t>*Kristian J. Sund</w:t>
      </w:r>
    </w:p>
    <w:p w:rsidR="00C31D7B" w:rsidRPr="0095050D" w:rsidRDefault="00C31D7B" w:rsidP="00C31D7B">
      <w:pPr>
        <w:spacing w:line="240" w:lineRule="auto"/>
        <w:rPr>
          <w:bCs/>
          <w:lang w:val="en-GB"/>
        </w:rPr>
      </w:pPr>
      <w:r w:rsidRPr="0095050D">
        <w:rPr>
          <w:bCs/>
          <w:lang w:val="en-GB"/>
        </w:rPr>
        <w:t>Roskilde University</w:t>
      </w:r>
    </w:p>
    <w:p w:rsidR="00C31D7B" w:rsidRPr="0095050D" w:rsidRDefault="00C31D7B" w:rsidP="00C31D7B">
      <w:pPr>
        <w:spacing w:line="240" w:lineRule="auto"/>
        <w:rPr>
          <w:bCs/>
          <w:lang w:val="en-GB"/>
        </w:rPr>
      </w:pPr>
      <w:r w:rsidRPr="0095050D">
        <w:rPr>
          <w:bCs/>
          <w:lang w:val="en-GB"/>
        </w:rPr>
        <w:t>Department of Social Sciences and Business</w:t>
      </w:r>
    </w:p>
    <w:p w:rsidR="00C31D7B" w:rsidRPr="00671622" w:rsidRDefault="00C31D7B" w:rsidP="00C31D7B">
      <w:pPr>
        <w:spacing w:line="240" w:lineRule="auto"/>
        <w:rPr>
          <w:bCs/>
          <w:lang w:val="da-DK"/>
        </w:rPr>
      </w:pPr>
      <w:r w:rsidRPr="00671622">
        <w:rPr>
          <w:bCs/>
          <w:lang w:val="da-DK"/>
        </w:rPr>
        <w:t>Universitetsvej 1</w:t>
      </w:r>
    </w:p>
    <w:p w:rsidR="00C31D7B" w:rsidRPr="00671622" w:rsidRDefault="00C31D7B" w:rsidP="00C31D7B">
      <w:pPr>
        <w:spacing w:line="240" w:lineRule="auto"/>
        <w:rPr>
          <w:bCs/>
          <w:lang w:val="da-DK"/>
        </w:rPr>
      </w:pPr>
      <w:r w:rsidRPr="00671622">
        <w:rPr>
          <w:bCs/>
          <w:lang w:val="da-DK"/>
        </w:rPr>
        <w:t>4000 Roskilde</w:t>
      </w:r>
    </w:p>
    <w:p w:rsidR="00C31D7B" w:rsidRPr="00671622" w:rsidRDefault="00C31D7B" w:rsidP="00C31D7B">
      <w:pPr>
        <w:spacing w:line="240" w:lineRule="auto"/>
        <w:rPr>
          <w:bCs/>
          <w:lang w:val="da-DK"/>
        </w:rPr>
      </w:pPr>
      <w:r w:rsidRPr="00671622">
        <w:rPr>
          <w:bCs/>
          <w:lang w:val="da-DK"/>
        </w:rPr>
        <w:t>Denmark</w:t>
      </w:r>
    </w:p>
    <w:p w:rsidR="00C31D7B" w:rsidRPr="00671622" w:rsidRDefault="00C31D7B" w:rsidP="00C31D7B">
      <w:pPr>
        <w:spacing w:line="240" w:lineRule="auto"/>
        <w:rPr>
          <w:bCs/>
          <w:lang w:val="da-DK"/>
        </w:rPr>
      </w:pPr>
      <w:r w:rsidRPr="00671622">
        <w:rPr>
          <w:bCs/>
          <w:lang w:val="da-DK"/>
        </w:rPr>
        <w:t>Email: sund@ruc.dk</w:t>
      </w:r>
    </w:p>
    <w:p w:rsidR="00C31D7B" w:rsidRPr="0095050D" w:rsidRDefault="00C31D7B" w:rsidP="00C31D7B">
      <w:pPr>
        <w:spacing w:line="240" w:lineRule="auto"/>
        <w:rPr>
          <w:b/>
          <w:bCs/>
          <w:sz w:val="28"/>
          <w:szCs w:val="28"/>
          <w:lang w:val="en-GB"/>
        </w:rPr>
      </w:pPr>
      <w:r w:rsidRPr="0095050D">
        <w:rPr>
          <w:bCs/>
          <w:lang w:val="en-GB"/>
        </w:rPr>
        <w:t>Tel: +45 46 74 21 98</w:t>
      </w:r>
    </w:p>
    <w:p w:rsidR="00C31D7B" w:rsidRPr="0095050D" w:rsidRDefault="00C31D7B" w:rsidP="00C31D7B">
      <w:pPr>
        <w:spacing w:line="240" w:lineRule="auto"/>
        <w:rPr>
          <w:b/>
          <w:bCs/>
          <w:sz w:val="28"/>
          <w:szCs w:val="28"/>
          <w:lang w:val="en-GB"/>
        </w:rPr>
      </w:pPr>
    </w:p>
    <w:p w:rsidR="00C31D7B" w:rsidRPr="0095050D" w:rsidRDefault="00C31D7B" w:rsidP="00C31D7B">
      <w:pPr>
        <w:spacing w:line="240" w:lineRule="auto"/>
        <w:rPr>
          <w:b/>
          <w:bCs/>
          <w:sz w:val="28"/>
          <w:szCs w:val="28"/>
          <w:lang w:val="en-GB"/>
        </w:rPr>
      </w:pPr>
    </w:p>
    <w:p w:rsidR="00C31D7B" w:rsidRPr="0095050D" w:rsidRDefault="00C31D7B" w:rsidP="00C31D7B">
      <w:pPr>
        <w:spacing w:line="240" w:lineRule="auto"/>
        <w:rPr>
          <w:bCs/>
          <w:lang w:val="en-GB"/>
        </w:rPr>
      </w:pPr>
      <w:r w:rsidRPr="0095050D">
        <w:rPr>
          <w:bCs/>
          <w:lang w:val="en-GB"/>
        </w:rPr>
        <w:t>Stephane Bignoux</w:t>
      </w:r>
    </w:p>
    <w:p w:rsidR="00C31D7B" w:rsidRPr="0095050D" w:rsidRDefault="00C31D7B" w:rsidP="00C31D7B">
      <w:pPr>
        <w:spacing w:line="240" w:lineRule="auto"/>
        <w:rPr>
          <w:bCs/>
          <w:lang w:val="en-GB"/>
        </w:rPr>
      </w:pPr>
      <w:r w:rsidRPr="0095050D">
        <w:rPr>
          <w:bCs/>
          <w:lang w:val="en-GB"/>
        </w:rPr>
        <w:t>Middlesex University Business School</w:t>
      </w:r>
    </w:p>
    <w:p w:rsidR="00C31D7B" w:rsidRPr="0095050D" w:rsidRDefault="00C31D7B" w:rsidP="00C31D7B">
      <w:pPr>
        <w:spacing w:line="240" w:lineRule="auto"/>
        <w:rPr>
          <w:bCs/>
          <w:lang w:val="en-GB"/>
        </w:rPr>
      </w:pPr>
      <w:r w:rsidRPr="0095050D">
        <w:rPr>
          <w:bCs/>
          <w:lang w:val="en-GB"/>
        </w:rPr>
        <w:t>Department of Innovation and International Management</w:t>
      </w:r>
    </w:p>
    <w:p w:rsidR="00C31D7B" w:rsidRPr="0095050D" w:rsidRDefault="00C31D7B" w:rsidP="00C31D7B">
      <w:pPr>
        <w:spacing w:line="240" w:lineRule="auto"/>
        <w:rPr>
          <w:bCs/>
          <w:lang w:val="en-GB"/>
        </w:rPr>
      </w:pPr>
      <w:r w:rsidRPr="0095050D">
        <w:rPr>
          <w:bCs/>
          <w:lang w:val="en-GB"/>
        </w:rPr>
        <w:t>The Burroughs</w:t>
      </w:r>
    </w:p>
    <w:p w:rsidR="00C31D7B" w:rsidRPr="0095050D" w:rsidRDefault="00C31D7B" w:rsidP="00C31D7B">
      <w:pPr>
        <w:spacing w:line="240" w:lineRule="auto"/>
        <w:rPr>
          <w:bCs/>
          <w:lang w:val="en-GB"/>
        </w:rPr>
      </w:pPr>
      <w:r w:rsidRPr="0095050D">
        <w:rPr>
          <w:bCs/>
          <w:lang w:val="en-GB"/>
        </w:rPr>
        <w:t>Hendon</w:t>
      </w:r>
    </w:p>
    <w:p w:rsidR="00C31D7B" w:rsidRPr="0095050D" w:rsidRDefault="00C31D7B" w:rsidP="00C31D7B">
      <w:pPr>
        <w:spacing w:line="240" w:lineRule="auto"/>
        <w:rPr>
          <w:bCs/>
          <w:lang w:val="en-GB"/>
        </w:rPr>
      </w:pPr>
      <w:r w:rsidRPr="0095050D">
        <w:rPr>
          <w:bCs/>
          <w:lang w:val="en-GB"/>
        </w:rPr>
        <w:t>London NW4 4BT</w:t>
      </w:r>
    </w:p>
    <w:p w:rsidR="00C31D7B" w:rsidRPr="0095050D" w:rsidRDefault="00C31D7B" w:rsidP="00C31D7B">
      <w:pPr>
        <w:spacing w:line="240" w:lineRule="auto"/>
        <w:rPr>
          <w:bCs/>
          <w:lang w:val="en-GB"/>
        </w:rPr>
      </w:pPr>
      <w:r w:rsidRPr="0095050D">
        <w:rPr>
          <w:bCs/>
          <w:lang w:val="en-GB"/>
        </w:rPr>
        <w:t>United Kingdom</w:t>
      </w:r>
    </w:p>
    <w:p w:rsidR="00C31D7B" w:rsidRPr="0095050D" w:rsidRDefault="00C31D7B" w:rsidP="00C31D7B">
      <w:pPr>
        <w:spacing w:line="240" w:lineRule="auto"/>
        <w:rPr>
          <w:bCs/>
          <w:lang w:val="en-GB"/>
        </w:rPr>
      </w:pPr>
      <w:r w:rsidRPr="0095050D">
        <w:rPr>
          <w:bCs/>
          <w:lang w:val="en-GB"/>
        </w:rPr>
        <w:t>Email: s.bignoux@mdx.ac.uk</w:t>
      </w:r>
    </w:p>
    <w:p w:rsidR="00C31D7B" w:rsidRPr="0095050D" w:rsidRDefault="00C31D7B" w:rsidP="00C31D7B">
      <w:pPr>
        <w:spacing w:line="240" w:lineRule="auto"/>
        <w:rPr>
          <w:b/>
          <w:bCs/>
          <w:sz w:val="28"/>
          <w:szCs w:val="28"/>
          <w:lang w:val="en-GB"/>
        </w:rPr>
      </w:pPr>
      <w:r w:rsidRPr="0095050D">
        <w:rPr>
          <w:bCs/>
          <w:lang w:val="en-GB"/>
        </w:rPr>
        <w:t>Tel: +44 208 411 58 41</w:t>
      </w:r>
    </w:p>
    <w:p w:rsidR="00C31D7B" w:rsidRPr="0095050D" w:rsidRDefault="00C31D7B" w:rsidP="00C31D7B">
      <w:pPr>
        <w:spacing w:line="240" w:lineRule="auto"/>
        <w:rPr>
          <w:b/>
          <w:bCs/>
          <w:sz w:val="28"/>
          <w:szCs w:val="28"/>
          <w:lang w:val="en-GB"/>
        </w:rPr>
      </w:pPr>
    </w:p>
    <w:p w:rsidR="00C31D7B" w:rsidRPr="0095050D" w:rsidRDefault="00C31D7B" w:rsidP="00C31D7B">
      <w:pPr>
        <w:spacing w:line="240" w:lineRule="auto"/>
        <w:rPr>
          <w:b/>
          <w:bCs/>
          <w:sz w:val="28"/>
          <w:szCs w:val="28"/>
          <w:lang w:val="en-GB"/>
        </w:rPr>
      </w:pPr>
    </w:p>
    <w:p w:rsidR="00C31D7B" w:rsidRPr="0095050D" w:rsidRDefault="00C31D7B" w:rsidP="00C31D7B">
      <w:pPr>
        <w:spacing w:line="240" w:lineRule="auto"/>
        <w:rPr>
          <w:bCs/>
          <w:szCs w:val="28"/>
          <w:lang w:val="en-GB"/>
        </w:rPr>
      </w:pPr>
      <w:r w:rsidRPr="0095050D">
        <w:rPr>
          <w:bCs/>
          <w:szCs w:val="28"/>
          <w:lang w:val="en-GB"/>
        </w:rPr>
        <w:t>Acknowledgements: We want to thank Ben Arbaugh and Jennifer Schultz for helpful comments provided at the Management Education and Learning Writers’ Workshop at the 2015 Academy of Management Meeting in Vancouver</w:t>
      </w:r>
      <w:r>
        <w:rPr>
          <w:bCs/>
          <w:szCs w:val="28"/>
          <w:lang w:val="en-GB"/>
        </w:rPr>
        <w:t xml:space="preserve"> prior to data collection</w:t>
      </w:r>
      <w:r w:rsidRPr="0095050D">
        <w:rPr>
          <w:bCs/>
          <w:szCs w:val="28"/>
          <w:lang w:val="en-GB"/>
        </w:rPr>
        <w:t xml:space="preserve">. </w:t>
      </w:r>
      <w:r>
        <w:rPr>
          <w:bCs/>
          <w:szCs w:val="28"/>
          <w:lang w:val="en-GB"/>
        </w:rPr>
        <w:t>W</w:t>
      </w:r>
      <w:r w:rsidRPr="0095050D">
        <w:rPr>
          <w:bCs/>
          <w:szCs w:val="28"/>
          <w:lang w:val="en-GB"/>
        </w:rPr>
        <w:t>e</w:t>
      </w:r>
      <w:r>
        <w:rPr>
          <w:bCs/>
          <w:szCs w:val="28"/>
          <w:lang w:val="en-GB"/>
        </w:rPr>
        <w:t xml:space="preserve"> also</w:t>
      </w:r>
      <w:r w:rsidRPr="0095050D">
        <w:rPr>
          <w:bCs/>
          <w:szCs w:val="28"/>
          <w:lang w:val="en-GB"/>
        </w:rPr>
        <w:t xml:space="preserve"> want to thank Anne-Wil </w:t>
      </w:r>
      <w:r w:rsidRPr="0095050D">
        <w:rPr>
          <w:bCs/>
          <w:szCs w:val="28"/>
          <w:lang w:val="en-GB"/>
        </w:rPr>
        <w:lastRenderedPageBreak/>
        <w:t>Harzing</w:t>
      </w:r>
      <w:r>
        <w:rPr>
          <w:bCs/>
          <w:szCs w:val="28"/>
          <w:lang w:val="en-GB"/>
        </w:rPr>
        <w:t xml:space="preserve"> and Eva Sørensen</w:t>
      </w:r>
      <w:r w:rsidRPr="0095050D">
        <w:rPr>
          <w:bCs/>
          <w:szCs w:val="28"/>
          <w:lang w:val="en-GB"/>
        </w:rPr>
        <w:t xml:space="preserve"> for subsequent helpful comments.</w:t>
      </w:r>
      <w:r>
        <w:rPr>
          <w:bCs/>
          <w:szCs w:val="28"/>
          <w:lang w:val="en-GB"/>
        </w:rPr>
        <w:t xml:space="preserve"> Finally we gratefully acknowledge Johannes Kabderian Dreyer’s useful suggestions on the quantitative analysis.</w:t>
      </w:r>
      <w:r w:rsidRPr="00386892">
        <w:rPr>
          <w:bCs/>
          <w:szCs w:val="28"/>
          <w:lang w:val="en-GB"/>
        </w:rPr>
        <w:t xml:space="preserve"> </w:t>
      </w:r>
      <w:r>
        <w:rPr>
          <w:bCs/>
          <w:szCs w:val="28"/>
          <w:lang w:val="en-GB"/>
        </w:rPr>
        <w:t>A very</w:t>
      </w:r>
      <w:r w:rsidRPr="0095050D">
        <w:rPr>
          <w:bCs/>
          <w:szCs w:val="28"/>
          <w:lang w:val="en-GB"/>
        </w:rPr>
        <w:t xml:space="preserve"> earl</w:t>
      </w:r>
      <w:r>
        <w:rPr>
          <w:bCs/>
          <w:szCs w:val="28"/>
          <w:lang w:val="en-GB"/>
        </w:rPr>
        <w:t>y</w:t>
      </w:r>
      <w:r w:rsidRPr="0095050D">
        <w:rPr>
          <w:bCs/>
          <w:szCs w:val="28"/>
          <w:lang w:val="en-GB"/>
        </w:rPr>
        <w:t xml:space="preserve"> draft</w:t>
      </w:r>
      <w:r>
        <w:rPr>
          <w:bCs/>
          <w:szCs w:val="28"/>
          <w:lang w:val="en-GB"/>
        </w:rPr>
        <w:t xml:space="preserve"> of this paper</w:t>
      </w:r>
      <w:r w:rsidRPr="0095050D">
        <w:rPr>
          <w:bCs/>
          <w:szCs w:val="28"/>
          <w:lang w:val="en-GB"/>
        </w:rPr>
        <w:t xml:space="preserve"> was presented at the 2015 British Academy of Management Conference, Portsmouth.</w:t>
      </w:r>
    </w:p>
    <w:p w:rsidR="00C31D7B" w:rsidRDefault="00C31D7B" w:rsidP="00C56857">
      <w:pPr>
        <w:spacing w:after="120"/>
        <w:jc w:val="center"/>
        <w:rPr>
          <w:b/>
          <w:bCs/>
          <w:sz w:val="28"/>
          <w:szCs w:val="28"/>
          <w:lang w:val="en-GB"/>
        </w:rPr>
      </w:pPr>
    </w:p>
    <w:p w:rsidR="00581E8A" w:rsidRPr="00C31D7B" w:rsidRDefault="00C56857" w:rsidP="00C56857">
      <w:pPr>
        <w:spacing w:after="120"/>
        <w:jc w:val="center"/>
        <w:rPr>
          <w:b/>
          <w:bCs/>
          <w:szCs w:val="28"/>
          <w:lang w:val="en-GB"/>
        </w:rPr>
      </w:pPr>
      <w:r w:rsidRPr="00C31D7B">
        <w:rPr>
          <w:b/>
          <w:bCs/>
          <w:sz w:val="28"/>
          <w:szCs w:val="28"/>
          <w:lang w:val="en-GB"/>
        </w:rPr>
        <w:t>CAN THE PERFORMANCE EFFECT BE IGNORED IN THE ATTENDANCE POLICY DISCUSSION?</w:t>
      </w:r>
    </w:p>
    <w:p w:rsidR="00B6147D" w:rsidRPr="00C31D7B" w:rsidRDefault="00B6147D" w:rsidP="007B2EBE">
      <w:pPr>
        <w:jc w:val="center"/>
        <w:rPr>
          <w:b/>
          <w:bCs/>
          <w:szCs w:val="28"/>
          <w:lang w:val="en-GB"/>
        </w:rPr>
      </w:pPr>
    </w:p>
    <w:p w:rsidR="00F0783E" w:rsidRPr="00C31D7B" w:rsidRDefault="007B2EBE" w:rsidP="007B2EBE">
      <w:pPr>
        <w:jc w:val="center"/>
        <w:rPr>
          <w:b/>
          <w:bCs/>
          <w:szCs w:val="28"/>
          <w:lang w:val="en-GB"/>
        </w:rPr>
      </w:pPr>
      <w:r w:rsidRPr="00C31D7B">
        <w:rPr>
          <w:b/>
          <w:bCs/>
          <w:szCs w:val="28"/>
          <w:lang w:val="en-GB"/>
        </w:rPr>
        <w:t>ABSTRACT</w:t>
      </w:r>
    </w:p>
    <w:p w:rsidR="007B2EBE" w:rsidRPr="00C31D7B" w:rsidRDefault="007B2EBE" w:rsidP="00E00C79">
      <w:pPr>
        <w:spacing w:after="120"/>
        <w:ind w:firstLine="720"/>
        <w:jc w:val="both"/>
        <w:rPr>
          <w:lang w:val="en-GB"/>
        </w:rPr>
      </w:pPr>
    </w:p>
    <w:p w:rsidR="00670C96" w:rsidRPr="00C31D7B" w:rsidRDefault="0029211B" w:rsidP="00670C96">
      <w:pPr>
        <w:spacing w:after="120"/>
        <w:ind w:firstLine="720"/>
        <w:jc w:val="both"/>
        <w:rPr>
          <w:lang w:val="en-GB"/>
        </w:rPr>
      </w:pPr>
      <w:r w:rsidRPr="00C31D7B">
        <w:rPr>
          <w:lang w:val="en-GB"/>
        </w:rPr>
        <w:t xml:space="preserve">Should universities require students to attend? Academics disagree. One side in the discussion of university attendance policies has tried to dismiss any association between attendance and student performance, insisting that students have a fundamental right to choose what and when to attend. </w:t>
      </w:r>
      <w:r w:rsidR="00524448" w:rsidRPr="00C31D7B">
        <w:rPr>
          <w:lang w:val="en-GB"/>
        </w:rPr>
        <w:t xml:space="preserve">By merging student record data and course attendance data for three cohorts of final-year undergraduate students at a London-based university, we are able to isolate attendance effects for 674 students, giving us a large sample, without the inherent weaknesses of more traditional survey methods. We provide fresh empirical evidence for the positive association between attendance and exam performance, and argue for a more balanced view in the attendance policy discussion. </w:t>
      </w:r>
      <w:r w:rsidRPr="00C31D7B">
        <w:rPr>
          <w:lang w:val="en-GB"/>
        </w:rPr>
        <w:t>Politicians and higher education policies are increasingly focused on employability, student retention, and completion indicators. Carefully crafted attendance policies can have positive effects on pass and completion rates, primary policy targets of higher education funders and policymakers. Attendance effects therefore cannot be ignored.</w:t>
      </w:r>
      <w:r w:rsidR="00670C96" w:rsidRPr="00C31D7B">
        <w:rPr>
          <w:lang w:val="en-GB"/>
        </w:rPr>
        <w:t xml:space="preserve"> </w:t>
      </w:r>
    </w:p>
    <w:p w:rsidR="00670C96" w:rsidRPr="00C31D7B" w:rsidRDefault="00670C96" w:rsidP="00670C96">
      <w:pPr>
        <w:spacing w:after="120"/>
        <w:jc w:val="both"/>
        <w:rPr>
          <w:lang w:val="en-GB"/>
        </w:rPr>
      </w:pPr>
    </w:p>
    <w:p w:rsidR="00F0783E" w:rsidRPr="00C31D7B" w:rsidRDefault="00524E02" w:rsidP="004E6403">
      <w:pPr>
        <w:rPr>
          <w:b/>
          <w:bCs/>
          <w:sz w:val="28"/>
          <w:szCs w:val="28"/>
          <w:lang w:val="en-GB"/>
        </w:rPr>
      </w:pPr>
      <w:r w:rsidRPr="00C31D7B">
        <w:rPr>
          <w:b/>
          <w:bCs/>
          <w:lang w:val="en-GB"/>
        </w:rPr>
        <w:lastRenderedPageBreak/>
        <w:t>Keywords:</w:t>
      </w:r>
      <w:r w:rsidR="009820D9" w:rsidRPr="00C31D7B">
        <w:rPr>
          <w:bCs/>
          <w:lang w:val="en-GB"/>
        </w:rPr>
        <w:t xml:space="preserve"> </w:t>
      </w:r>
      <w:r w:rsidRPr="00C31D7B">
        <w:rPr>
          <w:bCs/>
          <w:lang w:val="en-GB"/>
        </w:rPr>
        <w:t>attendance, performance</w:t>
      </w:r>
      <w:r w:rsidR="000D4410" w:rsidRPr="00C31D7B">
        <w:rPr>
          <w:bCs/>
          <w:lang w:val="en-GB"/>
        </w:rPr>
        <w:t>, completion rates</w:t>
      </w:r>
      <w:r w:rsidR="00D47955" w:rsidRPr="00C31D7B">
        <w:rPr>
          <w:bCs/>
          <w:lang w:val="en-GB"/>
        </w:rPr>
        <w:t>, higher education policy</w:t>
      </w:r>
      <w:r w:rsidR="009820D9" w:rsidRPr="00C31D7B">
        <w:rPr>
          <w:b/>
          <w:bCs/>
          <w:sz w:val="28"/>
          <w:szCs w:val="28"/>
          <w:lang w:val="en-GB"/>
        </w:rPr>
        <w:t xml:space="preserve"> </w:t>
      </w:r>
      <w:r w:rsidR="00F0783E" w:rsidRPr="00C31D7B">
        <w:rPr>
          <w:b/>
          <w:bCs/>
          <w:sz w:val="28"/>
          <w:szCs w:val="28"/>
          <w:lang w:val="en-GB"/>
        </w:rPr>
        <w:br w:type="page"/>
      </w:r>
    </w:p>
    <w:p w:rsidR="00646C58" w:rsidRPr="00C31D7B" w:rsidRDefault="00C56857" w:rsidP="00C56857">
      <w:pPr>
        <w:spacing w:after="120"/>
        <w:jc w:val="center"/>
        <w:rPr>
          <w:b/>
          <w:bCs/>
          <w:sz w:val="28"/>
          <w:szCs w:val="28"/>
          <w:lang w:val="en-GB"/>
        </w:rPr>
      </w:pPr>
      <w:r w:rsidRPr="00C31D7B">
        <w:rPr>
          <w:b/>
          <w:bCs/>
          <w:sz w:val="28"/>
          <w:szCs w:val="28"/>
          <w:lang w:val="en-GB"/>
        </w:rPr>
        <w:lastRenderedPageBreak/>
        <w:t>CAN THE PERFORMANCE EFFECT BE IGNORED IN THE ATTENDANCE POLICY DISCUSSION?</w:t>
      </w:r>
    </w:p>
    <w:p w:rsidR="00C56857" w:rsidRPr="00C31D7B" w:rsidRDefault="00C56857" w:rsidP="00C56857">
      <w:pPr>
        <w:spacing w:after="120"/>
        <w:jc w:val="center"/>
        <w:rPr>
          <w:b/>
          <w:bCs/>
          <w:lang w:val="en-GB"/>
        </w:rPr>
      </w:pPr>
    </w:p>
    <w:p w:rsidR="00FD432B" w:rsidRPr="00C31D7B" w:rsidRDefault="00422B72" w:rsidP="00422B72">
      <w:pPr>
        <w:spacing w:after="120"/>
        <w:jc w:val="center"/>
        <w:rPr>
          <w:b/>
          <w:bCs/>
          <w:lang w:val="en-GB"/>
        </w:rPr>
      </w:pPr>
      <w:r w:rsidRPr="00C31D7B">
        <w:rPr>
          <w:b/>
          <w:bCs/>
          <w:lang w:val="en-GB"/>
        </w:rPr>
        <w:t>INTRODUCTION</w:t>
      </w:r>
    </w:p>
    <w:p w:rsidR="00422B72" w:rsidRPr="00C31D7B" w:rsidRDefault="00422B72" w:rsidP="00422B72">
      <w:pPr>
        <w:spacing w:after="120"/>
        <w:jc w:val="center"/>
        <w:rPr>
          <w:b/>
          <w:bCs/>
          <w:lang w:val="en-GB"/>
        </w:rPr>
      </w:pPr>
    </w:p>
    <w:p w:rsidR="00F95B3D" w:rsidRPr="00C31D7B" w:rsidRDefault="00557197" w:rsidP="006E2CA8">
      <w:pPr>
        <w:ind w:firstLine="720"/>
        <w:jc w:val="both"/>
        <w:rPr>
          <w:lang w:val="en-GB"/>
        </w:rPr>
      </w:pPr>
      <w:r w:rsidRPr="00C31D7B">
        <w:rPr>
          <w:lang w:val="en-GB"/>
        </w:rPr>
        <w:t xml:space="preserve">Higher education </w:t>
      </w:r>
      <w:r w:rsidR="00F8551C" w:rsidRPr="00C31D7B">
        <w:rPr>
          <w:lang w:val="en-GB"/>
        </w:rPr>
        <w:t xml:space="preserve">funding mechanisms and policies are increasingly based on performance indicators, such as high retention and completion rates (Dougherty, Jones, Lahr, Natow, Pheatt, &amp; Reddy, 2014). </w:t>
      </w:r>
      <w:r w:rsidRPr="00C31D7B">
        <w:rPr>
          <w:lang w:val="en-GB"/>
        </w:rPr>
        <w:t>Against this backdrop, a</w:t>
      </w:r>
      <w:r w:rsidR="00B6147D" w:rsidRPr="00C31D7B">
        <w:rPr>
          <w:lang w:val="en-GB"/>
        </w:rPr>
        <w:t xml:space="preserve"> debate about university attendance policies has been </w:t>
      </w:r>
      <w:r w:rsidRPr="00C31D7B">
        <w:rPr>
          <w:lang w:val="en-GB"/>
        </w:rPr>
        <w:t xml:space="preserve">slowly </w:t>
      </w:r>
      <w:r w:rsidR="00B6147D" w:rsidRPr="00C31D7B">
        <w:rPr>
          <w:lang w:val="en-GB"/>
        </w:rPr>
        <w:t xml:space="preserve">unfolding in recent years. </w:t>
      </w:r>
      <w:r w:rsidR="00125F53" w:rsidRPr="00C31D7B">
        <w:rPr>
          <w:lang w:val="en-GB"/>
        </w:rPr>
        <w:t>Some</w:t>
      </w:r>
      <w:r w:rsidR="003A3595" w:rsidRPr="00C31D7B">
        <w:rPr>
          <w:lang w:val="en-GB"/>
        </w:rPr>
        <w:t xml:space="preserve"> academics view attendance policies as a symptom of new public managerialism and </w:t>
      </w:r>
      <w:r w:rsidR="00B743D8" w:rsidRPr="00C31D7B">
        <w:rPr>
          <w:lang w:val="en-GB"/>
        </w:rPr>
        <w:t xml:space="preserve">the </w:t>
      </w:r>
      <w:r w:rsidR="003A3595" w:rsidRPr="00C31D7B">
        <w:rPr>
          <w:lang w:val="en-GB"/>
        </w:rPr>
        <w:t>marketization of higher education (</w:t>
      </w:r>
      <w:r w:rsidR="00B743D8" w:rsidRPr="00C31D7B">
        <w:rPr>
          <w:lang w:val="en-GB"/>
        </w:rPr>
        <w:t xml:space="preserve">De Vita &amp; Case, 2016; </w:t>
      </w:r>
      <w:r w:rsidR="003A3595" w:rsidRPr="00C31D7B">
        <w:rPr>
          <w:lang w:val="en-GB"/>
        </w:rPr>
        <w:t>Tomlinson, 2017)</w:t>
      </w:r>
      <w:r w:rsidR="00125F53" w:rsidRPr="00C31D7B">
        <w:rPr>
          <w:lang w:val="en-GB"/>
        </w:rPr>
        <w:t>.</w:t>
      </w:r>
      <w:r w:rsidR="003A3595" w:rsidRPr="00C31D7B">
        <w:rPr>
          <w:lang w:val="en-GB"/>
        </w:rPr>
        <w:t xml:space="preserve"> </w:t>
      </w:r>
      <w:r w:rsidR="00B6147D" w:rsidRPr="00C31D7B">
        <w:rPr>
          <w:lang w:val="en-GB"/>
        </w:rPr>
        <w:t>For example, i</w:t>
      </w:r>
      <w:r w:rsidR="0085371B" w:rsidRPr="00C31D7B">
        <w:rPr>
          <w:lang w:val="en-GB"/>
        </w:rPr>
        <w:t xml:space="preserve">n </w:t>
      </w:r>
      <w:r w:rsidR="00CE3E47" w:rsidRPr="00C31D7B">
        <w:rPr>
          <w:lang w:val="en-GB"/>
        </w:rPr>
        <w:t>two</w:t>
      </w:r>
      <w:r w:rsidR="0085371B" w:rsidRPr="00C31D7B">
        <w:rPr>
          <w:lang w:val="en-GB"/>
        </w:rPr>
        <w:t xml:space="preserve"> recent paper</w:t>
      </w:r>
      <w:r w:rsidR="00CE3E47" w:rsidRPr="00C31D7B">
        <w:rPr>
          <w:lang w:val="en-GB"/>
        </w:rPr>
        <w:t>s,</w:t>
      </w:r>
      <w:r w:rsidR="00DC6D5A" w:rsidRPr="00C31D7B">
        <w:rPr>
          <w:lang w:val="en-GB"/>
        </w:rPr>
        <w:t xml:space="preserve"> Macfarlane (</w:t>
      </w:r>
      <w:r w:rsidR="00CE3E47" w:rsidRPr="00C31D7B">
        <w:rPr>
          <w:lang w:val="en-GB"/>
        </w:rPr>
        <w:t xml:space="preserve">2012; </w:t>
      </w:r>
      <w:r w:rsidR="00DC6D5A" w:rsidRPr="00C31D7B">
        <w:rPr>
          <w:lang w:val="en-GB"/>
        </w:rPr>
        <w:t>2013) offers a</w:t>
      </w:r>
      <w:r w:rsidR="00125F53" w:rsidRPr="00C31D7B">
        <w:rPr>
          <w:lang w:val="en-GB"/>
        </w:rPr>
        <w:t>n eloquent</w:t>
      </w:r>
      <w:r w:rsidR="0085371B" w:rsidRPr="00C31D7B">
        <w:rPr>
          <w:lang w:val="en-GB"/>
        </w:rPr>
        <w:t xml:space="preserve"> critique of </w:t>
      </w:r>
      <w:r w:rsidR="00AA4A73" w:rsidRPr="00C31D7B">
        <w:rPr>
          <w:lang w:val="en-GB"/>
        </w:rPr>
        <w:t>such</w:t>
      </w:r>
      <w:r w:rsidR="0085371B" w:rsidRPr="00C31D7B">
        <w:rPr>
          <w:lang w:val="en-GB"/>
        </w:rPr>
        <w:t xml:space="preserve"> policies. </w:t>
      </w:r>
      <w:r w:rsidR="00745F4F" w:rsidRPr="00C31D7B">
        <w:rPr>
          <w:lang w:val="en-GB"/>
        </w:rPr>
        <w:t>He</w:t>
      </w:r>
      <w:r w:rsidR="004A5505" w:rsidRPr="00C31D7B">
        <w:rPr>
          <w:lang w:val="en-GB"/>
        </w:rPr>
        <w:t xml:space="preserve"> states that attendance policies promote presen</w:t>
      </w:r>
      <w:r w:rsidR="00DA2519" w:rsidRPr="00C31D7B">
        <w:rPr>
          <w:lang w:val="en-GB"/>
        </w:rPr>
        <w:t>te</w:t>
      </w:r>
      <w:r w:rsidR="00DC6D5A" w:rsidRPr="00C31D7B">
        <w:rPr>
          <w:lang w:val="en-GB"/>
        </w:rPr>
        <w:t>e</w:t>
      </w:r>
      <w:r w:rsidR="00DA2519" w:rsidRPr="00C31D7B">
        <w:rPr>
          <w:lang w:val="en-GB"/>
        </w:rPr>
        <w:t>ism and infantilise students -</w:t>
      </w:r>
      <w:r w:rsidR="00745F4F" w:rsidRPr="00C31D7B">
        <w:rPr>
          <w:lang w:val="en-GB"/>
        </w:rPr>
        <w:t xml:space="preserve"> a</w:t>
      </w:r>
      <w:r w:rsidR="004A5505" w:rsidRPr="00C31D7B">
        <w:rPr>
          <w:lang w:val="en-GB"/>
        </w:rPr>
        <w:t xml:space="preserve"> proposition</w:t>
      </w:r>
      <w:r w:rsidR="00552BC8" w:rsidRPr="00C31D7B">
        <w:rPr>
          <w:lang w:val="en-GB"/>
        </w:rPr>
        <w:t xml:space="preserve"> that</w:t>
      </w:r>
      <w:r w:rsidR="004A5505" w:rsidRPr="00C31D7B">
        <w:rPr>
          <w:lang w:val="en-GB"/>
        </w:rPr>
        <w:t xml:space="preserve"> </w:t>
      </w:r>
      <w:r w:rsidR="00FD2C26" w:rsidRPr="00C31D7B">
        <w:rPr>
          <w:lang w:val="en-GB"/>
        </w:rPr>
        <w:t xml:space="preserve">he </w:t>
      </w:r>
      <w:r w:rsidR="0022625F" w:rsidRPr="00C31D7B">
        <w:rPr>
          <w:lang w:val="en-GB"/>
        </w:rPr>
        <w:t>sees</w:t>
      </w:r>
      <w:r w:rsidR="00552BC8" w:rsidRPr="00C31D7B">
        <w:rPr>
          <w:lang w:val="en-GB"/>
        </w:rPr>
        <w:t xml:space="preserve"> as</w:t>
      </w:r>
      <w:r w:rsidR="004A5505" w:rsidRPr="00C31D7B">
        <w:rPr>
          <w:lang w:val="en-GB"/>
        </w:rPr>
        <w:t xml:space="preserve"> a problem for the modern university.</w:t>
      </w:r>
      <w:r w:rsidR="00F77495" w:rsidRPr="00C31D7B">
        <w:rPr>
          <w:lang w:val="en-GB"/>
        </w:rPr>
        <w:t xml:space="preserve"> </w:t>
      </w:r>
      <w:r w:rsidR="00745F4F" w:rsidRPr="00C31D7B">
        <w:rPr>
          <w:lang w:val="en-GB"/>
        </w:rPr>
        <w:t>Instead he supports the Humboldtian tradition of academic freedom for both academics and students, noting that “a student’s freedom to learn and the choice of when and what to attend [is] a constituent element of student academic freedom” (Macfarlane, 2013, p. 368).</w:t>
      </w:r>
      <w:r w:rsidR="00262DC8" w:rsidRPr="00C31D7B">
        <w:rPr>
          <w:lang w:val="en-GB"/>
        </w:rPr>
        <w:t xml:space="preserve"> </w:t>
      </w:r>
      <w:r w:rsidR="00B6147D" w:rsidRPr="00C31D7B">
        <w:rPr>
          <w:lang w:val="en-GB"/>
        </w:rPr>
        <w:t>Yet, t</w:t>
      </w:r>
      <w:r w:rsidR="006667D9" w:rsidRPr="00C31D7B">
        <w:rPr>
          <w:lang w:val="en-GB"/>
        </w:rPr>
        <w:t>here is mounting evidence that attending classes has positive effects on exam performance (Chen &amp; Lin, 2008; Devadoss &amp; Foltz, 1996; Kirby &amp; McElroy, 2003; Lin &amp; Chen, 2006; Shimoff &amp; Catania, 2001;</w:t>
      </w:r>
      <w:r w:rsidR="00E02EAF" w:rsidRPr="00C31D7B">
        <w:rPr>
          <w:lang w:val="en-GB"/>
        </w:rPr>
        <w:t xml:space="preserve"> Teixeira, 2016;</w:t>
      </w:r>
      <w:r w:rsidR="006667D9" w:rsidRPr="00C31D7B">
        <w:rPr>
          <w:lang w:val="en-GB"/>
        </w:rPr>
        <w:t xml:space="preserve"> van Walbeek, 2004). </w:t>
      </w:r>
    </w:p>
    <w:p w:rsidR="00EB6092" w:rsidRPr="00C31D7B" w:rsidRDefault="00AA7912" w:rsidP="006E2CA8">
      <w:pPr>
        <w:ind w:firstLine="720"/>
        <w:jc w:val="both"/>
        <w:rPr>
          <w:iCs/>
          <w:lang w:val="en-GB" w:eastAsia="en-GB"/>
        </w:rPr>
      </w:pPr>
      <w:r w:rsidRPr="00C31D7B">
        <w:rPr>
          <w:lang w:val="en-GB"/>
        </w:rPr>
        <w:t xml:space="preserve">In an experimental study of 114 students in two classes within a </w:t>
      </w:r>
      <w:r w:rsidR="00D20716" w:rsidRPr="00C31D7B">
        <w:rPr>
          <w:lang w:val="en-GB"/>
        </w:rPr>
        <w:t>p</w:t>
      </w:r>
      <w:r w:rsidRPr="00C31D7B">
        <w:rPr>
          <w:lang w:val="en-GB"/>
        </w:rPr>
        <w:t xml:space="preserve">ublic </w:t>
      </w:r>
      <w:r w:rsidR="00D20716" w:rsidRPr="00C31D7B">
        <w:rPr>
          <w:lang w:val="en-GB"/>
        </w:rPr>
        <w:t>f</w:t>
      </w:r>
      <w:r w:rsidRPr="00C31D7B">
        <w:rPr>
          <w:lang w:val="en-GB"/>
        </w:rPr>
        <w:t xml:space="preserve">inance course </w:t>
      </w:r>
      <w:r w:rsidR="00D20716" w:rsidRPr="00C31D7B">
        <w:rPr>
          <w:lang w:val="en-GB"/>
        </w:rPr>
        <w:t>in</w:t>
      </w:r>
      <w:r w:rsidRPr="00C31D7B">
        <w:rPr>
          <w:lang w:val="en-GB"/>
        </w:rPr>
        <w:t xml:space="preserve"> Taiwan, Chen and Lin (2008) find that </w:t>
      </w:r>
      <w:r w:rsidR="00D20716" w:rsidRPr="00C31D7B">
        <w:rPr>
          <w:lang w:val="en-GB" w:eastAsia="en-GB"/>
        </w:rPr>
        <w:t>attendance improved</w:t>
      </w:r>
      <w:r w:rsidRPr="00C31D7B">
        <w:rPr>
          <w:lang w:val="en-GB" w:eastAsia="en-GB"/>
        </w:rPr>
        <w:t xml:space="preserve"> </w:t>
      </w:r>
      <w:r w:rsidR="00115AD9" w:rsidRPr="00C31D7B">
        <w:rPr>
          <w:lang w:val="en-GB" w:eastAsia="en-GB"/>
        </w:rPr>
        <w:t xml:space="preserve">multiple choice </w:t>
      </w:r>
      <w:r w:rsidRPr="00C31D7B">
        <w:rPr>
          <w:lang w:val="en-GB" w:eastAsia="en-GB"/>
        </w:rPr>
        <w:t xml:space="preserve">exam performance. </w:t>
      </w:r>
      <w:r w:rsidR="00D20716" w:rsidRPr="00C31D7B">
        <w:rPr>
          <w:lang w:val="en-GB" w:eastAsia="en-GB"/>
        </w:rPr>
        <w:t xml:space="preserve">In earlier survey work the same authors reached a similar conclusion (Lin and Chen, 2006). In </w:t>
      </w:r>
      <w:r w:rsidR="00D20716" w:rsidRPr="00C31D7B">
        <w:rPr>
          <w:lang w:val="en-GB" w:eastAsia="en-GB"/>
        </w:rPr>
        <w:lastRenderedPageBreak/>
        <w:t xml:space="preserve">another experimental study of 114 students in an introductory psychology class at the University of Maryland, Shimoff and Catania (2001) find that students who attend classes more often have higher grades on weekly multiple-choice tests, even on questions based on material covered in the text but not in lectures. Survey-based studies report similar findings. </w:t>
      </w:r>
      <w:r w:rsidRPr="00C31D7B">
        <w:rPr>
          <w:lang w:val="en-GB" w:eastAsia="en-GB"/>
        </w:rPr>
        <w:t>In</w:t>
      </w:r>
      <w:r w:rsidR="007B7599" w:rsidRPr="00C31D7B">
        <w:rPr>
          <w:lang w:val="en-GB" w:eastAsia="en-GB"/>
        </w:rPr>
        <w:t xml:space="preserve"> a </w:t>
      </w:r>
      <w:r w:rsidR="00121553" w:rsidRPr="00C31D7B">
        <w:rPr>
          <w:lang w:val="en-GB" w:eastAsia="en-GB"/>
        </w:rPr>
        <w:t xml:space="preserve">survey </w:t>
      </w:r>
      <w:r w:rsidR="00D20716" w:rsidRPr="00C31D7B">
        <w:rPr>
          <w:lang w:val="en-GB" w:eastAsia="en-GB"/>
        </w:rPr>
        <w:t>of 400 students o</w:t>
      </w:r>
      <w:r w:rsidR="007B7599" w:rsidRPr="00C31D7B">
        <w:rPr>
          <w:lang w:val="en-GB" w:eastAsia="en-GB"/>
        </w:rPr>
        <w:t>n</w:t>
      </w:r>
      <w:r w:rsidR="00121553" w:rsidRPr="00C31D7B">
        <w:rPr>
          <w:lang w:val="en-GB" w:eastAsia="en-GB"/>
        </w:rPr>
        <w:t xml:space="preserve"> </w:t>
      </w:r>
      <w:r w:rsidR="00D20716" w:rsidRPr="00C31D7B">
        <w:rPr>
          <w:lang w:val="en-GB" w:eastAsia="en-GB"/>
        </w:rPr>
        <w:t>a</w:t>
      </w:r>
      <w:r w:rsidR="00121553" w:rsidRPr="00C31D7B">
        <w:rPr>
          <w:lang w:val="en-GB" w:eastAsia="en-GB"/>
        </w:rPr>
        <w:t xml:space="preserve">gricultural </w:t>
      </w:r>
      <w:r w:rsidR="00D20716" w:rsidRPr="00C31D7B">
        <w:rPr>
          <w:lang w:val="en-GB" w:eastAsia="en-GB"/>
        </w:rPr>
        <w:t>e</w:t>
      </w:r>
      <w:r w:rsidR="00121553" w:rsidRPr="00C31D7B">
        <w:rPr>
          <w:lang w:val="en-GB" w:eastAsia="en-GB"/>
        </w:rPr>
        <w:t>conomics</w:t>
      </w:r>
      <w:r w:rsidRPr="00C31D7B">
        <w:rPr>
          <w:lang w:val="en-GB" w:eastAsia="en-GB"/>
        </w:rPr>
        <w:t xml:space="preserve"> Davadoss and Foltz (1996) </w:t>
      </w:r>
      <w:r w:rsidR="00121553" w:rsidRPr="00C31D7B">
        <w:rPr>
          <w:lang w:val="en-GB" w:eastAsia="en-GB"/>
        </w:rPr>
        <w:t xml:space="preserve">find that the more classes </w:t>
      </w:r>
      <w:r w:rsidR="00A60EF7" w:rsidRPr="00C31D7B">
        <w:rPr>
          <w:lang w:val="en-GB" w:eastAsia="en-GB"/>
        </w:rPr>
        <w:t xml:space="preserve">a </w:t>
      </w:r>
      <w:r w:rsidR="00121553" w:rsidRPr="00C31D7B">
        <w:rPr>
          <w:lang w:val="en-GB" w:eastAsia="en-GB"/>
        </w:rPr>
        <w:t>student</w:t>
      </w:r>
      <w:r w:rsidR="00A60EF7" w:rsidRPr="00C31D7B">
        <w:rPr>
          <w:lang w:val="en-GB" w:eastAsia="en-GB"/>
        </w:rPr>
        <w:t xml:space="preserve"> attends</w:t>
      </w:r>
      <w:r w:rsidR="00121553" w:rsidRPr="00C31D7B">
        <w:rPr>
          <w:lang w:val="en-GB" w:eastAsia="en-GB"/>
        </w:rPr>
        <w:t xml:space="preserve"> the </w:t>
      </w:r>
      <w:r w:rsidR="007F1C7F" w:rsidRPr="00C31D7B">
        <w:rPr>
          <w:lang w:val="en-GB" w:eastAsia="en-GB"/>
        </w:rPr>
        <w:t xml:space="preserve">better that student’s grade. </w:t>
      </w:r>
      <w:r w:rsidR="00CF4948" w:rsidRPr="00C31D7B">
        <w:rPr>
          <w:lang w:val="en-GB" w:eastAsia="en-GB"/>
        </w:rPr>
        <w:t xml:space="preserve">In a </w:t>
      </w:r>
      <w:r w:rsidR="00115AD9" w:rsidRPr="00C31D7B">
        <w:rPr>
          <w:lang w:val="en-GB" w:eastAsia="en-GB"/>
        </w:rPr>
        <w:t xml:space="preserve">mixed method study combining </w:t>
      </w:r>
      <w:r w:rsidR="00C26B61" w:rsidRPr="00C31D7B">
        <w:rPr>
          <w:lang w:val="en-GB" w:eastAsia="en-GB"/>
        </w:rPr>
        <w:t>archival</w:t>
      </w:r>
      <w:r w:rsidR="00115AD9" w:rsidRPr="00C31D7B">
        <w:rPr>
          <w:lang w:val="en-GB" w:eastAsia="en-GB"/>
        </w:rPr>
        <w:t xml:space="preserve"> data and a </w:t>
      </w:r>
      <w:r w:rsidR="00CF4948" w:rsidRPr="00C31D7B">
        <w:rPr>
          <w:lang w:val="en-GB" w:eastAsia="en-GB"/>
        </w:rPr>
        <w:t xml:space="preserve">survey of 368 students </w:t>
      </w:r>
      <w:r w:rsidR="00115AD9" w:rsidRPr="00C31D7B">
        <w:rPr>
          <w:lang w:val="en-GB" w:eastAsia="en-GB"/>
        </w:rPr>
        <w:t>in</w:t>
      </w:r>
      <w:r w:rsidR="00CF4948" w:rsidRPr="00C31D7B">
        <w:rPr>
          <w:lang w:val="en-GB" w:eastAsia="en-GB"/>
        </w:rPr>
        <w:t xml:space="preserve"> two </w:t>
      </w:r>
      <w:r w:rsidR="00D20716" w:rsidRPr="00C31D7B">
        <w:rPr>
          <w:lang w:val="en-GB" w:eastAsia="en-GB"/>
        </w:rPr>
        <w:t>e</w:t>
      </w:r>
      <w:r w:rsidR="00115AD9" w:rsidRPr="00C31D7B">
        <w:rPr>
          <w:lang w:val="en-GB" w:eastAsia="en-GB"/>
        </w:rPr>
        <w:t>conomics</w:t>
      </w:r>
      <w:r w:rsidR="00CF4948" w:rsidRPr="00C31D7B">
        <w:rPr>
          <w:lang w:val="en-GB" w:eastAsia="en-GB"/>
        </w:rPr>
        <w:t xml:space="preserve"> </w:t>
      </w:r>
      <w:r w:rsidR="002E6F79" w:rsidRPr="00C31D7B">
        <w:rPr>
          <w:lang w:val="en-GB" w:eastAsia="en-GB"/>
        </w:rPr>
        <w:t>class</w:t>
      </w:r>
      <w:r w:rsidR="00D20716" w:rsidRPr="00C31D7B">
        <w:rPr>
          <w:lang w:val="en-GB" w:eastAsia="en-GB"/>
        </w:rPr>
        <w:t>es</w:t>
      </w:r>
      <w:r w:rsidR="00CF4948" w:rsidRPr="00C31D7B">
        <w:rPr>
          <w:lang w:val="en-GB" w:eastAsia="en-GB"/>
        </w:rPr>
        <w:t xml:space="preserve"> at the University of Cork, Kirby and McElroy (2003) find that c</w:t>
      </w:r>
      <w:r w:rsidR="00F910C2" w:rsidRPr="00C31D7B">
        <w:rPr>
          <w:lang w:val="en-GB" w:eastAsia="en-GB"/>
        </w:rPr>
        <w:t>lass attendance</w:t>
      </w:r>
      <w:r w:rsidR="002E6F79" w:rsidRPr="00C31D7B">
        <w:rPr>
          <w:lang w:val="en-GB" w:eastAsia="en-GB"/>
        </w:rPr>
        <w:t xml:space="preserve"> (lecture and tutorial)</w:t>
      </w:r>
      <w:r w:rsidR="00F910C2" w:rsidRPr="00C31D7B">
        <w:rPr>
          <w:lang w:val="en-GB" w:eastAsia="en-GB"/>
        </w:rPr>
        <w:t xml:space="preserve">, and especially tutorial attendance has a positive effect on </w:t>
      </w:r>
      <w:r w:rsidR="00D20716" w:rsidRPr="00C31D7B">
        <w:rPr>
          <w:lang w:val="en-GB" w:eastAsia="en-GB"/>
        </w:rPr>
        <w:t xml:space="preserve">multiple choice exam </w:t>
      </w:r>
      <w:r w:rsidR="00F910C2" w:rsidRPr="00C31D7B">
        <w:rPr>
          <w:lang w:val="en-GB" w:eastAsia="en-GB"/>
        </w:rPr>
        <w:t>grade</w:t>
      </w:r>
      <w:r w:rsidR="00D20716" w:rsidRPr="00C31D7B">
        <w:rPr>
          <w:lang w:val="en-GB" w:eastAsia="en-GB"/>
        </w:rPr>
        <w:t>s</w:t>
      </w:r>
      <w:r w:rsidR="00CF4948" w:rsidRPr="00C31D7B">
        <w:rPr>
          <w:lang w:val="en-GB" w:eastAsia="en-GB"/>
        </w:rPr>
        <w:t xml:space="preserve">. </w:t>
      </w:r>
      <w:r w:rsidR="00D20716" w:rsidRPr="00C31D7B">
        <w:rPr>
          <w:lang w:val="en-GB" w:eastAsia="en-GB"/>
        </w:rPr>
        <w:t xml:space="preserve">Fewer studies have used archival data. </w:t>
      </w:r>
      <w:r w:rsidR="00DB62A6" w:rsidRPr="00C31D7B">
        <w:rPr>
          <w:iCs/>
          <w:lang w:val="en-GB" w:eastAsia="en-GB"/>
        </w:rPr>
        <w:t xml:space="preserve">In a </w:t>
      </w:r>
      <w:r w:rsidR="00203885" w:rsidRPr="00C31D7B">
        <w:rPr>
          <w:iCs/>
          <w:lang w:val="en-GB" w:eastAsia="en-GB"/>
        </w:rPr>
        <w:t xml:space="preserve">study using </w:t>
      </w:r>
      <w:r w:rsidR="00C26B61" w:rsidRPr="00C31D7B">
        <w:rPr>
          <w:iCs/>
          <w:lang w:val="en-GB" w:eastAsia="en-GB"/>
        </w:rPr>
        <w:t xml:space="preserve">archival </w:t>
      </w:r>
      <w:r w:rsidR="00203885" w:rsidRPr="00C31D7B">
        <w:rPr>
          <w:iCs/>
          <w:lang w:val="en-GB" w:eastAsia="en-GB"/>
        </w:rPr>
        <w:t xml:space="preserve">data </w:t>
      </w:r>
      <w:r w:rsidR="00AA0F3A" w:rsidRPr="00C31D7B">
        <w:rPr>
          <w:iCs/>
          <w:lang w:val="en-GB" w:eastAsia="en-GB"/>
        </w:rPr>
        <w:t xml:space="preserve">gathered from 146 students </w:t>
      </w:r>
      <w:r w:rsidR="00D20716" w:rsidRPr="00C31D7B">
        <w:rPr>
          <w:iCs/>
          <w:lang w:val="en-GB" w:eastAsia="en-GB"/>
        </w:rPr>
        <w:t>within a m</w:t>
      </w:r>
      <w:r w:rsidR="00203885" w:rsidRPr="00C31D7B">
        <w:rPr>
          <w:iCs/>
          <w:lang w:val="en-GB" w:eastAsia="en-GB"/>
        </w:rPr>
        <w:t>acroeconomics c</w:t>
      </w:r>
      <w:r w:rsidR="00D20716" w:rsidRPr="00C31D7B">
        <w:rPr>
          <w:iCs/>
          <w:lang w:val="en-GB" w:eastAsia="en-GB"/>
        </w:rPr>
        <w:t>lass at the University of Porto</w:t>
      </w:r>
      <w:r w:rsidR="00203885" w:rsidRPr="00C31D7B">
        <w:rPr>
          <w:iCs/>
          <w:lang w:val="en-GB" w:eastAsia="en-GB"/>
        </w:rPr>
        <w:t xml:space="preserve"> </w:t>
      </w:r>
      <w:r w:rsidR="00203885" w:rsidRPr="00C31D7B">
        <w:rPr>
          <w:lang w:val="en-GB"/>
        </w:rPr>
        <w:t>Teixeira (2016) finds that</w:t>
      </w:r>
      <w:r w:rsidR="00203885" w:rsidRPr="00C31D7B">
        <w:rPr>
          <w:lang w:val="en-GB" w:eastAsia="en-GB"/>
        </w:rPr>
        <w:t xml:space="preserve"> absenteeism considerably lowers the students’ final grade.</w:t>
      </w:r>
      <w:r w:rsidR="00A3018F" w:rsidRPr="00C31D7B">
        <w:rPr>
          <w:lang w:val="en-GB" w:eastAsia="en-GB"/>
        </w:rPr>
        <w:t xml:space="preserve"> </w:t>
      </w:r>
      <w:r w:rsidR="00D20716" w:rsidRPr="00C31D7B">
        <w:rPr>
          <w:lang w:val="en-GB" w:eastAsia="en-GB"/>
        </w:rPr>
        <w:t xml:space="preserve">Finally, in a large </w:t>
      </w:r>
      <w:r w:rsidR="00BB788C" w:rsidRPr="00C31D7B">
        <w:rPr>
          <w:lang w:val="en-GB" w:eastAsia="en-GB"/>
        </w:rPr>
        <w:t>archival data</w:t>
      </w:r>
      <w:r w:rsidR="00D20716" w:rsidRPr="00C31D7B">
        <w:rPr>
          <w:lang w:val="en-GB" w:eastAsia="en-GB"/>
        </w:rPr>
        <w:t xml:space="preserve"> study</w:t>
      </w:r>
      <w:r w:rsidR="00BB788C" w:rsidRPr="00C31D7B">
        <w:rPr>
          <w:lang w:val="en-GB" w:eastAsia="en-GB"/>
        </w:rPr>
        <w:t xml:space="preserve"> </w:t>
      </w:r>
      <w:r w:rsidR="00D20716" w:rsidRPr="00C31D7B">
        <w:rPr>
          <w:lang w:val="en-GB" w:eastAsia="en-GB"/>
        </w:rPr>
        <w:t>of</w:t>
      </w:r>
      <w:r w:rsidR="00BB788C" w:rsidRPr="00C31D7B">
        <w:rPr>
          <w:lang w:val="en-GB" w:eastAsia="en-GB"/>
        </w:rPr>
        <w:t xml:space="preserve"> 1298 students in </w:t>
      </w:r>
      <w:r w:rsidR="006E2CA8" w:rsidRPr="00C31D7B">
        <w:rPr>
          <w:lang w:val="en-GB" w:eastAsia="en-GB"/>
        </w:rPr>
        <w:t xml:space="preserve">a </w:t>
      </w:r>
      <w:r w:rsidR="00D20716" w:rsidRPr="00C31D7B">
        <w:rPr>
          <w:lang w:val="en-GB" w:eastAsia="en-GB"/>
        </w:rPr>
        <w:t>m</w:t>
      </w:r>
      <w:r w:rsidR="00BB788C" w:rsidRPr="00C31D7B">
        <w:rPr>
          <w:lang w:val="en-GB" w:eastAsia="en-GB"/>
        </w:rPr>
        <w:t xml:space="preserve">icroeconomics class at the University of Cape Town, Van Walbeek (2004) finds that </w:t>
      </w:r>
      <w:r w:rsidR="006E2CA8" w:rsidRPr="00C31D7B">
        <w:rPr>
          <w:rFonts w:cs="Garamond"/>
        </w:rPr>
        <w:t xml:space="preserve">students who attend all lectures perform better in </w:t>
      </w:r>
      <w:r w:rsidR="00D20716" w:rsidRPr="00C31D7B">
        <w:rPr>
          <w:rFonts w:cs="Garamond"/>
        </w:rPr>
        <w:t xml:space="preserve">both </w:t>
      </w:r>
      <w:r w:rsidR="006E2CA8" w:rsidRPr="00C31D7B">
        <w:rPr>
          <w:rFonts w:cs="Garamond"/>
        </w:rPr>
        <w:t xml:space="preserve">multiple choice </w:t>
      </w:r>
      <w:r w:rsidR="00D20716" w:rsidRPr="00C31D7B">
        <w:rPr>
          <w:rFonts w:cs="Garamond"/>
        </w:rPr>
        <w:t xml:space="preserve">and essay </w:t>
      </w:r>
      <w:r w:rsidR="006E2CA8" w:rsidRPr="00C31D7B">
        <w:rPr>
          <w:rFonts w:cs="Garamond"/>
        </w:rPr>
        <w:t>questions</w:t>
      </w:r>
      <w:r w:rsidR="006E2CA8" w:rsidRPr="00C31D7B">
        <w:rPr>
          <w:lang w:val="en-GB" w:eastAsia="en-GB"/>
        </w:rPr>
        <w:t>.</w:t>
      </w:r>
    </w:p>
    <w:p w:rsidR="00FA3FA0" w:rsidRPr="00C31D7B" w:rsidRDefault="006667D9" w:rsidP="00262DC8">
      <w:pPr>
        <w:ind w:firstLine="720"/>
        <w:jc w:val="both"/>
        <w:rPr>
          <w:lang w:val="en-GB"/>
        </w:rPr>
      </w:pPr>
      <w:r w:rsidRPr="00C31D7B">
        <w:rPr>
          <w:lang w:val="en-GB"/>
        </w:rPr>
        <w:t xml:space="preserve">Pointing to </w:t>
      </w:r>
      <w:r w:rsidR="00EB6092" w:rsidRPr="00C31D7B">
        <w:rPr>
          <w:lang w:val="en-GB"/>
        </w:rPr>
        <w:t>such</w:t>
      </w:r>
      <w:r w:rsidRPr="00C31D7B">
        <w:rPr>
          <w:lang w:val="en-GB"/>
        </w:rPr>
        <w:t xml:space="preserve"> evidence as being “</w:t>
      </w:r>
      <w:r w:rsidR="00AA4A73" w:rsidRPr="00C31D7B">
        <w:rPr>
          <w:lang w:val="en-GB"/>
        </w:rPr>
        <w:t>equivocal</w:t>
      </w:r>
      <w:r w:rsidRPr="00C31D7B">
        <w:rPr>
          <w:lang w:val="en-GB"/>
        </w:rPr>
        <w:t>”</w:t>
      </w:r>
      <w:r w:rsidR="00AA4A73" w:rsidRPr="00C31D7B">
        <w:rPr>
          <w:lang w:val="en-GB"/>
        </w:rPr>
        <w:t xml:space="preserve"> (St. Clair, 1999)</w:t>
      </w:r>
      <w:r w:rsidRPr="00C31D7B">
        <w:rPr>
          <w:lang w:val="en-GB"/>
        </w:rPr>
        <w:t>, and to the “possibility of teacher bias in giving students who attend</w:t>
      </w:r>
      <w:r w:rsidR="00AA4A73" w:rsidRPr="00C31D7B">
        <w:rPr>
          <w:lang w:val="en-GB"/>
        </w:rPr>
        <w:t xml:space="preserve"> more regularly a higher grade”</w:t>
      </w:r>
      <w:r w:rsidRPr="00C31D7B">
        <w:rPr>
          <w:lang w:val="en-GB"/>
        </w:rPr>
        <w:t xml:space="preserve"> </w:t>
      </w:r>
      <w:r w:rsidR="00AA4A73" w:rsidRPr="00C31D7B">
        <w:rPr>
          <w:lang w:val="en-GB"/>
        </w:rPr>
        <w:t xml:space="preserve">(Macfarlane, </w:t>
      </w:r>
      <w:r w:rsidR="00C272DA" w:rsidRPr="00C31D7B">
        <w:rPr>
          <w:lang w:val="en-GB"/>
        </w:rPr>
        <w:t xml:space="preserve">2013, p. </w:t>
      </w:r>
      <w:r w:rsidR="00EE2A6F" w:rsidRPr="00C31D7B">
        <w:rPr>
          <w:lang w:val="en-GB"/>
        </w:rPr>
        <w:t>363)</w:t>
      </w:r>
      <w:r w:rsidR="00AA4A73" w:rsidRPr="00C31D7B">
        <w:rPr>
          <w:lang w:val="en-GB"/>
        </w:rPr>
        <w:t>, attendance policy sceptics</w:t>
      </w:r>
      <w:r w:rsidR="00EE2A6F" w:rsidRPr="00C31D7B">
        <w:rPr>
          <w:lang w:val="en-GB"/>
        </w:rPr>
        <w:t xml:space="preserve"> </w:t>
      </w:r>
      <w:r w:rsidR="00125F53" w:rsidRPr="00C31D7B">
        <w:rPr>
          <w:lang w:val="en-GB"/>
        </w:rPr>
        <w:t xml:space="preserve">tend to </w:t>
      </w:r>
      <w:r w:rsidRPr="00C31D7B">
        <w:rPr>
          <w:lang w:val="en-GB"/>
        </w:rPr>
        <w:t>dismiss the academic performance argument.</w:t>
      </w:r>
      <w:r w:rsidR="009170A6" w:rsidRPr="00C31D7B">
        <w:rPr>
          <w:lang w:val="en-GB"/>
        </w:rPr>
        <w:t xml:space="preserve"> In this paper, we caution against dismissing this argument</w:t>
      </w:r>
      <w:r w:rsidR="008677E6" w:rsidRPr="00C31D7B">
        <w:rPr>
          <w:lang w:val="en-GB"/>
        </w:rPr>
        <w:t>, offer fresh evi</w:t>
      </w:r>
      <w:r w:rsidR="006861C6" w:rsidRPr="00C31D7B">
        <w:rPr>
          <w:lang w:val="en-GB"/>
        </w:rPr>
        <w:t>dence of the performance effect</w:t>
      </w:r>
      <w:r w:rsidR="008677E6" w:rsidRPr="00C31D7B">
        <w:rPr>
          <w:lang w:val="en-GB"/>
        </w:rPr>
        <w:t xml:space="preserve">, and suggest that current higher education policy and funding mechanisms </w:t>
      </w:r>
      <w:r w:rsidR="00125F53" w:rsidRPr="00C31D7B">
        <w:rPr>
          <w:lang w:val="en-GB"/>
        </w:rPr>
        <w:t xml:space="preserve">actually </w:t>
      </w:r>
      <w:r w:rsidR="006861C6" w:rsidRPr="00C31D7B">
        <w:rPr>
          <w:lang w:val="en-GB"/>
        </w:rPr>
        <w:t>make</w:t>
      </w:r>
      <w:r w:rsidR="008677E6" w:rsidRPr="00C31D7B">
        <w:rPr>
          <w:lang w:val="en-GB"/>
        </w:rPr>
        <w:t xml:space="preserve"> the performance argument</w:t>
      </w:r>
      <w:r w:rsidR="006861C6" w:rsidRPr="00C31D7B">
        <w:rPr>
          <w:lang w:val="en-GB"/>
        </w:rPr>
        <w:t xml:space="preserve"> </w:t>
      </w:r>
      <w:r w:rsidR="00557197" w:rsidRPr="00C31D7B">
        <w:rPr>
          <w:lang w:val="en-GB"/>
        </w:rPr>
        <w:t>more</w:t>
      </w:r>
      <w:r w:rsidR="006861C6" w:rsidRPr="00C31D7B">
        <w:rPr>
          <w:lang w:val="en-GB"/>
        </w:rPr>
        <w:t xml:space="preserve"> relevant</w:t>
      </w:r>
      <w:r w:rsidR="00557197" w:rsidRPr="00C31D7B">
        <w:rPr>
          <w:lang w:val="en-GB"/>
        </w:rPr>
        <w:t xml:space="preserve"> than ever</w:t>
      </w:r>
      <w:r w:rsidR="009170A6" w:rsidRPr="00C31D7B">
        <w:rPr>
          <w:lang w:val="en-GB"/>
        </w:rPr>
        <w:t>.</w:t>
      </w:r>
      <w:r w:rsidR="00EB6092" w:rsidRPr="00C31D7B">
        <w:rPr>
          <w:lang w:val="en-GB"/>
        </w:rPr>
        <w:t xml:space="preserve"> </w:t>
      </w:r>
      <w:r w:rsidR="00262DC8" w:rsidRPr="00C31D7B">
        <w:rPr>
          <w:lang w:val="en-GB"/>
        </w:rPr>
        <w:t xml:space="preserve">Studies on attendance effects generally report statistically significant correlations between attendance and academic performance. </w:t>
      </w:r>
      <w:r w:rsidR="00FB0537" w:rsidRPr="00C31D7B">
        <w:rPr>
          <w:lang w:val="en-GB"/>
        </w:rPr>
        <w:t>In fact</w:t>
      </w:r>
      <w:r w:rsidR="00351243" w:rsidRPr="00C31D7B">
        <w:rPr>
          <w:lang w:val="en-GB"/>
        </w:rPr>
        <w:t>,</w:t>
      </w:r>
      <w:r w:rsidR="00FB0537" w:rsidRPr="00C31D7B">
        <w:rPr>
          <w:lang w:val="en-GB"/>
        </w:rPr>
        <w:t xml:space="preserve"> the evidence is growing to the point where it cannot be ignored. </w:t>
      </w:r>
      <w:r w:rsidR="00262DC8" w:rsidRPr="00C31D7B">
        <w:rPr>
          <w:lang w:val="en-GB"/>
        </w:rPr>
        <w:t xml:space="preserve">However, </w:t>
      </w:r>
      <w:r w:rsidR="00FB0537" w:rsidRPr="00C31D7B">
        <w:rPr>
          <w:lang w:val="en-GB"/>
        </w:rPr>
        <w:t xml:space="preserve">effect sizes do </w:t>
      </w:r>
      <w:r w:rsidR="00262DC8" w:rsidRPr="00C31D7B">
        <w:rPr>
          <w:lang w:val="en-GB"/>
        </w:rPr>
        <w:t xml:space="preserve">vary by discipline (Newman-Ford, Fitzgibbon, Lloyd, &amp; Thomas, 2008; Ylijoki, 2000). </w:t>
      </w:r>
      <w:r w:rsidR="00FB0537" w:rsidRPr="00C31D7B">
        <w:rPr>
          <w:lang w:val="en-GB"/>
        </w:rPr>
        <w:lastRenderedPageBreak/>
        <w:t>Furthermore,</w:t>
      </w:r>
      <w:r w:rsidR="00262DC8" w:rsidRPr="00C31D7B">
        <w:rPr>
          <w:lang w:val="en-GB"/>
        </w:rPr>
        <w:t xml:space="preserve"> the link between attendance and student performance has almost exclusively been tested in the context of simple memory recall tests (Romer, 1993; Marburger, 2006).</w:t>
      </w:r>
      <w:r w:rsidR="00FB0537" w:rsidRPr="00C31D7B">
        <w:rPr>
          <w:lang w:val="en-GB"/>
        </w:rPr>
        <w:t xml:space="preserve"> </w:t>
      </w:r>
      <w:r w:rsidR="00AA301C" w:rsidRPr="00C31D7B">
        <w:rPr>
          <w:lang w:val="en-GB"/>
        </w:rPr>
        <w:t xml:space="preserve">This </w:t>
      </w:r>
      <w:r w:rsidR="008756D3" w:rsidRPr="00C31D7B">
        <w:rPr>
          <w:lang w:val="en-GB"/>
        </w:rPr>
        <w:t>exam form leaves no room for the teacher bias that</w:t>
      </w:r>
      <w:r w:rsidR="00FB0537" w:rsidRPr="00C31D7B">
        <w:rPr>
          <w:lang w:val="en-GB"/>
        </w:rPr>
        <w:t xml:space="preserve"> Macfarlane (2013)</w:t>
      </w:r>
      <w:r w:rsidR="008756D3" w:rsidRPr="00C31D7B">
        <w:rPr>
          <w:lang w:val="en-GB"/>
        </w:rPr>
        <w:t xml:space="preserve"> suggests.</w:t>
      </w:r>
      <w:r w:rsidR="00262DC8" w:rsidRPr="00C31D7B">
        <w:rPr>
          <w:lang w:val="en-GB"/>
        </w:rPr>
        <w:t xml:space="preserve"> </w:t>
      </w:r>
      <w:r w:rsidR="00FB0537" w:rsidRPr="00C31D7B">
        <w:rPr>
          <w:lang w:val="en-GB"/>
        </w:rPr>
        <w:t>However, there could remain some</w:t>
      </w:r>
      <w:r w:rsidR="00262DC8" w:rsidRPr="00C31D7B">
        <w:rPr>
          <w:lang w:val="en-GB"/>
        </w:rPr>
        <w:t xml:space="preserve"> uncertainty as to whether </w:t>
      </w:r>
      <w:r w:rsidR="00FB0537" w:rsidRPr="00C31D7B">
        <w:rPr>
          <w:lang w:val="en-GB"/>
        </w:rPr>
        <w:t>the attendance effects</w:t>
      </w:r>
      <w:r w:rsidR="00262DC8" w:rsidRPr="00C31D7B">
        <w:rPr>
          <w:lang w:val="en-GB"/>
        </w:rPr>
        <w:t xml:space="preserve"> apply to </w:t>
      </w:r>
      <w:r w:rsidR="00AA301C" w:rsidRPr="00C31D7B">
        <w:rPr>
          <w:lang w:val="en-GB"/>
        </w:rPr>
        <w:t xml:space="preserve">other types of exams, such as </w:t>
      </w:r>
      <w:r w:rsidR="00262DC8" w:rsidRPr="00C31D7B">
        <w:rPr>
          <w:lang w:val="en-GB"/>
        </w:rPr>
        <w:t xml:space="preserve">inductive exams </w:t>
      </w:r>
      <w:r w:rsidR="00AA301C" w:rsidRPr="00C31D7B">
        <w:rPr>
          <w:lang w:val="en-GB"/>
        </w:rPr>
        <w:t>that</w:t>
      </w:r>
      <w:r w:rsidR="00FB0537" w:rsidRPr="00C31D7B">
        <w:rPr>
          <w:lang w:val="en-GB"/>
        </w:rPr>
        <w:t xml:space="preserve"> are</w:t>
      </w:r>
      <w:r w:rsidR="00262DC8" w:rsidRPr="00C31D7B">
        <w:rPr>
          <w:lang w:val="en-GB"/>
        </w:rPr>
        <w:t xml:space="preserve"> common in </w:t>
      </w:r>
      <w:r w:rsidR="0029211B" w:rsidRPr="00C31D7B">
        <w:rPr>
          <w:lang w:val="en-GB"/>
        </w:rPr>
        <w:t>social sciences</w:t>
      </w:r>
      <w:r w:rsidR="00262DC8" w:rsidRPr="00C31D7B">
        <w:rPr>
          <w:lang w:val="en-GB"/>
        </w:rPr>
        <w:t>, where students are expected to apply theories to novel p</w:t>
      </w:r>
      <w:r w:rsidR="001F6E4C" w:rsidRPr="00C31D7B">
        <w:rPr>
          <w:lang w:val="en-GB"/>
        </w:rPr>
        <w:t>roblems, and criticis</w:t>
      </w:r>
      <w:r w:rsidR="00262DC8" w:rsidRPr="00C31D7B">
        <w:rPr>
          <w:lang w:val="en-GB"/>
        </w:rPr>
        <w:t>e the applied theories</w:t>
      </w:r>
      <w:r w:rsidR="00FB0537" w:rsidRPr="00C31D7B">
        <w:rPr>
          <w:lang w:val="en-GB"/>
        </w:rPr>
        <w:t>, often based on case studies (Christensen &amp; Carlile, 2009)</w:t>
      </w:r>
      <w:r w:rsidR="00262DC8" w:rsidRPr="00C31D7B">
        <w:rPr>
          <w:lang w:val="en-GB"/>
        </w:rPr>
        <w:t xml:space="preserve">. </w:t>
      </w:r>
      <w:r w:rsidR="00EB6092" w:rsidRPr="00C31D7B">
        <w:rPr>
          <w:lang w:val="en-GB"/>
        </w:rPr>
        <w:t xml:space="preserve">There are also inherent issues with survey-based methods </w:t>
      </w:r>
      <w:r w:rsidR="004517A8" w:rsidRPr="00C31D7B">
        <w:rPr>
          <w:lang w:val="en-GB"/>
        </w:rPr>
        <w:t xml:space="preserve">concerning both sampling, and misreporting of attendance. </w:t>
      </w:r>
      <w:r w:rsidR="00DC3FB1" w:rsidRPr="00C31D7B">
        <w:rPr>
          <w:lang w:val="en-GB"/>
        </w:rPr>
        <w:t>Finally,</w:t>
      </w:r>
      <w:r w:rsidR="0095050D" w:rsidRPr="00C31D7B">
        <w:rPr>
          <w:lang w:val="en-GB"/>
        </w:rPr>
        <w:t xml:space="preserve"> t</w:t>
      </w:r>
      <w:r w:rsidR="00262DC8" w:rsidRPr="00C31D7B">
        <w:rPr>
          <w:lang w:val="en-GB"/>
        </w:rPr>
        <w:t>here is evidence that the attendance-performance relationship is moderated by a wide number of factors, such as timetabl</w:t>
      </w:r>
      <w:r w:rsidR="00A14AE8" w:rsidRPr="00C31D7B">
        <w:rPr>
          <w:lang w:val="en-GB"/>
        </w:rPr>
        <w:t>ing and the quality of teaching,</w:t>
      </w:r>
      <w:r w:rsidR="00262DC8" w:rsidRPr="00C31D7B">
        <w:rPr>
          <w:lang w:val="en-GB"/>
        </w:rPr>
        <w:t xml:space="preserve"> </w:t>
      </w:r>
      <w:r w:rsidR="00A14AE8" w:rsidRPr="00C31D7B">
        <w:rPr>
          <w:lang w:val="en-GB"/>
        </w:rPr>
        <w:t>but not</w:t>
      </w:r>
      <w:r w:rsidR="00262DC8" w:rsidRPr="00C31D7B">
        <w:rPr>
          <w:lang w:val="en-GB"/>
        </w:rPr>
        <w:t xml:space="preserve"> all studies </w:t>
      </w:r>
      <w:r w:rsidR="00613495" w:rsidRPr="00C31D7B">
        <w:rPr>
          <w:lang w:val="en-GB"/>
        </w:rPr>
        <w:t xml:space="preserve">consider </w:t>
      </w:r>
      <w:r w:rsidR="00FB0537" w:rsidRPr="00C31D7B">
        <w:rPr>
          <w:lang w:val="en-GB"/>
        </w:rPr>
        <w:t xml:space="preserve">an exhaustive list of </w:t>
      </w:r>
      <w:r w:rsidR="00613495" w:rsidRPr="00C31D7B">
        <w:rPr>
          <w:lang w:val="en-GB"/>
        </w:rPr>
        <w:t>such moderators</w:t>
      </w:r>
      <w:r w:rsidR="00262DC8" w:rsidRPr="00C31D7B">
        <w:rPr>
          <w:lang w:val="en-GB"/>
        </w:rPr>
        <w:t>.</w:t>
      </w:r>
      <w:r w:rsidR="0034316F" w:rsidRPr="00C31D7B">
        <w:rPr>
          <w:lang w:val="en-GB"/>
        </w:rPr>
        <w:t xml:space="preserve"> We here report</w:t>
      </w:r>
      <w:r w:rsidR="00FA3FA0" w:rsidRPr="00C31D7B">
        <w:rPr>
          <w:lang w:val="en-GB"/>
        </w:rPr>
        <w:t xml:space="preserve"> on a study at </w:t>
      </w:r>
      <w:r w:rsidR="00262DC8" w:rsidRPr="00C31D7B">
        <w:rPr>
          <w:lang w:val="en-GB"/>
        </w:rPr>
        <w:t>a large London based university</w:t>
      </w:r>
      <w:r w:rsidR="004517A8" w:rsidRPr="00C31D7B">
        <w:rPr>
          <w:lang w:val="en-GB"/>
        </w:rPr>
        <w:t>, using archival data, and introducing a range a moderators,</w:t>
      </w:r>
      <w:r w:rsidR="00FA3FA0" w:rsidRPr="00C31D7B">
        <w:rPr>
          <w:lang w:val="en-GB"/>
        </w:rPr>
        <w:t xml:space="preserve"> correcting for some of these weaknesses.</w:t>
      </w:r>
    </w:p>
    <w:p w:rsidR="0009188E" w:rsidRPr="00C31D7B" w:rsidRDefault="00FA3FA0" w:rsidP="00EE5AB6">
      <w:pPr>
        <w:ind w:firstLine="720"/>
        <w:jc w:val="both"/>
        <w:rPr>
          <w:lang w:val="en-GB"/>
        </w:rPr>
      </w:pPr>
      <w:r w:rsidRPr="00C31D7B">
        <w:rPr>
          <w:lang w:val="en-GB"/>
        </w:rPr>
        <w:t>W</w:t>
      </w:r>
      <w:r w:rsidR="009B4CE6" w:rsidRPr="00C31D7B">
        <w:rPr>
          <w:lang w:val="en-GB"/>
        </w:rPr>
        <w:t xml:space="preserve">e present </w:t>
      </w:r>
      <w:r w:rsidR="00FB0537" w:rsidRPr="00C31D7B">
        <w:rPr>
          <w:lang w:val="en-GB"/>
        </w:rPr>
        <w:t>fresh</w:t>
      </w:r>
      <w:r w:rsidR="00262DC8" w:rsidRPr="00C31D7B">
        <w:rPr>
          <w:lang w:val="en-GB"/>
        </w:rPr>
        <w:t xml:space="preserve"> </w:t>
      </w:r>
      <w:r w:rsidR="00F33908" w:rsidRPr="00C31D7B">
        <w:rPr>
          <w:lang w:val="en-GB"/>
        </w:rPr>
        <w:t xml:space="preserve">empirical </w:t>
      </w:r>
      <w:r w:rsidR="009B4CE6" w:rsidRPr="00C31D7B">
        <w:rPr>
          <w:lang w:val="en-GB"/>
        </w:rPr>
        <w:t xml:space="preserve">evidence </w:t>
      </w:r>
      <w:r w:rsidR="00F33908" w:rsidRPr="00C31D7B">
        <w:rPr>
          <w:lang w:val="en-GB"/>
        </w:rPr>
        <w:t>confirming that</w:t>
      </w:r>
      <w:r w:rsidR="009B4CE6" w:rsidRPr="00C31D7B">
        <w:rPr>
          <w:lang w:val="en-GB"/>
        </w:rPr>
        <w:t xml:space="preserve"> attendance </w:t>
      </w:r>
      <w:r w:rsidR="00FB0537" w:rsidRPr="00C31D7B">
        <w:rPr>
          <w:lang w:val="en-GB"/>
        </w:rPr>
        <w:t>has</w:t>
      </w:r>
      <w:r w:rsidR="009B4CE6" w:rsidRPr="00C31D7B">
        <w:rPr>
          <w:lang w:val="en-GB"/>
        </w:rPr>
        <w:t xml:space="preserve"> a statistically significant</w:t>
      </w:r>
      <w:r w:rsidR="003F51E8" w:rsidRPr="00C31D7B">
        <w:rPr>
          <w:lang w:val="en-GB"/>
        </w:rPr>
        <w:t xml:space="preserve"> </w:t>
      </w:r>
      <w:r w:rsidR="00EA3ECC" w:rsidRPr="00C31D7B">
        <w:rPr>
          <w:lang w:val="en-GB"/>
        </w:rPr>
        <w:t>association with</w:t>
      </w:r>
      <w:r w:rsidR="003F51E8" w:rsidRPr="00C31D7B">
        <w:rPr>
          <w:lang w:val="en-GB"/>
        </w:rPr>
        <w:t xml:space="preserve"> student performance.</w:t>
      </w:r>
      <w:r w:rsidR="00FB0537" w:rsidRPr="00C31D7B">
        <w:rPr>
          <w:lang w:val="en-GB"/>
        </w:rPr>
        <w:t xml:space="preserve"> We study </w:t>
      </w:r>
      <w:r w:rsidR="008352DA" w:rsidRPr="00C31D7B">
        <w:rPr>
          <w:lang w:val="en-GB"/>
        </w:rPr>
        <w:t>several</w:t>
      </w:r>
      <w:r w:rsidR="00FB0537" w:rsidRPr="00C31D7B">
        <w:rPr>
          <w:lang w:val="en-GB"/>
        </w:rPr>
        <w:t xml:space="preserve"> cohorts of students on an undergraduate strategic management course, gathering archival data for </w:t>
      </w:r>
      <w:r w:rsidR="008352DA" w:rsidRPr="00C31D7B">
        <w:rPr>
          <w:lang w:val="en-GB"/>
        </w:rPr>
        <w:t>almost 700 students, and</w:t>
      </w:r>
      <w:r w:rsidR="00FB0537" w:rsidRPr="00C31D7B">
        <w:rPr>
          <w:lang w:val="en-GB"/>
        </w:rPr>
        <w:t xml:space="preserve"> run a series of models that show clearly that attending classes benefits students</w:t>
      </w:r>
      <w:r w:rsidR="00A14AE8" w:rsidRPr="00C31D7B">
        <w:rPr>
          <w:lang w:val="en-GB"/>
        </w:rPr>
        <w:t xml:space="preserve">, even </w:t>
      </w:r>
      <w:r w:rsidR="00EA3ECC" w:rsidRPr="00C31D7B">
        <w:rPr>
          <w:lang w:val="en-GB"/>
        </w:rPr>
        <w:t>when</w:t>
      </w:r>
      <w:r w:rsidR="00A14AE8" w:rsidRPr="00C31D7B">
        <w:rPr>
          <w:lang w:val="en-GB"/>
        </w:rPr>
        <w:t xml:space="preserve"> controlling for other effects</w:t>
      </w:r>
      <w:r w:rsidR="00FB0537" w:rsidRPr="00C31D7B">
        <w:rPr>
          <w:lang w:val="en-GB"/>
        </w:rPr>
        <w:t>.</w:t>
      </w:r>
      <w:r w:rsidR="00A14AE8" w:rsidRPr="00C31D7B">
        <w:rPr>
          <w:lang w:val="en-GB"/>
        </w:rPr>
        <w:t xml:space="preserve"> </w:t>
      </w:r>
      <w:r w:rsidR="004C72D1" w:rsidRPr="00C31D7B">
        <w:rPr>
          <w:lang w:val="en-GB"/>
        </w:rPr>
        <w:t xml:space="preserve">We do not discount </w:t>
      </w:r>
      <w:r w:rsidR="008352DA" w:rsidRPr="00C31D7B">
        <w:rPr>
          <w:lang w:val="en-GB"/>
        </w:rPr>
        <w:t xml:space="preserve">attendance policy sceptics </w:t>
      </w:r>
      <w:r w:rsidR="00DC3FB1" w:rsidRPr="00C31D7B">
        <w:rPr>
          <w:lang w:val="en-GB"/>
        </w:rPr>
        <w:t xml:space="preserve">general </w:t>
      </w:r>
      <w:r w:rsidRPr="00C31D7B">
        <w:rPr>
          <w:lang w:val="en-GB"/>
        </w:rPr>
        <w:t xml:space="preserve">arguments and </w:t>
      </w:r>
      <w:r w:rsidR="00A14AE8" w:rsidRPr="00C31D7B">
        <w:rPr>
          <w:lang w:val="en-GB"/>
        </w:rPr>
        <w:t>opinions</w:t>
      </w:r>
      <w:r w:rsidR="004C72D1" w:rsidRPr="00C31D7B">
        <w:rPr>
          <w:lang w:val="en-GB"/>
        </w:rPr>
        <w:t xml:space="preserve"> </w:t>
      </w:r>
      <w:r w:rsidR="004C72D1" w:rsidRPr="00C31D7B">
        <w:rPr>
          <w:i/>
          <w:lang w:val="en-GB"/>
        </w:rPr>
        <w:t>per se</w:t>
      </w:r>
      <w:r w:rsidR="004C72D1" w:rsidRPr="00C31D7B">
        <w:rPr>
          <w:lang w:val="en-GB"/>
        </w:rPr>
        <w:t>, but</w:t>
      </w:r>
      <w:r w:rsidR="009B4CE6" w:rsidRPr="00C31D7B">
        <w:rPr>
          <w:lang w:val="en-GB"/>
        </w:rPr>
        <w:t xml:space="preserve"> </w:t>
      </w:r>
      <w:r w:rsidRPr="00C31D7B">
        <w:rPr>
          <w:lang w:val="en-GB"/>
        </w:rPr>
        <w:t xml:space="preserve">suggest that the performance </w:t>
      </w:r>
      <w:r w:rsidR="00A12841" w:rsidRPr="00C31D7B">
        <w:rPr>
          <w:lang w:val="en-GB"/>
        </w:rPr>
        <w:t>effect</w:t>
      </w:r>
      <w:r w:rsidR="008352DA" w:rsidRPr="00C31D7B">
        <w:rPr>
          <w:lang w:val="en-GB"/>
        </w:rPr>
        <w:t xml:space="preserve"> simply</w:t>
      </w:r>
      <w:r w:rsidRPr="00C31D7B">
        <w:rPr>
          <w:lang w:val="en-GB"/>
        </w:rPr>
        <w:t xml:space="preserve"> cannot be dismissed, and </w:t>
      </w:r>
      <w:r w:rsidR="009B4CE6" w:rsidRPr="00C31D7B">
        <w:rPr>
          <w:lang w:val="en-GB"/>
        </w:rPr>
        <w:t>encourage universities</w:t>
      </w:r>
      <w:r w:rsidR="004A43DA" w:rsidRPr="00C31D7B">
        <w:rPr>
          <w:lang w:val="en-GB"/>
        </w:rPr>
        <w:t xml:space="preserve"> </w:t>
      </w:r>
      <w:r w:rsidR="004C72D1" w:rsidRPr="00C31D7B">
        <w:rPr>
          <w:lang w:val="en-GB"/>
        </w:rPr>
        <w:t>to consider carefully the question of attendance policies</w:t>
      </w:r>
      <w:r w:rsidR="009B4CE6" w:rsidRPr="00C31D7B">
        <w:rPr>
          <w:lang w:val="en-GB"/>
        </w:rPr>
        <w:t>.</w:t>
      </w:r>
      <w:r w:rsidR="004C72D1" w:rsidRPr="00C31D7B">
        <w:rPr>
          <w:lang w:val="en-GB"/>
        </w:rPr>
        <w:t xml:space="preserve"> </w:t>
      </w:r>
      <w:r w:rsidR="00613495" w:rsidRPr="00C31D7B">
        <w:rPr>
          <w:lang w:val="en-GB"/>
        </w:rPr>
        <w:t xml:space="preserve">The Humboldtian ideal of a university where academics and students are free to choose what they want to research, teach, and learn, is a far cry from the realities of modern-day higher education, where </w:t>
      </w:r>
      <w:r w:rsidR="003258DF" w:rsidRPr="00C31D7B">
        <w:rPr>
          <w:lang w:val="en-GB"/>
        </w:rPr>
        <w:t xml:space="preserve">funding and policies are built on </w:t>
      </w:r>
      <w:r w:rsidR="00613495" w:rsidRPr="00C31D7B">
        <w:rPr>
          <w:lang w:val="en-GB"/>
        </w:rPr>
        <w:t>market logic</w:t>
      </w:r>
      <w:r w:rsidR="003258DF" w:rsidRPr="00C31D7B">
        <w:rPr>
          <w:lang w:val="en-GB"/>
        </w:rPr>
        <w:t>s</w:t>
      </w:r>
      <w:r w:rsidR="00613495" w:rsidRPr="00C31D7B">
        <w:rPr>
          <w:lang w:val="en-GB"/>
        </w:rPr>
        <w:t xml:space="preserve"> a</w:t>
      </w:r>
      <w:r w:rsidR="003258DF" w:rsidRPr="00C31D7B">
        <w:rPr>
          <w:lang w:val="en-GB"/>
        </w:rPr>
        <w:t>nd discourse</w:t>
      </w:r>
      <w:r w:rsidR="00613495" w:rsidRPr="00C31D7B">
        <w:rPr>
          <w:lang w:val="en-GB"/>
        </w:rPr>
        <w:t xml:space="preserve"> (Nixon, Scullion, &amp; Hearn, 2016; </w:t>
      </w:r>
      <w:r w:rsidR="003258DF" w:rsidRPr="00C31D7B">
        <w:rPr>
          <w:lang w:val="en-GB"/>
        </w:rPr>
        <w:t xml:space="preserve">Vingaard Johansen, Knudsen, Engelbrecht Kristoffersen, Stellfeld Rasmussen, Saaby </w:t>
      </w:r>
      <w:r w:rsidR="003258DF" w:rsidRPr="00C31D7B">
        <w:rPr>
          <w:lang w:val="en-GB"/>
        </w:rPr>
        <w:lastRenderedPageBreak/>
        <w:t>Steffen, &amp; Sund, 201</w:t>
      </w:r>
      <w:r w:rsidR="00EA3ECC" w:rsidRPr="00C31D7B">
        <w:rPr>
          <w:lang w:val="en-GB"/>
        </w:rPr>
        <w:t>7</w:t>
      </w:r>
      <w:r w:rsidR="003258DF" w:rsidRPr="00C31D7B">
        <w:rPr>
          <w:lang w:val="en-GB"/>
        </w:rPr>
        <w:t>)</w:t>
      </w:r>
      <w:r w:rsidR="00613495" w:rsidRPr="00C31D7B">
        <w:rPr>
          <w:lang w:val="en-GB"/>
        </w:rPr>
        <w:t xml:space="preserve">. </w:t>
      </w:r>
      <w:r w:rsidR="003258DF" w:rsidRPr="00C31D7B">
        <w:rPr>
          <w:lang w:val="en-GB"/>
        </w:rPr>
        <w:t xml:space="preserve">These </w:t>
      </w:r>
      <w:r w:rsidR="002C73D4" w:rsidRPr="00C31D7B">
        <w:rPr>
          <w:lang w:val="en-GB"/>
        </w:rPr>
        <w:t xml:space="preserve">policies increasingly include a requirement for universities </w:t>
      </w:r>
      <w:r w:rsidR="003258DF" w:rsidRPr="00C31D7B">
        <w:rPr>
          <w:lang w:val="en-GB"/>
        </w:rPr>
        <w:t xml:space="preserve">to ensure enrolled students </w:t>
      </w:r>
      <w:r w:rsidR="002C73D4" w:rsidRPr="00C31D7B">
        <w:rPr>
          <w:lang w:val="en-GB"/>
        </w:rPr>
        <w:t>have</w:t>
      </w:r>
      <w:r w:rsidR="003258DF" w:rsidRPr="00C31D7B">
        <w:rPr>
          <w:lang w:val="en-GB"/>
        </w:rPr>
        <w:t xml:space="preserve"> optimal conditions to complete their studies within</w:t>
      </w:r>
      <w:r w:rsidR="002C73D4" w:rsidRPr="00C31D7B">
        <w:rPr>
          <w:lang w:val="en-GB"/>
        </w:rPr>
        <w:t xml:space="preserve"> the designated time.</w:t>
      </w:r>
      <w:r w:rsidR="003258DF" w:rsidRPr="00C31D7B">
        <w:rPr>
          <w:lang w:val="en-GB"/>
        </w:rPr>
        <w:t xml:space="preserve"> </w:t>
      </w:r>
      <w:r w:rsidRPr="00C31D7B">
        <w:rPr>
          <w:lang w:val="en-GB"/>
        </w:rPr>
        <w:t>When</w:t>
      </w:r>
      <w:r w:rsidR="003258DF" w:rsidRPr="00C31D7B">
        <w:rPr>
          <w:lang w:val="en-GB"/>
        </w:rPr>
        <w:t xml:space="preserve"> university funding is dependent on student retention and completion rates, even a small increase in </w:t>
      </w:r>
      <w:r w:rsidRPr="00C31D7B">
        <w:rPr>
          <w:lang w:val="en-GB"/>
        </w:rPr>
        <w:t>exam</w:t>
      </w:r>
      <w:r w:rsidR="003258DF" w:rsidRPr="00C31D7B">
        <w:rPr>
          <w:lang w:val="en-GB"/>
        </w:rPr>
        <w:t xml:space="preserve"> performance due to attendance</w:t>
      </w:r>
      <w:r w:rsidR="002C73D4" w:rsidRPr="00C31D7B">
        <w:rPr>
          <w:lang w:val="en-GB"/>
        </w:rPr>
        <w:t xml:space="preserve"> could have a real impact on whether or not a given university lives up to policy expectations.</w:t>
      </w:r>
      <w:r w:rsidR="004C72D1" w:rsidRPr="00C31D7B">
        <w:rPr>
          <w:lang w:val="en-GB"/>
        </w:rPr>
        <w:t xml:space="preserve"> Universities differ widely in location, learning models, and the academic abilities of students that are admitted, all of which matter for attendance and performance. Fitting attendance policies to the specific </w:t>
      </w:r>
      <w:r w:rsidR="00A14AE8" w:rsidRPr="00C31D7B">
        <w:rPr>
          <w:lang w:val="en-GB"/>
        </w:rPr>
        <w:t xml:space="preserve">higher education policy and student </w:t>
      </w:r>
      <w:r w:rsidR="004C72D1" w:rsidRPr="00C31D7B">
        <w:rPr>
          <w:lang w:val="en-GB"/>
        </w:rPr>
        <w:t>context of the university may therefore be wiser than adopting a one size fits all</w:t>
      </w:r>
      <w:r w:rsidR="00A14AE8" w:rsidRPr="00C31D7B">
        <w:rPr>
          <w:lang w:val="en-GB"/>
        </w:rPr>
        <w:t xml:space="preserve"> that rejects regulating attendance altogether</w:t>
      </w:r>
      <w:r w:rsidR="004C72D1" w:rsidRPr="00C31D7B">
        <w:rPr>
          <w:lang w:val="en-GB"/>
        </w:rPr>
        <w:t>.</w:t>
      </w:r>
    </w:p>
    <w:p w:rsidR="00EE5AB6" w:rsidRPr="00C31D7B" w:rsidRDefault="00EE5AB6" w:rsidP="00EE5AB6">
      <w:pPr>
        <w:ind w:firstLine="720"/>
        <w:jc w:val="both"/>
        <w:rPr>
          <w:lang w:val="en-GB"/>
        </w:rPr>
      </w:pPr>
      <w:r w:rsidRPr="00C31D7B">
        <w:rPr>
          <w:lang w:val="en-GB"/>
        </w:rPr>
        <w:t xml:space="preserve">Our paper is organized into four main sections. The first reviews the literature on attendance and student </w:t>
      </w:r>
      <w:r w:rsidR="00D57F14" w:rsidRPr="00C31D7B">
        <w:rPr>
          <w:lang w:val="en-GB"/>
        </w:rPr>
        <w:t>performance</w:t>
      </w:r>
      <w:r w:rsidRPr="00C31D7B">
        <w:rPr>
          <w:lang w:val="en-GB"/>
        </w:rPr>
        <w:t>. The second presents the method used. The third provides an analysis of results. The final section concludes with a discussion of the findings and their implications for theory and practice.</w:t>
      </w:r>
    </w:p>
    <w:p w:rsidR="00422B72" w:rsidRPr="00C31D7B" w:rsidRDefault="00422B72" w:rsidP="00EE5AB6">
      <w:pPr>
        <w:autoSpaceDE w:val="0"/>
        <w:autoSpaceDN w:val="0"/>
        <w:adjustRightInd w:val="0"/>
        <w:jc w:val="both"/>
        <w:rPr>
          <w:lang w:val="en-GB"/>
        </w:rPr>
      </w:pPr>
    </w:p>
    <w:p w:rsidR="004517A8" w:rsidRPr="00C31D7B" w:rsidRDefault="004517A8" w:rsidP="00EE5AB6">
      <w:pPr>
        <w:autoSpaceDE w:val="0"/>
        <w:autoSpaceDN w:val="0"/>
        <w:adjustRightInd w:val="0"/>
        <w:jc w:val="both"/>
        <w:rPr>
          <w:lang w:val="en-GB"/>
        </w:rPr>
      </w:pPr>
    </w:p>
    <w:p w:rsidR="00CD2A75" w:rsidRPr="00C31D7B" w:rsidRDefault="00422B72" w:rsidP="00422B72">
      <w:pPr>
        <w:autoSpaceDE w:val="0"/>
        <w:autoSpaceDN w:val="0"/>
        <w:adjustRightInd w:val="0"/>
        <w:jc w:val="center"/>
        <w:rPr>
          <w:b/>
          <w:lang w:val="en-GB"/>
        </w:rPr>
      </w:pPr>
      <w:r w:rsidRPr="00C31D7B">
        <w:rPr>
          <w:b/>
          <w:lang w:val="en-GB"/>
        </w:rPr>
        <w:t>ATTENDANCE POLICIES AND THE PERFORMANCE ARGUMENT</w:t>
      </w:r>
    </w:p>
    <w:p w:rsidR="00422B72" w:rsidRPr="00C31D7B" w:rsidRDefault="00422B72" w:rsidP="008620A8">
      <w:pPr>
        <w:autoSpaceDE w:val="0"/>
        <w:autoSpaceDN w:val="0"/>
        <w:adjustRightInd w:val="0"/>
        <w:ind w:firstLine="720"/>
        <w:jc w:val="both"/>
        <w:rPr>
          <w:lang w:val="en-GB"/>
        </w:rPr>
      </w:pPr>
    </w:p>
    <w:p w:rsidR="0095050D" w:rsidRPr="00C31D7B" w:rsidRDefault="00BD7758" w:rsidP="00006DE1">
      <w:pPr>
        <w:autoSpaceDE w:val="0"/>
        <w:autoSpaceDN w:val="0"/>
        <w:adjustRightInd w:val="0"/>
        <w:ind w:firstLine="720"/>
        <w:jc w:val="both"/>
        <w:rPr>
          <w:lang w:val="en-GB" w:eastAsia="en-GB"/>
        </w:rPr>
      </w:pPr>
      <w:r w:rsidRPr="00C31D7B">
        <w:rPr>
          <w:lang w:val="en-GB"/>
        </w:rPr>
        <w:t>A</w:t>
      </w:r>
      <w:r w:rsidR="00FA3FA0" w:rsidRPr="00C31D7B">
        <w:rPr>
          <w:lang w:val="en-GB"/>
        </w:rPr>
        <w:t>bsenteeism is by now a recognised and concerning problem in universities around the world (Devadoss &amp; Foltz, 1996; Newman-Ford, Fitzgibbon, Lloyd, &amp; Thomas, 2008; Romer, 1993). Much of what we know</w:t>
      </w:r>
      <w:r w:rsidRPr="00C31D7B">
        <w:rPr>
          <w:lang w:val="en-GB"/>
        </w:rPr>
        <w:t xml:space="preserve"> about the scale of the problem</w:t>
      </w:r>
      <w:r w:rsidR="00FA3FA0" w:rsidRPr="00C31D7B">
        <w:rPr>
          <w:lang w:val="en-GB"/>
        </w:rPr>
        <w:t xml:space="preserve"> comes from economics departments, where reported numbers vary from 60-90% average class attendance rates (Lin &amp; Chen, 2006; Marburger, 2006; Romer, 1993). The general conclusion from the field of economics is that there is a positive and statistically significant </w:t>
      </w:r>
      <w:r w:rsidR="0015665C" w:rsidRPr="00C31D7B">
        <w:rPr>
          <w:lang w:val="en-GB"/>
        </w:rPr>
        <w:t xml:space="preserve">correlation between attendance </w:t>
      </w:r>
      <w:r w:rsidR="0015665C" w:rsidRPr="00C31D7B">
        <w:rPr>
          <w:lang w:val="en-GB"/>
        </w:rPr>
        <w:lastRenderedPageBreak/>
        <w:t>and</w:t>
      </w:r>
      <w:r w:rsidR="00FA3FA0" w:rsidRPr="00C31D7B">
        <w:rPr>
          <w:lang w:val="en-GB"/>
        </w:rPr>
        <w:t xml:space="preserve"> student performance (Chen &amp; Lin, 2008; Devadoss &amp; Foltz, 1996; Kirby &amp; McElroy, 2003; Lin &amp; Chen, 2006; Shimoff &amp; Catania, 2001; van Walbeek, 2004). </w:t>
      </w:r>
      <w:r w:rsidR="001C4C4E" w:rsidRPr="00C31D7B">
        <w:rPr>
          <w:lang w:val="en-GB"/>
        </w:rPr>
        <w:t xml:space="preserve">From a university practice perspective, such an </w:t>
      </w:r>
      <w:r w:rsidR="0015665C" w:rsidRPr="00C31D7B">
        <w:rPr>
          <w:lang w:val="en-GB"/>
        </w:rPr>
        <w:t>association</w:t>
      </w:r>
      <w:r w:rsidR="001C4C4E" w:rsidRPr="00C31D7B">
        <w:rPr>
          <w:lang w:val="en-GB"/>
        </w:rPr>
        <w:t xml:space="preserve"> raises the question of whether or not to adopt an attendance policy. </w:t>
      </w:r>
      <w:r w:rsidR="00A44CA3" w:rsidRPr="00C31D7B">
        <w:rPr>
          <w:lang w:val="en-GB"/>
        </w:rPr>
        <w:t xml:space="preserve">Of interest </w:t>
      </w:r>
      <w:r w:rsidR="00160015" w:rsidRPr="00C31D7B">
        <w:rPr>
          <w:lang w:val="en-GB"/>
        </w:rPr>
        <w:t>to</w:t>
      </w:r>
      <w:r w:rsidR="00051592" w:rsidRPr="00C31D7B">
        <w:rPr>
          <w:lang w:val="en-GB"/>
        </w:rPr>
        <w:t xml:space="preserve"> </w:t>
      </w:r>
      <w:r w:rsidR="00160015" w:rsidRPr="00C31D7B">
        <w:rPr>
          <w:lang w:val="en-GB"/>
        </w:rPr>
        <w:t>th</w:t>
      </w:r>
      <w:r w:rsidR="001C4C4E" w:rsidRPr="00C31D7B">
        <w:rPr>
          <w:lang w:val="en-GB"/>
        </w:rPr>
        <w:t>is</w:t>
      </w:r>
      <w:r w:rsidR="0030436E" w:rsidRPr="00C31D7B">
        <w:rPr>
          <w:lang w:val="en-GB"/>
        </w:rPr>
        <w:t xml:space="preserve"> </w:t>
      </w:r>
      <w:r w:rsidR="00051592" w:rsidRPr="00C31D7B">
        <w:rPr>
          <w:lang w:val="en-GB"/>
        </w:rPr>
        <w:t>debate</w:t>
      </w:r>
      <w:r w:rsidR="00160015" w:rsidRPr="00C31D7B">
        <w:rPr>
          <w:lang w:val="en-GB"/>
        </w:rPr>
        <w:t xml:space="preserve"> </w:t>
      </w:r>
      <w:r w:rsidR="00AC25B4" w:rsidRPr="00C31D7B">
        <w:rPr>
          <w:lang w:val="en-GB"/>
        </w:rPr>
        <w:t>are</w:t>
      </w:r>
      <w:r w:rsidR="00A44CA3" w:rsidRPr="00C31D7B">
        <w:rPr>
          <w:lang w:val="en-GB"/>
        </w:rPr>
        <w:t xml:space="preserve"> </w:t>
      </w:r>
      <w:r w:rsidR="00AC25B4" w:rsidRPr="00C31D7B">
        <w:rPr>
          <w:lang w:val="en-GB"/>
        </w:rPr>
        <w:t>two</w:t>
      </w:r>
      <w:r w:rsidR="00A44CA3" w:rsidRPr="00C31D7B">
        <w:rPr>
          <w:lang w:val="en-GB"/>
        </w:rPr>
        <w:t xml:space="preserve"> recen</w:t>
      </w:r>
      <w:r w:rsidR="00C82D95" w:rsidRPr="00C31D7B">
        <w:rPr>
          <w:lang w:val="en-GB"/>
        </w:rPr>
        <w:t>t paper</w:t>
      </w:r>
      <w:r w:rsidR="00AC25B4" w:rsidRPr="00C31D7B">
        <w:rPr>
          <w:lang w:val="en-GB"/>
        </w:rPr>
        <w:t>s</w:t>
      </w:r>
      <w:r w:rsidR="00C82D95" w:rsidRPr="00C31D7B">
        <w:rPr>
          <w:lang w:val="en-GB"/>
        </w:rPr>
        <w:t xml:space="preserve"> by Macfarlane (</w:t>
      </w:r>
      <w:r w:rsidR="00AC25B4" w:rsidRPr="00C31D7B">
        <w:rPr>
          <w:lang w:val="en-GB"/>
        </w:rPr>
        <w:t xml:space="preserve">2012; </w:t>
      </w:r>
      <w:r w:rsidR="00C82D95" w:rsidRPr="00C31D7B">
        <w:rPr>
          <w:lang w:val="en-GB"/>
        </w:rPr>
        <w:t>2013)</w:t>
      </w:r>
      <w:r w:rsidR="001C4C4E" w:rsidRPr="00C31D7B">
        <w:rPr>
          <w:lang w:val="en-GB"/>
        </w:rPr>
        <w:t>,</w:t>
      </w:r>
      <w:r w:rsidR="00C82D95" w:rsidRPr="00C31D7B">
        <w:rPr>
          <w:lang w:val="en-GB"/>
        </w:rPr>
        <w:t xml:space="preserve"> in which he </w:t>
      </w:r>
      <w:r w:rsidR="0030436E" w:rsidRPr="00C31D7B">
        <w:rPr>
          <w:lang w:val="en-GB"/>
        </w:rPr>
        <w:t>offers</w:t>
      </w:r>
      <w:r w:rsidR="00CD2A75" w:rsidRPr="00C31D7B">
        <w:rPr>
          <w:lang w:val="en-GB"/>
        </w:rPr>
        <w:t xml:space="preserve"> an analysis of attendance policy statements </w:t>
      </w:r>
      <w:r w:rsidR="001C4C4E" w:rsidRPr="00C31D7B">
        <w:rPr>
          <w:lang w:val="en-GB"/>
        </w:rPr>
        <w:t>from a selection of</w:t>
      </w:r>
      <w:r w:rsidR="00CD2A75" w:rsidRPr="00C31D7B">
        <w:rPr>
          <w:lang w:val="en-GB"/>
        </w:rPr>
        <w:t xml:space="preserve"> </w:t>
      </w:r>
      <w:r w:rsidR="001C4C4E" w:rsidRPr="00C31D7B">
        <w:rPr>
          <w:lang w:val="en-GB"/>
        </w:rPr>
        <w:t xml:space="preserve">British </w:t>
      </w:r>
      <w:r w:rsidR="00CD2A75" w:rsidRPr="00C31D7B">
        <w:rPr>
          <w:lang w:val="en-GB"/>
        </w:rPr>
        <w:t>universities</w:t>
      </w:r>
      <w:r w:rsidR="00C82D95" w:rsidRPr="00C31D7B">
        <w:rPr>
          <w:lang w:val="en-GB"/>
        </w:rPr>
        <w:t>,</w:t>
      </w:r>
      <w:r w:rsidR="00CD2A75" w:rsidRPr="00C31D7B">
        <w:rPr>
          <w:lang w:val="en-GB"/>
        </w:rPr>
        <w:t xml:space="preserve"> </w:t>
      </w:r>
      <w:r w:rsidR="00C82D95" w:rsidRPr="00C31D7B">
        <w:rPr>
          <w:lang w:val="en-GB"/>
        </w:rPr>
        <w:t>from</w:t>
      </w:r>
      <w:r w:rsidR="00CD2A75" w:rsidRPr="00C31D7B">
        <w:rPr>
          <w:lang w:val="en-GB"/>
        </w:rPr>
        <w:t xml:space="preserve"> </w:t>
      </w:r>
      <w:r w:rsidR="00C82D95" w:rsidRPr="00C31D7B">
        <w:rPr>
          <w:lang w:val="en-GB"/>
        </w:rPr>
        <w:t xml:space="preserve">which he </w:t>
      </w:r>
      <w:r w:rsidR="00CD2A75" w:rsidRPr="00C31D7B">
        <w:rPr>
          <w:lang w:val="en-GB"/>
        </w:rPr>
        <w:t xml:space="preserve">concludes that there are three main categories of arguments to justify </w:t>
      </w:r>
      <w:r w:rsidR="00F34287" w:rsidRPr="00C31D7B">
        <w:rPr>
          <w:lang w:val="en-GB"/>
        </w:rPr>
        <w:t xml:space="preserve">the monitoring of </w:t>
      </w:r>
      <w:r w:rsidR="00CD2A75" w:rsidRPr="00C31D7B">
        <w:rPr>
          <w:lang w:val="en-GB"/>
        </w:rPr>
        <w:t>class attendance</w:t>
      </w:r>
      <w:r w:rsidR="0030436E" w:rsidRPr="00C31D7B">
        <w:rPr>
          <w:lang w:val="en-GB"/>
        </w:rPr>
        <w:t>. These are (a)</w:t>
      </w:r>
      <w:r w:rsidR="00CD2A75" w:rsidRPr="00C31D7B">
        <w:rPr>
          <w:lang w:val="en-GB"/>
        </w:rPr>
        <w:t xml:space="preserve"> </w:t>
      </w:r>
      <w:r w:rsidR="00CD2A75" w:rsidRPr="00C31D7B">
        <w:rPr>
          <w:i/>
          <w:iCs/>
          <w:lang w:val="en-GB" w:eastAsia="en-GB"/>
        </w:rPr>
        <w:t>accountability to society</w:t>
      </w:r>
      <w:r w:rsidR="00CD2A75" w:rsidRPr="00C31D7B">
        <w:rPr>
          <w:iCs/>
          <w:lang w:val="en-GB" w:eastAsia="en-GB"/>
        </w:rPr>
        <w:t xml:space="preserve"> (</w:t>
      </w:r>
      <w:r w:rsidR="00CD2A75" w:rsidRPr="00C31D7B">
        <w:rPr>
          <w:lang w:val="en-GB" w:eastAsia="en-GB"/>
        </w:rPr>
        <w:t>class attendance is a mark of respect to those who sponsor the education</w:t>
      </w:r>
      <w:r w:rsidR="0030436E" w:rsidRPr="00C31D7B">
        <w:rPr>
          <w:iCs/>
          <w:lang w:val="en-GB" w:eastAsia="en-GB"/>
        </w:rPr>
        <w:t>),</w:t>
      </w:r>
      <w:r w:rsidR="0030436E" w:rsidRPr="00C31D7B">
        <w:rPr>
          <w:i/>
          <w:iCs/>
          <w:lang w:val="en-GB" w:eastAsia="en-GB"/>
        </w:rPr>
        <w:t xml:space="preserve"> </w:t>
      </w:r>
      <w:r w:rsidR="0030436E" w:rsidRPr="00C31D7B">
        <w:rPr>
          <w:iCs/>
          <w:lang w:val="en-GB" w:eastAsia="en-GB"/>
        </w:rPr>
        <w:t>(b)</w:t>
      </w:r>
      <w:r w:rsidR="00CD2A75" w:rsidRPr="00C31D7B">
        <w:rPr>
          <w:iCs/>
          <w:lang w:val="en-GB" w:eastAsia="en-GB"/>
        </w:rPr>
        <w:t xml:space="preserve"> </w:t>
      </w:r>
      <w:r w:rsidR="00CD2A75" w:rsidRPr="00C31D7B">
        <w:rPr>
          <w:i/>
          <w:iCs/>
          <w:lang w:val="en-GB" w:eastAsia="en-GB"/>
        </w:rPr>
        <w:t xml:space="preserve">student well-being </w:t>
      </w:r>
      <w:r w:rsidR="00CD2A75" w:rsidRPr="00C31D7B">
        <w:rPr>
          <w:iCs/>
          <w:lang w:val="en-GB" w:eastAsia="en-GB"/>
        </w:rPr>
        <w:t>(</w:t>
      </w:r>
      <w:r w:rsidR="00CD2A75" w:rsidRPr="00C31D7B">
        <w:rPr>
          <w:lang w:val="en-GB" w:eastAsia="en-GB"/>
        </w:rPr>
        <w:t>absence is bad for students since their academic performance is likely to suffer</w:t>
      </w:r>
      <w:r w:rsidR="001C4C4E" w:rsidRPr="00C31D7B">
        <w:rPr>
          <w:lang w:val="en-GB" w:eastAsia="en-GB"/>
        </w:rPr>
        <w:t>,</w:t>
      </w:r>
      <w:r w:rsidR="00CD2A75" w:rsidRPr="00C31D7B">
        <w:rPr>
          <w:lang w:val="en-GB" w:eastAsia="en-GB"/>
        </w:rPr>
        <w:t xml:space="preserve"> and may</w:t>
      </w:r>
      <w:r w:rsidR="00C81357" w:rsidRPr="00C31D7B">
        <w:rPr>
          <w:lang w:val="en-GB" w:eastAsia="en-GB"/>
        </w:rPr>
        <w:t xml:space="preserve"> even</w:t>
      </w:r>
      <w:r w:rsidR="00CD2A75" w:rsidRPr="00C31D7B">
        <w:rPr>
          <w:lang w:val="en-GB" w:eastAsia="en-GB"/>
        </w:rPr>
        <w:t xml:space="preserve"> indicate that they are experiencing a personal or social problem</w:t>
      </w:r>
      <w:r w:rsidR="00CD2A75" w:rsidRPr="00C31D7B">
        <w:rPr>
          <w:iCs/>
          <w:lang w:val="en-GB" w:eastAsia="en-GB"/>
        </w:rPr>
        <w:t>)</w:t>
      </w:r>
      <w:r w:rsidR="0030436E" w:rsidRPr="00C31D7B">
        <w:rPr>
          <w:i/>
          <w:iCs/>
          <w:lang w:val="en-GB" w:eastAsia="en-GB"/>
        </w:rPr>
        <w:t xml:space="preserve">, </w:t>
      </w:r>
      <w:r w:rsidR="0030436E" w:rsidRPr="00C31D7B">
        <w:rPr>
          <w:iCs/>
          <w:lang w:val="en-GB" w:eastAsia="en-GB"/>
        </w:rPr>
        <w:t>and (c)</w:t>
      </w:r>
      <w:r w:rsidR="00CD2A75" w:rsidRPr="00C31D7B">
        <w:rPr>
          <w:i/>
          <w:iCs/>
          <w:lang w:val="en-GB" w:eastAsia="en-GB"/>
        </w:rPr>
        <w:t xml:space="preserve"> preparation for the workplace </w:t>
      </w:r>
      <w:r w:rsidR="00CD2A75" w:rsidRPr="00C31D7B">
        <w:rPr>
          <w:iCs/>
          <w:lang w:val="en-GB" w:eastAsia="en-GB"/>
        </w:rPr>
        <w:t>(</w:t>
      </w:r>
      <w:r w:rsidR="00CD2A75" w:rsidRPr="00C31D7B">
        <w:rPr>
          <w:lang w:val="en-GB" w:eastAsia="en-GB"/>
        </w:rPr>
        <w:t>students need to attend and be punctual as these are expectations as</w:t>
      </w:r>
      <w:r w:rsidR="00D5244C" w:rsidRPr="00C31D7B">
        <w:rPr>
          <w:lang w:val="en-GB" w:eastAsia="en-GB"/>
        </w:rPr>
        <w:t>sociated with future employment</w:t>
      </w:r>
      <w:r w:rsidR="00CD2A75" w:rsidRPr="00C31D7B">
        <w:rPr>
          <w:iCs/>
          <w:lang w:val="en-GB" w:eastAsia="en-GB"/>
        </w:rPr>
        <w:t>)</w:t>
      </w:r>
      <w:r w:rsidR="00CD2A75" w:rsidRPr="00C31D7B">
        <w:rPr>
          <w:lang w:val="en-GB" w:eastAsia="en-GB"/>
        </w:rPr>
        <w:t xml:space="preserve">. </w:t>
      </w:r>
      <w:r w:rsidR="003A7B21" w:rsidRPr="00C31D7B">
        <w:rPr>
          <w:lang w:val="en-GB" w:eastAsia="en-GB"/>
        </w:rPr>
        <w:t>He</w:t>
      </w:r>
      <w:r w:rsidR="00CD2A75" w:rsidRPr="00C31D7B">
        <w:rPr>
          <w:lang w:val="en-GB" w:eastAsia="en-GB"/>
        </w:rPr>
        <w:t xml:space="preserve"> then proceeds </w:t>
      </w:r>
      <w:r w:rsidR="00E27599" w:rsidRPr="00C31D7B">
        <w:rPr>
          <w:lang w:val="en-GB" w:eastAsia="en-GB"/>
        </w:rPr>
        <w:t>to dismiss all three arguments</w:t>
      </w:r>
      <w:r w:rsidR="0095050D" w:rsidRPr="00C31D7B">
        <w:rPr>
          <w:lang w:val="en-GB"/>
        </w:rPr>
        <w:t>.</w:t>
      </w:r>
      <w:r w:rsidR="0095050D" w:rsidRPr="00C31D7B">
        <w:rPr>
          <w:lang w:val="en-GB" w:eastAsia="en-GB"/>
        </w:rPr>
        <w:t xml:space="preserve"> In particular, he states that evidence</w:t>
      </w:r>
      <w:r w:rsidR="00E27599" w:rsidRPr="00C31D7B">
        <w:rPr>
          <w:lang w:val="en-GB" w:eastAsia="en-GB"/>
        </w:rPr>
        <w:t xml:space="preserve"> for a performance effect is insufficient, and what evidence exists may be due to examiners favouring students with higher attendance (Macfarlane, 2013, p. 363).</w:t>
      </w:r>
      <w:r w:rsidR="00006DE1" w:rsidRPr="00C31D7B">
        <w:rPr>
          <w:lang w:val="en-GB" w:eastAsia="en-GB"/>
        </w:rPr>
        <w:t xml:space="preserve"> Such a statement is </w:t>
      </w:r>
      <w:r w:rsidR="00671622" w:rsidRPr="00C31D7B">
        <w:rPr>
          <w:lang w:val="en-GB" w:eastAsia="en-GB"/>
        </w:rPr>
        <w:t xml:space="preserve">highly </w:t>
      </w:r>
      <w:r w:rsidR="00006DE1" w:rsidRPr="00C31D7B">
        <w:rPr>
          <w:lang w:val="en-GB" w:eastAsia="en-GB"/>
        </w:rPr>
        <w:t xml:space="preserve">speculative, and a careful reading of the literature reveals that </w:t>
      </w:r>
      <w:r w:rsidR="0095050D" w:rsidRPr="00C31D7B">
        <w:rPr>
          <w:lang w:val="en-GB" w:eastAsia="en-GB"/>
        </w:rPr>
        <w:t>much of the research on attendance and student performance is based on an analysis of test scores in objective multiple-choice tests, undermining the teacher bias argument. Furthermore, although reported effect sizes are not always large, the</w:t>
      </w:r>
      <w:r w:rsidR="00006DE1" w:rsidRPr="00C31D7B">
        <w:rPr>
          <w:lang w:val="en-GB" w:eastAsia="en-GB"/>
        </w:rPr>
        <w:t xml:space="preserve"> performance</w:t>
      </w:r>
      <w:r w:rsidR="0095050D" w:rsidRPr="00C31D7B">
        <w:rPr>
          <w:lang w:val="en-GB" w:eastAsia="en-GB"/>
        </w:rPr>
        <w:t xml:space="preserve"> effect </w:t>
      </w:r>
      <w:r w:rsidR="00671622" w:rsidRPr="00C31D7B">
        <w:rPr>
          <w:lang w:val="en-GB" w:eastAsia="en-GB"/>
        </w:rPr>
        <w:t>has been found</w:t>
      </w:r>
      <w:r w:rsidR="00006DE1" w:rsidRPr="00C31D7B">
        <w:rPr>
          <w:lang w:val="en-GB" w:eastAsia="en-GB"/>
        </w:rPr>
        <w:t xml:space="preserve"> in numerous studies</w:t>
      </w:r>
      <w:r w:rsidR="0095050D" w:rsidRPr="00C31D7B">
        <w:rPr>
          <w:lang w:val="en-GB" w:eastAsia="en-GB"/>
        </w:rPr>
        <w:t>.</w:t>
      </w:r>
    </w:p>
    <w:p w:rsidR="00B904EE" w:rsidRPr="00C31D7B" w:rsidRDefault="00B904EE" w:rsidP="00B904EE">
      <w:pPr>
        <w:autoSpaceDE w:val="0"/>
        <w:autoSpaceDN w:val="0"/>
        <w:adjustRightInd w:val="0"/>
        <w:jc w:val="both"/>
        <w:rPr>
          <w:lang w:val="en-GB" w:eastAsia="en-GB"/>
        </w:rPr>
      </w:pPr>
    </w:p>
    <w:p w:rsidR="00006DE1" w:rsidRPr="00C31D7B" w:rsidRDefault="00006DE1" w:rsidP="00B904EE">
      <w:pPr>
        <w:autoSpaceDE w:val="0"/>
        <w:autoSpaceDN w:val="0"/>
        <w:adjustRightInd w:val="0"/>
        <w:jc w:val="both"/>
        <w:rPr>
          <w:b/>
          <w:i/>
          <w:lang w:val="en-GB" w:eastAsia="en-GB"/>
        </w:rPr>
      </w:pPr>
      <w:r w:rsidRPr="00C31D7B">
        <w:rPr>
          <w:b/>
          <w:i/>
          <w:lang w:val="en-GB" w:eastAsia="en-GB"/>
        </w:rPr>
        <w:t>Evidence for a Performance Effect</w:t>
      </w:r>
    </w:p>
    <w:p w:rsidR="00C67E54" w:rsidRPr="00C31D7B" w:rsidRDefault="00671622" w:rsidP="00EC15A9">
      <w:pPr>
        <w:ind w:firstLine="720"/>
        <w:jc w:val="both"/>
        <w:rPr>
          <w:lang w:val="en-GB"/>
        </w:rPr>
      </w:pPr>
      <w:r w:rsidRPr="00C31D7B">
        <w:rPr>
          <w:lang w:val="en-GB"/>
        </w:rPr>
        <w:t>Many</w:t>
      </w:r>
      <w:r w:rsidR="00EC15A9" w:rsidRPr="00C31D7B">
        <w:rPr>
          <w:lang w:val="en-GB"/>
        </w:rPr>
        <w:t xml:space="preserve"> studies have attempted to measure the impact of attendance on student performance, albeit with heterogeneous methods (Romer 1993; Park and Kerr 1990; Durden and Ellis 1995; Schmidt 1983; Marburger 2001). For example, Romer (1993) surveyed attendance at </w:t>
      </w:r>
      <w:r w:rsidR="00EC15A9" w:rsidRPr="00C31D7B">
        <w:rPr>
          <w:lang w:val="en-GB"/>
        </w:rPr>
        <w:lastRenderedPageBreak/>
        <w:t xml:space="preserve">all undergraduate economics classes during one week at a large public institution, a medium-sized private university, and a small liberal arts college. He concludes that a significant </w:t>
      </w:r>
      <w:r w:rsidR="0015665C" w:rsidRPr="00C31D7B">
        <w:rPr>
          <w:lang w:val="en-GB"/>
        </w:rPr>
        <w:t>correlation</w:t>
      </w:r>
      <w:r w:rsidR="00EC15A9" w:rsidRPr="00C31D7B">
        <w:rPr>
          <w:lang w:val="en-GB"/>
        </w:rPr>
        <w:t xml:space="preserve"> exists between absenteeism and learning. Marburger (2001) investigated the relationship between absenteeism and student performance by surveying a single section of students attending a principles of microeconomics class. He found that daily absenteeism on any given day ranged from 8.5 percent to 44.1 percent. He concludes that students who had a missed a class on a specific day were 7.5 to 14.6 percent more likely to respond incorrectly to a multiple choice question on material covered that day when compared to students who were present. In a follow up study, Marburger (2006) investigated the impact of enforcing an attendance policy on absenteeism and student performance. Once again the context was a microeconomics class but this time split over two fall semesters. Both classes used the same teaching material and teaching staff. </w:t>
      </w:r>
      <w:r w:rsidR="00993F6F" w:rsidRPr="00C31D7B">
        <w:rPr>
          <w:lang w:val="en-GB"/>
        </w:rPr>
        <w:t>In what he set up as an experimental study with a control group, o</w:t>
      </w:r>
      <w:r w:rsidR="00EC15A9" w:rsidRPr="00C31D7B">
        <w:rPr>
          <w:lang w:val="en-GB"/>
        </w:rPr>
        <w:t>ne class had a mandatory attendance policy while the other did not. He concludes that an enforced mandatory attendance policy reduces absenteeism and improves exam performance</w:t>
      </w:r>
      <w:r w:rsidR="00BB2007" w:rsidRPr="00C31D7B">
        <w:rPr>
          <w:lang w:val="en-GB"/>
        </w:rPr>
        <w:t>, and clearly concludes that there is causality, not just correlation</w:t>
      </w:r>
      <w:r w:rsidR="00EC15A9" w:rsidRPr="00C31D7B">
        <w:rPr>
          <w:lang w:val="en-GB"/>
        </w:rPr>
        <w:t>.</w:t>
      </w:r>
      <w:r w:rsidR="00993F6F" w:rsidRPr="00C31D7B">
        <w:rPr>
          <w:lang w:val="en-GB"/>
        </w:rPr>
        <w:t xml:space="preserve"> The weakness in this particular study was that the two groups were given different exams (but of the same form).</w:t>
      </w:r>
    </w:p>
    <w:p w:rsidR="00EC15A9" w:rsidRPr="00C31D7B" w:rsidRDefault="00EC15A9" w:rsidP="00EC15A9">
      <w:pPr>
        <w:ind w:firstLine="720"/>
        <w:jc w:val="both"/>
        <w:rPr>
          <w:lang w:val="en-GB"/>
        </w:rPr>
      </w:pPr>
      <w:r w:rsidRPr="00C31D7B">
        <w:rPr>
          <w:lang w:val="en-GB"/>
        </w:rPr>
        <w:t xml:space="preserve">The general conclusion from these </w:t>
      </w:r>
      <w:r w:rsidR="00671622" w:rsidRPr="00C31D7B">
        <w:rPr>
          <w:lang w:val="en-GB"/>
        </w:rPr>
        <w:t xml:space="preserve">and other </w:t>
      </w:r>
      <w:r w:rsidRPr="00C31D7B">
        <w:rPr>
          <w:lang w:val="en-GB"/>
        </w:rPr>
        <w:t xml:space="preserve">studies is that there is a positive and statistically significant </w:t>
      </w:r>
      <w:r w:rsidR="00BB2007" w:rsidRPr="00C31D7B">
        <w:rPr>
          <w:lang w:val="en-GB"/>
        </w:rPr>
        <w:t xml:space="preserve">association between, and </w:t>
      </w:r>
      <w:r w:rsidRPr="00C31D7B">
        <w:rPr>
          <w:lang w:val="en-GB"/>
        </w:rPr>
        <w:t>effect of</w:t>
      </w:r>
      <w:r w:rsidR="00BB2007" w:rsidRPr="00C31D7B">
        <w:rPr>
          <w:lang w:val="en-GB"/>
        </w:rPr>
        <w:t>,</w:t>
      </w:r>
      <w:r w:rsidRPr="00C31D7B">
        <w:rPr>
          <w:lang w:val="en-GB"/>
        </w:rPr>
        <w:t xml:space="preserve"> attendance on student performance (Chen &amp; Lin, 2008; Devadoss &amp; Foltz, 1996; Kirby &amp; McElroy, 2003; Lin &amp; Chen, 2006; Shimoff &amp; Catania, 2001; van Walbeek, 2004). However, </w:t>
      </w:r>
      <w:r w:rsidR="00C67E54" w:rsidRPr="00C31D7B">
        <w:rPr>
          <w:lang w:val="en-GB"/>
        </w:rPr>
        <w:t>reported</w:t>
      </w:r>
      <w:r w:rsidRPr="00C31D7B">
        <w:rPr>
          <w:lang w:val="en-GB"/>
        </w:rPr>
        <w:t xml:space="preserve"> effect size</w:t>
      </w:r>
      <w:r w:rsidR="00C67E54" w:rsidRPr="00C31D7B">
        <w:rPr>
          <w:lang w:val="en-GB"/>
        </w:rPr>
        <w:t>s appear to vary,</w:t>
      </w:r>
      <w:r w:rsidRPr="00C31D7B">
        <w:rPr>
          <w:lang w:val="en-GB"/>
        </w:rPr>
        <w:t xml:space="preserve"> </w:t>
      </w:r>
      <w:r w:rsidR="00C67E54" w:rsidRPr="00C31D7B">
        <w:rPr>
          <w:lang w:val="en-GB"/>
        </w:rPr>
        <w:t xml:space="preserve">leading to speculation that the effect is </w:t>
      </w:r>
      <w:r w:rsidRPr="00C31D7B">
        <w:rPr>
          <w:lang w:val="en-GB"/>
        </w:rPr>
        <w:t>neither linear nor automatic (Baldwin 1980; Gatherer &amp; Manning 1998).</w:t>
      </w:r>
      <w:r w:rsidR="00C67E54" w:rsidRPr="00C31D7B">
        <w:rPr>
          <w:lang w:val="en-GB"/>
        </w:rPr>
        <w:t xml:space="preserve"> </w:t>
      </w:r>
      <w:r w:rsidR="00671622" w:rsidRPr="00C31D7B">
        <w:rPr>
          <w:lang w:val="en-GB"/>
        </w:rPr>
        <w:t>One explanation for the variance</w:t>
      </w:r>
      <w:r w:rsidR="00BB2007" w:rsidRPr="00C31D7B">
        <w:rPr>
          <w:lang w:val="en-GB"/>
        </w:rPr>
        <w:t xml:space="preserve"> in effect sizes</w:t>
      </w:r>
      <w:r w:rsidR="00C67E54" w:rsidRPr="00C31D7B">
        <w:rPr>
          <w:lang w:val="en-GB"/>
        </w:rPr>
        <w:t xml:space="preserve"> is provided by Westerman et al (2011), who show how weaker students benefit more from attending classes than academically </w:t>
      </w:r>
      <w:r w:rsidR="00C67E54" w:rsidRPr="00C31D7B">
        <w:rPr>
          <w:lang w:val="en-GB"/>
        </w:rPr>
        <w:lastRenderedPageBreak/>
        <w:t>strong students.</w:t>
      </w:r>
      <w:r w:rsidRPr="00C31D7B">
        <w:rPr>
          <w:lang w:val="en-GB"/>
        </w:rPr>
        <w:t xml:space="preserve"> </w:t>
      </w:r>
      <w:r w:rsidR="00671622" w:rsidRPr="00C31D7B">
        <w:rPr>
          <w:lang w:val="en-GB"/>
        </w:rPr>
        <w:t>This suggests that differences in student population may affect results. Another explanation is methodological differences (Newman-Ford, Fitzgibbon, Lloyd, &amp; Thomas, 2008), and whether or not control variables are included in a study.</w:t>
      </w:r>
      <w:r w:rsidR="00BB2007" w:rsidRPr="00C31D7B">
        <w:rPr>
          <w:lang w:val="en-GB"/>
        </w:rPr>
        <w:t xml:space="preserve"> </w:t>
      </w:r>
      <w:r w:rsidR="00144B6B" w:rsidRPr="00C31D7B">
        <w:rPr>
          <w:lang w:val="en-GB"/>
        </w:rPr>
        <w:t xml:space="preserve">Whilst a pure experimental setup, using control groups and randomized student assignment into groups, may be the best way to isolate pure attendance effects, in practice </w:t>
      </w:r>
      <w:r w:rsidR="003A570C" w:rsidRPr="00C31D7B">
        <w:rPr>
          <w:lang w:val="en-GB"/>
        </w:rPr>
        <w:t>this</w:t>
      </w:r>
      <w:r w:rsidR="00144B6B" w:rsidRPr="00C31D7B">
        <w:rPr>
          <w:lang w:val="en-GB"/>
        </w:rPr>
        <w:t xml:space="preserve"> is difficult to conduct </w:t>
      </w:r>
      <w:r w:rsidR="003A570C" w:rsidRPr="00C31D7B">
        <w:rPr>
          <w:lang w:val="en-GB"/>
        </w:rPr>
        <w:t>on the</w:t>
      </w:r>
      <w:r w:rsidR="00144B6B" w:rsidRPr="00C31D7B">
        <w:rPr>
          <w:lang w:val="en-GB"/>
        </w:rPr>
        <w:t xml:space="preserve"> same course, at the same time, but under different conditions, as </w:t>
      </w:r>
      <w:r w:rsidR="003A570C" w:rsidRPr="00C31D7B">
        <w:rPr>
          <w:lang w:val="en-GB"/>
        </w:rPr>
        <w:t>it</w:t>
      </w:r>
      <w:r w:rsidR="00144B6B" w:rsidRPr="00C31D7B">
        <w:rPr>
          <w:lang w:val="en-GB"/>
        </w:rPr>
        <w:t xml:space="preserve"> amounts to giving </w:t>
      </w:r>
      <w:r w:rsidR="00D54ABB" w:rsidRPr="00C31D7B">
        <w:rPr>
          <w:lang w:val="en-GB"/>
        </w:rPr>
        <w:t xml:space="preserve">different </w:t>
      </w:r>
      <w:r w:rsidR="003A570C" w:rsidRPr="00C31D7B">
        <w:rPr>
          <w:lang w:val="en-GB"/>
        </w:rPr>
        <w:t xml:space="preserve">groups </w:t>
      </w:r>
      <w:r w:rsidR="00144B6B" w:rsidRPr="00C31D7B">
        <w:rPr>
          <w:lang w:val="en-GB"/>
        </w:rPr>
        <w:t>students a different learning experience</w:t>
      </w:r>
      <w:r w:rsidR="003A570C" w:rsidRPr="00C31D7B">
        <w:rPr>
          <w:lang w:val="en-GB"/>
        </w:rPr>
        <w:t xml:space="preserve"> on the same course</w:t>
      </w:r>
      <w:r w:rsidR="00144B6B" w:rsidRPr="00C31D7B">
        <w:rPr>
          <w:lang w:val="en-GB"/>
        </w:rPr>
        <w:t xml:space="preserve">. Marburger’s (2006) study was a step in this direction, but had its own limitations as the assignment of students was non-random, and the groups were tested a year apart with different exams. In practice therefore, most studies rely on survey or archival data, where control variables play a key role. </w:t>
      </w:r>
      <w:r w:rsidR="00BB2007" w:rsidRPr="00C31D7B">
        <w:rPr>
          <w:lang w:val="en-GB"/>
        </w:rPr>
        <w:t>Such controls are necessary to eliminate alternative explanations for performance differences</w:t>
      </w:r>
      <w:r w:rsidR="00144B6B" w:rsidRPr="00C31D7B">
        <w:rPr>
          <w:lang w:val="en-GB"/>
        </w:rPr>
        <w:t xml:space="preserve"> than the attendance effect</w:t>
      </w:r>
      <w:r w:rsidR="00BB2007" w:rsidRPr="00C31D7B">
        <w:rPr>
          <w:lang w:val="en-GB"/>
        </w:rPr>
        <w:t>.</w:t>
      </w:r>
    </w:p>
    <w:p w:rsidR="00EC15A9" w:rsidRPr="00C31D7B" w:rsidRDefault="00C67E54" w:rsidP="00EC15A9">
      <w:pPr>
        <w:autoSpaceDE w:val="0"/>
        <w:autoSpaceDN w:val="0"/>
        <w:adjustRightInd w:val="0"/>
        <w:ind w:firstLine="720"/>
        <w:jc w:val="both"/>
        <w:rPr>
          <w:lang w:val="en-GB"/>
        </w:rPr>
      </w:pPr>
      <w:r w:rsidRPr="00C31D7B">
        <w:rPr>
          <w:lang w:val="en-GB"/>
        </w:rPr>
        <w:t xml:space="preserve">Theoretical explanations for the </w:t>
      </w:r>
      <w:r w:rsidR="00671622" w:rsidRPr="00C31D7B">
        <w:rPr>
          <w:lang w:val="en-GB"/>
        </w:rPr>
        <w:t xml:space="preserve">observed </w:t>
      </w:r>
      <w:r w:rsidRPr="00C31D7B">
        <w:rPr>
          <w:lang w:val="en-GB"/>
        </w:rPr>
        <w:t>performance effect vary</w:t>
      </w:r>
      <w:r w:rsidR="00671622" w:rsidRPr="00C31D7B">
        <w:rPr>
          <w:lang w:val="en-GB"/>
        </w:rPr>
        <w:t xml:space="preserve"> as well</w:t>
      </w:r>
      <w:r w:rsidR="00EC15A9" w:rsidRPr="00C31D7B">
        <w:rPr>
          <w:lang w:val="en-GB"/>
        </w:rPr>
        <w:t xml:space="preserve">. </w:t>
      </w:r>
      <w:r w:rsidRPr="00C31D7B">
        <w:rPr>
          <w:lang w:val="en-GB"/>
        </w:rPr>
        <w:t>L</w:t>
      </w:r>
      <w:r w:rsidR="00EC15A9" w:rsidRPr="00C31D7B">
        <w:rPr>
          <w:lang w:val="en-GB"/>
        </w:rPr>
        <w:t>ecture attendance may simply be a proxy for student motivation, conscientiousness, and diligence. In this view</w:t>
      </w:r>
      <w:r w:rsidRPr="00C31D7B">
        <w:rPr>
          <w:lang w:val="en-GB"/>
        </w:rPr>
        <w:t>,</w:t>
      </w:r>
      <w:r w:rsidR="00EC15A9" w:rsidRPr="00C31D7B">
        <w:rPr>
          <w:lang w:val="en-GB"/>
        </w:rPr>
        <w:t xml:space="preserve"> non-attendance may be a signal of low motivation. What evidence there is suggests that students who attend lectures and seminars are those who are more likely to be motivated, subscribe to, and understand the benefits of active participation, have strong time management skills, and are likely to conform to the institution’s expectations of them (Moore, Armstrong, Pearson, 2008). </w:t>
      </w:r>
      <w:r w:rsidRPr="00C31D7B">
        <w:rPr>
          <w:lang w:val="en-GB"/>
        </w:rPr>
        <w:t>Another view is that p</w:t>
      </w:r>
      <w:r w:rsidR="00EC15A9" w:rsidRPr="00C31D7B">
        <w:rPr>
          <w:lang w:val="en-GB"/>
        </w:rPr>
        <w:t xml:space="preserve">ersonality may have a role in driving student behaviour. </w:t>
      </w:r>
      <w:r w:rsidR="00E1487D" w:rsidRPr="00C31D7B">
        <w:rPr>
          <w:lang w:val="en-GB"/>
        </w:rPr>
        <w:t xml:space="preserve">However, a recent </w:t>
      </w:r>
      <w:r w:rsidR="00EC15A9" w:rsidRPr="00C31D7B">
        <w:rPr>
          <w:lang w:val="en-GB"/>
        </w:rPr>
        <w:t xml:space="preserve">study by Woodfield et al. (2006) of the effect of personality and cognitive ability </w:t>
      </w:r>
      <w:r w:rsidR="00283A81" w:rsidRPr="00C31D7B">
        <w:rPr>
          <w:lang w:val="en-GB"/>
        </w:rPr>
        <w:t>finds that</w:t>
      </w:r>
      <w:r w:rsidR="00EC15A9" w:rsidRPr="00C31D7B">
        <w:rPr>
          <w:lang w:val="en-GB" w:eastAsia="en-GB"/>
        </w:rPr>
        <w:t xml:space="preserve"> attendance is more significant as a predictor of student performance than personality. </w:t>
      </w:r>
      <w:r w:rsidR="00EC15A9" w:rsidRPr="00C31D7B">
        <w:rPr>
          <w:lang w:val="en-GB"/>
        </w:rPr>
        <w:t>Other reasons for non-attendance cited in the literature include the quality of teaching and the scheduling of classroom activities (Westerman, Perez</w:t>
      </w:r>
      <w:r w:rsidR="00EC15A9" w:rsidRPr="00C31D7B">
        <w:rPr>
          <w:rFonts w:ascii="Cambria Math" w:hAnsi="Cambria Math"/>
          <w:lang w:val="en-GB"/>
        </w:rPr>
        <w:t>‐</w:t>
      </w:r>
      <w:r w:rsidR="00EC15A9" w:rsidRPr="00C31D7B">
        <w:rPr>
          <w:lang w:val="en-GB"/>
        </w:rPr>
        <w:t>Batres, Coffey, &amp; Pouder, 2011).</w:t>
      </w:r>
    </w:p>
    <w:p w:rsidR="00006DE1" w:rsidRPr="00C31D7B" w:rsidRDefault="00006DE1" w:rsidP="00B904EE">
      <w:pPr>
        <w:autoSpaceDE w:val="0"/>
        <w:autoSpaceDN w:val="0"/>
        <w:adjustRightInd w:val="0"/>
        <w:jc w:val="both"/>
        <w:rPr>
          <w:lang w:val="en-GB" w:eastAsia="en-GB"/>
        </w:rPr>
      </w:pPr>
    </w:p>
    <w:p w:rsidR="001D2801" w:rsidRPr="00C31D7B" w:rsidRDefault="001D2801">
      <w:pPr>
        <w:spacing w:line="240" w:lineRule="auto"/>
        <w:rPr>
          <w:b/>
          <w:i/>
          <w:lang w:val="en-GB" w:eastAsia="en-GB"/>
        </w:rPr>
      </w:pPr>
      <w:r w:rsidRPr="00C31D7B">
        <w:rPr>
          <w:b/>
          <w:i/>
          <w:lang w:val="en-GB" w:eastAsia="en-GB"/>
        </w:rPr>
        <w:br w:type="page"/>
      </w:r>
    </w:p>
    <w:p w:rsidR="00006DE1" w:rsidRPr="00C31D7B" w:rsidRDefault="00006DE1" w:rsidP="00B904EE">
      <w:pPr>
        <w:autoSpaceDE w:val="0"/>
        <w:autoSpaceDN w:val="0"/>
        <w:adjustRightInd w:val="0"/>
        <w:jc w:val="both"/>
        <w:rPr>
          <w:b/>
          <w:i/>
          <w:lang w:val="en-GB" w:eastAsia="en-GB"/>
        </w:rPr>
      </w:pPr>
      <w:r w:rsidRPr="00C31D7B">
        <w:rPr>
          <w:b/>
          <w:i/>
          <w:lang w:val="en-GB" w:eastAsia="en-GB"/>
        </w:rPr>
        <w:lastRenderedPageBreak/>
        <w:t>Attendance in the Context of Higher Education Policy</w:t>
      </w:r>
    </w:p>
    <w:p w:rsidR="00144B6B" w:rsidRPr="00C31D7B" w:rsidRDefault="0095050D" w:rsidP="0095050D">
      <w:pPr>
        <w:autoSpaceDE w:val="0"/>
        <w:autoSpaceDN w:val="0"/>
        <w:adjustRightInd w:val="0"/>
        <w:ind w:firstLine="720"/>
        <w:jc w:val="both"/>
        <w:rPr>
          <w:lang w:val="en-GB" w:eastAsia="en-GB"/>
        </w:rPr>
      </w:pPr>
      <w:r w:rsidRPr="00C31D7B">
        <w:rPr>
          <w:lang w:val="en-GB"/>
        </w:rPr>
        <w:t>Macfarlane (</w:t>
      </w:r>
      <w:r w:rsidR="00E5328D" w:rsidRPr="00C31D7B">
        <w:rPr>
          <w:lang w:val="en-GB"/>
        </w:rPr>
        <w:t xml:space="preserve">2012; </w:t>
      </w:r>
      <w:r w:rsidRPr="00C31D7B">
        <w:rPr>
          <w:lang w:val="en-GB"/>
        </w:rPr>
        <w:t xml:space="preserve">2013) offers a range of social and moral arguments against compulsory class attendance. The arguments centre on the </w:t>
      </w:r>
      <w:r w:rsidR="00BE4FCF" w:rsidRPr="00C31D7B">
        <w:rPr>
          <w:lang w:val="en-GB"/>
        </w:rPr>
        <w:t>premise</w:t>
      </w:r>
      <w:r w:rsidRPr="00C31D7B">
        <w:rPr>
          <w:lang w:val="en-GB"/>
        </w:rPr>
        <w:t xml:space="preserve"> that compulsory attendance infantilises adult learners. It removes their ability to choose and judge how their time should be spent. It also promotes a culture of presenteeism where one should at least appear to be putting in the hours. Ultimately, compulsory attendance removes student academic freedom, which is defined </w:t>
      </w:r>
      <w:r w:rsidR="00BE4FCF" w:rsidRPr="00C31D7B">
        <w:rPr>
          <w:lang w:val="en-GB"/>
        </w:rPr>
        <w:t>by Macfarlane (2012; 2013)</w:t>
      </w:r>
      <w:r w:rsidRPr="00C31D7B">
        <w:rPr>
          <w:lang w:val="en-GB"/>
        </w:rPr>
        <w:t xml:space="preserve"> as the student’s freedom to learn and to have the choice of when and what to attend. Macfarlane (2013) </w:t>
      </w:r>
      <w:r w:rsidR="00E1487D" w:rsidRPr="00C31D7B">
        <w:rPr>
          <w:lang w:val="en-GB"/>
        </w:rPr>
        <w:t>espouses</w:t>
      </w:r>
      <w:r w:rsidRPr="00C31D7B">
        <w:rPr>
          <w:lang w:val="en-GB"/>
        </w:rPr>
        <w:t xml:space="preserve"> the virtues of the </w:t>
      </w:r>
      <w:r w:rsidRPr="00C31D7B">
        <w:rPr>
          <w:lang w:val="en-GB" w:eastAsia="en-GB"/>
        </w:rPr>
        <w:t>Humboldtian tradition, where scholarship is a</w:t>
      </w:r>
      <w:r w:rsidRPr="00C31D7B">
        <w:rPr>
          <w:lang w:val="en-GB"/>
        </w:rPr>
        <w:t xml:space="preserve"> </w:t>
      </w:r>
      <w:r w:rsidRPr="00C31D7B">
        <w:rPr>
          <w:lang w:val="en-GB" w:eastAsia="en-GB"/>
        </w:rPr>
        <w:t>pursuit of knowledge and understanding as a common goal, necessarily involving both studen</w:t>
      </w:r>
      <w:r w:rsidR="00144B6B" w:rsidRPr="00C31D7B">
        <w:rPr>
          <w:lang w:val="en-GB" w:eastAsia="en-GB"/>
        </w:rPr>
        <w:t>ts and teachers (Karran, 2009).</w:t>
      </w:r>
    </w:p>
    <w:p w:rsidR="0095050D" w:rsidRPr="00C31D7B" w:rsidRDefault="00E74FE6" w:rsidP="00A557EC">
      <w:pPr>
        <w:autoSpaceDE w:val="0"/>
        <w:autoSpaceDN w:val="0"/>
        <w:adjustRightInd w:val="0"/>
        <w:ind w:firstLine="720"/>
        <w:jc w:val="both"/>
        <w:rPr>
          <w:lang w:val="en-GB"/>
        </w:rPr>
      </w:pPr>
      <w:r w:rsidRPr="00C31D7B">
        <w:rPr>
          <w:lang w:val="en-GB" w:eastAsia="en-GB"/>
        </w:rPr>
        <w:t>On a personal level w</w:t>
      </w:r>
      <w:r w:rsidR="00E1487D" w:rsidRPr="00C31D7B">
        <w:rPr>
          <w:lang w:val="en-GB" w:eastAsia="en-GB"/>
        </w:rPr>
        <w:t xml:space="preserve">e are sympathetic to this view. However, it is necessary to </w:t>
      </w:r>
      <w:r w:rsidR="0095050D" w:rsidRPr="00C31D7B">
        <w:rPr>
          <w:lang w:val="en-GB"/>
        </w:rPr>
        <w:t xml:space="preserve">acknowledge the </w:t>
      </w:r>
      <w:r w:rsidR="00EC15A9" w:rsidRPr="00C31D7B">
        <w:rPr>
          <w:lang w:val="en-GB"/>
        </w:rPr>
        <w:t>direction</w:t>
      </w:r>
      <w:r w:rsidR="0095050D" w:rsidRPr="00C31D7B">
        <w:rPr>
          <w:lang w:val="en-GB"/>
        </w:rPr>
        <w:t xml:space="preserve"> of </w:t>
      </w:r>
      <w:r w:rsidR="00006DE1" w:rsidRPr="00C31D7B">
        <w:rPr>
          <w:lang w:val="en-GB"/>
        </w:rPr>
        <w:t>21</w:t>
      </w:r>
      <w:r w:rsidR="00006DE1" w:rsidRPr="00C31D7B">
        <w:rPr>
          <w:vertAlign w:val="superscript"/>
          <w:lang w:val="en-GB"/>
        </w:rPr>
        <w:t>st</w:t>
      </w:r>
      <w:r w:rsidR="00006DE1" w:rsidRPr="00C31D7B">
        <w:rPr>
          <w:lang w:val="en-GB"/>
        </w:rPr>
        <w:t xml:space="preserve"> century </w:t>
      </w:r>
      <w:r w:rsidR="0095050D" w:rsidRPr="00C31D7B">
        <w:rPr>
          <w:lang w:val="en-GB"/>
        </w:rPr>
        <w:t>higher education policies</w:t>
      </w:r>
      <w:r w:rsidR="00987F57" w:rsidRPr="00C31D7B">
        <w:rPr>
          <w:lang w:val="en-GB"/>
        </w:rPr>
        <w:t>, a point we will return to</w:t>
      </w:r>
      <w:r w:rsidR="00BE4FCF" w:rsidRPr="00C31D7B">
        <w:rPr>
          <w:lang w:val="en-GB"/>
        </w:rPr>
        <w:t xml:space="preserve"> just below</w:t>
      </w:r>
      <w:r w:rsidR="00A557EC" w:rsidRPr="00C31D7B">
        <w:rPr>
          <w:lang w:val="en-GB"/>
        </w:rPr>
        <w:t xml:space="preserve">. </w:t>
      </w:r>
      <w:r w:rsidR="00E1487D" w:rsidRPr="00C31D7B">
        <w:rPr>
          <w:lang w:val="en-GB"/>
        </w:rPr>
        <w:t>Furthermore, we must</w:t>
      </w:r>
      <w:r w:rsidR="0095050D" w:rsidRPr="00C31D7B">
        <w:rPr>
          <w:lang w:val="en-GB"/>
        </w:rPr>
        <w:t xml:space="preserve"> acknowledge the differences between universities and university systems across the world, and even inside countries like the United Kingdom or the United States. Whilst </w:t>
      </w:r>
      <w:r w:rsidR="00E1487D" w:rsidRPr="00C31D7B">
        <w:rPr>
          <w:lang w:val="en-GB"/>
        </w:rPr>
        <w:t>complete</w:t>
      </w:r>
      <w:r w:rsidR="0095050D" w:rsidRPr="00C31D7B">
        <w:rPr>
          <w:lang w:val="en-GB"/>
        </w:rPr>
        <w:t xml:space="preserve"> academic </w:t>
      </w:r>
      <w:r w:rsidR="00EC15A9" w:rsidRPr="00C31D7B">
        <w:rPr>
          <w:lang w:val="en-GB"/>
        </w:rPr>
        <w:t>freedom may still be</w:t>
      </w:r>
      <w:r w:rsidR="0095050D" w:rsidRPr="00C31D7B">
        <w:rPr>
          <w:lang w:val="en-GB"/>
        </w:rPr>
        <w:t xml:space="preserve"> </w:t>
      </w:r>
      <w:r w:rsidR="00E1487D" w:rsidRPr="00C31D7B">
        <w:rPr>
          <w:lang w:val="en-GB"/>
        </w:rPr>
        <w:t xml:space="preserve">an </w:t>
      </w:r>
      <w:r w:rsidR="0095050D" w:rsidRPr="00C31D7B">
        <w:rPr>
          <w:lang w:val="en-GB"/>
        </w:rPr>
        <w:t>achievable</w:t>
      </w:r>
      <w:r w:rsidR="00E1487D" w:rsidRPr="00C31D7B">
        <w:rPr>
          <w:lang w:val="en-GB"/>
        </w:rPr>
        <w:t xml:space="preserve"> ideal</w:t>
      </w:r>
      <w:r w:rsidR="0095050D" w:rsidRPr="00C31D7B">
        <w:rPr>
          <w:lang w:val="en-GB"/>
        </w:rPr>
        <w:t xml:space="preserve"> in some types of universities, such as the research-intensive “Redbrick” and “Oxbridge” universities in the UK,</w:t>
      </w:r>
      <w:r w:rsidR="00BE4FCF" w:rsidRPr="00C31D7B">
        <w:rPr>
          <w:lang w:val="en-GB"/>
        </w:rPr>
        <w:t xml:space="preserve"> or “Ivy League” universities in the US,</w:t>
      </w:r>
      <w:r w:rsidR="0095050D" w:rsidRPr="00C31D7B">
        <w:rPr>
          <w:lang w:val="en-GB"/>
        </w:rPr>
        <w:t xml:space="preserve"> it may be much more difficult to achieve in teaching</w:t>
      </w:r>
      <w:r w:rsidR="00BE4FCF" w:rsidRPr="00C31D7B">
        <w:rPr>
          <w:lang w:val="en-GB"/>
        </w:rPr>
        <w:t>-intensive</w:t>
      </w:r>
      <w:r w:rsidR="0095050D" w:rsidRPr="00C31D7B">
        <w:rPr>
          <w:lang w:val="en-GB"/>
        </w:rPr>
        <w:t xml:space="preserve"> universities and colleges that depend on performance-based funding mechanisms, which </w:t>
      </w:r>
      <w:r w:rsidR="00BE4FCF" w:rsidRPr="00C31D7B">
        <w:rPr>
          <w:lang w:val="en-GB"/>
        </w:rPr>
        <w:t xml:space="preserve">sometimes </w:t>
      </w:r>
      <w:r w:rsidR="0095050D" w:rsidRPr="00C31D7B">
        <w:rPr>
          <w:lang w:val="en-GB"/>
        </w:rPr>
        <w:t>directly reward higher retention and completion rates.</w:t>
      </w:r>
      <w:r w:rsidR="00E1487D" w:rsidRPr="00C31D7B">
        <w:rPr>
          <w:lang w:val="en-GB"/>
        </w:rPr>
        <w:t xml:space="preserve"> This is the case for at least two reasons.</w:t>
      </w:r>
    </w:p>
    <w:p w:rsidR="00E66BB6" w:rsidRPr="00C31D7B" w:rsidRDefault="00A17F9F" w:rsidP="0030436E">
      <w:pPr>
        <w:autoSpaceDE w:val="0"/>
        <w:autoSpaceDN w:val="0"/>
        <w:adjustRightInd w:val="0"/>
        <w:ind w:firstLine="720"/>
        <w:jc w:val="both"/>
        <w:rPr>
          <w:lang w:val="en-GB" w:eastAsia="en-GB"/>
        </w:rPr>
      </w:pPr>
      <w:r w:rsidRPr="00C31D7B">
        <w:rPr>
          <w:lang w:val="en-GB"/>
        </w:rPr>
        <w:t>Firstly, t</w:t>
      </w:r>
      <w:r w:rsidR="003A7B21" w:rsidRPr="00C31D7B">
        <w:rPr>
          <w:lang w:val="en-GB"/>
        </w:rPr>
        <w:t>he context</w:t>
      </w:r>
      <w:r w:rsidR="006F46D5" w:rsidRPr="00C31D7B">
        <w:rPr>
          <w:lang w:val="en-GB"/>
        </w:rPr>
        <w:t xml:space="preserve"> of </w:t>
      </w:r>
      <w:r w:rsidR="00BE4FCF" w:rsidRPr="00C31D7B">
        <w:rPr>
          <w:lang w:val="en-GB"/>
        </w:rPr>
        <w:t xml:space="preserve">teaching intensive universities such as </w:t>
      </w:r>
      <w:r w:rsidR="006F46D5" w:rsidRPr="00C31D7B">
        <w:rPr>
          <w:lang w:val="en-GB"/>
        </w:rPr>
        <w:t xml:space="preserve">the </w:t>
      </w:r>
      <w:r w:rsidR="00E1487D" w:rsidRPr="00C31D7B">
        <w:rPr>
          <w:lang w:val="en-GB"/>
        </w:rPr>
        <w:t xml:space="preserve">so-called </w:t>
      </w:r>
      <w:r w:rsidR="006F46D5" w:rsidRPr="00C31D7B">
        <w:rPr>
          <w:lang w:val="en-GB"/>
        </w:rPr>
        <w:t xml:space="preserve">Post-92 </w:t>
      </w:r>
      <w:r w:rsidR="00942642" w:rsidRPr="00C31D7B">
        <w:rPr>
          <w:lang w:val="en-GB"/>
        </w:rPr>
        <w:t>Universit</w:t>
      </w:r>
      <w:r w:rsidR="00BE4FCF" w:rsidRPr="00C31D7B">
        <w:rPr>
          <w:lang w:val="en-GB"/>
        </w:rPr>
        <w:t>ies in the UK</w:t>
      </w:r>
      <w:r w:rsidRPr="00C31D7B">
        <w:rPr>
          <w:lang w:val="en-GB"/>
        </w:rPr>
        <w:t xml:space="preserve"> (consisting largely of</w:t>
      </w:r>
      <w:r w:rsidR="003A7B21" w:rsidRPr="00C31D7B">
        <w:rPr>
          <w:lang w:val="en-GB"/>
        </w:rPr>
        <w:t xml:space="preserve"> </w:t>
      </w:r>
      <w:r w:rsidR="00E1487D" w:rsidRPr="00C31D7B">
        <w:rPr>
          <w:lang w:val="en-GB"/>
        </w:rPr>
        <w:t>former</w:t>
      </w:r>
      <w:r w:rsidR="00075DBF" w:rsidRPr="00C31D7B">
        <w:rPr>
          <w:lang w:val="en-GB"/>
        </w:rPr>
        <w:t xml:space="preserve"> polytechnic</w:t>
      </w:r>
      <w:r w:rsidR="00942642" w:rsidRPr="00C31D7B">
        <w:rPr>
          <w:lang w:val="en-GB"/>
        </w:rPr>
        <w:t>s</w:t>
      </w:r>
      <w:r w:rsidR="00E1487D" w:rsidRPr="00C31D7B">
        <w:rPr>
          <w:lang w:val="en-GB"/>
        </w:rPr>
        <w:t xml:space="preserve"> that were upgraded to full univ</w:t>
      </w:r>
      <w:r w:rsidRPr="00C31D7B">
        <w:rPr>
          <w:lang w:val="en-GB"/>
        </w:rPr>
        <w:t>ersities)</w:t>
      </w:r>
      <w:r w:rsidR="00075DBF" w:rsidRPr="00C31D7B">
        <w:rPr>
          <w:lang w:val="en-GB"/>
        </w:rPr>
        <w:t xml:space="preserve"> </w:t>
      </w:r>
      <w:r w:rsidR="006F46D5" w:rsidRPr="00C31D7B">
        <w:rPr>
          <w:lang w:val="en-GB"/>
        </w:rPr>
        <w:t xml:space="preserve">is very different from the reality of the ‘Redbrick’ or ‘Oxbridge’ </w:t>
      </w:r>
      <w:r w:rsidR="00075DBF" w:rsidRPr="00C31D7B">
        <w:rPr>
          <w:lang w:val="en-GB"/>
        </w:rPr>
        <w:t xml:space="preserve">type of </w:t>
      </w:r>
      <w:r w:rsidR="006F46D5" w:rsidRPr="00C31D7B">
        <w:rPr>
          <w:lang w:val="en-GB"/>
        </w:rPr>
        <w:t xml:space="preserve">university. </w:t>
      </w:r>
      <w:r w:rsidR="00E1487D" w:rsidRPr="00C31D7B">
        <w:rPr>
          <w:lang w:val="en-GB"/>
        </w:rPr>
        <w:lastRenderedPageBreak/>
        <w:t>The same could be said</w:t>
      </w:r>
      <w:r w:rsidRPr="00C31D7B">
        <w:rPr>
          <w:lang w:val="en-GB"/>
        </w:rPr>
        <w:t xml:space="preserve"> more universally about high versus</w:t>
      </w:r>
      <w:r w:rsidR="00E1487D" w:rsidRPr="00C31D7B">
        <w:rPr>
          <w:lang w:val="en-GB"/>
        </w:rPr>
        <w:t xml:space="preserve"> low-ranked universities. </w:t>
      </w:r>
      <w:r w:rsidR="006F46D5" w:rsidRPr="00C31D7B">
        <w:rPr>
          <w:lang w:val="en-GB"/>
        </w:rPr>
        <w:t xml:space="preserve">Post-92 </w:t>
      </w:r>
      <w:r w:rsidR="00C06CE1" w:rsidRPr="00C31D7B">
        <w:rPr>
          <w:lang w:val="en-GB"/>
        </w:rPr>
        <w:t xml:space="preserve">and lower ranked </w:t>
      </w:r>
      <w:r w:rsidR="006F46D5" w:rsidRPr="00C31D7B">
        <w:rPr>
          <w:lang w:val="en-GB"/>
        </w:rPr>
        <w:t xml:space="preserve">universities are viewed by </w:t>
      </w:r>
      <w:r w:rsidR="003A7B21" w:rsidRPr="00C31D7B">
        <w:rPr>
          <w:lang w:val="en-GB"/>
        </w:rPr>
        <w:t>many student applicants</w:t>
      </w:r>
      <w:r w:rsidR="006F46D5" w:rsidRPr="00C31D7B">
        <w:rPr>
          <w:lang w:val="en-GB"/>
        </w:rPr>
        <w:t xml:space="preserve"> as less attractive. </w:t>
      </w:r>
      <w:r w:rsidR="00E1487D" w:rsidRPr="00C31D7B">
        <w:rPr>
          <w:lang w:val="en-GB"/>
        </w:rPr>
        <w:t xml:space="preserve">These universities therefore tend to </w:t>
      </w:r>
      <w:r w:rsidR="00E74FE6" w:rsidRPr="00C31D7B">
        <w:rPr>
          <w:lang w:val="en-GB"/>
        </w:rPr>
        <w:t>attract</w:t>
      </w:r>
      <w:r w:rsidR="00E1487D" w:rsidRPr="00C31D7B">
        <w:rPr>
          <w:lang w:val="en-GB"/>
        </w:rPr>
        <w:t xml:space="preserve"> </w:t>
      </w:r>
      <w:r w:rsidRPr="00C31D7B">
        <w:rPr>
          <w:lang w:val="en-GB"/>
        </w:rPr>
        <w:t xml:space="preserve">more diverse </w:t>
      </w:r>
      <w:r w:rsidR="00E1487D" w:rsidRPr="00C31D7B">
        <w:rPr>
          <w:lang w:val="en-GB"/>
        </w:rPr>
        <w:t>student populations</w:t>
      </w:r>
      <w:r w:rsidRPr="00C31D7B">
        <w:rPr>
          <w:lang w:val="en-GB"/>
        </w:rPr>
        <w:t xml:space="preserve"> with lower abilities at entry</w:t>
      </w:r>
      <w:r w:rsidR="00E74FE6" w:rsidRPr="00C31D7B">
        <w:rPr>
          <w:lang w:val="en-GB"/>
        </w:rPr>
        <w:t>, who cannot gain entry to higher ranked institutions</w:t>
      </w:r>
      <w:r w:rsidR="00E1487D" w:rsidRPr="00C31D7B">
        <w:rPr>
          <w:lang w:val="en-GB"/>
        </w:rPr>
        <w:t xml:space="preserve">. </w:t>
      </w:r>
      <w:r w:rsidR="006F46D5" w:rsidRPr="00C31D7B">
        <w:rPr>
          <w:lang w:val="en-GB"/>
        </w:rPr>
        <w:t xml:space="preserve">In these </w:t>
      </w:r>
      <w:r w:rsidR="00E74FE6" w:rsidRPr="00C31D7B">
        <w:rPr>
          <w:lang w:val="en-GB"/>
        </w:rPr>
        <w:t xml:space="preserve">lower ranked </w:t>
      </w:r>
      <w:r w:rsidR="006F46D5" w:rsidRPr="00C31D7B">
        <w:rPr>
          <w:lang w:val="en-GB"/>
        </w:rPr>
        <w:t xml:space="preserve">universities, retention and progression is a </w:t>
      </w:r>
      <w:r w:rsidR="003A7B21" w:rsidRPr="00C31D7B">
        <w:rPr>
          <w:lang w:val="en-GB"/>
        </w:rPr>
        <w:t>large</w:t>
      </w:r>
      <w:r w:rsidR="00E1487D" w:rsidRPr="00C31D7B">
        <w:rPr>
          <w:lang w:val="en-GB"/>
        </w:rPr>
        <w:t>r</w:t>
      </w:r>
      <w:r w:rsidR="003A7B21" w:rsidRPr="00C31D7B">
        <w:rPr>
          <w:lang w:val="en-GB"/>
        </w:rPr>
        <w:t xml:space="preserve"> </w:t>
      </w:r>
      <w:r w:rsidR="006F46D5" w:rsidRPr="00C31D7B">
        <w:rPr>
          <w:lang w:val="en-GB"/>
        </w:rPr>
        <w:t>problem</w:t>
      </w:r>
      <w:r w:rsidRPr="00C31D7B">
        <w:rPr>
          <w:lang w:val="en-GB"/>
        </w:rPr>
        <w:t xml:space="preserve"> than in older and higher ranked ones</w:t>
      </w:r>
      <w:r w:rsidR="00E1487D" w:rsidRPr="00C31D7B">
        <w:rPr>
          <w:lang w:val="en-GB"/>
        </w:rPr>
        <w:t xml:space="preserve"> (Breakwell &amp; Tytherleigh, 2010)</w:t>
      </w:r>
      <w:r w:rsidRPr="00C31D7B">
        <w:rPr>
          <w:lang w:val="en-GB"/>
        </w:rPr>
        <w:t>. As previously discussed there is evidence that weaker students benefit more from attendance than stronger ones. If a university attracts mainly weak students, the potential benefits in terms of performance, and ultimately completion, are likely non-negligible</w:t>
      </w:r>
      <w:r w:rsidR="00E74FE6" w:rsidRPr="00C31D7B">
        <w:rPr>
          <w:lang w:val="en-GB"/>
        </w:rPr>
        <w:t>, and could make a marked difference to funding</w:t>
      </w:r>
      <w:r w:rsidRPr="00C31D7B">
        <w:rPr>
          <w:lang w:val="en-GB"/>
        </w:rPr>
        <w:t>.</w:t>
      </w:r>
    </w:p>
    <w:p w:rsidR="00987F57" w:rsidRPr="00C31D7B" w:rsidRDefault="00A17F9F" w:rsidP="00E70AD3">
      <w:pPr>
        <w:tabs>
          <w:tab w:val="left" w:pos="3718"/>
        </w:tabs>
        <w:autoSpaceDE w:val="0"/>
        <w:autoSpaceDN w:val="0"/>
        <w:adjustRightInd w:val="0"/>
        <w:ind w:firstLine="720"/>
        <w:jc w:val="both"/>
        <w:rPr>
          <w:lang w:val="en-GB"/>
        </w:rPr>
      </w:pPr>
      <w:r w:rsidRPr="00C31D7B">
        <w:rPr>
          <w:lang w:val="en-GB"/>
        </w:rPr>
        <w:t>Secondly, t</w:t>
      </w:r>
      <w:r w:rsidR="009774E0" w:rsidRPr="00C31D7B">
        <w:rPr>
          <w:lang w:val="en-GB"/>
        </w:rPr>
        <w:t xml:space="preserve">he dominant higher education discourse today focuses not so much on forming the well-informed citizens that preoccupied Humboldt, nor on the role of education in shaping </w:t>
      </w:r>
      <w:r w:rsidRPr="00C31D7B">
        <w:rPr>
          <w:lang w:val="en-GB"/>
        </w:rPr>
        <w:t xml:space="preserve">a </w:t>
      </w:r>
      <w:r w:rsidR="009774E0" w:rsidRPr="00C31D7B">
        <w:rPr>
          <w:lang w:val="en-GB"/>
        </w:rPr>
        <w:t xml:space="preserve">democratic society, but </w:t>
      </w:r>
      <w:r w:rsidR="00E74FE6" w:rsidRPr="00C31D7B">
        <w:rPr>
          <w:lang w:val="en-GB"/>
        </w:rPr>
        <w:t xml:space="preserve">rather </w:t>
      </w:r>
      <w:r w:rsidR="009774E0" w:rsidRPr="00C31D7B">
        <w:rPr>
          <w:lang w:val="en-GB"/>
        </w:rPr>
        <w:t>on economic arguments, linking higher education to the needs of the job market, and to macroeconomic growth in general (Vingaard Johansen et al., 201</w:t>
      </w:r>
      <w:r w:rsidR="00987F57" w:rsidRPr="00C31D7B">
        <w:rPr>
          <w:lang w:val="en-GB"/>
        </w:rPr>
        <w:t>7</w:t>
      </w:r>
      <w:r w:rsidR="009774E0" w:rsidRPr="00C31D7B">
        <w:rPr>
          <w:lang w:val="en-GB"/>
        </w:rPr>
        <w:t xml:space="preserve">). </w:t>
      </w:r>
      <w:r w:rsidR="00987F57" w:rsidRPr="00C31D7B">
        <w:rPr>
          <w:lang w:val="en-GB"/>
        </w:rPr>
        <w:t>As Vingaard Johansen et al. (2017) write, “the general economic mood of the day […] heavily influences higher education policy discourse, regardless of whether the actors within higher education buy into this discourse or not”. They suggest that the discourse on higher education policy has changed from a wide focus on citizenship, democracy, and equality of opportunities, to a narrower focus on the role of higher education in supplying knowledge workers to firms. Trowler (2001) makes a similar argument.</w:t>
      </w:r>
    </w:p>
    <w:p w:rsidR="00A17F9F" w:rsidRPr="00C31D7B" w:rsidRDefault="00987F57" w:rsidP="00E70AD3">
      <w:pPr>
        <w:tabs>
          <w:tab w:val="left" w:pos="3718"/>
        </w:tabs>
        <w:autoSpaceDE w:val="0"/>
        <w:autoSpaceDN w:val="0"/>
        <w:adjustRightInd w:val="0"/>
        <w:ind w:firstLine="720"/>
        <w:jc w:val="both"/>
        <w:rPr>
          <w:lang w:val="en-GB"/>
        </w:rPr>
      </w:pPr>
      <w:r w:rsidRPr="00C31D7B">
        <w:rPr>
          <w:lang w:val="en-GB"/>
        </w:rPr>
        <w:t>Perhaps a</w:t>
      </w:r>
      <w:r w:rsidR="009774E0" w:rsidRPr="00C31D7B">
        <w:rPr>
          <w:lang w:val="en-GB"/>
        </w:rPr>
        <w:t xml:space="preserve">s a result, </w:t>
      </w:r>
      <w:r w:rsidR="00CE6ED9" w:rsidRPr="00C31D7B">
        <w:rPr>
          <w:lang w:val="en-GB"/>
        </w:rPr>
        <w:t xml:space="preserve">some </w:t>
      </w:r>
      <w:r w:rsidR="009774E0" w:rsidRPr="00C31D7B">
        <w:rPr>
          <w:lang w:val="en-GB"/>
        </w:rPr>
        <w:t>governments around the world have introduced funding mechanisms that directly reward universities on performance parameters (</w:t>
      </w:r>
      <w:r w:rsidR="00D30F17" w:rsidRPr="00C31D7B">
        <w:rPr>
          <w:lang w:val="en-GB"/>
        </w:rPr>
        <w:t xml:space="preserve">Dougherty, Jones, Lahr, Natow, Pheatt, &amp; Reddy, 2014; </w:t>
      </w:r>
      <w:r w:rsidR="009774E0" w:rsidRPr="00C31D7B">
        <w:rPr>
          <w:lang w:val="en-GB"/>
        </w:rPr>
        <w:t>Jongbloed &amp; Vossensteyn, 2001).</w:t>
      </w:r>
      <w:r w:rsidR="00D30F17" w:rsidRPr="00C31D7B">
        <w:rPr>
          <w:lang w:val="en-GB"/>
        </w:rPr>
        <w:t xml:space="preserve"> </w:t>
      </w:r>
      <w:r w:rsidR="009A20D1" w:rsidRPr="00C31D7B">
        <w:rPr>
          <w:lang w:val="en-GB"/>
        </w:rPr>
        <w:t>Such</w:t>
      </w:r>
      <w:r w:rsidR="003B4525" w:rsidRPr="00C31D7B">
        <w:rPr>
          <w:lang w:val="en-GB"/>
        </w:rPr>
        <w:t xml:space="preserve"> mechanisms</w:t>
      </w:r>
      <w:r w:rsidR="009A20D1" w:rsidRPr="00C31D7B">
        <w:rPr>
          <w:lang w:val="en-GB"/>
        </w:rPr>
        <w:t xml:space="preserve"> include financially rewarding universities for publications (cf. </w:t>
      </w:r>
      <w:r w:rsidR="00CE6ED9" w:rsidRPr="00C31D7B">
        <w:rPr>
          <w:lang w:val="en-GB"/>
        </w:rPr>
        <w:t xml:space="preserve">Auranen &amp; Nieminen, 2010, for </w:t>
      </w:r>
      <w:r w:rsidR="00CE6ED9" w:rsidRPr="00C31D7B">
        <w:rPr>
          <w:lang w:val="en-GB"/>
        </w:rPr>
        <w:lastRenderedPageBreak/>
        <w:t xml:space="preserve">an international overview), and for producing students. The latter is done either by </w:t>
      </w:r>
      <w:r w:rsidR="001E27CB" w:rsidRPr="00C31D7B">
        <w:rPr>
          <w:lang w:val="en-GB"/>
        </w:rPr>
        <w:t>focusing on input measures (i.e. paying universities based on student recruitment numbers), output measures (such as the number of graduating students), or a mix of both (Jongbloed &amp; Vossensteyn, 2001).</w:t>
      </w:r>
      <w:r w:rsidR="003B4525" w:rsidRPr="00C31D7B">
        <w:rPr>
          <w:lang w:val="en-GB"/>
        </w:rPr>
        <w:t xml:space="preserve"> </w:t>
      </w:r>
      <w:r w:rsidR="00D30F17" w:rsidRPr="00C31D7B">
        <w:rPr>
          <w:lang w:val="en-GB"/>
        </w:rPr>
        <w:t xml:space="preserve">Common to </w:t>
      </w:r>
      <w:r w:rsidR="001E27CB" w:rsidRPr="00C31D7B">
        <w:rPr>
          <w:lang w:val="en-GB"/>
        </w:rPr>
        <w:t>output-oriented</w:t>
      </w:r>
      <w:r w:rsidR="00D30F17" w:rsidRPr="00C31D7B">
        <w:rPr>
          <w:lang w:val="en-GB"/>
        </w:rPr>
        <w:t xml:space="preserve"> funding mechanisms, and to associated policy statements, is that t</w:t>
      </w:r>
      <w:r w:rsidR="001F6E4C" w:rsidRPr="00C31D7B">
        <w:rPr>
          <w:lang w:val="en-GB"/>
        </w:rPr>
        <w:t>hey attempt to incentivise</w:t>
      </w:r>
      <w:r w:rsidR="00D30F17" w:rsidRPr="00C31D7B">
        <w:rPr>
          <w:lang w:val="en-GB"/>
        </w:rPr>
        <w:t xml:space="preserve"> universities to improve retention </w:t>
      </w:r>
      <w:r w:rsidR="00E74FE6" w:rsidRPr="00C31D7B">
        <w:rPr>
          <w:lang w:val="en-GB"/>
        </w:rPr>
        <w:t xml:space="preserve">and completion </w:t>
      </w:r>
      <w:r w:rsidR="00D30F17" w:rsidRPr="00C31D7B">
        <w:rPr>
          <w:lang w:val="en-GB"/>
        </w:rPr>
        <w:t>rates</w:t>
      </w:r>
      <w:r w:rsidR="00E74FE6" w:rsidRPr="00C31D7B">
        <w:rPr>
          <w:lang w:val="en-GB"/>
        </w:rPr>
        <w:t>,</w:t>
      </w:r>
      <w:r w:rsidR="00D30F17" w:rsidRPr="00C31D7B">
        <w:rPr>
          <w:lang w:val="en-GB"/>
        </w:rPr>
        <w:t xml:space="preserve"> </w:t>
      </w:r>
      <w:r w:rsidR="00E74FE6" w:rsidRPr="00C31D7B">
        <w:rPr>
          <w:lang w:val="en-GB"/>
        </w:rPr>
        <w:t>or what is sometimes referred to as</w:t>
      </w:r>
      <w:r w:rsidR="00D30F17" w:rsidRPr="00C31D7B">
        <w:rPr>
          <w:lang w:val="en-GB"/>
        </w:rPr>
        <w:t xml:space="preserve"> degree productivity (Hillman, Tandberg, &amp; Fryar, 2015; Rutherford &amp; Rabovsky, 2014).</w:t>
      </w:r>
      <w:r w:rsidR="00B16D43" w:rsidRPr="00C31D7B">
        <w:rPr>
          <w:lang w:val="en-GB"/>
        </w:rPr>
        <w:t xml:space="preserve"> Universities with large endowments</w:t>
      </w:r>
      <w:r w:rsidR="00A17F9F" w:rsidRPr="00C31D7B">
        <w:rPr>
          <w:lang w:val="en-GB"/>
        </w:rPr>
        <w:t>,</w:t>
      </w:r>
      <w:r w:rsidR="001E27CB" w:rsidRPr="00C31D7B">
        <w:rPr>
          <w:lang w:val="en-GB"/>
        </w:rPr>
        <w:t xml:space="preserve"> or those</w:t>
      </w:r>
      <w:r w:rsidR="00B16D43" w:rsidRPr="00C31D7B">
        <w:rPr>
          <w:lang w:val="en-GB"/>
        </w:rPr>
        <w:t xml:space="preserve"> rely</w:t>
      </w:r>
      <w:r w:rsidR="001E27CB" w:rsidRPr="00C31D7B">
        <w:rPr>
          <w:lang w:val="en-GB"/>
        </w:rPr>
        <w:t>ing</w:t>
      </w:r>
      <w:r w:rsidR="00B16D43" w:rsidRPr="00C31D7B">
        <w:rPr>
          <w:lang w:val="en-GB"/>
        </w:rPr>
        <w:t xml:space="preserve"> heavily on research rather than teaching income</w:t>
      </w:r>
      <w:r w:rsidR="00A17F9F" w:rsidRPr="00C31D7B">
        <w:rPr>
          <w:lang w:val="en-GB"/>
        </w:rPr>
        <w:t>,</w:t>
      </w:r>
      <w:r w:rsidR="00B16D43" w:rsidRPr="00C31D7B">
        <w:rPr>
          <w:lang w:val="en-GB"/>
        </w:rPr>
        <w:t xml:space="preserve"> may have the luxury to ignore policymakers’ calls for more students to complete their studies successfully and on time</w:t>
      </w:r>
      <w:r w:rsidR="00A17F9F" w:rsidRPr="00C31D7B">
        <w:rPr>
          <w:lang w:val="en-GB"/>
        </w:rPr>
        <w:t>. Conversely</w:t>
      </w:r>
      <w:r w:rsidR="00B16D43" w:rsidRPr="00C31D7B">
        <w:rPr>
          <w:lang w:val="en-GB"/>
        </w:rPr>
        <w:t xml:space="preserve">, ones depending mainly on teaching income, whether </w:t>
      </w:r>
      <w:r w:rsidR="00401C16" w:rsidRPr="00C31D7B">
        <w:rPr>
          <w:lang w:val="en-GB"/>
        </w:rPr>
        <w:t xml:space="preserve">directly </w:t>
      </w:r>
      <w:r w:rsidR="00B16D43" w:rsidRPr="00C31D7B">
        <w:rPr>
          <w:lang w:val="en-GB"/>
        </w:rPr>
        <w:t>from governments</w:t>
      </w:r>
      <w:r w:rsidR="00401C16" w:rsidRPr="00C31D7B">
        <w:rPr>
          <w:lang w:val="en-GB"/>
        </w:rPr>
        <w:t>, or from students themselves</w:t>
      </w:r>
      <w:r w:rsidR="00B16D43" w:rsidRPr="00C31D7B">
        <w:rPr>
          <w:lang w:val="en-GB"/>
        </w:rPr>
        <w:t xml:space="preserve">, </w:t>
      </w:r>
      <w:r w:rsidR="00E74FE6" w:rsidRPr="00C31D7B">
        <w:rPr>
          <w:lang w:val="en-GB"/>
        </w:rPr>
        <w:t>no longer</w:t>
      </w:r>
      <w:r w:rsidR="00B16D43" w:rsidRPr="00C31D7B">
        <w:rPr>
          <w:lang w:val="en-GB"/>
        </w:rPr>
        <w:t xml:space="preserve"> have this freedom today.</w:t>
      </w:r>
      <w:r w:rsidR="00401C16" w:rsidRPr="00C31D7B">
        <w:rPr>
          <w:lang w:val="en-GB"/>
        </w:rPr>
        <w:t xml:space="preserve"> Even in </w:t>
      </w:r>
      <w:r w:rsidR="00E66BB6" w:rsidRPr="00C31D7B">
        <w:rPr>
          <w:lang w:val="en-GB"/>
        </w:rPr>
        <w:t>universities</w:t>
      </w:r>
      <w:r w:rsidR="00401C16" w:rsidRPr="00C31D7B">
        <w:rPr>
          <w:lang w:val="en-GB"/>
        </w:rPr>
        <w:t xml:space="preserve"> where students pay their own way, </w:t>
      </w:r>
      <w:r w:rsidR="00E74FE6" w:rsidRPr="00C31D7B">
        <w:rPr>
          <w:lang w:val="en-GB"/>
        </w:rPr>
        <w:t>such payment</w:t>
      </w:r>
      <w:r w:rsidR="00401C16" w:rsidRPr="00C31D7B">
        <w:rPr>
          <w:lang w:val="en-GB"/>
        </w:rPr>
        <w:t xml:space="preserve"> often depend</w:t>
      </w:r>
      <w:r w:rsidR="00E74FE6" w:rsidRPr="00C31D7B">
        <w:rPr>
          <w:lang w:val="en-GB"/>
        </w:rPr>
        <w:t>s</w:t>
      </w:r>
      <w:r w:rsidR="00401C16" w:rsidRPr="00C31D7B">
        <w:rPr>
          <w:lang w:val="en-GB"/>
        </w:rPr>
        <w:t xml:space="preserve"> on government loan </w:t>
      </w:r>
      <w:r w:rsidR="00E74FE6" w:rsidRPr="00C31D7B">
        <w:rPr>
          <w:lang w:val="en-GB"/>
        </w:rPr>
        <w:t>schemes that,</w:t>
      </w:r>
      <w:r w:rsidR="00401C16" w:rsidRPr="00C31D7B">
        <w:rPr>
          <w:lang w:val="en-GB"/>
        </w:rPr>
        <w:t xml:space="preserve"> again</w:t>
      </w:r>
      <w:r w:rsidR="00E74FE6" w:rsidRPr="00C31D7B">
        <w:rPr>
          <w:lang w:val="en-GB"/>
        </w:rPr>
        <w:t>,</w:t>
      </w:r>
      <w:r w:rsidR="00401C16" w:rsidRPr="00C31D7B">
        <w:rPr>
          <w:lang w:val="en-GB"/>
        </w:rPr>
        <w:t xml:space="preserve"> reward the rapid completion of higher education.</w:t>
      </w:r>
    </w:p>
    <w:p w:rsidR="00F81529" w:rsidRPr="00C31D7B" w:rsidRDefault="00A17F9F" w:rsidP="00E70AD3">
      <w:pPr>
        <w:tabs>
          <w:tab w:val="left" w:pos="3718"/>
        </w:tabs>
        <w:autoSpaceDE w:val="0"/>
        <w:autoSpaceDN w:val="0"/>
        <w:adjustRightInd w:val="0"/>
        <w:ind w:firstLine="720"/>
        <w:jc w:val="both"/>
        <w:rPr>
          <w:lang w:val="en-GB"/>
        </w:rPr>
      </w:pPr>
      <w:r w:rsidRPr="00C31D7B">
        <w:rPr>
          <w:lang w:val="en-GB"/>
        </w:rPr>
        <w:t>Lower-ranked and post-92 u</w:t>
      </w:r>
      <w:r w:rsidR="00B16D43" w:rsidRPr="00C31D7B">
        <w:rPr>
          <w:lang w:val="en-GB"/>
        </w:rPr>
        <w:t>niversities</w:t>
      </w:r>
      <w:r w:rsidRPr="00C31D7B">
        <w:rPr>
          <w:lang w:val="en-GB"/>
        </w:rPr>
        <w:t>, such as the ones examined by Macfarlane (2013)</w:t>
      </w:r>
      <w:r w:rsidR="00B16D43" w:rsidRPr="00C31D7B">
        <w:rPr>
          <w:lang w:val="en-GB"/>
        </w:rPr>
        <w:t xml:space="preserve"> </w:t>
      </w:r>
      <w:r w:rsidR="00987F57" w:rsidRPr="00C31D7B">
        <w:rPr>
          <w:lang w:val="en-GB"/>
        </w:rPr>
        <w:t>understandably</w:t>
      </w:r>
      <w:r w:rsidR="00401C16" w:rsidRPr="00C31D7B">
        <w:rPr>
          <w:lang w:val="en-GB"/>
        </w:rPr>
        <w:t xml:space="preserve"> feel</w:t>
      </w:r>
      <w:r w:rsidR="00B16D43" w:rsidRPr="00C31D7B">
        <w:rPr>
          <w:lang w:val="en-GB"/>
        </w:rPr>
        <w:t xml:space="preserve"> compelled to </w:t>
      </w:r>
      <w:r w:rsidR="001F6E4C" w:rsidRPr="00C31D7B">
        <w:rPr>
          <w:lang w:val="en-GB"/>
        </w:rPr>
        <w:t>adopt policies that will maximis</w:t>
      </w:r>
      <w:r w:rsidR="00B16D43" w:rsidRPr="00C31D7B">
        <w:rPr>
          <w:lang w:val="en-GB"/>
        </w:rPr>
        <w:t>e the chances of academic success of the individual student, regardless of whether such policies in fact interfere with the student’s free choice. If attending class raises exam performance, it will also raise the likelihood of successfully</w:t>
      </w:r>
      <w:r w:rsidR="00401C16" w:rsidRPr="00C31D7B">
        <w:rPr>
          <w:lang w:val="en-GB"/>
        </w:rPr>
        <w:t xml:space="preserve"> completing a degree programme, and therefore of satisfying policymakers</w:t>
      </w:r>
      <w:r w:rsidR="00BE4FCF" w:rsidRPr="00C31D7B">
        <w:rPr>
          <w:lang w:val="en-GB"/>
        </w:rPr>
        <w:t>’</w:t>
      </w:r>
      <w:r w:rsidR="00401C16" w:rsidRPr="00C31D7B">
        <w:rPr>
          <w:lang w:val="en-GB"/>
        </w:rPr>
        <w:t xml:space="preserve"> demands on the university. Attendance policies may</w:t>
      </w:r>
      <w:r w:rsidR="00E74FE6" w:rsidRPr="00C31D7B">
        <w:rPr>
          <w:lang w:val="en-GB"/>
        </w:rPr>
        <w:t xml:space="preserve"> therefore</w:t>
      </w:r>
      <w:r w:rsidR="00401C16" w:rsidRPr="00C31D7B">
        <w:rPr>
          <w:lang w:val="en-GB"/>
        </w:rPr>
        <w:t xml:space="preserve"> be a logical choice for </w:t>
      </w:r>
      <w:r w:rsidR="00E74FE6" w:rsidRPr="00C31D7B">
        <w:rPr>
          <w:lang w:val="en-GB"/>
        </w:rPr>
        <w:t>some</w:t>
      </w:r>
      <w:r w:rsidR="00401C16" w:rsidRPr="00C31D7B">
        <w:rPr>
          <w:lang w:val="en-GB"/>
        </w:rPr>
        <w:t xml:space="preserve"> universities </w:t>
      </w:r>
      <w:r w:rsidR="00E74FE6" w:rsidRPr="00C31D7B">
        <w:rPr>
          <w:lang w:val="en-GB"/>
        </w:rPr>
        <w:t>in the current policy climate, as long as attendance</w:t>
      </w:r>
      <w:r w:rsidR="00401C16" w:rsidRPr="00C31D7B">
        <w:rPr>
          <w:lang w:val="en-GB"/>
        </w:rPr>
        <w:t xml:space="preserve"> improves</w:t>
      </w:r>
      <w:r w:rsidR="00E74FE6" w:rsidRPr="00C31D7B">
        <w:rPr>
          <w:lang w:val="en-GB"/>
        </w:rPr>
        <w:t xml:space="preserve"> student</w:t>
      </w:r>
      <w:r w:rsidR="00401C16" w:rsidRPr="00C31D7B">
        <w:rPr>
          <w:lang w:val="en-GB"/>
        </w:rPr>
        <w:t xml:space="preserve"> performance.</w:t>
      </w:r>
      <w:r w:rsidR="00E74FE6" w:rsidRPr="00C31D7B">
        <w:rPr>
          <w:lang w:val="en-GB"/>
        </w:rPr>
        <w:t xml:space="preserve"> The evidence base for this performance effect</w:t>
      </w:r>
      <w:r w:rsidR="00F54B7C" w:rsidRPr="00C31D7B">
        <w:rPr>
          <w:lang w:val="en-GB"/>
        </w:rPr>
        <w:t xml:space="preserve"> therefore</w:t>
      </w:r>
      <w:r w:rsidR="00E74FE6" w:rsidRPr="00C31D7B">
        <w:rPr>
          <w:lang w:val="en-GB"/>
        </w:rPr>
        <w:t xml:space="preserve"> becomes pivotal to the decision of whether or not to impose an attendance policy.</w:t>
      </w:r>
    </w:p>
    <w:p w:rsidR="007D2BE3" w:rsidRPr="00C31D7B" w:rsidRDefault="007D2BE3" w:rsidP="00ED3095">
      <w:pPr>
        <w:tabs>
          <w:tab w:val="left" w:pos="3718"/>
        </w:tabs>
        <w:autoSpaceDE w:val="0"/>
        <w:autoSpaceDN w:val="0"/>
        <w:adjustRightInd w:val="0"/>
        <w:jc w:val="both"/>
        <w:rPr>
          <w:lang w:val="en-GB"/>
        </w:rPr>
      </w:pPr>
    </w:p>
    <w:p w:rsidR="001D2801" w:rsidRPr="00C31D7B" w:rsidRDefault="001D2801">
      <w:pPr>
        <w:spacing w:line="240" w:lineRule="auto"/>
        <w:rPr>
          <w:b/>
          <w:i/>
          <w:lang w:val="en-GB"/>
        </w:rPr>
      </w:pPr>
      <w:r w:rsidRPr="00C31D7B">
        <w:rPr>
          <w:b/>
          <w:i/>
          <w:lang w:val="en-GB"/>
        </w:rPr>
        <w:lastRenderedPageBreak/>
        <w:br w:type="page"/>
      </w:r>
    </w:p>
    <w:p w:rsidR="00410F5C" w:rsidRPr="00C31D7B" w:rsidRDefault="00694638" w:rsidP="00206805">
      <w:pPr>
        <w:jc w:val="both"/>
        <w:rPr>
          <w:b/>
          <w:i/>
          <w:lang w:val="en-GB"/>
        </w:rPr>
      </w:pPr>
      <w:r w:rsidRPr="00C31D7B">
        <w:rPr>
          <w:b/>
          <w:i/>
          <w:lang w:val="en-GB"/>
        </w:rPr>
        <w:lastRenderedPageBreak/>
        <w:t>Variables and Gaps in the Performance Effect</w:t>
      </w:r>
      <w:r w:rsidR="00A17F9F" w:rsidRPr="00C31D7B">
        <w:rPr>
          <w:b/>
          <w:i/>
          <w:lang w:val="en-GB"/>
        </w:rPr>
        <w:t xml:space="preserve"> Literature</w:t>
      </w:r>
    </w:p>
    <w:p w:rsidR="00382080" w:rsidRPr="00C31D7B" w:rsidRDefault="00F177F9" w:rsidP="00FE4C29">
      <w:pPr>
        <w:spacing w:after="120"/>
        <w:ind w:firstLine="720"/>
        <w:jc w:val="both"/>
        <w:rPr>
          <w:lang w:val="en-GB"/>
        </w:rPr>
      </w:pPr>
      <w:r w:rsidRPr="00C31D7B">
        <w:rPr>
          <w:lang w:val="en-GB"/>
        </w:rPr>
        <w:t>What</w:t>
      </w:r>
      <w:r w:rsidR="00410F5C" w:rsidRPr="00C31D7B">
        <w:rPr>
          <w:lang w:val="en-GB"/>
        </w:rPr>
        <w:t xml:space="preserve"> seems clear</w:t>
      </w:r>
      <w:r w:rsidRPr="00C31D7B">
        <w:rPr>
          <w:lang w:val="en-GB"/>
        </w:rPr>
        <w:t xml:space="preserve"> is</w:t>
      </w:r>
      <w:r w:rsidR="00410F5C" w:rsidRPr="00C31D7B">
        <w:rPr>
          <w:lang w:val="en-GB"/>
        </w:rPr>
        <w:t xml:space="preserve"> that any research </w:t>
      </w:r>
      <w:r w:rsidR="00932824" w:rsidRPr="00C31D7B">
        <w:rPr>
          <w:lang w:val="en-GB"/>
        </w:rPr>
        <w:t>attempting</w:t>
      </w:r>
      <w:r w:rsidR="00B63657" w:rsidRPr="00C31D7B">
        <w:rPr>
          <w:lang w:val="en-GB"/>
        </w:rPr>
        <w:t xml:space="preserve"> to </w:t>
      </w:r>
      <w:r w:rsidR="00052A21" w:rsidRPr="00C31D7B">
        <w:rPr>
          <w:lang w:val="en-GB"/>
        </w:rPr>
        <w:t>establish</w:t>
      </w:r>
      <w:r w:rsidR="00B63657" w:rsidRPr="00C31D7B">
        <w:rPr>
          <w:lang w:val="en-GB"/>
        </w:rPr>
        <w:t xml:space="preserve"> a relationship between attend</w:t>
      </w:r>
      <w:r w:rsidR="00052A21" w:rsidRPr="00C31D7B">
        <w:rPr>
          <w:lang w:val="en-GB"/>
        </w:rPr>
        <w:t xml:space="preserve">ance and performance </w:t>
      </w:r>
      <w:r w:rsidR="00410F5C" w:rsidRPr="00C31D7B">
        <w:rPr>
          <w:lang w:val="en-GB"/>
        </w:rPr>
        <w:t xml:space="preserve">should go beyond </w:t>
      </w:r>
      <w:r w:rsidR="00DF20F7" w:rsidRPr="00C31D7B">
        <w:rPr>
          <w:lang w:val="en-GB"/>
        </w:rPr>
        <w:t>analysing</w:t>
      </w:r>
      <w:r w:rsidR="00410F5C" w:rsidRPr="00C31D7B">
        <w:rPr>
          <w:lang w:val="en-GB"/>
        </w:rPr>
        <w:t xml:space="preserve"> the </w:t>
      </w:r>
      <w:r w:rsidR="00FC327E" w:rsidRPr="00C31D7B">
        <w:rPr>
          <w:lang w:val="en-GB"/>
        </w:rPr>
        <w:t xml:space="preserve">simple linear </w:t>
      </w:r>
      <w:r w:rsidR="00410F5C" w:rsidRPr="00C31D7B">
        <w:rPr>
          <w:lang w:val="en-GB"/>
        </w:rPr>
        <w:t xml:space="preserve">relationship between attendance and performance of students in </w:t>
      </w:r>
      <w:r w:rsidR="009C1C9E" w:rsidRPr="00C31D7B">
        <w:rPr>
          <w:lang w:val="en-GB"/>
        </w:rPr>
        <w:t>a single class (an obvious limitation</w:t>
      </w:r>
      <w:r w:rsidR="00410F5C" w:rsidRPr="00C31D7B">
        <w:rPr>
          <w:lang w:val="en-GB"/>
        </w:rPr>
        <w:t xml:space="preserve"> in</w:t>
      </w:r>
      <w:r w:rsidR="009C1C9E" w:rsidRPr="00C31D7B">
        <w:rPr>
          <w:lang w:val="en-GB"/>
        </w:rPr>
        <w:t xml:space="preserve"> for example</w:t>
      </w:r>
      <w:r w:rsidR="00410F5C" w:rsidRPr="00C31D7B">
        <w:rPr>
          <w:lang w:val="en-GB"/>
        </w:rPr>
        <w:t xml:space="preserve"> Marburger’s (2001; 2006) method). Any</w:t>
      </w:r>
      <w:r w:rsidR="009C1C9E" w:rsidRPr="00C31D7B">
        <w:rPr>
          <w:lang w:val="en-GB"/>
        </w:rPr>
        <w:t xml:space="preserve"> research on the topic should </w:t>
      </w:r>
      <w:r w:rsidR="00602333" w:rsidRPr="00C31D7B">
        <w:rPr>
          <w:lang w:val="en-GB"/>
        </w:rPr>
        <w:t xml:space="preserve">at the very least </w:t>
      </w:r>
      <w:r w:rsidR="009C1C9E" w:rsidRPr="00C31D7B">
        <w:rPr>
          <w:lang w:val="en-GB"/>
        </w:rPr>
        <w:t>take account of</w:t>
      </w:r>
      <w:r w:rsidR="00410F5C" w:rsidRPr="00C31D7B">
        <w:rPr>
          <w:lang w:val="en-GB"/>
        </w:rPr>
        <w:t xml:space="preserve"> </w:t>
      </w:r>
      <w:r w:rsidR="00B63657" w:rsidRPr="00C31D7B">
        <w:rPr>
          <w:lang w:val="en-GB"/>
        </w:rPr>
        <w:t xml:space="preserve">(control </w:t>
      </w:r>
      <w:r w:rsidR="00932824" w:rsidRPr="00C31D7B">
        <w:rPr>
          <w:lang w:val="en-GB"/>
        </w:rPr>
        <w:t>for</w:t>
      </w:r>
      <w:r w:rsidR="00B63657" w:rsidRPr="00C31D7B">
        <w:rPr>
          <w:lang w:val="en-GB"/>
        </w:rPr>
        <w:t xml:space="preserve">) background </w:t>
      </w:r>
      <w:r w:rsidR="00410F5C" w:rsidRPr="00C31D7B">
        <w:rPr>
          <w:lang w:val="en-GB"/>
        </w:rPr>
        <w:t>factors</w:t>
      </w:r>
      <w:r w:rsidR="002E7D7C" w:rsidRPr="00C31D7B">
        <w:rPr>
          <w:lang w:val="en-GB"/>
        </w:rPr>
        <w:t xml:space="preserve"> and input factors</w:t>
      </w:r>
      <w:r w:rsidR="00410F5C" w:rsidRPr="00C31D7B">
        <w:rPr>
          <w:lang w:val="en-GB"/>
        </w:rPr>
        <w:t xml:space="preserve"> </w:t>
      </w:r>
      <w:r w:rsidR="00FC327E" w:rsidRPr="00C31D7B">
        <w:rPr>
          <w:lang w:val="en-GB"/>
        </w:rPr>
        <w:t>such as</w:t>
      </w:r>
      <w:r w:rsidR="00410F5C" w:rsidRPr="00C31D7B">
        <w:rPr>
          <w:lang w:val="en-GB"/>
        </w:rPr>
        <w:t xml:space="preserve"> </w:t>
      </w:r>
      <w:r w:rsidR="006B47FD" w:rsidRPr="00C31D7B">
        <w:rPr>
          <w:lang w:val="en-GB"/>
        </w:rPr>
        <w:t>ability</w:t>
      </w:r>
      <w:r w:rsidR="00A652BD" w:rsidRPr="00C31D7B">
        <w:rPr>
          <w:lang w:val="en-GB"/>
        </w:rPr>
        <w:t xml:space="preserve"> at entry</w:t>
      </w:r>
      <w:r w:rsidR="006B47FD" w:rsidRPr="00C31D7B">
        <w:rPr>
          <w:lang w:val="en-GB"/>
        </w:rPr>
        <w:t xml:space="preserve">, </w:t>
      </w:r>
      <w:r w:rsidR="00410F5C" w:rsidRPr="00C31D7B">
        <w:rPr>
          <w:lang w:val="en-GB"/>
        </w:rPr>
        <w:t>class scheduling</w:t>
      </w:r>
      <w:r w:rsidR="00FC327E" w:rsidRPr="00C31D7B">
        <w:rPr>
          <w:lang w:val="en-GB"/>
        </w:rPr>
        <w:t>, quality of teaching (tutoring), and</w:t>
      </w:r>
      <w:r w:rsidR="00410F5C" w:rsidRPr="00C31D7B">
        <w:rPr>
          <w:lang w:val="en-GB"/>
        </w:rPr>
        <w:t xml:space="preserve"> gender (Moore et al. 2008; </w:t>
      </w:r>
      <w:r w:rsidR="00DF20F7" w:rsidRPr="00C31D7B">
        <w:rPr>
          <w:lang w:val="en-GB"/>
        </w:rPr>
        <w:t>Fielding, Charlton, Kounali, &amp; Leckie (2008</w:t>
      </w:r>
      <w:r w:rsidR="00410F5C" w:rsidRPr="00C31D7B">
        <w:rPr>
          <w:lang w:val="en-GB"/>
        </w:rPr>
        <w:t xml:space="preserve">). </w:t>
      </w:r>
      <w:r w:rsidR="00875328" w:rsidRPr="00C31D7B">
        <w:rPr>
          <w:lang w:val="en-GB"/>
        </w:rPr>
        <w:t>Astin’s</w:t>
      </w:r>
      <w:r w:rsidR="00876FA4" w:rsidRPr="00C31D7B">
        <w:rPr>
          <w:lang w:val="en-GB"/>
        </w:rPr>
        <w:t xml:space="preserve"> (1993)</w:t>
      </w:r>
      <w:r w:rsidR="00607DF1" w:rsidRPr="00C31D7B">
        <w:rPr>
          <w:lang w:val="en-GB"/>
        </w:rPr>
        <w:t xml:space="preserve"> popular</w:t>
      </w:r>
      <w:r w:rsidR="00875328" w:rsidRPr="00C31D7B">
        <w:rPr>
          <w:lang w:val="en-GB"/>
        </w:rPr>
        <w:t xml:space="preserve"> </w:t>
      </w:r>
      <w:r w:rsidR="00F54B7C" w:rsidRPr="00C31D7B">
        <w:rPr>
          <w:lang w:val="en-GB"/>
        </w:rPr>
        <w:t>Input-Environment-</w:t>
      </w:r>
      <w:r w:rsidR="00D24E5F" w:rsidRPr="00C31D7B">
        <w:rPr>
          <w:lang w:val="en-GB"/>
        </w:rPr>
        <w:t>Output</w:t>
      </w:r>
      <w:r w:rsidR="00F54B7C" w:rsidRPr="00C31D7B">
        <w:rPr>
          <w:lang w:val="en-GB"/>
        </w:rPr>
        <w:t xml:space="preserve"> (</w:t>
      </w:r>
      <w:r w:rsidR="00875328" w:rsidRPr="00C31D7B">
        <w:rPr>
          <w:lang w:val="en-GB"/>
        </w:rPr>
        <w:t>I-</w:t>
      </w:r>
      <w:r w:rsidR="00876FA4" w:rsidRPr="00C31D7B">
        <w:rPr>
          <w:lang w:val="en-GB"/>
        </w:rPr>
        <w:t>E-O</w:t>
      </w:r>
      <w:r w:rsidR="00F54B7C" w:rsidRPr="00C31D7B">
        <w:rPr>
          <w:lang w:val="en-GB"/>
        </w:rPr>
        <w:t>)</w:t>
      </w:r>
      <w:r w:rsidR="00876FA4" w:rsidRPr="00C31D7B">
        <w:rPr>
          <w:lang w:val="en-GB"/>
        </w:rPr>
        <w:t xml:space="preserve"> </w:t>
      </w:r>
      <w:r w:rsidR="00F54B7C" w:rsidRPr="00C31D7B">
        <w:rPr>
          <w:lang w:val="en-GB"/>
        </w:rPr>
        <w:t>model</w:t>
      </w:r>
      <w:r w:rsidR="00876FA4" w:rsidRPr="00C31D7B">
        <w:rPr>
          <w:lang w:val="en-GB"/>
        </w:rPr>
        <w:t xml:space="preserve"> provides </w:t>
      </w:r>
      <w:r w:rsidR="00607DF1" w:rsidRPr="00C31D7B">
        <w:rPr>
          <w:lang w:val="en-GB"/>
        </w:rPr>
        <w:t xml:space="preserve">a framework with which to </w:t>
      </w:r>
      <w:r w:rsidR="00E94E9E" w:rsidRPr="00C31D7B">
        <w:rPr>
          <w:lang w:val="en-GB"/>
        </w:rPr>
        <w:t>conceptualize</w:t>
      </w:r>
      <w:r w:rsidR="00607DF1" w:rsidRPr="00C31D7B">
        <w:rPr>
          <w:lang w:val="en-GB"/>
        </w:rPr>
        <w:t xml:space="preserve"> this</w:t>
      </w:r>
      <w:r w:rsidR="00876FA4" w:rsidRPr="00C31D7B">
        <w:rPr>
          <w:lang w:val="en-GB"/>
        </w:rPr>
        <w:t>.</w:t>
      </w:r>
      <w:r w:rsidR="00A17F9F" w:rsidRPr="00C31D7B">
        <w:rPr>
          <w:lang w:val="en-GB"/>
        </w:rPr>
        <w:t xml:space="preserve"> </w:t>
      </w:r>
      <w:r w:rsidR="002A27F7" w:rsidRPr="00C31D7B">
        <w:rPr>
          <w:lang w:val="en-GB"/>
        </w:rPr>
        <w:t>Compared to other college impact models</w:t>
      </w:r>
      <w:r w:rsidR="00FE4C29" w:rsidRPr="00C31D7B">
        <w:rPr>
          <w:lang w:val="en-GB"/>
        </w:rPr>
        <w:t>,</w:t>
      </w:r>
      <w:r w:rsidR="002A27F7" w:rsidRPr="00C31D7B">
        <w:rPr>
          <w:lang w:val="en-GB"/>
        </w:rPr>
        <w:t xml:space="preserve"> </w:t>
      </w:r>
      <w:r w:rsidR="00BA0850" w:rsidRPr="00C31D7B">
        <w:rPr>
          <w:lang w:val="en-GB"/>
        </w:rPr>
        <w:t>e.g.</w:t>
      </w:r>
      <w:r w:rsidR="002A27F7" w:rsidRPr="00C31D7B">
        <w:rPr>
          <w:lang w:val="en-GB"/>
        </w:rPr>
        <w:t xml:space="preserve"> Pascarella’</w:t>
      </w:r>
      <w:r w:rsidR="00FE4C29" w:rsidRPr="00C31D7B">
        <w:rPr>
          <w:lang w:val="en-GB"/>
        </w:rPr>
        <w:t>s (1985) model</w:t>
      </w:r>
      <w:r w:rsidR="002A27F7" w:rsidRPr="00C31D7B">
        <w:rPr>
          <w:lang w:val="en-GB"/>
        </w:rPr>
        <w:t xml:space="preserve">, Astin’s I-E-O model is </w:t>
      </w:r>
      <w:r w:rsidR="00FA4DD9" w:rsidRPr="00C31D7B">
        <w:rPr>
          <w:lang w:val="en-GB"/>
        </w:rPr>
        <w:t xml:space="preserve">more </w:t>
      </w:r>
      <w:r w:rsidR="002A27F7" w:rsidRPr="00C31D7B">
        <w:rPr>
          <w:lang w:val="en-GB"/>
        </w:rPr>
        <w:t>parsimoniou</w:t>
      </w:r>
      <w:r w:rsidR="00FE4C29" w:rsidRPr="00C31D7B">
        <w:rPr>
          <w:lang w:val="en-GB"/>
        </w:rPr>
        <w:t>s</w:t>
      </w:r>
      <w:r w:rsidR="00747C60" w:rsidRPr="00C31D7B">
        <w:rPr>
          <w:lang w:val="en-GB"/>
        </w:rPr>
        <w:t>. I</w:t>
      </w:r>
      <w:r w:rsidR="00B55AC2" w:rsidRPr="00C31D7B">
        <w:rPr>
          <w:lang w:val="en-GB"/>
        </w:rPr>
        <w:t xml:space="preserve">t avoids multiple levels, multiple phases and multiple concepts </w:t>
      </w:r>
      <w:r w:rsidR="00FE4C29" w:rsidRPr="00C31D7B">
        <w:rPr>
          <w:lang w:val="en-GB"/>
        </w:rPr>
        <w:t xml:space="preserve">and </w:t>
      </w:r>
      <w:r w:rsidR="00B55AC2" w:rsidRPr="00C31D7B">
        <w:rPr>
          <w:lang w:val="en-GB"/>
        </w:rPr>
        <w:t xml:space="preserve">thus it is easier to apply. </w:t>
      </w:r>
      <w:r w:rsidR="00200D01" w:rsidRPr="00C31D7B">
        <w:rPr>
          <w:lang w:val="en-GB"/>
        </w:rPr>
        <w:t xml:space="preserve">This model was </w:t>
      </w:r>
      <w:r w:rsidR="00B55AC2" w:rsidRPr="00C31D7B">
        <w:rPr>
          <w:lang w:val="en-GB"/>
        </w:rPr>
        <w:t xml:space="preserve">also </w:t>
      </w:r>
      <w:r w:rsidR="00200D01" w:rsidRPr="00C31D7B">
        <w:rPr>
          <w:lang w:val="en-GB"/>
        </w:rPr>
        <w:t xml:space="preserve">developed for use in natural settings. Thus, </w:t>
      </w:r>
      <w:r w:rsidR="00B01FD7" w:rsidRPr="00C31D7B">
        <w:rPr>
          <w:lang w:val="en-GB"/>
        </w:rPr>
        <w:t>it</w:t>
      </w:r>
      <w:r w:rsidR="00200D01" w:rsidRPr="00C31D7B">
        <w:rPr>
          <w:lang w:val="en-GB"/>
        </w:rPr>
        <w:t xml:space="preserve"> avoids artificial conditions such as experiments and makes it possible to study multiple variables (Astin, 1993). </w:t>
      </w:r>
      <w:r w:rsidR="005252AD" w:rsidRPr="00C31D7B">
        <w:rPr>
          <w:lang w:val="en-GB"/>
        </w:rPr>
        <w:t xml:space="preserve">Another benefit of the model is that it focuses on </w:t>
      </w:r>
      <w:r w:rsidR="00B01FD7" w:rsidRPr="00C31D7B">
        <w:rPr>
          <w:lang w:val="en-GB"/>
        </w:rPr>
        <w:t xml:space="preserve">the </w:t>
      </w:r>
      <w:r w:rsidR="005252AD" w:rsidRPr="00C31D7B">
        <w:rPr>
          <w:lang w:val="en-GB"/>
        </w:rPr>
        <w:t>student</w:t>
      </w:r>
      <w:r w:rsidR="00B55AC2" w:rsidRPr="00C31D7B">
        <w:rPr>
          <w:lang w:val="en-GB"/>
        </w:rPr>
        <w:t>. I</w:t>
      </w:r>
      <w:r w:rsidR="00B01FD7" w:rsidRPr="00C31D7B">
        <w:rPr>
          <w:lang w:val="en-GB"/>
        </w:rPr>
        <w:t>n particular, on the</w:t>
      </w:r>
      <w:r w:rsidR="005252AD" w:rsidRPr="00C31D7B">
        <w:rPr>
          <w:lang w:val="en-GB"/>
        </w:rPr>
        <w:t xml:space="preserve"> </w:t>
      </w:r>
      <w:r w:rsidR="00B01FD7" w:rsidRPr="00C31D7B">
        <w:rPr>
          <w:lang w:val="en-GB"/>
        </w:rPr>
        <w:t xml:space="preserve">learning </w:t>
      </w:r>
      <w:r w:rsidR="00B55AC2" w:rsidRPr="00C31D7B">
        <w:rPr>
          <w:lang w:val="en-GB"/>
        </w:rPr>
        <w:t xml:space="preserve">that has taken place </w:t>
      </w:r>
      <w:r w:rsidR="002A27F7" w:rsidRPr="00C31D7B">
        <w:rPr>
          <w:lang w:val="en-GB"/>
        </w:rPr>
        <w:t xml:space="preserve">or talents </w:t>
      </w:r>
      <w:r w:rsidR="00B01FD7" w:rsidRPr="00C31D7B">
        <w:rPr>
          <w:lang w:val="en-GB"/>
        </w:rPr>
        <w:t xml:space="preserve">that </w:t>
      </w:r>
      <w:r w:rsidR="002A27F7" w:rsidRPr="00C31D7B">
        <w:rPr>
          <w:lang w:val="en-GB"/>
        </w:rPr>
        <w:t>have developed</w:t>
      </w:r>
      <w:r w:rsidR="00B01FD7" w:rsidRPr="00C31D7B">
        <w:rPr>
          <w:lang w:val="en-GB"/>
        </w:rPr>
        <w:t xml:space="preserve"> as a result of participation in the educational programme. </w:t>
      </w:r>
      <w:r w:rsidR="005648D2" w:rsidRPr="00C31D7B">
        <w:rPr>
          <w:lang w:val="en-GB" w:eastAsia="en-GB"/>
        </w:rPr>
        <w:t>According to</w:t>
      </w:r>
      <w:r w:rsidR="00876FA4" w:rsidRPr="00C31D7B">
        <w:rPr>
          <w:lang w:val="en-GB" w:eastAsia="en-GB"/>
        </w:rPr>
        <w:t xml:space="preserve"> </w:t>
      </w:r>
      <w:r w:rsidR="00F54B7C" w:rsidRPr="00C31D7B">
        <w:rPr>
          <w:lang w:val="en-GB" w:eastAsia="en-GB"/>
        </w:rPr>
        <w:t>this model</w:t>
      </w:r>
      <w:r w:rsidR="00876FA4" w:rsidRPr="00C31D7B">
        <w:rPr>
          <w:lang w:val="en-GB" w:eastAsia="en-GB"/>
        </w:rPr>
        <w:t>,</w:t>
      </w:r>
      <w:r w:rsidR="005648D2" w:rsidRPr="00C31D7B">
        <w:rPr>
          <w:lang w:val="en-GB" w:eastAsia="en-GB"/>
        </w:rPr>
        <w:t xml:space="preserve"> </w:t>
      </w:r>
      <w:r w:rsidR="00876FA4" w:rsidRPr="00C31D7B">
        <w:rPr>
          <w:lang w:val="en-GB" w:eastAsia="en-GB"/>
        </w:rPr>
        <w:t xml:space="preserve">student </w:t>
      </w:r>
      <w:r w:rsidR="00D24E5F" w:rsidRPr="00C31D7B">
        <w:rPr>
          <w:lang w:val="en-GB" w:eastAsia="en-GB"/>
        </w:rPr>
        <w:t>outputs</w:t>
      </w:r>
      <w:r w:rsidR="005648D2" w:rsidRPr="00C31D7B">
        <w:rPr>
          <w:lang w:val="en-GB" w:eastAsia="en-GB"/>
        </w:rPr>
        <w:t xml:space="preserve"> </w:t>
      </w:r>
      <w:r w:rsidR="00876FA4" w:rsidRPr="00C31D7B">
        <w:rPr>
          <w:lang w:val="en-GB" w:eastAsia="en-GB"/>
        </w:rPr>
        <w:t>(</w:t>
      </w:r>
      <w:r w:rsidR="009F0A83" w:rsidRPr="00C31D7B">
        <w:rPr>
          <w:lang w:val="en-GB"/>
        </w:rPr>
        <w:t>exam scores or course performance</w:t>
      </w:r>
      <w:r w:rsidR="00876FA4" w:rsidRPr="00C31D7B">
        <w:rPr>
          <w:lang w:val="en-GB"/>
        </w:rPr>
        <w:t>)</w:t>
      </w:r>
      <w:r w:rsidR="009F0A83" w:rsidRPr="00C31D7B">
        <w:rPr>
          <w:lang w:val="en-GB"/>
        </w:rPr>
        <w:t xml:space="preserve"> </w:t>
      </w:r>
      <w:r w:rsidR="005648D2" w:rsidRPr="00C31D7B">
        <w:rPr>
          <w:lang w:val="en-GB"/>
        </w:rPr>
        <w:t xml:space="preserve">are functions of </w:t>
      </w:r>
      <w:r w:rsidR="004E1AA5" w:rsidRPr="00C31D7B">
        <w:rPr>
          <w:lang w:val="en-GB"/>
        </w:rPr>
        <w:t>two major</w:t>
      </w:r>
      <w:r w:rsidR="00876FA4" w:rsidRPr="00C31D7B">
        <w:rPr>
          <w:lang w:val="en-GB"/>
        </w:rPr>
        <w:t xml:space="preserve"> groups of</w:t>
      </w:r>
      <w:r w:rsidR="004E1AA5" w:rsidRPr="00C31D7B">
        <w:rPr>
          <w:lang w:val="en-GB"/>
        </w:rPr>
        <w:t xml:space="preserve"> factors</w:t>
      </w:r>
      <w:r w:rsidR="00EC3C5F" w:rsidRPr="00C31D7B">
        <w:rPr>
          <w:lang w:val="en-GB"/>
        </w:rPr>
        <w:t xml:space="preserve">, </w:t>
      </w:r>
      <w:r w:rsidR="00876FA4" w:rsidRPr="00C31D7B">
        <w:rPr>
          <w:lang w:val="en-GB"/>
        </w:rPr>
        <w:t>namely</w:t>
      </w:r>
      <w:r w:rsidR="005648D2" w:rsidRPr="00C31D7B">
        <w:rPr>
          <w:lang w:val="en-GB"/>
        </w:rPr>
        <w:t xml:space="preserve"> inputs</w:t>
      </w:r>
      <w:r w:rsidR="00804C40" w:rsidRPr="00C31D7B">
        <w:rPr>
          <w:lang w:val="en-GB"/>
        </w:rPr>
        <w:t xml:space="preserve"> </w:t>
      </w:r>
      <w:r w:rsidR="00876FA4" w:rsidRPr="00C31D7B">
        <w:rPr>
          <w:lang w:val="en-GB"/>
        </w:rPr>
        <w:t xml:space="preserve">(such as </w:t>
      </w:r>
      <w:r w:rsidR="00E94E9E" w:rsidRPr="00C31D7B">
        <w:rPr>
          <w:lang w:val="en-GB"/>
        </w:rPr>
        <w:t xml:space="preserve">student ability, </w:t>
      </w:r>
      <w:r w:rsidR="00804C40" w:rsidRPr="00C31D7B">
        <w:rPr>
          <w:lang w:val="en-GB"/>
        </w:rPr>
        <w:t>gender</w:t>
      </w:r>
      <w:r w:rsidR="00E94E9E" w:rsidRPr="00C31D7B">
        <w:rPr>
          <w:lang w:val="en-GB"/>
        </w:rPr>
        <w:t>,</w:t>
      </w:r>
      <w:r w:rsidR="00804C40" w:rsidRPr="00C31D7B">
        <w:rPr>
          <w:lang w:val="en-GB"/>
        </w:rPr>
        <w:t xml:space="preserve"> and age</w:t>
      </w:r>
      <w:r w:rsidR="00876FA4" w:rsidRPr="00C31D7B">
        <w:rPr>
          <w:lang w:val="en-GB"/>
        </w:rPr>
        <w:t>)</w:t>
      </w:r>
      <w:r w:rsidR="00804C40" w:rsidRPr="00C31D7B">
        <w:rPr>
          <w:lang w:val="en-GB"/>
        </w:rPr>
        <w:t xml:space="preserve">, and the environment, </w:t>
      </w:r>
      <w:r w:rsidR="00876FA4" w:rsidRPr="00C31D7B">
        <w:rPr>
          <w:lang w:val="en-GB"/>
        </w:rPr>
        <w:t>(for example</w:t>
      </w:r>
      <w:r w:rsidR="00804C40" w:rsidRPr="00C31D7B">
        <w:rPr>
          <w:lang w:val="en-GB"/>
        </w:rPr>
        <w:t xml:space="preserve"> </w:t>
      </w:r>
      <w:r w:rsidR="00E94E9E" w:rsidRPr="00C31D7B">
        <w:rPr>
          <w:lang w:val="en-GB"/>
        </w:rPr>
        <w:t>course design</w:t>
      </w:r>
      <w:r w:rsidR="00804C40" w:rsidRPr="00C31D7B">
        <w:rPr>
          <w:lang w:val="en-GB"/>
        </w:rPr>
        <w:t xml:space="preserve"> and teaching style</w:t>
      </w:r>
      <w:r w:rsidR="00876FA4" w:rsidRPr="00C31D7B">
        <w:rPr>
          <w:lang w:val="en-GB"/>
        </w:rPr>
        <w:t>)</w:t>
      </w:r>
      <w:r w:rsidR="00804C40" w:rsidRPr="00C31D7B">
        <w:rPr>
          <w:lang w:val="en-GB"/>
        </w:rPr>
        <w:t>.</w:t>
      </w:r>
      <w:r w:rsidR="00607DF1" w:rsidRPr="00C31D7B">
        <w:rPr>
          <w:lang w:val="en-GB"/>
        </w:rPr>
        <w:t xml:space="preserve"> Inputs "refer to those personal qualities the student brings initially to the education program (including the student's initial level of developed talent at the time of entry)" (Astin, 1993, p. 18). </w:t>
      </w:r>
      <w:r w:rsidR="00AE2040" w:rsidRPr="00C31D7B">
        <w:rPr>
          <w:lang w:val="en-GB"/>
        </w:rPr>
        <w:t>In empirical work, inputs</w:t>
      </w:r>
      <w:r w:rsidR="00607DF1" w:rsidRPr="00C31D7B">
        <w:rPr>
          <w:lang w:val="en-GB"/>
        </w:rPr>
        <w:t xml:space="preserve"> can include gender, age, ethnic background, ability, and socioeconomic level.</w:t>
      </w:r>
      <w:r w:rsidR="00804C40" w:rsidRPr="00C31D7B">
        <w:rPr>
          <w:lang w:val="en-GB"/>
        </w:rPr>
        <w:t xml:space="preserve"> </w:t>
      </w:r>
      <w:r w:rsidR="00AE2040" w:rsidRPr="00C31D7B">
        <w:rPr>
          <w:lang w:val="en-GB"/>
        </w:rPr>
        <w:t xml:space="preserve">Environment "refers to the student's actual experiences during the educational program" (Astin, 1993, p. 18). The environment includes everything that might impact the student during the programme, including </w:t>
      </w:r>
      <w:r w:rsidR="00AE2040" w:rsidRPr="00C31D7B">
        <w:rPr>
          <w:lang w:val="en-GB"/>
        </w:rPr>
        <w:lastRenderedPageBreak/>
        <w:t xml:space="preserve">the programme itself, personnel, curricula, instructor, facilities, institutional climate, courses, teaching style </w:t>
      </w:r>
      <w:r w:rsidR="001F6E4C" w:rsidRPr="00C31D7B">
        <w:rPr>
          <w:lang w:val="en-GB"/>
        </w:rPr>
        <w:t>and organis</w:t>
      </w:r>
      <w:r w:rsidR="00AE2040" w:rsidRPr="00C31D7B">
        <w:rPr>
          <w:lang w:val="en-GB"/>
        </w:rPr>
        <w:t xml:space="preserve">ational affiliation (Astin, 1993). </w:t>
      </w:r>
      <w:r w:rsidR="007E54A8" w:rsidRPr="00C31D7B">
        <w:rPr>
          <w:lang w:val="en-GB"/>
        </w:rPr>
        <w:t xml:space="preserve">Figure 1 </w:t>
      </w:r>
      <w:r w:rsidR="00AE2040" w:rsidRPr="00C31D7B">
        <w:rPr>
          <w:lang w:val="en-GB"/>
        </w:rPr>
        <w:t>illustrates</w:t>
      </w:r>
      <w:r w:rsidR="007E54A8" w:rsidRPr="00C31D7B">
        <w:rPr>
          <w:lang w:val="en-GB"/>
        </w:rPr>
        <w:t xml:space="preserve"> Astin’s I-E-O framework.</w:t>
      </w:r>
      <w:r w:rsidR="00804C40" w:rsidRPr="00C31D7B">
        <w:rPr>
          <w:lang w:val="en-GB"/>
        </w:rPr>
        <w:t xml:space="preserve"> </w:t>
      </w:r>
      <w:r w:rsidR="00537AC9" w:rsidRPr="00C31D7B">
        <w:rPr>
          <w:lang w:val="en-GB"/>
        </w:rPr>
        <w:t xml:space="preserve"> </w:t>
      </w:r>
    </w:p>
    <w:p w:rsidR="008C1798" w:rsidRPr="00C31D7B" w:rsidRDefault="008C1798" w:rsidP="008C1798">
      <w:pPr>
        <w:jc w:val="center"/>
        <w:rPr>
          <w:lang w:val="en-GB"/>
        </w:rPr>
      </w:pPr>
      <w:r w:rsidRPr="00C31D7B">
        <w:rPr>
          <w:lang w:val="en-GB"/>
        </w:rPr>
        <w:t>-------------</w:t>
      </w:r>
    </w:p>
    <w:p w:rsidR="008C1798" w:rsidRPr="00C31D7B" w:rsidRDefault="008C1798" w:rsidP="008C1798">
      <w:pPr>
        <w:jc w:val="center"/>
        <w:rPr>
          <w:lang w:val="en-GB"/>
        </w:rPr>
      </w:pPr>
      <w:r w:rsidRPr="00C31D7B">
        <w:rPr>
          <w:lang w:val="en-GB"/>
        </w:rPr>
        <w:t>Figure 1</w:t>
      </w:r>
      <w:r w:rsidR="007E54A8" w:rsidRPr="00C31D7B">
        <w:rPr>
          <w:lang w:val="en-GB"/>
        </w:rPr>
        <w:t xml:space="preserve"> </w:t>
      </w:r>
      <w:r w:rsidRPr="00C31D7B">
        <w:rPr>
          <w:lang w:val="en-GB"/>
        </w:rPr>
        <w:t>about here</w:t>
      </w:r>
    </w:p>
    <w:p w:rsidR="008C1798" w:rsidRPr="00C31D7B" w:rsidRDefault="008C1798" w:rsidP="008C1798">
      <w:pPr>
        <w:jc w:val="center"/>
        <w:rPr>
          <w:lang w:val="en-GB"/>
        </w:rPr>
      </w:pPr>
      <w:r w:rsidRPr="00C31D7B">
        <w:rPr>
          <w:lang w:val="en-GB"/>
        </w:rPr>
        <w:t>-------------</w:t>
      </w:r>
    </w:p>
    <w:p w:rsidR="00B131D1" w:rsidRPr="00C31D7B" w:rsidRDefault="00B131D1" w:rsidP="00586F90">
      <w:pPr>
        <w:autoSpaceDE w:val="0"/>
        <w:autoSpaceDN w:val="0"/>
        <w:adjustRightInd w:val="0"/>
        <w:ind w:firstLine="720"/>
        <w:jc w:val="both"/>
        <w:rPr>
          <w:lang w:val="en-GB"/>
        </w:rPr>
      </w:pPr>
    </w:p>
    <w:p w:rsidR="00382080" w:rsidRPr="00C31D7B" w:rsidRDefault="00EE4D34" w:rsidP="00CE7F41">
      <w:pPr>
        <w:autoSpaceDE w:val="0"/>
        <w:autoSpaceDN w:val="0"/>
        <w:adjustRightInd w:val="0"/>
        <w:ind w:firstLine="720"/>
        <w:jc w:val="both"/>
        <w:rPr>
          <w:lang w:val="en-GB"/>
        </w:rPr>
      </w:pPr>
      <w:r w:rsidRPr="00C31D7B">
        <w:rPr>
          <w:lang w:val="en-GB"/>
        </w:rPr>
        <w:t xml:space="preserve">For the purposes of this </w:t>
      </w:r>
      <w:r w:rsidR="00A17F9F" w:rsidRPr="00C31D7B">
        <w:rPr>
          <w:lang w:val="en-GB"/>
        </w:rPr>
        <w:t>paper we gathered data on</w:t>
      </w:r>
      <w:r w:rsidRPr="00C31D7B">
        <w:rPr>
          <w:lang w:val="en-GB"/>
        </w:rPr>
        <w:t xml:space="preserve"> </w:t>
      </w:r>
      <w:r w:rsidR="006014E8" w:rsidRPr="00C31D7B">
        <w:rPr>
          <w:lang w:val="en-GB"/>
        </w:rPr>
        <w:t>three</w:t>
      </w:r>
      <w:r w:rsidR="00F34055" w:rsidRPr="00C31D7B">
        <w:rPr>
          <w:lang w:val="en-GB"/>
        </w:rPr>
        <w:t xml:space="preserve"> input factors</w:t>
      </w:r>
      <w:r w:rsidR="00A17F9F" w:rsidRPr="00C31D7B">
        <w:rPr>
          <w:lang w:val="en-GB"/>
        </w:rPr>
        <w:t xml:space="preserve"> that could accurately and readily be measured</w:t>
      </w:r>
      <w:r w:rsidRPr="00C31D7B">
        <w:rPr>
          <w:lang w:val="en-GB"/>
        </w:rPr>
        <w:t>: ability at entry</w:t>
      </w:r>
      <w:r w:rsidR="006014E8" w:rsidRPr="00C31D7B">
        <w:rPr>
          <w:lang w:val="en-GB"/>
        </w:rPr>
        <w:t>, age at entry</w:t>
      </w:r>
      <w:r w:rsidR="00D07C55" w:rsidRPr="00C31D7B">
        <w:rPr>
          <w:lang w:val="en-GB"/>
        </w:rPr>
        <w:t>,</w:t>
      </w:r>
      <w:r w:rsidRPr="00C31D7B">
        <w:rPr>
          <w:lang w:val="en-GB"/>
        </w:rPr>
        <w:t xml:space="preserve"> and gender.</w:t>
      </w:r>
      <w:r w:rsidR="00C13A34" w:rsidRPr="00C31D7B">
        <w:rPr>
          <w:i/>
          <w:lang w:val="en-GB"/>
        </w:rPr>
        <w:t xml:space="preserve"> </w:t>
      </w:r>
      <w:r w:rsidR="007B4C66" w:rsidRPr="00C31D7B">
        <w:rPr>
          <w:lang w:val="en-GB"/>
        </w:rPr>
        <w:t xml:space="preserve"> </w:t>
      </w:r>
      <w:r w:rsidR="00875B9A" w:rsidRPr="00C31D7B">
        <w:rPr>
          <w:lang w:val="en-GB"/>
        </w:rPr>
        <w:t>S</w:t>
      </w:r>
      <w:r w:rsidR="00631F55" w:rsidRPr="00C31D7B">
        <w:rPr>
          <w:lang w:val="en-GB"/>
        </w:rPr>
        <w:t>everal l</w:t>
      </w:r>
      <w:r w:rsidR="00DC7374" w:rsidRPr="00C31D7B">
        <w:rPr>
          <w:lang w:val="en-GB"/>
        </w:rPr>
        <w:t>arge</w:t>
      </w:r>
      <w:r w:rsidR="00CE7F41" w:rsidRPr="00C31D7B">
        <w:rPr>
          <w:lang w:val="en-GB"/>
        </w:rPr>
        <w:t xml:space="preserve"> studies </w:t>
      </w:r>
      <w:r w:rsidR="00631F55" w:rsidRPr="00C31D7B">
        <w:rPr>
          <w:lang w:val="en-GB"/>
        </w:rPr>
        <w:t xml:space="preserve">(discussed in detail below) </w:t>
      </w:r>
      <w:r w:rsidR="00CE7F41" w:rsidRPr="00C31D7B">
        <w:rPr>
          <w:lang w:val="en-GB"/>
        </w:rPr>
        <w:t xml:space="preserve">have shown that these </w:t>
      </w:r>
      <w:r w:rsidR="00DC7374" w:rsidRPr="00C31D7B">
        <w:rPr>
          <w:lang w:val="en-GB"/>
        </w:rPr>
        <w:t xml:space="preserve">three </w:t>
      </w:r>
      <w:r w:rsidR="00CE7F41" w:rsidRPr="00C31D7B">
        <w:rPr>
          <w:lang w:val="en-GB"/>
        </w:rPr>
        <w:t xml:space="preserve">factors </w:t>
      </w:r>
      <w:r w:rsidR="00631F55" w:rsidRPr="00C31D7B">
        <w:rPr>
          <w:lang w:val="en-GB"/>
        </w:rPr>
        <w:t xml:space="preserve">directly </w:t>
      </w:r>
      <w:r w:rsidR="00BA0850" w:rsidRPr="00C31D7B">
        <w:rPr>
          <w:lang w:val="en-GB"/>
        </w:rPr>
        <w:t>impact</w:t>
      </w:r>
      <w:r w:rsidR="00CE7F41" w:rsidRPr="00C31D7B">
        <w:rPr>
          <w:lang w:val="en-GB"/>
        </w:rPr>
        <w:t xml:space="preserve"> student performance (Fielding </w:t>
      </w:r>
      <w:r w:rsidR="00CE7F41" w:rsidRPr="00C31D7B">
        <w:rPr>
          <w:i/>
          <w:lang w:val="en-GB"/>
        </w:rPr>
        <w:t>et al.,</w:t>
      </w:r>
      <w:r w:rsidR="00CE7F41" w:rsidRPr="00C31D7B">
        <w:rPr>
          <w:lang w:val="en-GB"/>
        </w:rPr>
        <w:t xml:space="preserve"> 2008; Woodfield </w:t>
      </w:r>
      <w:r w:rsidR="00CE7F41" w:rsidRPr="00C31D7B">
        <w:rPr>
          <w:i/>
          <w:lang w:val="en-GB"/>
        </w:rPr>
        <w:t>et al.,</w:t>
      </w:r>
      <w:r w:rsidR="00CE7F41" w:rsidRPr="00C31D7B">
        <w:rPr>
          <w:lang w:val="en-GB"/>
        </w:rPr>
        <w:t xml:space="preserve"> 2006).</w:t>
      </w:r>
      <w:r w:rsidR="000959AD" w:rsidRPr="00C31D7B">
        <w:rPr>
          <w:lang w:val="en-GB"/>
        </w:rPr>
        <w:t xml:space="preserve"> A</w:t>
      </w:r>
      <w:r w:rsidR="00875B9A" w:rsidRPr="00C31D7B">
        <w:rPr>
          <w:lang w:val="en-GB"/>
        </w:rPr>
        <w:t xml:space="preserve">rchival data related to these three factors is captured and stored on the university’s database when students apply to the university. </w:t>
      </w:r>
      <w:r w:rsidR="00237C59" w:rsidRPr="00C31D7B">
        <w:rPr>
          <w:lang w:val="en-GB"/>
        </w:rPr>
        <w:t xml:space="preserve">Other input factors were not included in our research design as the information is not </w:t>
      </w:r>
      <w:r w:rsidR="000959AD" w:rsidRPr="00C31D7B">
        <w:rPr>
          <w:lang w:val="en-GB"/>
        </w:rPr>
        <w:t>stored</w:t>
      </w:r>
      <w:r w:rsidR="00237C59" w:rsidRPr="00C31D7B">
        <w:rPr>
          <w:lang w:val="en-GB"/>
        </w:rPr>
        <w:t xml:space="preserve"> </w:t>
      </w:r>
      <w:r w:rsidR="00F81793" w:rsidRPr="00C31D7B">
        <w:rPr>
          <w:lang w:val="en-GB"/>
        </w:rPr>
        <w:t>with</w:t>
      </w:r>
      <w:r w:rsidR="00237C59" w:rsidRPr="00C31D7B">
        <w:rPr>
          <w:lang w:val="en-GB"/>
        </w:rPr>
        <w:t xml:space="preserve">in </w:t>
      </w:r>
      <w:r w:rsidR="00F81793" w:rsidRPr="00C31D7B">
        <w:rPr>
          <w:lang w:val="en-GB"/>
        </w:rPr>
        <w:t xml:space="preserve">our </w:t>
      </w:r>
      <w:r w:rsidR="00237C59" w:rsidRPr="00C31D7B">
        <w:rPr>
          <w:lang w:val="en-GB"/>
        </w:rPr>
        <w:t>archive.</w:t>
      </w:r>
      <w:r w:rsidR="00FC51B5" w:rsidRPr="00C31D7B">
        <w:rPr>
          <w:lang w:val="en-GB"/>
        </w:rPr>
        <w:t xml:space="preserve"> </w:t>
      </w:r>
      <w:r w:rsidR="000959AD" w:rsidRPr="00C31D7B">
        <w:rPr>
          <w:lang w:val="en-GB"/>
        </w:rPr>
        <w:t>Alternative research methods such as survey method may capture additional information but this information may not be necessarily be reliable as student knowledge of the</w:t>
      </w:r>
      <w:r w:rsidR="00D9115D" w:rsidRPr="00C31D7B">
        <w:rPr>
          <w:lang w:val="en-GB"/>
        </w:rPr>
        <w:t>se</w:t>
      </w:r>
      <w:r w:rsidR="000959AD" w:rsidRPr="00C31D7B">
        <w:rPr>
          <w:lang w:val="en-GB"/>
        </w:rPr>
        <w:t xml:space="preserve"> other factors, </w:t>
      </w:r>
      <w:r w:rsidR="00E43589" w:rsidRPr="00C31D7B">
        <w:rPr>
          <w:lang w:val="en-GB"/>
        </w:rPr>
        <w:t>e.g.</w:t>
      </w:r>
      <w:r w:rsidR="000959AD" w:rsidRPr="00C31D7B">
        <w:rPr>
          <w:lang w:val="en-GB"/>
        </w:rPr>
        <w:t xml:space="preserve"> family income, may not be accurate. </w:t>
      </w:r>
      <w:r w:rsidRPr="00C31D7B">
        <w:rPr>
          <w:lang w:val="en-GB"/>
        </w:rPr>
        <w:t>Ability at entry refers to a student’s general academic ability at the point of university entry. Academic ability at entry</w:t>
      </w:r>
      <w:r w:rsidR="001F6E4C" w:rsidRPr="00C31D7B">
        <w:rPr>
          <w:lang w:val="en-GB"/>
        </w:rPr>
        <w:t xml:space="preserve"> is often captured by standardis</w:t>
      </w:r>
      <w:r w:rsidRPr="00C31D7B">
        <w:rPr>
          <w:lang w:val="en-GB"/>
        </w:rPr>
        <w:t>ed tests, such as</w:t>
      </w:r>
      <w:r w:rsidR="00694638" w:rsidRPr="00C31D7B">
        <w:rPr>
          <w:lang w:val="en-GB"/>
        </w:rPr>
        <w:t xml:space="preserve"> high school grades</w:t>
      </w:r>
      <w:r w:rsidRPr="00C31D7B">
        <w:rPr>
          <w:lang w:val="en-GB"/>
        </w:rPr>
        <w:t xml:space="preserve"> </w:t>
      </w:r>
      <w:r w:rsidR="00694638" w:rsidRPr="00C31D7B">
        <w:rPr>
          <w:lang w:val="en-GB"/>
        </w:rPr>
        <w:t>(</w:t>
      </w:r>
      <w:r w:rsidRPr="00C31D7B">
        <w:rPr>
          <w:lang w:val="en-GB"/>
        </w:rPr>
        <w:t>‘A’ level scores</w:t>
      </w:r>
      <w:r w:rsidR="00694638" w:rsidRPr="00C31D7B">
        <w:rPr>
          <w:lang w:val="en-GB"/>
        </w:rPr>
        <w:t xml:space="preserve"> in the UK context)</w:t>
      </w:r>
      <w:r w:rsidRPr="00C31D7B">
        <w:rPr>
          <w:lang w:val="en-GB"/>
        </w:rPr>
        <w:t xml:space="preserve"> and/or</w:t>
      </w:r>
      <w:r w:rsidR="00694638" w:rsidRPr="00C31D7B">
        <w:rPr>
          <w:lang w:val="en-GB"/>
        </w:rPr>
        <w:t xml:space="preserve"> university entry scoring</w:t>
      </w:r>
      <w:r w:rsidRPr="00C31D7B">
        <w:rPr>
          <w:lang w:val="en-GB"/>
        </w:rPr>
        <w:t xml:space="preserve"> </w:t>
      </w:r>
      <w:r w:rsidR="00694638" w:rsidRPr="00C31D7B">
        <w:rPr>
          <w:lang w:val="en-GB"/>
        </w:rPr>
        <w:t>(</w:t>
      </w:r>
      <w:r w:rsidRPr="00C31D7B">
        <w:rPr>
          <w:lang w:val="en-GB"/>
        </w:rPr>
        <w:t>Universities and Colleges Admissions Service</w:t>
      </w:r>
      <w:r w:rsidR="00694638" w:rsidRPr="00C31D7B">
        <w:rPr>
          <w:lang w:val="en-GB"/>
        </w:rPr>
        <w:t>, or UCAS,</w:t>
      </w:r>
      <w:r w:rsidRPr="00C31D7B">
        <w:rPr>
          <w:lang w:val="en-GB"/>
        </w:rPr>
        <w:t xml:space="preserve"> scores</w:t>
      </w:r>
      <w:r w:rsidR="00694638" w:rsidRPr="00C31D7B">
        <w:rPr>
          <w:lang w:val="en-GB"/>
        </w:rPr>
        <w:t>, in the UK context)</w:t>
      </w:r>
      <w:r w:rsidRPr="00C31D7B">
        <w:rPr>
          <w:lang w:val="en-GB"/>
        </w:rPr>
        <w:t xml:space="preserve">. There is a substantial and long standing body of work that has debated the influence of academic (cognitive) ability on student performance (Seth &amp; Pratap, 1971; Heim </w:t>
      </w:r>
      <w:r w:rsidRPr="00C31D7B">
        <w:rPr>
          <w:i/>
          <w:iCs/>
          <w:lang w:val="en-GB"/>
        </w:rPr>
        <w:t>et al.</w:t>
      </w:r>
      <w:r w:rsidRPr="00C31D7B">
        <w:rPr>
          <w:lang w:val="en-GB"/>
        </w:rPr>
        <w:t xml:space="preserve">, 1983; Rudd, 1984; Brody, 2000; Mellanby </w:t>
      </w:r>
      <w:r w:rsidRPr="00C31D7B">
        <w:rPr>
          <w:i/>
          <w:iCs/>
          <w:lang w:val="en-GB"/>
        </w:rPr>
        <w:t xml:space="preserve">et al., </w:t>
      </w:r>
      <w:r w:rsidRPr="00C31D7B">
        <w:rPr>
          <w:lang w:val="en-GB"/>
        </w:rPr>
        <w:t xml:space="preserve">2000; Woodfield </w:t>
      </w:r>
      <w:r w:rsidRPr="00C31D7B">
        <w:rPr>
          <w:i/>
          <w:lang w:val="en-GB"/>
        </w:rPr>
        <w:t>et al.,</w:t>
      </w:r>
      <w:r w:rsidRPr="00C31D7B">
        <w:rPr>
          <w:lang w:val="en-GB"/>
        </w:rPr>
        <w:t xml:space="preserve"> 2006).  In one of the larger studies of its kind Woodfield et al. (2006) surveyed 650 undergraduates at the point of </w:t>
      </w:r>
      <w:r w:rsidRPr="00C31D7B">
        <w:rPr>
          <w:lang w:val="en-GB"/>
        </w:rPr>
        <w:lastRenderedPageBreak/>
        <w:t>induction at the University of Sussex and tracked them all the way until the end of their degree. They fail to find a positive association between cognitive ability, as measured by the AH5 group test of</w:t>
      </w:r>
      <w:r w:rsidR="00694638" w:rsidRPr="00C31D7B">
        <w:rPr>
          <w:lang w:val="en-GB"/>
        </w:rPr>
        <w:t xml:space="preserve"> high intelligence (Heim, 1968)</w:t>
      </w:r>
      <w:r w:rsidRPr="00C31D7B">
        <w:rPr>
          <w:lang w:val="en-GB"/>
        </w:rPr>
        <w:t xml:space="preserve"> and academic performance. The AH5 comprises two subscales measuring verbal/numerical intelligence and diagrammatic/spatial intelligence, and has been specifically designed to differentiate between ‘high intelligence’ participants</w:t>
      </w:r>
      <w:r w:rsidR="00163530" w:rsidRPr="00C31D7B">
        <w:rPr>
          <w:lang w:val="en-GB"/>
        </w:rPr>
        <w:t>,</w:t>
      </w:r>
      <w:r w:rsidRPr="00C31D7B">
        <w:rPr>
          <w:lang w:val="en-GB"/>
        </w:rPr>
        <w:t xml:space="preserve"> such as university entrants. </w:t>
      </w:r>
      <w:r w:rsidRPr="00C31D7B">
        <w:rPr>
          <w:lang w:val="en-GB" w:eastAsia="en-GB"/>
        </w:rPr>
        <w:t xml:space="preserve">Moreover, they find that the effects of attendance on academic performance are independent of dimensions such as openness, sometimes taken as a proxy for intelligence because of its association with educational achievement and measured intelligence results (Costa &amp; McCrae, 1989; Zeidner &amp; Matthews, 2000). </w:t>
      </w:r>
      <w:r w:rsidRPr="00C31D7B">
        <w:rPr>
          <w:lang w:val="en-GB"/>
        </w:rPr>
        <w:t xml:space="preserve">However, they </w:t>
      </w:r>
      <w:r w:rsidR="00694638" w:rsidRPr="00C31D7B">
        <w:rPr>
          <w:lang w:val="en-GB"/>
        </w:rPr>
        <w:t xml:space="preserve">do </w:t>
      </w:r>
      <w:r w:rsidRPr="00C31D7B">
        <w:rPr>
          <w:lang w:val="en-GB"/>
        </w:rPr>
        <w:t xml:space="preserve">find a significant relationship between ‘A’ level scores (ability at entry) and degree outcome for female students. </w:t>
      </w:r>
      <w:r w:rsidRPr="00C31D7B">
        <w:rPr>
          <w:lang w:val="en-GB" w:eastAsia="en-GB"/>
        </w:rPr>
        <w:t>Controlling for academic ability at entry may therefore be useful in studies of attendance and student achievement.</w:t>
      </w:r>
    </w:p>
    <w:p w:rsidR="00EE4D34" w:rsidRPr="00C31D7B" w:rsidRDefault="00AE2040" w:rsidP="006751DE">
      <w:pPr>
        <w:spacing w:after="120"/>
        <w:ind w:firstLine="720"/>
        <w:jc w:val="both"/>
        <w:rPr>
          <w:lang w:val="en-GB"/>
        </w:rPr>
      </w:pPr>
      <w:r w:rsidRPr="00C31D7B">
        <w:rPr>
          <w:lang w:val="en-GB"/>
        </w:rPr>
        <w:t>Age and g</w:t>
      </w:r>
      <w:r w:rsidR="00EE4D34" w:rsidRPr="00C31D7B">
        <w:rPr>
          <w:lang w:val="en-GB"/>
        </w:rPr>
        <w:t xml:space="preserve">ender </w:t>
      </w:r>
      <w:r w:rsidRPr="00C31D7B">
        <w:rPr>
          <w:lang w:val="en-GB"/>
        </w:rPr>
        <w:t xml:space="preserve">are </w:t>
      </w:r>
      <w:r w:rsidR="004A5F04" w:rsidRPr="00C31D7B">
        <w:rPr>
          <w:lang w:val="en-GB"/>
        </w:rPr>
        <w:t xml:space="preserve">other </w:t>
      </w:r>
      <w:r w:rsidR="00AC065C" w:rsidRPr="00C31D7B">
        <w:rPr>
          <w:lang w:val="en-GB"/>
        </w:rPr>
        <w:t xml:space="preserve">relevant </w:t>
      </w:r>
      <w:r w:rsidRPr="00C31D7B">
        <w:rPr>
          <w:lang w:val="en-GB"/>
        </w:rPr>
        <w:t>demographic input variables</w:t>
      </w:r>
      <w:r w:rsidR="00EE4D34" w:rsidRPr="00C31D7B">
        <w:rPr>
          <w:lang w:val="en-GB"/>
        </w:rPr>
        <w:t>. In what is probably the largest such study, Fielding et al. (2008), commissioned by the Higher Education Academy of the United Kingdom (HEA), and using data from the Higher Education Statistics Agency (HESA) and the National Student Survey (NSS), investigate differences in degree attainment between males and females, as well as different ethnic groups.</w:t>
      </w:r>
      <w:r w:rsidR="00E3685B" w:rsidRPr="00C31D7B">
        <w:rPr>
          <w:lang w:val="en-GB"/>
        </w:rPr>
        <w:t xml:space="preserve"> Their study does not measure attendance.</w:t>
      </w:r>
      <w:r w:rsidR="00EE4D34" w:rsidRPr="00C31D7B">
        <w:rPr>
          <w:lang w:val="en-GB"/>
        </w:rPr>
        <w:t xml:space="preserve"> Their initial analysis finds that females generally perform better than males in higher education, echoing results found in a number of other studies (Woodfield, Jessop, and McMillan, 2006). Females are also reported to have an advantage over males in getting “first class” </w:t>
      </w:r>
      <w:r w:rsidR="002B0B75" w:rsidRPr="00C31D7B">
        <w:rPr>
          <w:lang w:val="en-GB"/>
        </w:rPr>
        <w:t xml:space="preserve">(summa cum laude) </w:t>
      </w:r>
      <w:r w:rsidR="00EE4D34" w:rsidRPr="00C31D7B">
        <w:rPr>
          <w:lang w:val="en-GB"/>
        </w:rPr>
        <w:t xml:space="preserve">degree classifications. However, they do mention that there is evidence that gender differentials in higher education attainment vary significantly according to subject area. In some subjects there seems to be a female advantage, and in other subjects not so. They thus mention </w:t>
      </w:r>
      <w:r w:rsidR="00EE4D34" w:rsidRPr="00C31D7B">
        <w:rPr>
          <w:lang w:val="en-GB"/>
        </w:rPr>
        <w:lastRenderedPageBreak/>
        <w:t>that it is ‘unduly simplistic to take as a stylised fact the net female advantage overall’ (Fielding et al. (2008), pp. 67). Females seem to be more advantaged relative to males among the sciences, engineering and related subjects</w:t>
      </w:r>
      <w:r w:rsidR="00C13A34" w:rsidRPr="00C31D7B">
        <w:rPr>
          <w:lang w:val="en-GB"/>
        </w:rPr>
        <w:t>, and computer s</w:t>
      </w:r>
      <w:r w:rsidR="00EE4D34" w:rsidRPr="00C31D7B">
        <w:rPr>
          <w:lang w:val="en-GB"/>
        </w:rPr>
        <w:t xml:space="preserve">cience (the reference main effect), and less so or even reversed in subjects such as Social Studies, Law, Business Studies, Languages, Historical and Philosophical Studies, and Creative Arts and Design. </w:t>
      </w:r>
    </w:p>
    <w:p w:rsidR="00382080" w:rsidRPr="00C31D7B" w:rsidRDefault="00E3685B" w:rsidP="0077056F">
      <w:pPr>
        <w:spacing w:after="120"/>
        <w:ind w:firstLine="720"/>
        <w:jc w:val="both"/>
        <w:rPr>
          <w:lang w:val="en-GB"/>
        </w:rPr>
      </w:pPr>
      <w:r w:rsidRPr="00C31D7B">
        <w:rPr>
          <w:lang w:val="en-GB"/>
        </w:rPr>
        <w:t>In the context of attendance studies, e</w:t>
      </w:r>
      <w:r w:rsidR="00AE2040" w:rsidRPr="00C31D7B">
        <w:rPr>
          <w:lang w:val="en-GB"/>
        </w:rPr>
        <w:t>nvironmental variables include s</w:t>
      </w:r>
      <w:r w:rsidR="00EE4D34" w:rsidRPr="00C31D7B">
        <w:rPr>
          <w:lang w:val="en-GB"/>
        </w:rPr>
        <w:t>cheduling of classes</w:t>
      </w:r>
      <w:r w:rsidR="00AE2040" w:rsidRPr="00C31D7B">
        <w:rPr>
          <w:lang w:val="en-GB"/>
        </w:rPr>
        <w:t>, which</w:t>
      </w:r>
      <w:r w:rsidR="00EE4D34" w:rsidRPr="00C31D7B">
        <w:rPr>
          <w:lang w:val="en-GB"/>
        </w:rPr>
        <w:t xml:space="preserve"> refers to both the day and time of the learning episode</w:t>
      </w:r>
      <w:r w:rsidR="00AB23A6" w:rsidRPr="00C31D7B">
        <w:rPr>
          <w:lang w:val="en-GB"/>
        </w:rPr>
        <w:t xml:space="preserve"> and teaching quality</w:t>
      </w:r>
      <w:r w:rsidR="00EE4D34" w:rsidRPr="00C31D7B">
        <w:rPr>
          <w:lang w:val="en-GB"/>
        </w:rPr>
        <w:t xml:space="preserve">. </w:t>
      </w:r>
      <w:r w:rsidR="00AB23A6" w:rsidRPr="00C31D7B">
        <w:rPr>
          <w:lang w:val="en-GB"/>
        </w:rPr>
        <w:t xml:space="preserve">Archival data related to </w:t>
      </w:r>
      <w:r w:rsidR="0077056F" w:rsidRPr="00C31D7B">
        <w:rPr>
          <w:lang w:val="en-GB"/>
        </w:rPr>
        <w:t xml:space="preserve">these two </w:t>
      </w:r>
      <w:r w:rsidR="00AB23A6" w:rsidRPr="00C31D7B">
        <w:rPr>
          <w:lang w:val="en-GB"/>
        </w:rPr>
        <w:t>factor</w:t>
      </w:r>
      <w:r w:rsidR="0077056F" w:rsidRPr="00C31D7B">
        <w:rPr>
          <w:lang w:val="en-GB"/>
        </w:rPr>
        <w:t>s</w:t>
      </w:r>
      <w:r w:rsidR="00AB23A6" w:rsidRPr="00C31D7B">
        <w:rPr>
          <w:lang w:val="en-GB"/>
        </w:rPr>
        <w:t xml:space="preserve"> is captured and stored </w:t>
      </w:r>
      <w:r w:rsidR="00A05529" w:rsidRPr="00C31D7B">
        <w:rPr>
          <w:lang w:val="en-GB"/>
        </w:rPr>
        <w:t>in</w:t>
      </w:r>
      <w:r w:rsidR="00AB23A6" w:rsidRPr="00C31D7B">
        <w:rPr>
          <w:lang w:val="en-GB"/>
        </w:rPr>
        <w:t xml:space="preserve"> the university’s database. </w:t>
      </w:r>
      <w:r w:rsidR="000959AD" w:rsidRPr="00C31D7B">
        <w:rPr>
          <w:lang w:val="en-GB"/>
        </w:rPr>
        <w:t xml:space="preserve">We acknowledge that different types of </w:t>
      </w:r>
      <w:r w:rsidR="00BD2BEC" w:rsidRPr="00C31D7B">
        <w:rPr>
          <w:lang w:val="en-GB"/>
        </w:rPr>
        <w:t xml:space="preserve">environmental </w:t>
      </w:r>
      <w:r w:rsidR="000959AD" w:rsidRPr="00C31D7B">
        <w:rPr>
          <w:lang w:val="en-GB"/>
        </w:rPr>
        <w:t xml:space="preserve">variables could have an effect on </w:t>
      </w:r>
      <w:r w:rsidR="00BD2BEC" w:rsidRPr="00C31D7B">
        <w:rPr>
          <w:lang w:val="en-GB"/>
        </w:rPr>
        <w:t xml:space="preserve">student </w:t>
      </w:r>
      <w:r w:rsidR="000959AD" w:rsidRPr="00C31D7B">
        <w:rPr>
          <w:lang w:val="en-GB"/>
        </w:rPr>
        <w:t xml:space="preserve">performance. However, </w:t>
      </w:r>
      <w:r w:rsidR="00BD2BEC" w:rsidRPr="00C31D7B">
        <w:rPr>
          <w:lang w:val="en-GB"/>
        </w:rPr>
        <w:t xml:space="preserve">our </w:t>
      </w:r>
      <w:r w:rsidR="000959AD" w:rsidRPr="00C31D7B">
        <w:rPr>
          <w:lang w:val="en-GB"/>
        </w:rPr>
        <w:t>research design</w:t>
      </w:r>
      <w:r w:rsidR="0077056F" w:rsidRPr="00C31D7B">
        <w:rPr>
          <w:lang w:val="en-GB"/>
        </w:rPr>
        <w:t xml:space="preserve"> is not survey or experimentally based. We use the data stored within the university’s archive. </w:t>
      </w:r>
      <w:r w:rsidR="00EE4D34" w:rsidRPr="00C31D7B">
        <w:rPr>
          <w:lang w:val="en-GB"/>
        </w:rPr>
        <w:t>Marburger (2006) f</w:t>
      </w:r>
      <w:r w:rsidR="004A5F04" w:rsidRPr="00C31D7B">
        <w:rPr>
          <w:lang w:val="en-GB"/>
        </w:rPr>
        <w:t>inds</w:t>
      </w:r>
      <w:r w:rsidR="00EE4D34" w:rsidRPr="00C31D7B">
        <w:rPr>
          <w:lang w:val="en-GB"/>
        </w:rPr>
        <w:t xml:space="preserve"> that absenteeism </w:t>
      </w:r>
      <w:r w:rsidRPr="00C31D7B">
        <w:rPr>
          <w:lang w:val="en-GB"/>
        </w:rPr>
        <w:t>is</w:t>
      </w:r>
      <w:r w:rsidR="00EE4D34" w:rsidRPr="00C31D7B">
        <w:rPr>
          <w:lang w:val="en-GB"/>
        </w:rPr>
        <w:t xml:space="preserve"> significantly higher on Fridays and the percentage of students absent from class gradually increase</w:t>
      </w:r>
      <w:r w:rsidRPr="00C31D7B">
        <w:rPr>
          <w:lang w:val="en-GB"/>
        </w:rPr>
        <w:t>s</w:t>
      </w:r>
      <w:r w:rsidR="00EE4D34" w:rsidRPr="00C31D7B">
        <w:rPr>
          <w:lang w:val="en-GB"/>
        </w:rPr>
        <w:t xml:space="preserve"> as the semester progressed. He concludes that there appears to be a</w:t>
      </w:r>
      <w:r w:rsidR="00AE2040" w:rsidRPr="00C31D7B">
        <w:rPr>
          <w:lang w:val="en-GB"/>
        </w:rPr>
        <w:t xml:space="preserve"> variable</w:t>
      </w:r>
      <w:r w:rsidR="00EE4D34" w:rsidRPr="00C31D7B">
        <w:rPr>
          <w:lang w:val="en-GB"/>
        </w:rPr>
        <w:t xml:space="preserve"> opportunity cost to attending classes. Students choose from competing academic (write up assignments on Thursday evening) and non-academic (beer or cinema on a Friday evening) uses of their time (or perhaps they are simply tired due to having to juggle paid work with academic studies), when determining whether to attend class or not. Controlling for scheduling effects may therefore be useful in studies of attendance and student achievement. </w:t>
      </w:r>
    </w:p>
    <w:p w:rsidR="00D5287F" w:rsidRPr="00C31D7B" w:rsidRDefault="00AE2040" w:rsidP="00026347">
      <w:pPr>
        <w:spacing w:after="120"/>
        <w:ind w:firstLine="720"/>
        <w:jc w:val="both"/>
        <w:rPr>
          <w:b/>
          <w:i/>
          <w:lang w:val="en-GB"/>
        </w:rPr>
      </w:pPr>
      <w:r w:rsidRPr="00C31D7B">
        <w:rPr>
          <w:lang w:val="en-GB"/>
        </w:rPr>
        <w:t>T</w:t>
      </w:r>
      <w:r w:rsidR="00EE4D34" w:rsidRPr="00C31D7B">
        <w:rPr>
          <w:lang w:val="en-GB"/>
        </w:rPr>
        <w:t xml:space="preserve">eaching quality is another </w:t>
      </w:r>
      <w:r w:rsidRPr="00C31D7B">
        <w:rPr>
          <w:lang w:val="en-GB"/>
        </w:rPr>
        <w:t xml:space="preserve">environmental </w:t>
      </w:r>
      <w:r w:rsidR="00EE4D34" w:rsidRPr="00C31D7B">
        <w:rPr>
          <w:lang w:val="en-GB"/>
        </w:rPr>
        <w:t>factor worth considering when analysing the relationship between attendance an</w:t>
      </w:r>
      <w:r w:rsidR="004A5F04" w:rsidRPr="00C31D7B">
        <w:rPr>
          <w:lang w:val="en-GB"/>
        </w:rPr>
        <w:t>d performance</w:t>
      </w:r>
      <w:r w:rsidR="00EE4D34" w:rsidRPr="00C31D7B">
        <w:rPr>
          <w:lang w:val="en-GB"/>
        </w:rPr>
        <w:t xml:space="preserve">. Teacher quality refers to the teacher’s ability to engage students in a useful learning episode. </w:t>
      </w:r>
      <w:r w:rsidR="00994B3A" w:rsidRPr="00C31D7B">
        <w:rPr>
          <w:lang w:val="en-GB"/>
        </w:rPr>
        <w:t xml:space="preserve">As Baldwin (1980) suggested, attendance could be correlated with the perceived value of lectures on the part of students. If this is the case, </w:t>
      </w:r>
      <w:r w:rsidR="00994B3A" w:rsidRPr="00C31D7B">
        <w:rPr>
          <w:lang w:val="en-GB"/>
        </w:rPr>
        <w:lastRenderedPageBreak/>
        <w:t>s</w:t>
      </w:r>
      <w:r w:rsidR="00EE4D34" w:rsidRPr="00C31D7B">
        <w:rPr>
          <w:lang w:val="en-GB"/>
        </w:rPr>
        <w:t xml:space="preserve">tudents </w:t>
      </w:r>
      <w:r w:rsidR="00994B3A" w:rsidRPr="00C31D7B">
        <w:rPr>
          <w:lang w:val="en-GB"/>
        </w:rPr>
        <w:t>should</w:t>
      </w:r>
      <w:r w:rsidR="00EE4D34" w:rsidRPr="00C31D7B">
        <w:rPr>
          <w:lang w:val="en-GB"/>
        </w:rPr>
        <w:t xml:space="preserve"> perceive that the learning episode they are participating in is worthwhile, relevant or useful as an experience (Moore et al. 2008). If lectures are not perceived as worthwhile, relevant, or useful learning experiences, students will be less likely to attend. In their study, Moore et al. (2008) f</w:t>
      </w:r>
      <w:r w:rsidR="00943276" w:rsidRPr="00C31D7B">
        <w:rPr>
          <w:lang w:val="en-GB"/>
        </w:rPr>
        <w:t>in</w:t>
      </w:r>
      <w:r w:rsidR="00EE4D34" w:rsidRPr="00C31D7B">
        <w:rPr>
          <w:lang w:val="en-GB"/>
        </w:rPr>
        <w:t>d that some respondents mentioned r</w:t>
      </w:r>
      <w:r w:rsidRPr="00C31D7B">
        <w:rPr>
          <w:lang w:val="en-GB"/>
        </w:rPr>
        <w:t>easons for absenteeism such as “</w:t>
      </w:r>
      <w:r w:rsidR="00EE4D34" w:rsidRPr="00C31D7B">
        <w:rPr>
          <w:lang w:val="en-GB"/>
        </w:rPr>
        <w:t>don’t like lecturer</w:t>
      </w:r>
      <w:r w:rsidRPr="00C31D7B">
        <w:rPr>
          <w:lang w:val="en-GB"/>
        </w:rPr>
        <w:t>”</w:t>
      </w:r>
      <w:r w:rsidR="00EE4D34" w:rsidRPr="00C31D7B">
        <w:rPr>
          <w:lang w:val="en-GB"/>
        </w:rPr>
        <w:t xml:space="preserve">; </w:t>
      </w:r>
      <w:r w:rsidRPr="00C31D7B">
        <w:rPr>
          <w:lang w:val="en-GB"/>
        </w:rPr>
        <w:t>“</w:t>
      </w:r>
      <w:r w:rsidR="00EE4D34" w:rsidRPr="00C31D7B">
        <w:rPr>
          <w:lang w:val="en-GB"/>
        </w:rPr>
        <w:t xml:space="preserve">too long’; </w:t>
      </w:r>
      <w:r w:rsidRPr="00C31D7B">
        <w:rPr>
          <w:lang w:val="en-GB"/>
        </w:rPr>
        <w:t>“</w:t>
      </w:r>
      <w:r w:rsidR="00EE4D34" w:rsidRPr="00C31D7B">
        <w:rPr>
          <w:lang w:val="en-GB"/>
        </w:rPr>
        <w:t>too boring</w:t>
      </w:r>
      <w:r w:rsidRPr="00C31D7B">
        <w:rPr>
          <w:lang w:val="en-GB"/>
        </w:rPr>
        <w:t>”</w:t>
      </w:r>
      <w:r w:rsidR="00EE4D34" w:rsidRPr="00C31D7B">
        <w:rPr>
          <w:lang w:val="en-GB"/>
        </w:rPr>
        <w:t xml:space="preserve">; </w:t>
      </w:r>
      <w:r w:rsidRPr="00C31D7B">
        <w:rPr>
          <w:lang w:val="en-GB"/>
        </w:rPr>
        <w:t>“</w:t>
      </w:r>
      <w:r w:rsidR="00EE4D34" w:rsidRPr="00C31D7B">
        <w:rPr>
          <w:lang w:val="en-GB"/>
        </w:rPr>
        <w:t>Lecturer only reads slides</w:t>
      </w:r>
      <w:r w:rsidRPr="00C31D7B">
        <w:rPr>
          <w:lang w:val="en-GB"/>
        </w:rPr>
        <w:t>”</w:t>
      </w:r>
      <w:r w:rsidR="00EE4D34" w:rsidRPr="00C31D7B">
        <w:rPr>
          <w:lang w:val="en-GB"/>
        </w:rPr>
        <w:t>.</w:t>
      </w:r>
      <w:r w:rsidR="00821DC7" w:rsidRPr="00C31D7B">
        <w:rPr>
          <w:lang w:val="en-GB"/>
        </w:rPr>
        <w:t xml:space="preserve"> S</w:t>
      </w:r>
      <w:r w:rsidR="00943276" w:rsidRPr="00C31D7B">
        <w:rPr>
          <w:lang w:val="en-GB"/>
        </w:rPr>
        <w:t>und (2016) finds s</w:t>
      </w:r>
      <w:r w:rsidR="00821DC7" w:rsidRPr="00C31D7B">
        <w:rPr>
          <w:lang w:val="en-GB"/>
        </w:rPr>
        <w:t>imilar reasons in a more recent study.</w:t>
      </w:r>
      <w:r w:rsidR="00EE4D34" w:rsidRPr="00C31D7B">
        <w:rPr>
          <w:lang w:val="en-GB"/>
        </w:rPr>
        <w:t xml:space="preserve"> This suggests that the inclusion of some sort of control for teacher quality is necessary in studies covering multiple classes with different teachers.</w:t>
      </w:r>
    </w:p>
    <w:p w:rsidR="00EE4D34" w:rsidRPr="00C31D7B" w:rsidRDefault="00D24E5F" w:rsidP="00382080">
      <w:pPr>
        <w:autoSpaceDE w:val="0"/>
        <w:autoSpaceDN w:val="0"/>
        <w:adjustRightInd w:val="0"/>
        <w:ind w:firstLine="720"/>
        <w:jc w:val="both"/>
        <w:rPr>
          <w:lang w:val="en-GB"/>
        </w:rPr>
      </w:pPr>
      <w:r w:rsidRPr="00C31D7B">
        <w:rPr>
          <w:lang w:val="en-GB"/>
        </w:rPr>
        <w:t>Outputs</w:t>
      </w:r>
      <w:r w:rsidR="0055144B" w:rsidRPr="00C31D7B">
        <w:rPr>
          <w:lang w:val="en-GB"/>
        </w:rPr>
        <w:t xml:space="preserve"> "refer to the 'talents' we are trying to develop in our educational program" (Astin, 1993, p. 18). </w:t>
      </w:r>
      <w:r w:rsidRPr="00C31D7B">
        <w:rPr>
          <w:lang w:val="en-GB"/>
        </w:rPr>
        <w:t>Output</w:t>
      </w:r>
      <w:r w:rsidR="0055144B" w:rsidRPr="00C31D7B">
        <w:rPr>
          <w:lang w:val="en-GB"/>
        </w:rPr>
        <w:t xml:space="preserve"> measures </w:t>
      </w:r>
      <w:r w:rsidR="009510AA" w:rsidRPr="00C31D7B">
        <w:rPr>
          <w:lang w:val="en-GB"/>
        </w:rPr>
        <w:t>include</w:t>
      </w:r>
      <w:r w:rsidR="0055144B" w:rsidRPr="00C31D7B">
        <w:rPr>
          <w:lang w:val="en-GB"/>
        </w:rPr>
        <w:t xml:space="preserve"> indicators such as grade point average, exam scores, course performance, degree completion, and overall course satisfaction.</w:t>
      </w:r>
      <w:r w:rsidR="00D5287F" w:rsidRPr="00C31D7B">
        <w:rPr>
          <w:lang w:val="en-GB"/>
        </w:rPr>
        <w:t xml:space="preserve"> For the purposes of </w:t>
      </w:r>
      <w:r w:rsidR="002B0B75" w:rsidRPr="00C31D7B">
        <w:rPr>
          <w:lang w:val="en-GB"/>
        </w:rPr>
        <w:t>our empirical study</w:t>
      </w:r>
      <w:r w:rsidR="00D5287F" w:rsidRPr="00C31D7B">
        <w:rPr>
          <w:lang w:val="en-GB"/>
        </w:rPr>
        <w:t xml:space="preserve"> </w:t>
      </w:r>
      <w:r w:rsidR="002B0B75" w:rsidRPr="00C31D7B">
        <w:rPr>
          <w:lang w:val="en-GB"/>
        </w:rPr>
        <w:t xml:space="preserve">reported on below, </w:t>
      </w:r>
      <w:r w:rsidR="00C75126" w:rsidRPr="00C31D7B">
        <w:rPr>
          <w:lang w:val="en-GB"/>
        </w:rPr>
        <w:t>one output factor</w:t>
      </w:r>
      <w:r w:rsidR="00D5287F" w:rsidRPr="00C31D7B">
        <w:rPr>
          <w:lang w:val="en-GB"/>
        </w:rPr>
        <w:t xml:space="preserve"> </w:t>
      </w:r>
      <w:r w:rsidR="00C75126" w:rsidRPr="00C31D7B">
        <w:rPr>
          <w:lang w:val="en-GB"/>
        </w:rPr>
        <w:t>is</w:t>
      </w:r>
      <w:r w:rsidR="00994B3A" w:rsidRPr="00C31D7B">
        <w:rPr>
          <w:lang w:val="en-GB"/>
        </w:rPr>
        <w:t xml:space="preserve"> considered</w:t>
      </w:r>
      <w:r w:rsidR="001D1DB9" w:rsidRPr="00C31D7B">
        <w:rPr>
          <w:lang w:val="en-GB"/>
        </w:rPr>
        <w:t xml:space="preserve"> in separate models</w:t>
      </w:r>
      <w:r w:rsidR="00994B3A" w:rsidRPr="00C31D7B">
        <w:rPr>
          <w:lang w:val="en-GB"/>
        </w:rPr>
        <w:t>:</w:t>
      </w:r>
      <w:r w:rsidR="00D5287F" w:rsidRPr="00C31D7B">
        <w:rPr>
          <w:lang w:val="en-GB"/>
        </w:rPr>
        <w:t xml:space="preserve"> </w:t>
      </w:r>
      <w:r w:rsidR="00994B3A" w:rsidRPr="00C31D7B">
        <w:rPr>
          <w:lang w:val="en-GB"/>
        </w:rPr>
        <w:t>e</w:t>
      </w:r>
      <w:r w:rsidR="00D5287F" w:rsidRPr="00C31D7B">
        <w:rPr>
          <w:lang w:val="en-GB"/>
        </w:rPr>
        <w:t xml:space="preserve">xam score </w:t>
      </w:r>
      <w:r w:rsidR="00160C6B" w:rsidRPr="00C31D7B">
        <w:rPr>
          <w:lang w:val="en-GB"/>
        </w:rPr>
        <w:t xml:space="preserve">in </w:t>
      </w:r>
      <w:r w:rsidR="00943276" w:rsidRPr="00C31D7B">
        <w:rPr>
          <w:lang w:val="en-GB"/>
        </w:rPr>
        <w:t>a</w:t>
      </w:r>
      <w:r w:rsidR="00160C6B" w:rsidRPr="00C31D7B">
        <w:rPr>
          <w:lang w:val="en-GB"/>
        </w:rPr>
        <w:t xml:space="preserve"> final exam</w:t>
      </w:r>
      <w:r w:rsidR="00C75126" w:rsidRPr="00C31D7B">
        <w:rPr>
          <w:lang w:val="en-GB"/>
        </w:rPr>
        <w:t>.</w:t>
      </w:r>
    </w:p>
    <w:p w:rsidR="00C75126" w:rsidRPr="00C31D7B" w:rsidRDefault="00C75126" w:rsidP="00382080">
      <w:pPr>
        <w:autoSpaceDE w:val="0"/>
        <w:autoSpaceDN w:val="0"/>
        <w:adjustRightInd w:val="0"/>
        <w:ind w:firstLine="720"/>
        <w:jc w:val="both"/>
        <w:rPr>
          <w:lang w:val="en-GB"/>
        </w:rPr>
      </w:pPr>
    </w:p>
    <w:p w:rsidR="00F266DD" w:rsidRPr="00C31D7B" w:rsidRDefault="00943276" w:rsidP="00943276">
      <w:pPr>
        <w:spacing w:after="120"/>
        <w:jc w:val="center"/>
        <w:rPr>
          <w:b/>
          <w:bCs/>
          <w:lang w:val="en-GB"/>
        </w:rPr>
      </w:pPr>
      <w:r w:rsidRPr="00C31D7B">
        <w:rPr>
          <w:b/>
          <w:bCs/>
          <w:lang w:val="en-GB"/>
        </w:rPr>
        <w:t>METHOD</w:t>
      </w:r>
    </w:p>
    <w:p w:rsidR="00943276" w:rsidRPr="00C31D7B" w:rsidRDefault="00943276" w:rsidP="001D1FC9">
      <w:pPr>
        <w:spacing w:after="120"/>
        <w:ind w:firstLine="720"/>
        <w:jc w:val="both"/>
        <w:rPr>
          <w:lang w:val="en-GB"/>
        </w:rPr>
      </w:pPr>
    </w:p>
    <w:p w:rsidR="003A00DB" w:rsidRPr="00C31D7B" w:rsidRDefault="006D494E" w:rsidP="003642E6">
      <w:pPr>
        <w:spacing w:after="120"/>
        <w:ind w:firstLine="720"/>
        <w:jc w:val="both"/>
        <w:rPr>
          <w:lang w:val="en-GB"/>
        </w:rPr>
      </w:pPr>
      <w:r w:rsidRPr="00C31D7B">
        <w:rPr>
          <w:lang w:val="en-GB"/>
        </w:rPr>
        <w:t xml:space="preserve">Our intention </w:t>
      </w:r>
      <w:r w:rsidR="003665CF" w:rsidRPr="00C31D7B">
        <w:rPr>
          <w:lang w:val="en-GB"/>
        </w:rPr>
        <w:t>was</w:t>
      </w:r>
      <w:r w:rsidRPr="00C31D7B">
        <w:rPr>
          <w:lang w:val="en-GB"/>
        </w:rPr>
        <w:t xml:space="preserve"> to examine the attendance-performance association with a large sample of students</w:t>
      </w:r>
      <w:r w:rsidR="00E50EE1" w:rsidRPr="00C31D7B">
        <w:rPr>
          <w:lang w:val="en-GB"/>
        </w:rPr>
        <w:t>, and we adopted a research design based on archival data</w:t>
      </w:r>
      <w:r w:rsidRPr="00C31D7B">
        <w:rPr>
          <w:lang w:val="en-GB"/>
        </w:rPr>
        <w:t xml:space="preserve">. Even at a large university, </w:t>
      </w:r>
      <w:r w:rsidR="003665CF" w:rsidRPr="00C31D7B">
        <w:rPr>
          <w:lang w:val="en-GB"/>
        </w:rPr>
        <w:t xml:space="preserve">examining the attendance-performance effect with a large sample </w:t>
      </w:r>
      <w:r w:rsidRPr="00C31D7B">
        <w:rPr>
          <w:lang w:val="en-GB"/>
        </w:rPr>
        <w:t xml:space="preserve">meant gathering data from several cohorts, and using what data was readily available that would not create ethical problems. </w:t>
      </w:r>
      <w:r w:rsidR="00F266DD" w:rsidRPr="00C31D7B">
        <w:rPr>
          <w:lang w:val="en-GB"/>
        </w:rPr>
        <w:t xml:space="preserve">In </w:t>
      </w:r>
      <w:r w:rsidR="00EE1D90" w:rsidRPr="00C31D7B">
        <w:rPr>
          <w:lang w:val="en-GB"/>
        </w:rPr>
        <w:t>order</w:t>
      </w:r>
      <w:r w:rsidR="00F266DD" w:rsidRPr="00C31D7B">
        <w:rPr>
          <w:lang w:val="en-GB"/>
        </w:rPr>
        <w:t xml:space="preserve"> to </w:t>
      </w:r>
      <w:r w:rsidR="00943276" w:rsidRPr="00C31D7B">
        <w:rPr>
          <w:lang w:val="en-GB"/>
        </w:rPr>
        <w:t xml:space="preserve">test </w:t>
      </w:r>
      <w:r w:rsidRPr="00C31D7B">
        <w:rPr>
          <w:lang w:val="en-GB"/>
        </w:rPr>
        <w:t xml:space="preserve">for </w:t>
      </w:r>
      <w:r w:rsidR="00943276" w:rsidRPr="00C31D7B">
        <w:rPr>
          <w:lang w:val="en-GB"/>
        </w:rPr>
        <w:t xml:space="preserve">the </w:t>
      </w:r>
      <w:r w:rsidRPr="00C31D7B">
        <w:rPr>
          <w:lang w:val="en-GB"/>
        </w:rPr>
        <w:t>attendance-</w:t>
      </w:r>
      <w:r w:rsidR="00943276" w:rsidRPr="00C31D7B">
        <w:rPr>
          <w:lang w:val="en-GB"/>
        </w:rPr>
        <w:t xml:space="preserve">performance </w:t>
      </w:r>
      <w:r w:rsidRPr="00C31D7B">
        <w:rPr>
          <w:lang w:val="en-GB"/>
        </w:rPr>
        <w:t>association</w:t>
      </w:r>
      <w:r w:rsidR="00943276" w:rsidRPr="00C31D7B">
        <w:rPr>
          <w:lang w:val="en-GB"/>
        </w:rPr>
        <w:t xml:space="preserve"> empirically,</w:t>
      </w:r>
      <w:r w:rsidR="00136337" w:rsidRPr="00C31D7B">
        <w:rPr>
          <w:lang w:val="en-GB"/>
        </w:rPr>
        <w:t xml:space="preserve"> </w:t>
      </w:r>
      <w:r w:rsidR="00EE1D90" w:rsidRPr="00C31D7B">
        <w:rPr>
          <w:lang w:val="en-GB"/>
        </w:rPr>
        <w:t>we coll</w:t>
      </w:r>
      <w:r w:rsidR="003D028D" w:rsidRPr="00C31D7B">
        <w:rPr>
          <w:lang w:val="en-GB"/>
        </w:rPr>
        <w:t>ated</w:t>
      </w:r>
      <w:r w:rsidR="00EE1D90" w:rsidRPr="00C31D7B">
        <w:rPr>
          <w:lang w:val="en-GB"/>
        </w:rPr>
        <w:t xml:space="preserve"> </w:t>
      </w:r>
      <w:r w:rsidRPr="00C31D7B">
        <w:rPr>
          <w:lang w:val="en-GB"/>
        </w:rPr>
        <w:t xml:space="preserve">available </w:t>
      </w:r>
      <w:r w:rsidR="004A5F04" w:rsidRPr="00C31D7B">
        <w:rPr>
          <w:lang w:val="en-GB"/>
        </w:rPr>
        <w:t xml:space="preserve">student records </w:t>
      </w:r>
      <w:r w:rsidR="00EE1D90" w:rsidRPr="00C31D7B">
        <w:rPr>
          <w:lang w:val="en-GB"/>
        </w:rPr>
        <w:t xml:space="preserve">data pertaining to </w:t>
      </w:r>
      <w:r w:rsidR="00D47AE9" w:rsidRPr="00C31D7B">
        <w:rPr>
          <w:lang w:val="en-GB"/>
        </w:rPr>
        <w:t>three</w:t>
      </w:r>
      <w:r w:rsidR="00EE1D90" w:rsidRPr="00C31D7B">
        <w:rPr>
          <w:lang w:val="en-GB"/>
        </w:rPr>
        <w:t xml:space="preserve"> </w:t>
      </w:r>
      <w:r w:rsidR="00B019F0" w:rsidRPr="00C31D7B">
        <w:rPr>
          <w:lang w:val="en-GB"/>
        </w:rPr>
        <w:t xml:space="preserve">consecutive </w:t>
      </w:r>
      <w:r w:rsidR="00EE1D90" w:rsidRPr="00C31D7B">
        <w:rPr>
          <w:lang w:val="en-GB"/>
        </w:rPr>
        <w:t>cohorts of students on a final year undergraduate course in strategy, at a large London-based university</w:t>
      </w:r>
      <w:r w:rsidR="003665CF" w:rsidRPr="00C31D7B">
        <w:rPr>
          <w:lang w:val="en-GB"/>
        </w:rPr>
        <w:t xml:space="preserve">, giving us an initial </w:t>
      </w:r>
      <w:r w:rsidR="00960D4D" w:rsidRPr="00C31D7B">
        <w:rPr>
          <w:lang w:val="en-GB"/>
        </w:rPr>
        <w:t xml:space="preserve">total </w:t>
      </w:r>
      <w:r w:rsidR="003665CF" w:rsidRPr="00C31D7B">
        <w:rPr>
          <w:lang w:val="en-GB"/>
        </w:rPr>
        <w:lastRenderedPageBreak/>
        <w:t>sample of 756 students</w:t>
      </w:r>
      <w:r w:rsidR="00EE1D90" w:rsidRPr="00C31D7B">
        <w:rPr>
          <w:lang w:val="en-GB"/>
        </w:rPr>
        <w:t>.</w:t>
      </w:r>
      <w:r w:rsidRPr="00C31D7B">
        <w:rPr>
          <w:lang w:val="en-GB"/>
        </w:rPr>
        <w:t xml:space="preserve"> These were </w:t>
      </w:r>
      <w:r w:rsidR="00256C5F" w:rsidRPr="00C31D7B">
        <w:rPr>
          <w:lang w:val="en-GB"/>
        </w:rPr>
        <w:t>three</w:t>
      </w:r>
      <w:r w:rsidRPr="00C31D7B">
        <w:rPr>
          <w:lang w:val="en-GB"/>
        </w:rPr>
        <w:t xml:space="preserve"> years during which one of the authors was responsible for this course</w:t>
      </w:r>
      <w:r w:rsidR="003F3715" w:rsidRPr="00C31D7B">
        <w:rPr>
          <w:lang w:val="en-GB"/>
        </w:rPr>
        <w:t>, and therefore had control over exam form and conditions, as well as full access to performance and attendance data</w:t>
      </w:r>
      <w:r w:rsidRPr="00C31D7B">
        <w:rPr>
          <w:lang w:val="en-GB"/>
        </w:rPr>
        <w:t xml:space="preserve">. The dataset was collated and analysed only </w:t>
      </w:r>
      <w:r w:rsidR="003A00DB" w:rsidRPr="00C31D7B">
        <w:rPr>
          <w:lang w:val="en-GB"/>
        </w:rPr>
        <w:t>two years</w:t>
      </w:r>
      <w:r w:rsidRPr="00C31D7B">
        <w:rPr>
          <w:lang w:val="en-GB"/>
        </w:rPr>
        <w:t xml:space="preserve"> </w:t>
      </w:r>
      <w:r w:rsidR="00256C5F" w:rsidRPr="00C31D7B">
        <w:rPr>
          <w:lang w:val="en-GB"/>
        </w:rPr>
        <w:t>later</w:t>
      </w:r>
      <w:r w:rsidRPr="00C31D7B">
        <w:rPr>
          <w:lang w:val="en-GB"/>
        </w:rPr>
        <w:t>, to allow university records to be updated to reflect final results, including for students with missing credits.</w:t>
      </w:r>
      <w:r w:rsidR="002C09F8" w:rsidRPr="00C31D7B">
        <w:rPr>
          <w:lang w:val="en-GB"/>
        </w:rPr>
        <w:t xml:space="preserve"> Even so, due to incomplete records of timetabling changes, the exact seminar times were missing for some students, bringing the usable sample size for our modelling purposes down to 674.</w:t>
      </w:r>
      <w:r w:rsidR="006D0D2B" w:rsidRPr="00C31D7B">
        <w:rPr>
          <w:lang w:val="en-GB"/>
        </w:rPr>
        <w:t xml:space="preserve"> An ANOVA test comparing the mean exam scores of the 674 students with full timetabling data, with the 82 students with incomplete data, revealed that these were not significantly different (</w:t>
      </w:r>
      <w:r w:rsidR="006D0D2B" w:rsidRPr="00C31D7B">
        <w:rPr>
          <w:i/>
          <w:lang w:val="en-GB"/>
        </w:rPr>
        <w:t>F</w:t>
      </w:r>
      <w:r w:rsidR="006D0D2B" w:rsidRPr="00C31D7B">
        <w:rPr>
          <w:lang w:val="en-GB"/>
        </w:rPr>
        <w:t xml:space="preserve"> = 1.870; </w:t>
      </w:r>
      <w:r w:rsidR="006D0D2B" w:rsidRPr="00C31D7B">
        <w:rPr>
          <w:i/>
          <w:lang w:val="en-GB"/>
        </w:rPr>
        <w:t>p</w:t>
      </w:r>
      <w:r w:rsidR="006D0D2B" w:rsidRPr="00C31D7B">
        <w:rPr>
          <w:lang w:val="en-GB"/>
        </w:rPr>
        <w:t xml:space="preserve"> = .172). We therefore evaluate the risk of bias due to the non-inclusion of these students in our modelling as low.</w:t>
      </w:r>
    </w:p>
    <w:p w:rsidR="003A00DB" w:rsidRPr="00C31D7B" w:rsidRDefault="008369EA" w:rsidP="003642E6">
      <w:pPr>
        <w:spacing w:after="120"/>
        <w:ind w:firstLine="720"/>
        <w:jc w:val="both"/>
        <w:rPr>
          <w:lang w:val="en-GB"/>
        </w:rPr>
      </w:pPr>
      <w:r w:rsidRPr="00C31D7B">
        <w:rPr>
          <w:lang w:val="en-GB"/>
        </w:rPr>
        <w:t>With th</w:t>
      </w:r>
      <w:r w:rsidR="003A00DB" w:rsidRPr="00C31D7B">
        <w:rPr>
          <w:lang w:val="en-GB"/>
        </w:rPr>
        <w:t>e</w:t>
      </w:r>
      <w:r w:rsidRPr="00C31D7B">
        <w:rPr>
          <w:lang w:val="en-GB"/>
        </w:rPr>
        <w:t xml:space="preserve"> </w:t>
      </w:r>
      <w:r w:rsidR="003A00DB" w:rsidRPr="00C31D7B">
        <w:rPr>
          <w:lang w:val="en-GB"/>
        </w:rPr>
        <w:t xml:space="preserve">collated </w:t>
      </w:r>
      <w:r w:rsidRPr="00C31D7B">
        <w:rPr>
          <w:lang w:val="en-GB"/>
        </w:rPr>
        <w:t xml:space="preserve">data, we built </w:t>
      </w:r>
      <w:r w:rsidR="006D0D2B" w:rsidRPr="00C31D7B">
        <w:rPr>
          <w:lang w:val="en-GB"/>
        </w:rPr>
        <w:t>two</w:t>
      </w:r>
      <w:r w:rsidRPr="00C31D7B">
        <w:rPr>
          <w:lang w:val="en-GB"/>
        </w:rPr>
        <w:t xml:space="preserve"> regression models to test for a</w:t>
      </w:r>
      <w:r w:rsidR="00960D4D" w:rsidRPr="00C31D7B">
        <w:rPr>
          <w:lang w:val="en-GB"/>
        </w:rPr>
        <w:t>n</w:t>
      </w:r>
      <w:r w:rsidRPr="00C31D7B">
        <w:rPr>
          <w:lang w:val="en-GB"/>
        </w:rPr>
        <w:t xml:space="preserve"> </w:t>
      </w:r>
      <w:r w:rsidR="00960D4D" w:rsidRPr="00C31D7B">
        <w:rPr>
          <w:lang w:val="en-GB"/>
        </w:rPr>
        <w:t>association</w:t>
      </w:r>
      <w:r w:rsidRPr="00C31D7B">
        <w:rPr>
          <w:lang w:val="en-GB"/>
        </w:rPr>
        <w:t xml:space="preserve"> between student attendance and performance.</w:t>
      </w:r>
      <w:r w:rsidR="004A5F04" w:rsidRPr="00C31D7B">
        <w:rPr>
          <w:lang w:val="en-GB"/>
        </w:rPr>
        <w:t xml:space="preserve"> </w:t>
      </w:r>
      <w:r w:rsidR="003A00DB" w:rsidRPr="00C31D7B">
        <w:rPr>
          <w:lang w:val="en-GB"/>
        </w:rPr>
        <w:t>We did not wish to test attendance policy effects</w:t>
      </w:r>
      <w:r w:rsidR="003665CF" w:rsidRPr="00C31D7B">
        <w:rPr>
          <w:lang w:val="en-GB"/>
        </w:rPr>
        <w:t xml:space="preserve"> </w:t>
      </w:r>
      <w:r w:rsidR="006D0D2B" w:rsidRPr="00C31D7B">
        <w:rPr>
          <w:lang w:val="en-GB"/>
        </w:rPr>
        <w:t xml:space="preserve">per se </w:t>
      </w:r>
      <w:r w:rsidR="00256C5F" w:rsidRPr="00C31D7B">
        <w:rPr>
          <w:lang w:val="en-GB"/>
        </w:rPr>
        <w:t>(i.e. before – after effects of introducing a policy)</w:t>
      </w:r>
      <w:r w:rsidR="003A00DB" w:rsidRPr="00C31D7B">
        <w:rPr>
          <w:lang w:val="en-GB"/>
        </w:rPr>
        <w:t xml:space="preserve">, </w:t>
      </w:r>
      <w:r w:rsidR="00A84C04" w:rsidRPr="00C31D7B">
        <w:rPr>
          <w:lang w:val="en-GB"/>
        </w:rPr>
        <w:t>as</w:t>
      </w:r>
      <w:r w:rsidR="00256C5F" w:rsidRPr="00C31D7B">
        <w:rPr>
          <w:lang w:val="en-GB"/>
        </w:rPr>
        <w:t xml:space="preserve"> attendance </w:t>
      </w:r>
      <w:r w:rsidR="00A84C04" w:rsidRPr="00C31D7B">
        <w:rPr>
          <w:lang w:val="en-GB"/>
        </w:rPr>
        <w:t>is</w:t>
      </w:r>
      <w:r w:rsidR="00256C5F" w:rsidRPr="00C31D7B">
        <w:rPr>
          <w:lang w:val="en-GB"/>
        </w:rPr>
        <w:t xml:space="preserve"> not mandatory at this university. </w:t>
      </w:r>
      <w:r w:rsidR="00960D4D" w:rsidRPr="00C31D7B">
        <w:rPr>
          <w:lang w:val="en-GB"/>
        </w:rPr>
        <w:t>W</w:t>
      </w:r>
      <w:r w:rsidR="005B52AF" w:rsidRPr="00C31D7B">
        <w:rPr>
          <w:lang w:val="en-GB"/>
        </w:rPr>
        <w:t xml:space="preserve">e included only students who at the time of sampling had </w:t>
      </w:r>
      <w:r w:rsidR="00DF5D30" w:rsidRPr="00C31D7B">
        <w:rPr>
          <w:lang w:val="en-GB"/>
        </w:rPr>
        <w:t>a final exam grade on the system</w:t>
      </w:r>
      <w:r w:rsidR="00994B3A" w:rsidRPr="00C31D7B">
        <w:rPr>
          <w:lang w:val="en-GB"/>
        </w:rPr>
        <w:t>.</w:t>
      </w:r>
      <w:r w:rsidR="006D0D2B" w:rsidRPr="00C31D7B">
        <w:rPr>
          <w:lang w:val="en-GB"/>
        </w:rPr>
        <w:t xml:space="preserve"> Only 14 students dropped out, so any sample </w:t>
      </w:r>
      <w:r w:rsidR="00DF5D30" w:rsidRPr="00C31D7B">
        <w:rPr>
          <w:lang w:val="en-GB"/>
        </w:rPr>
        <w:t>bias</w:t>
      </w:r>
      <w:r w:rsidR="006D0D2B" w:rsidRPr="00C31D7B">
        <w:rPr>
          <w:lang w:val="en-GB"/>
        </w:rPr>
        <w:t xml:space="preserve"> due to this limitation</w:t>
      </w:r>
      <w:r w:rsidR="00DF5D30" w:rsidRPr="00C31D7B">
        <w:rPr>
          <w:lang w:val="en-GB"/>
        </w:rPr>
        <w:t xml:space="preserve"> would be minimal.</w:t>
      </w:r>
    </w:p>
    <w:p w:rsidR="003642E6" w:rsidRPr="00C31D7B" w:rsidRDefault="00C90CB7" w:rsidP="003642E6">
      <w:pPr>
        <w:spacing w:after="120"/>
        <w:ind w:firstLine="720"/>
        <w:jc w:val="both"/>
        <w:rPr>
          <w:lang w:val="en-GB"/>
        </w:rPr>
      </w:pPr>
      <w:r w:rsidRPr="00C31D7B">
        <w:rPr>
          <w:lang w:val="en-GB"/>
        </w:rPr>
        <w:t>The course involved a weekly plenary lecture taught by the faculty mem</w:t>
      </w:r>
      <w:r w:rsidR="00B02589" w:rsidRPr="00C31D7B">
        <w:rPr>
          <w:lang w:val="en-GB"/>
        </w:rPr>
        <w:t xml:space="preserve">ber responsible for the course, and </w:t>
      </w:r>
      <w:r w:rsidRPr="00C31D7B">
        <w:rPr>
          <w:lang w:val="en-GB"/>
        </w:rPr>
        <w:t>a seminar, taught by a</w:t>
      </w:r>
      <w:r w:rsidR="00136337" w:rsidRPr="00C31D7B">
        <w:rPr>
          <w:lang w:val="en-GB"/>
        </w:rPr>
        <w:t xml:space="preserve"> number of</w:t>
      </w:r>
      <w:r w:rsidRPr="00C31D7B">
        <w:rPr>
          <w:lang w:val="en-GB"/>
        </w:rPr>
        <w:t xml:space="preserve"> different tutor</w:t>
      </w:r>
      <w:r w:rsidR="00136337" w:rsidRPr="00C31D7B">
        <w:rPr>
          <w:lang w:val="en-GB"/>
        </w:rPr>
        <w:t>s</w:t>
      </w:r>
      <w:r w:rsidRPr="00C31D7B">
        <w:rPr>
          <w:lang w:val="en-GB"/>
        </w:rPr>
        <w:t>, in smaller groups of between 20 and 30 students.</w:t>
      </w:r>
      <w:r w:rsidR="00EE1D90" w:rsidRPr="00C31D7B">
        <w:rPr>
          <w:lang w:val="en-GB"/>
        </w:rPr>
        <w:t xml:space="preserve"> </w:t>
      </w:r>
      <w:r w:rsidRPr="00C31D7B">
        <w:rPr>
          <w:lang w:val="en-GB"/>
        </w:rPr>
        <w:t>Some seminars were dedicated to coursework, but a majo</w:t>
      </w:r>
      <w:r w:rsidR="00943276" w:rsidRPr="00C31D7B">
        <w:rPr>
          <w:lang w:val="en-GB"/>
        </w:rPr>
        <w:t xml:space="preserve">rity involved case discussions. Seminar rooms were in </w:t>
      </w:r>
      <w:r w:rsidR="00901EAD" w:rsidRPr="00C31D7B">
        <w:rPr>
          <w:lang w:val="en-GB"/>
        </w:rPr>
        <w:t xml:space="preserve">two </w:t>
      </w:r>
      <w:r w:rsidR="00943276" w:rsidRPr="00C31D7B">
        <w:rPr>
          <w:lang w:val="en-GB"/>
        </w:rPr>
        <w:t>building</w:t>
      </w:r>
      <w:r w:rsidR="00901EAD" w:rsidRPr="00C31D7B">
        <w:rPr>
          <w:lang w:val="en-GB"/>
        </w:rPr>
        <w:t>s o</w:t>
      </w:r>
      <w:r w:rsidR="00943276" w:rsidRPr="00C31D7B">
        <w:rPr>
          <w:lang w:val="en-GB"/>
        </w:rPr>
        <w:t xml:space="preserve">f </w:t>
      </w:r>
      <w:r w:rsidR="00901EAD" w:rsidRPr="00C31D7B">
        <w:rPr>
          <w:lang w:val="en-GB"/>
        </w:rPr>
        <w:t>identical standard</w:t>
      </w:r>
      <w:r w:rsidR="00943276" w:rsidRPr="00C31D7B">
        <w:rPr>
          <w:lang w:val="en-GB"/>
        </w:rPr>
        <w:t>.</w:t>
      </w:r>
      <w:r w:rsidR="003642E6" w:rsidRPr="00C31D7B">
        <w:rPr>
          <w:lang w:val="en-GB"/>
        </w:rPr>
        <w:t xml:space="preserve"> </w:t>
      </w:r>
      <w:r w:rsidRPr="00C31D7B">
        <w:rPr>
          <w:lang w:val="en-GB"/>
        </w:rPr>
        <w:t>Following the first week or two, students remained in their assigned seminar group for the rest of the course, which spanned two semesters, with</w:t>
      </w:r>
      <w:r w:rsidR="003642E6" w:rsidRPr="00C31D7B">
        <w:rPr>
          <w:lang w:val="en-GB"/>
        </w:rPr>
        <w:t xml:space="preserve"> 22 weeks of teaching in total.</w:t>
      </w:r>
    </w:p>
    <w:p w:rsidR="00EE1D90" w:rsidRPr="00C31D7B" w:rsidRDefault="00EE1D90" w:rsidP="003642E6">
      <w:pPr>
        <w:spacing w:after="120"/>
        <w:ind w:firstLine="720"/>
        <w:jc w:val="both"/>
        <w:rPr>
          <w:lang w:val="en-GB"/>
        </w:rPr>
      </w:pPr>
      <w:r w:rsidRPr="00C31D7B">
        <w:rPr>
          <w:lang w:val="en-GB"/>
        </w:rPr>
        <w:lastRenderedPageBreak/>
        <w:t>Assessment on this course consisted of a mix of group coursework, participation, individual assignments</w:t>
      </w:r>
      <w:r w:rsidR="00943276" w:rsidRPr="00C31D7B">
        <w:rPr>
          <w:lang w:val="en-GB"/>
        </w:rPr>
        <w:t>,</w:t>
      </w:r>
      <w:r w:rsidRPr="00C31D7B">
        <w:rPr>
          <w:lang w:val="en-GB"/>
        </w:rPr>
        <w:t xml:space="preserve"> and a final written two-hour exam. The final exam consisted of a case, which students were given to read in advance, and a number of undisclosed questions that students had to respond to in a closed-book exam setting. Assessment elements other than the exam varied somewhat from year to</w:t>
      </w:r>
      <w:r w:rsidR="00EB1197" w:rsidRPr="00C31D7B">
        <w:rPr>
          <w:lang w:val="en-GB"/>
        </w:rPr>
        <w:t xml:space="preserve"> year. Details are provided in T</w:t>
      </w:r>
      <w:r w:rsidRPr="00C31D7B">
        <w:rPr>
          <w:lang w:val="en-GB"/>
        </w:rPr>
        <w:t>able 1, along with some student demographics. We created a number of different variables for our analysis, the details of which are given below.</w:t>
      </w:r>
    </w:p>
    <w:p w:rsidR="002C69CA" w:rsidRPr="00C31D7B" w:rsidRDefault="002C69CA" w:rsidP="00B851D0">
      <w:pPr>
        <w:spacing w:after="120"/>
        <w:jc w:val="both"/>
        <w:rPr>
          <w:lang w:val="en-GB"/>
        </w:rPr>
      </w:pPr>
    </w:p>
    <w:p w:rsidR="00F82C04" w:rsidRPr="00C31D7B" w:rsidRDefault="00B019F0" w:rsidP="004E6403">
      <w:pPr>
        <w:spacing w:after="120"/>
        <w:jc w:val="both"/>
        <w:rPr>
          <w:b/>
          <w:lang w:val="en-GB"/>
        </w:rPr>
      </w:pPr>
      <w:r w:rsidRPr="00C31D7B">
        <w:rPr>
          <w:b/>
          <w:i/>
          <w:lang w:val="en-GB"/>
        </w:rPr>
        <w:t>Student identifier</w:t>
      </w:r>
      <w:r w:rsidR="008369EA" w:rsidRPr="00C31D7B">
        <w:rPr>
          <w:b/>
          <w:i/>
          <w:lang w:val="en-GB"/>
        </w:rPr>
        <w:t>, age,</w:t>
      </w:r>
      <w:r w:rsidRPr="00C31D7B">
        <w:rPr>
          <w:b/>
          <w:i/>
          <w:lang w:val="en-GB"/>
        </w:rPr>
        <w:t xml:space="preserve"> and gende</w:t>
      </w:r>
      <w:r w:rsidR="00E5691A" w:rsidRPr="00C31D7B">
        <w:rPr>
          <w:b/>
          <w:i/>
          <w:lang w:val="en-GB"/>
        </w:rPr>
        <w:t>r</w:t>
      </w:r>
      <w:r w:rsidR="005B52AF" w:rsidRPr="00C31D7B">
        <w:rPr>
          <w:b/>
          <w:i/>
          <w:lang w:val="en-GB"/>
        </w:rPr>
        <w:t>.</w:t>
      </w:r>
      <w:r w:rsidRPr="00C31D7B">
        <w:rPr>
          <w:lang w:val="en-GB"/>
        </w:rPr>
        <w:t xml:space="preserve"> We used university student numbers as unique identifiers and consulted the university’s student records to record gender (M/F)</w:t>
      </w:r>
      <w:r w:rsidR="008369EA" w:rsidRPr="00C31D7B">
        <w:rPr>
          <w:lang w:val="en-GB"/>
        </w:rPr>
        <w:t xml:space="preserve"> and age at university entry.</w:t>
      </w:r>
      <w:r w:rsidR="00F82C04" w:rsidRPr="00C31D7B">
        <w:rPr>
          <w:b/>
          <w:lang w:val="en-GB"/>
        </w:rPr>
        <w:t xml:space="preserve"> </w:t>
      </w:r>
    </w:p>
    <w:p w:rsidR="005B52AF" w:rsidRPr="00C31D7B" w:rsidRDefault="005B52AF" w:rsidP="004E6403">
      <w:pPr>
        <w:spacing w:after="120"/>
        <w:jc w:val="both"/>
        <w:rPr>
          <w:lang w:val="en-GB"/>
        </w:rPr>
      </w:pPr>
      <w:r w:rsidRPr="00C31D7B">
        <w:rPr>
          <w:b/>
          <w:i/>
          <w:lang w:val="en-GB"/>
        </w:rPr>
        <w:t>Academic year.</w:t>
      </w:r>
      <w:r w:rsidRPr="00C31D7B">
        <w:rPr>
          <w:lang w:val="en-GB"/>
        </w:rPr>
        <w:t xml:space="preserve"> We recorded the academic year the student </w:t>
      </w:r>
      <w:r w:rsidR="00C90CB7" w:rsidRPr="00C31D7B">
        <w:rPr>
          <w:lang w:val="en-GB"/>
        </w:rPr>
        <w:t>first attended the course, and in the case of re-examination recorded only the results of the first exam sitting. If a student took the entire course a second time, only the first year’s records were used.</w:t>
      </w:r>
      <w:r w:rsidR="00347C22" w:rsidRPr="00C31D7B">
        <w:rPr>
          <w:lang w:val="en-GB"/>
        </w:rPr>
        <w:t xml:space="preserve"> Dummy variables were created for each year.</w:t>
      </w:r>
      <w:r w:rsidR="002C69CA" w:rsidRPr="00C31D7B">
        <w:rPr>
          <w:lang w:val="en-GB"/>
        </w:rPr>
        <w:t xml:space="preserve"> As the exact exam differs every year, we would expect to see a cohort effect in our models.</w:t>
      </w:r>
    </w:p>
    <w:p w:rsidR="007C49F3" w:rsidRPr="00C31D7B" w:rsidRDefault="007C49F3" w:rsidP="007C49F3">
      <w:pPr>
        <w:spacing w:after="120"/>
        <w:jc w:val="both"/>
        <w:rPr>
          <w:lang w:val="en-GB"/>
        </w:rPr>
      </w:pPr>
      <w:r w:rsidRPr="00C31D7B">
        <w:rPr>
          <w:b/>
          <w:i/>
          <w:lang w:val="en-GB"/>
        </w:rPr>
        <w:t>Exam grade.</w:t>
      </w:r>
      <w:r w:rsidRPr="00C31D7B">
        <w:rPr>
          <w:lang w:val="en-GB"/>
        </w:rPr>
        <w:t xml:space="preserve"> The exam grade was recorded in percentage terms. The scale is from 0 to 100% and the pass level was 40%.</w:t>
      </w:r>
    </w:p>
    <w:p w:rsidR="00B019F0" w:rsidRPr="00C31D7B" w:rsidRDefault="00766676" w:rsidP="004E6403">
      <w:pPr>
        <w:spacing w:after="120"/>
        <w:jc w:val="both"/>
        <w:rPr>
          <w:lang w:val="en-GB"/>
        </w:rPr>
      </w:pPr>
      <w:r w:rsidRPr="00C31D7B">
        <w:rPr>
          <w:b/>
          <w:i/>
          <w:lang w:val="en-GB"/>
        </w:rPr>
        <w:t>A</w:t>
      </w:r>
      <w:r w:rsidR="00136337" w:rsidRPr="00C31D7B">
        <w:rPr>
          <w:b/>
          <w:i/>
          <w:lang w:val="en-GB"/>
        </w:rPr>
        <w:t>bility</w:t>
      </w:r>
      <w:r w:rsidRPr="00C31D7B">
        <w:rPr>
          <w:b/>
          <w:i/>
          <w:lang w:val="en-GB"/>
        </w:rPr>
        <w:t xml:space="preserve"> at entry</w:t>
      </w:r>
      <w:r w:rsidR="001654DD" w:rsidRPr="00C31D7B">
        <w:rPr>
          <w:b/>
          <w:i/>
          <w:lang w:val="en-GB"/>
        </w:rPr>
        <w:t xml:space="preserve"> (</w:t>
      </w:r>
      <w:r w:rsidRPr="00C31D7B">
        <w:rPr>
          <w:b/>
          <w:i/>
          <w:lang w:val="en-GB"/>
        </w:rPr>
        <w:t xml:space="preserve">UCAS </w:t>
      </w:r>
      <w:r w:rsidR="001654DD" w:rsidRPr="00C31D7B">
        <w:rPr>
          <w:b/>
          <w:i/>
          <w:lang w:val="en-GB"/>
        </w:rPr>
        <w:t xml:space="preserve">entry </w:t>
      </w:r>
      <w:r w:rsidRPr="00C31D7B">
        <w:rPr>
          <w:b/>
          <w:i/>
          <w:lang w:val="en-GB"/>
        </w:rPr>
        <w:t>score</w:t>
      </w:r>
      <w:r w:rsidR="001654DD" w:rsidRPr="00C31D7B">
        <w:rPr>
          <w:b/>
          <w:i/>
          <w:lang w:val="en-GB"/>
        </w:rPr>
        <w:t>)</w:t>
      </w:r>
      <w:r w:rsidR="005B52AF" w:rsidRPr="00C31D7B">
        <w:rPr>
          <w:b/>
          <w:i/>
          <w:lang w:val="en-GB"/>
        </w:rPr>
        <w:t>.</w:t>
      </w:r>
      <w:r w:rsidR="00B019F0" w:rsidRPr="00C31D7B">
        <w:rPr>
          <w:lang w:val="en-GB"/>
        </w:rPr>
        <w:t xml:space="preserve"> A commonly used control variable</w:t>
      </w:r>
      <w:r w:rsidR="005B52AF" w:rsidRPr="00C31D7B">
        <w:rPr>
          <w:lang w:val="en-GB"/>
        </w:rPr>
        <w:t xml:space="preserve"> in this type of study</w:t>
      </w:r>
      <w:r w:rsidR="00B019F0" w:rsidRPr="00C31D7B">
        <w:rPr>
          <w:lang w:val="en-GB"/>
        </w:rPr>
        <w:t xml:space="preserve"> is academic </w:t>
      </w:r>
      <w:r w:rsidRPr="00C31D7B">
        <w:rPr>
          <w:lang w:val="en-GB"/>
        </w:rPr>
        <w:t>ability</w:t>
      </w:r>
      <w:r w:rsidR="00B019F0" w:rsidRPr="00C31D7B">
        <w:rPr>
          <w:lang w:val="en-GB"/>
        </w:rPr>
        <w:t xml:space="preserve"> at entry</w:t>
      </w:r>
      <w:r w:rsidRPr="00C31D7B">
        <w:rPr>
          <w:lang w:val="en-GB"/>
        </w:rPr>
        <w:t xml:space="preserve"> as previously discussed</w:t>
      </w:r>
      <w:r w:rsidR="00B019F0" w:rsidRPr="00C31D7B">
        <w:rPr>
          <w:lang w:val="en-GB"/>
        </w:rPr>
        <w:t xml:space="preserve">. In the case of UK </w:t>
      </w:r>
      <w:r w:rsidR="00C342E4" w:rsidRPr="00C31D7B">
        <w:rPr>
          <w:lang w:val="en-GB"/>
        </w:rPr>
        <w:t>universities,</w:t>
      </w:r>
      <w:r w:rsidR="00B019F0" w:rsidRPr="00C31D7B">
        <w:rPr>
          <w:lang w:val="en-GB"/>
        </w:rPr>
        <w:t xml:space="preserve"> this is </w:t>
      </w:r>
      <w:r w:rsidR="00C342E4" w:rsidRPr="00C31D7B">
        <w:rPr>
          <w:lang w:val="en-GB"/>
        </w:rPr>
        <w:t>typically</w:t>
      </w:r>
      <w:r w:rsidR="00B019F0" w:rsidRPr="00C31D7B">
        <w:rPr>
          <w:lang w:val="en-GB"/>
        </w:rPr>
        <w:t xml:space="preserve"> coded as the UCAS (Universities and Colleges Admissions Service) </w:t>
      </w:r>
      <w:r w:rsidR="005B52AF" w:rsidRPr="00C31D7B">
        <w:rPr>
          <w:lang w:val="en-GB"/>
        </w:rPr>
        <w:t>entry</w:t>
      </w:r>
      <w:r w:rsidR="00C342E4" w:rsidRPr="00C31D7B">
        <w:rPr>
          <w:lang w:val="en-GB"/>
        </w:rPr>
        <w:t>, or tariff,</w:t>
      </w:r>
      <w:r w:rsidR="005B52AF" w:rsidRPr="00C31D7B">
        <w:rPr>
          <w:lang w:val="en-GB"/>
        </w:rPr>
        <w:t xml:space="preserve"> score. </w:t>
      </w:r>
      <w:r w:rsidR="00C342E4" w:rsidRPr="00C31D7B">
        <w:rPr>
          <w:lang w:val="en-GB"/>
        </w:rPr>
        <w:t xml:space="preserve">This score ranges from five to a </w:t>
      </w:r>
      <w:r w:rsidR="00737042" w:rsidRPr="00C31D7B">
        <w:rPr>
          <w:lang w:val="en-GB"/>
        </w:rPr>
        <w:t xml:space="preserve">theoretically </w:t>
      </w:r>
      <w:r w:rsidR="00C342E4" w:rsidRPr="00C31D7B">
        <w:rPr>
          <w:lang w:val="en-GB"/>
        </w:rPr>
        <w:t>maximally achievable 768 points, with higher entry qualifications and grades achieving higher tariff points</w:t>
      </w:r>
      <w:r w:rsidR="005B52AF" w:rsidRPr="00C31D7B">
        <w:rPr>
          <w:lang w:val="en-GB"/>
        </w:rPr>
        <w:t xml:space="preserve">. </w:t>
      </w:r>
      <w:r w:rsidR="00C342E4" w:rsidRPr="00C31D7B">
        <w:rPr>
          <w:lang w:val="en-GB"/>
        </w:rPr>
        <w:t xml:space="preserve">The score is not collected for students </w:t>
      </w:r>
      <w:r w:rsidR="00C342E4" w:rsidRPr="00C31D7B">
        <w:rPr>
          <w:lang w:val="en-GB"/>
        </w:rPr>
        <w:lastRenderedPageBreak/>
        <w:t xml:space="preserve">entering the university with non-UK qualifications, for mature students, and a range of other entrants. </w:t>
      </w:r>
      <w:r w:rsidR="00DF5D30" w:rsidRPr="00C31D7B">
        <w:rPr>
          <w:lang w:val="en-GB"/>
        </w:rPr>
        <w:t>W</w:t>
      </w:r>
      <w:r w:rsidR="00C342E4" w:rsidRPr="00C31D7B">
        <w:rPr>
          <w:lang w:val="en-GB"/>
        </w:rPr>
        <w:t>e were</w:t>
      </w:r>
      <w:r w:rsidR="00DF5D30" w:rsidRPr="00C31D7B">
        <w:rPr>
          <w:lang w:val="en-GB"/>
        </w:rPr>
        <w:t xml:space="preserve"> thus</w:t>
      </w:r>
      <w:r w:rsidR="00C342E4" w:rsidRPr="00C31D7B">
        <w:rPr>
          <w:lang w:val="en-GB"/>
        </w:rPr>
        <w:t xml:space="preserve"> only able to identify a UCAS entry tariff score for</w:t>
      </w:r>
      <w:r w:rsidRPr="00C31D7B">
        <w:rPr>
          <w:lang w:val="en-GB"/>
        </w:rPr>
        <w:t xml:space="preserve"> a total of 378 students.</w:t>
      </w:r>
    </w:p>
    <w:p w:rsidR="00C342E4" w:rsidRPr="00C31D7B" w:rsidRDefault="00C342E4" w:rsidP="004E6403">
      <w:pPr>
        <w:spacing w:after="120"/>
        <w:jc w:val="both"/>
        <w:rPr>
          <w:lang w:val="en-GB"/>
        </w:rPr>
      </w:pPr>
      <w:r w:rsidRPr="00C31D7B">
        <w:rPr>
          <w:b/>
          <w:i/>
          <w:lang w:val="en-GB"/>
        </w:rPr>
        <w:t>UCAS status.</w:t>
      </w:r>
      <w:r w:rsidRPr="00C31D7B">
        <w:rPr>
          <w:lang w:val="en-GB"/>
        </w:rPr>
        <w:t xml:space="preserve"> Due to the relatively high number of foreign students attending the university we decided to create a variable </w:t>
      </w:r>
      <w:r w:rsidR="002A11A7" w:rsidRPr="00C31D7B">
        <w:rPr>
          <w:lang w:val="en-GB"/>
        </w:rPr>
        <w:t>dividing students into three categories: home</w:t>
      </w:r>
      <w:r w:rsidR="00FF50DD" w:rsidRPr="00C31D7B">
        <w:rPr>
          <w:lang w:val="en-GB"/>
        </w:rPr>
        <w:t xml:space="preserve"> (UK)</w:t>
      </w:r>
      <w:r w:rsidR="002A11A7" w:rsidRPr="00C31D7B">
        <w:rPr>
          <w:lang w:val="en-GB"/>
        </w:rPr>
        <w:t xml:space="preserve"> students, EU students, and overseas students – reflecting their point of origin at university entry</w:t>
      </w:r>
      <w:r w:rsidRPr="00C31D7B">
        <w:rPr>
          <w:lang w:val="en-GB"/>
        </w:rPr>
        <w:t>.</w:t>
      </w:r>
    </w:p>
    <w:p w:rsidR="005B52AF" w:rsidRPr="00C31D7B" w:rsidRDefault="00C90CB7" w:rsidP="004E6403">
      <w:pPr>
        <w:spacing w:after="120"/>
        <w:jc w:val="both"/>
        <w:rPr>
          <w:lang w:val="en-GB"/>
        </w:rPr>
      </w:pPr>
      <w:r w:rsidRPr="00C31D7B">
        <w:rPr>
          <w:b/>
          <w:i/>
          <w:lang w:val="en-GB"/>
        </w:rPr>
        <w:t>Tutor.</w:t>
      </w:r>
      <w:r w:rsidRPr="00C31D7B">
        <w:rPr>
          <w:lang w:val="en-GB"/>
        </w:rPr>
        <w:t xml:space="preserve"> </w:t>
      </w:r>
      <w:r w:rsidR="00A5111B" w:rsidRPr="00C31D7B">
        <w:rPr>
          <w:lang w:val="en-GB"/>
        </w:rPr>
        <w:t>One tutor could teach several seminar groups.</w:t>
      </w:r>
      <w:r w:rsidRPr="00C31D7B">
        <w:rPr>
          <w:lang w:val="en-GB"/>
        </w:rPr>
        <w:t xml:space="preserve"> We recorded the names of tutors</w:t>
      </w:r>
      <w:r w:rsidR="00136337" w:rsidRPr="00C31D7B">
        <w:rPr>
          <w:lang w:val="en-GB"/>
        </w:rPr>
        <w:t xml:space="preserve"> and created dummy variables for these.</w:t>
      </w:r>
      <w:r w:rsidR="00A5111B" w:rsidRPr="00C31D7B">
        <w:rPr>
          <w:lang w:val="en-GB"/>
        </w:rPr>
        <w:t xml:space="preserve"> Although we do not measure the quality of tutoring as such, we can test whether differences related to each tutor can help explain exam scores.</w:t>
      </w:r>
    </w:p>
    <w:p w:rsidR="00C90CB7" w:rsidRPr="00C31D7B" w:rsidRDefault="00C90CB7" w:rsidP="004E6403">
      <w:pPr>
        <w:spacing w:after="120"/>
        <w:jc w:val="both"/>
        <w:rPr>
          <w:lang w:val="en-GB"/>
        </w:rPr>
      </w:pPr>
      <w:r w:rsidRPr="00C31D7B">
        <w:rPr>
          <w:b/>
          <w:i/>
          <w:lang w:val="en-GB"/>
        </w:rPr>
        <w:t>Scheduling day.</w:t>
      </w:r>
      <w:r w:rsidRPr="00C31D7B">
        <w:rPr>
          <w:lang w:val="en-GB"/>
        </w:rPr>
        <w:t xml:space="preserve"> Scheduling times are sometimes given as reasons for higher or lower attendance rates</w:t>
      </w:r>
      <w:r w:rsidR="00E35C18" w:rsidRPr="00C31D7B">
        <w:rPr>
          <w:lang w:val="en-GB"/>
        </w:rPr>
        <w:t xml:space="preserve"> (Marburger, 2006)</w:t>
      </w:r>
      <w:r w:rsidRPr="00C31D7B">
        <w:rPr>
          <w:lang w:val="en-GB"/>
        </w:rPr>
        <w:t>.</w:t>
      </w:r>
      <w:r w:rsidR="00E35C18" w:rsidRPr="00C31D7B">
        <w:rPr>
          <w:lang w:val="en-GB"/>
        </w:rPr>
        <w:t xml:space="preserve"> We therefore recorded the day seminars were scheduled (Monday to Friday)</w:t>
      </w:r>
      <w:r w:rsidR="00136337" w:rsidRPr="00C31D7B">
        <w:rPr>
          <w:lang w:val="en-GB"/>
        </w:rPr>
        <w:t>, and again created a series of dummy variables for these</w:t>
      </w:r>
      <w:r w:rsidR="00E35C18" w:rsidRPr="00C31D7B">
        <w:rPr>
          <w:lang w:val="en-GB"/>
        </w:rPr>
        <w:t>.</w:t>
      </w:r>
    </w:p>
    <w:p w:rsidR="00C90CB7" w:rsidRPr="00C31D7B" w:rsidRDefault="00C90CB7" w:rsidP="004E6403">
      <w:pPr>
        <w:spacing w:after="120"/>
        <w:jc w:val="both"/>
        <w:rPr>
          <w:lang w:val="en-GB"/>
        </w:rPr>
      </w:pPr>
      <w:r w:rsidRPr="00C31D7B">
        <w:rPr>
          <w:b/>
          <w:i/>
          <w:lang w:val="en-GB"/>
        </w:rPr>
        <w:t>Scheduling time.</w:t>
      </w:r>
      <w:r w:rsidRPr="00C31D7B">
        <w:rPr>
          <w:lang w:val="en-GB"/>
        </w:rPr>
        <w:t xml:space="preserve"> </w:t>
      </w:r>
      <w:r w:rsidR="00E35C18" w:rsidRPr="00C31D7B">
        <w:rPr>
          <w:lang w:val="en-GB"/>
        </w:rPr>
        <w:t xml:space="preserve">Similar to </w:t>
      </w:r>
      <w:r w:rsidR="002A11A7" w:rsidRPr="00C31D7B">
        <w:rPr>
          <w:lang w:val="en-GB"/>
        </w:rPr>
        <w:t xml:space="preserve">the </w:t>
      </w:r>
      <w:r w:rsidR="00E35C18" w:rsidRPr="00C31D7B">
        <w:rPr>
          <w:lang w:val="en-GB"/>
        </w:rPr>
        <w:t>above, we also recorded the times seminars were scheduled. To simplify the analysis, we chose to code the seminar times as “early AM” (for a class start anywhere between 8 and 10am), “late AM” (for a class start later than 10am but before 12noon), “early PM” (for a class start later than 12noon but earlier than 3pm), and “late PM” (for a class start at 3pm or later).</w:t>
      </w:r>
      <w:r w:rsidR="00DF5D30" w:rsidRPr="00C31D7B">
        <w:rPr>
          <w:lang w:val="en-GB"/>
        </w:rPr>
        <w:t xml:space="preserve"> Dummy variables were then created for each.</w:t>
      </w:r>
      <w:r w:rsidR="00FF50DD" w:rsidRPr="00C31D7B">
        <w:rPr>
          <w:lang w:val="en-GB"/>
        </w:rPr>
        <w:t xml:space="preserve"> As noted previously, data was missing for some students.</w:t>
      </w:r>
    </w:p>
    <w:p w:rsidR="00E35C18" w:rsidRPr="00C31D7B" w:rsidRDefault="00E35C18" w:rsidP="004E6403">
      <w:pPr>
        <w:spacing w:after="120"/>
        <w:jc w:val="both"/>
        <w:rPr>
          <w:lang w:val="en-GB"/>
        </w:rPr>
      </w:pPr>
      <w:r w:rsidRPr="00C31D7B">
        <w:rPr>
          <w:b/>
          <w:i/>
          <w:lang w:val="en-GB"/>
        </w:rPr>
        <w:t>Attendance level.</w:t>
      </w:r>
      <w:r w:rsidRPr="00C31D7B">
        <w:rPr>
          <w:lang w:val="en-GB"/>
        </w:rPr>
        <w:t xml:space="preserve"> We measured attendance</w:t>
      </w:r>
      <w:r w:rsidR="009A6D4B" w:rsidRPr="00C31D7B">
        <w:rPr>
          <w:lang w:val="en-GB"/>
        </w:rPr>
        <w:t xml:space="preserve"> in percentage</w:t>
      </w:r>
      <w:r w:rsidRPr="00C31D7B">
        <w:rPr>
          <w:lang w:val="en-GB"/>
        </w:rPr>
        <w:t xml:space="preserve"> for three cohorts, based on attendance records kept by seminar tutors. It should be noted, as outlined in Table 1, that for the </w:t>
      </w:r>
      <w:r w:rsidR="00DF5D30" w:rsidRPr="00C31D7B">
        <w:rPr>
          <w:lang w:val="en-GB"/>
        </w:rPr>
        <w:t>third</w:t>
      </w:r>
      <w:r w:rsidRPr="00C31D7B">
        <w:rPr>
          <w:lang w:val="en-GB"/>
        </w:rPr>
        <w:t xml:space="preserve"> cohort the attendance mark was </w:t>
      </w:r>
      <w:r w:rsidR="00AB373F" w:rsidRPr="00C31D7B">
        <w:rPr>
          <w:lang w:val="en-GB"/>
        </w:rPr>
        <w:t xml:space="preserve">a measure of </w:t>
      </w:r>
      <w:r w:rsidRPr="00C31D7B">
        <w:rPr>
          <w:lang w:val="en-GB"/>
        </w:rPr>
        <w:t xml:space="preserve">attendance, </w:t>
      </w:r>
      <w:r w:rsidR="00AB373F" w:rsidRPr="00C31D7B">
        <w:rPr>
          <w:lang w:val="en-GB"/>
        </w:rPr>
        <w:t>but with minor adjustments for preparation and</w:t>
      </w:r>
      <w:r w:rsidRPr="00C31D7B">
        <w:rPr>
          <w:lang w:val="en-GB"/>
        </w:rPr>
        <w:t xml:space="preserve"> participation in class.</w:t>
      </w:r>
      <w:r w:rsidR="005079B6" w:rsidRPr="00C31D7B">
        <w:rPr>
          <w:lang w:val="en-GB"/>
        </w:rPr>
        <w:t xml:space="preserve"> </w:t>
      </w:r>
      <w:r w:rsidR="00AB373F" w:rsidRPr="00C31D7B">
        <w:rPr>
          <w:lang w:val="en-GB"/>
        </w:rPr>
        <w:t>The data for this cohort is therefo</w:t>
      </w:r>
      <w:r w:rsidR="00DF5D30" w:rsidRPr="00C31D7B">
        <w:rPr>
          <w:lang w:val="en-GB"/>
        </w:rPr>
        <w:t>re only a proxy for attendance.</w:t>
      </w:r>
    </w:p>
    <w:p w:rsidR="003F3715" w:rsidRPr="00C31D7B" w:rsidRDefault="003F3715" w:rsidP="004E6403">
      <w:pPr>
        <w:spacing w:after="120"/>
        <w:jc w:val="both"/>
        <w:rPr>
          <w:lang w:val="en-GB"/>
        </w:rPr>
      </w:pPr>
    </w:p>
    <w:p w:rsidR="003F3715" w:rsidRPr="00C31D7B" w:rsidRDefault="003F3715" w:rsidP="003F3715">
      <w:pPr>
        <w:spacing w:after="120"/>
        <w:ind w:firstLine="720"/>
        <w:jc w:val="both"/>
        <w:rPr>
          <w:lang w:val="en-GB"/>
        </w:rPr>
      </w:pPr>
      <w:r w:rsidRPr="00C31D7B">
        <w:rPr>
          <w:lang w:val="en-GB"/>
        </w:rPr>
        <w:t xml:space="preserve">We </w:t>
      </w:r>
      <w:r w:rsidR="00E428B4" w:rsidRPr="00C31D7B">
        <w:rPr>
          <w:lang w:val="en-GB"/>
        </w:rPr>
        <w:t xml:space="preserve">should emphasize at this stage that we </w:t>
      </w:r>
      <w:r w:rsidRPr="00C31D7B">
        <w:rPr>
          <w:lang w:val="en-GB"/>
        </w:rPr>
        <w:t xml:space="preserve">recognize the limitations that our research design imposes and will comment on some of these </w:t>
      </w:r>
      <w:r w:rsidR="009D59B4" w:rsidRPr="00C31D7B">
        <w:rPr>
          <w:lang w:val="en-GB"/>
        </w:rPr>
        <w:t>in</w:t>
      </w:r>
      <w:r w:rsidRPr="00C31D7B">
        <w:rPr>
          <w:lang w:val="en-GB"/>
        </w:rPr>
        <w:t xml:space="preserve"> the </w:t>
      </w:r>
      <w:r w:rsidR="009D59B4" w:rsidRPr="00C31D7B">
        <w:rPr>
          <w:lang w:val="en-GB"/>
        </w:rPr>
        <w:t>results and conclusion</w:t>
      </w:r>
      <w:r w:rsidRPr="00C31D7B">
        <w:rPr>
          <w:lang w:val="en-GB"/>
        </w:rPr>
        <w:t xml:space="preserve"> section</w:t>
      </w:r>
      <w:r w:rsidR="009D59B4" w:rsidRPr="00C31D7B">
        <w:rPr>
          <w:lang w:val="en-GB"/>
        </w:rPr>
        <w:t>s</w:t>
      </w:r>
      <w:r w:rsidRPr="00C31D7B">
        <w:rPr>
          <w:lang w:val="en-GB"/>
        </w:rPr>
        <w:t>. We were, for example, not able to go back in time to conduct psychometric testing of any kind, and did not have the option of setting up an experimental research design.</w:t>
      </w:r>
    </w:p>
    <w:p w:rsidR="00B019F0" w:rsidRPr="00C31D7B" w:rsidRDefault="00B019F0" w:rsidP="004E6403">
      <w:pPr>
        <w:jc w:val="center"/>
        <w:rPr>
          <w:lang w:val="en-GB"/>
        </w:rPr>
      </w:pPr>
      <w:r w:rsidRPr="00C31D7B">
        <w:rPr>
          <w:lang w:val="en-GB"/>
        </w:rPr>
        <w:t>-------------</w:t>
      </w:r>
    </w:p>
    <w:p w:rsidR="00B019F0" w:rsidRPr="00C31D7B" w:rsidRDefault="00B019F0" w:rsidP="004E6403">
      <w:pPr>
        <w:jc w:val="center"/>
        <w:rPr>
          <w:lang w:val="en-GB"/>
        </w:rPr>
      </w:pPr>
      <w:r w:rsidRPr="00C31D7B">
        <w:rPr>
          <w:lang w:val="en-GB"/>
        </w:rPr>
        <w:t>T</w:t>
      </w:r>
      <w:r w:rsidR="00DF5D30" w:rsidRPr="00C31D7B">
        <w:rPr>
          <w:lang w:val="en-GB"/>
        </w:rPr>
        <w:t>ables</w:t>
      </w:r>
      <w:r w:rsidRPr="00C31D7B">
        <w:rPr>
          <w:lang w:val="en-GB"/>
        </w:rPr>
        <w:t xml:space="preserve"> 1</w:t>
      </w:r>
      <w:r w:rsidR="00DF5D30" w:rsidRPr="00C31D7B">
        <w:rPr>
          <w:lang w:val="en-GB"/>
        </w:rPr>
        <w:t xml:space="preserve"> and 2</w:t>
      </w:r>
      <w:r w:rsidR="00716F4A" w:rsidRPr="00C31D7B">
        <w:rPr>
          <w:lang w:val="en-GB"/>
        </w:rPr>
        <w:t xml:space="preserve"> </w:t>
      </w:r>
      <w:r w:rsidRPr="00C31D7B">
        <w:rPr>
          <w:lang w:val="en-GB"/>
        </w:rPr>
        <w:t>about here</w:t>
      </w:r>
    </w:p>
    <w:p w:rsidR="008369EA" w:rsidRPr="00C31D7B" w:rsidRDefault="008369EA" w:rsidP="008369EA">
      <w:pPr>
        <w:jc w:val="center"/>
        <w:rPr>
          <w:lang w:val="en-GB"/>
        </w:rPr>
      </w:pPr>
      <w:r w:rsidRPr="00C31D7B">
        <w:rPr>
          <w:lang w:val="en-GB"/>
        </w:rPr>
        <w:t>-------------</w:t>
      </w:r>
    </w:p>
    <w:p w:rsidR="008369EA" w:rsidRPr="00C31D7B" w:rsidRDefault="008369EA" w:rsidP="004E6403">
      <w:pPr>
        <w:jc w:val="center"/>
        <w:rPr>
          <w:lang w:val="en-GB"/>
        </w:rPr>
      </w:pPr>
    </w:p>
    <w:p w:rsidR="007C49F3" w:rsidRPr="00C31D7B" w:rsidRDefault="008369EA" w:rsidP="008369EA">
      <w:pPr>
        <w:spacing w:after="120"/>
        <w:jc w:val="center"/>
        <w:rPr>
          <w:b/>
          <w:bCs/>
          <w:lang w:val="en-GB"/>
        </w:rPr>
      </w:pPr>
      <w:r w:rsidRPr="00C31D7B">
        <w:rPr>
          <w:b/>
          <w:bCs/>
          <w:lang w:val="en-GB"/>
        </w:rPr>
        <w:t>RESULTS</w:t>
      </w:r>
    </w:p>
    <w:p w:rsidR="008369EA" w:rsidRPr="00C31D7B" w:rsidRDefault="008369EA" w:rsidP="007D63C8">
      <w:pPr>
        <w:spacing w:after="120"/>
        <w:rPr>
          <w:b/>
          <w:bCs/>
          <w:lang w:val="en-GB"/>
        </w:rPr>
      </w:pPr>
    </w:p>
    <w:p w:rsidR="00F1057D" w:rsidRPr="00C31D7B" w:rsidRDefault="00343422" w:rsidP="004E6403">
      <w:pPr>
        <w:spacing w:after="120"/>
        <w:ind w:firstLine="720"/>
        <w:jc w:val="both"/>
        <w:rPr>
          <w:lang w:val="en-GB"/>
        </w:rPr>
      </w:pPr>
      <w:r w:rsidRPr="00C31D7B">
        <w:rPr>
          <w:lang w:val="en-GB"/>
        </w:rPr>
        <w:t xml:space="preserve">Table 2 contains descriptive statistics of exam scores and </w:t>
      </w:r>
      <w:r w:rsidR="00766676" w:rsidRPr="00C31D7B">
        <w:rPr>
          <w:lang w:val="en-GB"/>
        </w:rPr>
        <w:t>ability at entry (</w:t>
      </w:r>
      <w:r w:rsidRPr="00C31D7B">
        <w:rPr>
          <w:lang w:val="en-GB"/>
        </w:rPr>
        <w:t>UCAS entry scores</w:t>
      </w:r>
      <w:r w:rsidR="00766676" w:rsidRPr="00C31D7B">
        <w:rPr>
          <w:lang w:val="en-GB"/>
        </w:rPr>
        <w:t>)</w:t>
      </w:r>
      <w:r w:rsidRPr="00C31D7B">
        <w:rPr>
          <w:lang w:val="en-GB"/>
        </w:rPr>
        <w:t>. An initial exploration of the dataset involved visual and statistical inspections of the distributions of the continuous variables attendance and exam grade. A few outliers with very low exam or attendance scores were kept in the sample. There were also a few missing data points. To test the attendance-performance association w</w:t>
      </w:r>
      <w:r w:rsidR="00091BBB" w:rsidRPr="00C31D7B">
        <w:rPr>
          <w:lang w:val="en-GB"/>
        </w:rPr>
        <w:t>e constructed linear multiple regression model</w:t>
      </w:r>
      <w:r w:rsidR="00766676" w:rsidRPr="00C31D7B">
        <w:rPr>
          <w:lang w:val="en-GB"/>
        </w:rPr>
        <w:t>s</w:t>
      </w:r>
      <w:r w:rsidR="0001120B" w:rsidRPr="00C31D7B">
        <w:rPr>
          <w:lang w:val="en-GB"/>
        </w:rPr>
        <w:t xml:space="preserve"> with exam score as the dependent variable.</w:t>
      </w:r>
      <w:r w:rsidR="00564396" w:rsidRPr="00C31D7B">
        <w:rPr>
          <w:lang w:val="en-GB"/>
        </w:rPr>
        <w:t xml:space="preserve"> Table</w:t>
      </w:r>
      <w:r w:rsidRPr="00C31D7B">
        <w:rPr>
          <w:lang w:val="en-GB"/>
        </w:rPr>
        <w:t xml:space="preserve"> </w:t>
      </w:r>
      <w:r w:rsidR="00EB4EF4" w:rsidRPr="00C31D7B">
        <w:rPr>
          <w:lang w:val="en-GB"/>
        </w:rPr>
        <w:t>3</w:t>
      </w:r>
      <w:r w:rsidR="00564396" w:rsidRPr="00C31D7B">
        <w:rPr>
          <w:lang w:val="en-GB"/>
        </w:rPr>
        <w:t xml:space="preserve"> </w:t>
      </w:r>
      <w:r w:rsidR="00AB5551" w:rsidRPr="00C31D7B">
        <w:rPr>
          <w:lang w:val="en-GB"/>
        </w:rPr>
        <w:t>contain</w:t>
      </w:r>
      <w:r w:rsidRPr="00C31D7B">
        <w:rPr>
          <w:lang w:val="en-GB"/>
        </w:rPr>
        <w:t>s</w:t>
      </w:r>
      <w:r w:rsidR="000135AA" w:rsidRPr="00C31D7B">
        <w:rPr>
          <w:lang w:val="en-GB"/>
        </w:rPr>
        <w:t xml:space="preserve"> the regression model results</w:t>
      </w:r>
      <w:r w:rsidR="00B05F56" w:rsidRPr="00C31D7B">
        <w:rPr>
          <w:lang w:val="en-GB"/>
        </w:rPr>
        <w:t xml:space="preserve">. </w:t>
      </w:r>
      <w:r w:rsidR="00ED5B78" w:rsidRPr="00C31D7B">
        <w:rPr>
          <w:lang w:val="en-GB"/>
        </w:rPr>
        <w:t xml:space="preserve">The first model excludes </w:t>
      </w:r>
      <w:r w:rsidR="00766676" w:rsidRPr="00C31D7B">
        <w:rPr>
          <w:lang w:val="en-GB"/>
        </w:rPr>
        <w:t>ability at entry</w:t>
      </w:r>
      <w:r w:rsidR="00ED5B78" w:rsidRPr="00C31D7B">
        <w:rPr>
          <w:lang w:val="en-GB"/>
        </w:rPr>
        <w:t xml:space="preserve">, with </w:t>
      </w:r>
      <w:r w:rsidR="006D0D2B" w:rsidRPr="00C31D7B">
        <w:rPr>
          <w:lang w:val="en-GB"/>
        </w:rPr>
        <w:t>the previously reported</w:t>
      </w:r>
      <w:r w:rsidR="00ED5B78" w:rsidRPr="00C31D7B">
        <w:rPr>
          <w:lang w:val="en-GB"/>
        </w:rPr>
        <w:t xml:space="preserve"> sample size of 674 students (r</w:t>
      </w:r>
      <w:r w:rsidR="00ED5B78" w:rsidRPr="00C31D7B">
        <w:rPr>
          <w:vertAlign w:val="superscript"/>
          <w:lang w:val="en-GB"/>
        </w:rPr>
        <w:t>2</w:t>
      </w:r>
      <w:r w:rsidR="00ED5B78" w:rsidRPr="00C31D7B">
        <w:rPr>
          <w:lang w:val="en-GB"/>
        </w:rPr>
        <w:t xml:space="preserve"> = .23). </w:t>
      </w:r>
      <w:r w:rsidR="00B05F56" w:rsidRPr="00C31D7B">
        <w:rPr>
          <w:lang w:val="en-GB"/>
        </w:rPr>
        <w:t xml:space="preserve">The </w:t>
      </w:r>
      <w:r w:rsidR="00ED5B78" w:rsidRPr="00C31D7B">
        <w:rPr>
          <w:lang w:val="en-GB"/>
        </w:rPr>
        <w:t>second</w:t>
      </w:r>
      <w:r w:rsidR="00B05F56" w:rsidRPr="00C31D7B">
        <w:rPr>
          <w:lang w:val="en-GB"/>
        </w:rPr>
        <w:t xml:space="preserve"> </w:t>
      </w:r>
      <w:r w:rsidRPr="00C31D7B">
        <w:rPr>
          <w:lang w:val="en-GB"/>
        </w:rPr>
        <w:t>model includ</w:t>
      </w:r>
      <w:r w:rsidR="00B05F56" w:rsidRPr="00C31D7B">
        <w:rPr>
          <w:lang w:val="en-GB"/>
        </w:rPr>
        <w:t>es</w:t>
      </w:r>
      <w:r w:rsidRPr="00C31D7B">
        <w:rPr>
          <w:lang w:val="en-GB"/>
        </w:rPr>
        <w:t xml:space="preserve"> </w:t>
      </w:r>
      <w:r w:rsidR="00766676" w:rsidRPr="00C31D7B">
        <w:rPr>
          <w:lang w:val="en-GB"/>
        </w:rPr>
        <w:t>ability at entry</w:t>
      </w:r>
      <w:r w:rsidRPr="00C31D7B">
        <w:rPr>
          <w:lang w:val="en-GB"/>
        </w:rPr>
        <w:t xml:space="preserve">, with a resulting sample size of </w:t>
      </w:r>
      <w:r w:rsidR="00EB4EF4" w:rsidRPr="00C31D7B">
        <w:rPr>
          <w:lang w:val="en-GB"/>
        </w:rPr>
        <w:t>296 students</w:t>
      </w:r>
      <w:r w:rsidR="005959C3" w:rsidRPr="00C31D7B">
        <w:rPr>
          <w:lang w:val="en-GB"/>
        </w:rPr>
        <w:t xml:space="preserve"> (r</w:t>
      </w:r>
      <w:r w:rsidR="005959C3" w:rsidRPr="00C31D7B">
        <w:rPr>
          <w:vertAlign w:val="superscript"/>
          <w:lang w:val="en-GB"/>
        </w:rPr>
        <w:t>2</w:t>
      </w:r>
      <w:r w:rsidR="005959C3" w:rsidRPr="00C31D7B">
        <w:rPr>
          <w:lang w:val="en-GB"/>
        </w:rPr>
        <w:t xml:space="preserve"> = .2</w:t>
      </w:r>
      <w:r w:rsidR="00ED5B78" w:rsidRPr="00C31D7B">
        <w:rPr>
          <w:lang w:val="en-GB"/>
        </w:rPr>
        <w:t>7</w:t>
      </w:r>
      <w:r w:rsidR="005959C3" w:rsidRPr="00C31D7B">
        <w:rPr>
          <w:lang w:val="en-GB"/>
        </w:rPr>
        <w:t>)</w:t>
      </w:r>
      <w:r w:rsidR="000135AA" w:rsidRPr="00C31D7B">
        <w:rPr>
          <w:lang w:val="en-GB"/>
        </w:rPr>
        <w:t>.</w:t>
      </w:r>
      <w:r w:rsidR="00EB4EF4" w:rsidRPr="00C31D7B">
        <w:rPr>
          <w:lang w:val="en-GB"/>
        </w:rPr>
        <w:t xml:space="preserve"> </w:t>
      </w:r>
      <w:r w:rsidR="00F6656A" w:rsidRPr="00C31D7B">
        <w:rPr>
          <w:lang w:val="en-GB"/>
        </w:rPr>
        <w:t>Residuals were confirmed to be normally distributed for both models through a combination of visual inspections and a Kolmogorov-Smirnov test.</w:t>
      </w:r>
    </w:p>
    <w:p w:rsidR="00B54F80" w:rsidRPr="00C31D7B" w:rsidRDefault="00B54F80" w:rsidP="00B54F80">
      <w:pPr>
        <w:jc w:val="center"/>
        <w:rPr>
          <w:lang w:val="en-GB"/>
        </w:rPr>
      </w:pPr>
      <w:r w:rsidRPr="00C31D7B">
        <w:rPr>
          <w:lang w:val="en-GB"/>
        </w:rPr>
        <w:t>-------------</w:t>
      </w:r>
    </w:p>
    <w:p w:rsidR="00B54F80" w:rsidRPr="00C31D7B" w:rsidRDefault="00B54F80" w:rsidP="00B54F80">
      <w:pPr>
        <w:jc w:val="center"/>
        <w:rPr>
          <w:lang w:val="en-GB"/>
        </w:rPr>
      </w:pPr>
      <w:r w:rsidRPr="00C31D7B">
        <w:rPr>
          <w:lang w:val="en-GB"/>
        </w:rPr>
        <w:lastRenderedPageBreak/>
        <w:t>Table 3 about here</w:t>
      </w:r>
    </w:p>
    <w:p w:rsidR="00B54F80" w:rsidRPr="00C31D7B" w:rsidRDefault="00B54F80" w:rsidP="00B54F80">
      <w:pPr>
        <w:jc w:val="center"/>
        <w:rPr>
          <w:lang w:val="en-GB"/>
        </w:rPr>
      </w:pPr>
      <w:r w:rsidRPr="00C31D7B">
        <w:rPr>
          <w:lang w:val="en-GB"/>
        </w:rPr>
        <w:t>-------------</w:t>
      </w:r>
    </w:p>
    <w:p w:rsidR="00B54F80" w:rsidRPr="00C31D7B" w:rsidRDefault="00B54F80" w:rsidP="004E6403">
      <w:pPr>
        <w:spacing w:after="120"/>
        <w:ind w:firstLine="720"/>
        <w:jc w:val="both"/>
        <w:rPr>
          <w:lang w:val="en-GB"/>
        </w:rPr>
      </w:pPr>
    </w:p>
    <w:p w:rsidR="00F27E8D" w:rsidRPr="00C31D7B" w:rsidRDefault="00F1057D" w:rsidP="004E6403">
      <w:pPr>
        <w:spacing w:after="120"/>
        <w:ind w:firstLine="720"/>
        <w:jc w:val="both"/>
        <w:rPr>
          <w:lang w:val="en-GB"/>
        </w:rPr>
      </w:pPr>
      <w:r w:rsidRPr="00C31D7B">
        <w:rPr>
          <w:lang w:val="en-GB"/>
        </w:rPr>
        <w:t xml:space="preserve">As previously discussed, only home (UK) students entering through the university clearing system have a UCAS score. </w:t>
      </w:r>
      <w:r w:rsidR="00EB4EF4" w:rsidRPr="00C31D7B">
        <w:rPr>
          <w:lang w:val="en-GB"/>
        </w:rPr>
        <w:t xml:space="preserve">An ANOVA test comparing the mean exam scores of </w:t>
      </w:r>
      <w:r w:rsidR="00560CD8" w:rsidRPr="00C31D7B">
        <w:rPr>
          <w:lang w:val="en-GB"/>
        </w:rPr>
        <w:t xml:space="preserve">students with </w:t>
      </w:r>
      <w:r w:rsidR="00EE6AFC" w:rsidRPr="00C31D7B">
        <w:rPr>
          <w:lang w:val="en-GB"/>
        </w:rPr>
        <w:t xml:space="preserve">a </w:t>
      </w:r>
      <w:r w:rsidR="00560CD8" w:rsidRPr="00C31D7B">
        <w:rPr>
          <w:lang w:val="en-GB"/>
        </w:rPr>
        <w:t>UCAS score (mean of 40.80) and without a UCAS score (mean of 38.35)</w:t>
      </w:r>
      <w:r w:rsidR="00EB4EF4" w:rsidRPr="00C31D7B">
        <w:rPr>
          <w:lang w:val="en-GB"/>
        </w:rPr>
        <w:t>, revealed that these were different (</w:t>
      </w:r>
      <w:r w:rsidR="00EB4EF4" w:rsidRPr="00C31D7B">
        <w:rPr>
          <w:i/>
          <w:lang w:val="en-GB"/>
        </w:rPr>
        <w:t>F</w:t>
      </w:r>
      <w:r w:rsidR="00EB4EF4" w:rsidRPr="00C31D7B">
        <w:rPr>
          <w:lang w:val="en-GB"/>
        </w:rPr>
        <w:t xml:space="preserve"> = </w:t>
      </w:r>
      <w:r w:rsidR="00560CD8" w:rsidRPr="00C31D7B">
        <w:rPr>
          <w:lang w:val="en-GB"/>
        </w:rPr>
        <w:t>5</w:t>
      </w:r>
      <w:r w:rsidR="00EB4EF4" w:rsidRPr="00C31D7B">
        <w:rPr>
          <w:lang w:val="en-GB"/>
        </w:rPr>
        <w:t>.</w:t>
      </w:r>
      <w:r w:rsidR="00560CD8" w:rsidRPr="00C31D7B">
        <w:rPr>
          <w:lang w:val="en-GB"/>
        </w:rPr>
        <w:t>259</w:t>
      </w:r>
      <w:r w:rsidR="00EB4EF4" w:rsidRPr="00C31D7B">
        <w:rPr>
          <w:lang w:val="en-GB"/>
        </w:rPr>
        <w:t xml:space="preserve">; </w:t>
      </w:r>
      <w:r w:rsidR="00ED5B78" w:rsidRPr="00C31D7B">
        <w:rPr>
          <w:i/>
          <w:lang w:val="en-GB"/>
        </w:rPr>
        <w:t>p</w:t>
      </w:r>
      <w:r w:rsidR="00EB4EF4" w:rsidRPr="00C31D7B">
        <w:rPr>
          <w:lang w:val="en-GB"/>
        </w:rPr>
        <w:t xml:space="preserve"> = .</w:t>
      </w:r>
      <w:r w:rsidR="00560CD8" w:rsidRPr="00C31D7B">
        <w:rPr>
          <w:lang w:val="en-GB"/>
        </w:rPr>
        <w:t>022</w:t>
      </w:r>
      <w:r w:rsidR="00EB4EF4" w:rsidRPr="00C31D7B">
        <w:rPr>
          <w:lang w:val="en-GB"/>
        </w:rPr>
        <w:t xml:space="preserve">). </w:t>
      </w:r>
      <w:r w:rsidRPr="00C31D7B">
        <w:rPr>
          <w:lang w:val="en-GB"/>
        </w:rPr>
        <w:t xml:space="preserve">It is therefore necessary to examine the results of these two models separately. </w:t>
      </w:r>
      <w:r w:rsidR="00560CD8" w:rsidRPr="00C31D7B">
        <w:rPr>
          <w:lang w:val="en-GB"/>
        </w:rPr>
        <w:t>We decided to conduct a further analysis, this time comparing the mean exam scores and attendance levels of all home (UK), EU, and overseas students</w:t>
      </w:r>
      <w:r w:rsidR="00EE6AFC" w:rsidRPr="00C31D7B">
        <w:rPr>
          <w:lang w:val="en-GB"/>
        </w:rPr>
        <w:t>,</w:t>
      </w:r>
      <w:r w:rsidR="00560CD8" w:rsidRPr="00C31D7B">
        <w:rPr>
          <w:lang w:val="en-GB"/>
        </w:rPr>
        <w:t xml:space="preserve"> in our original full data set of 756 students. For this larger </w:t>
      </w:r>
      <w:r w:rsidR="00EE6AFC" w:rsidRPr="00C31D7B">
        <w:rPr>
          <w:lang w:val="en-GB"/>
        </w:rPr>
        <w:t>dataset an</w:t>
      </w:r>
      <w:r w:rsidR="00560CD8" w:rsidRPr="00C31D7B">
        <w:rPr>
          <w:lang w:val="en-GB"/>
        </w:rPr>
        <w:t xml:space="preserve"> ANOVA test comparing the mean exam scores of home students, EU students, and overseas students, revealed that these were not significantly different (</w:t>
      </w:r>
      <w:r w:rsidR="00560CD8" w:rsidRPr="00C31D7B">
        <w:rPr>
          <w:i/>
          <w:lang w:val="en-GB"/>
        </w:rPr>
        <w:t>F</w:t>
      </w:r>
      <w:r w:rsidR="00560CD8" w:rsidRPr="00C31D7B">
        <w:rPr>
          <w:lang w:val="en-GB"/>
        </w:rPr>
        <w:t xml:space="preserve"> = 1.826; </w:t>
      </w:r>
      <w:r w:rsidR="00560CD8" w:rsidRPr="00C31D7B">
        <w:rPr>
          <w:i/>
          <w:lang w:val="en-GB"/>
        </w:rPr>
        <w:t>p</w:t>
      </w:r>
      <w:r w:rsidR="00560CD8" w:rsidRPr="00C31D7B">
        <w:rPr>
          <w:lang w:val="en-GB"/>
        </w:rPr>
        <w:t xml:space="preserve"> = .141). Neither were the attendance levels (</w:t>
      </w:r>
      <w:r w:rsidR="00560CD8" w:rsidRPr="00C31D7B">
        <w:rPr>
          <w:i/>
          <w:lang w:val="en-GB"/>
        </w:rPr>
        <w:t>F</w:t>
      </w:r>
      <w:r w:rsidR="00560CD8" w:rsidRPr="00C31D7B">
        <w:rPr>
          <w:lang w:val="en-GB"/>
        </w:rPr>
        <w:t xml:space="preserve"> = 1.507; </w:t>
      </w:r>
      <w:r w:rsidR="00560CD8" w:rsidRPr="00C31D7B">
        <w:rPr>
          <w:i/>
          <w:lang w:val="en-GB"/>
        </w:rPr>
        <w:t>p</w:t>
      </w:r>
      <w:r w:rsidR="00560CD8" w:rsidRPr="00C31D7B">
        <w:rPr>
          <w:lang w:val="en-GB"/>
        </w:rPr>
        <w:t xml:space="preserve"> = .211). </w:t>
      </w:r>
      <w:r w:rsidR="00766676" w:rsidRPr="00C31D7B">
        <w:rPr>
          <w:lang w:val="en-GB"/>
        </w:rPr>
        <w:t xml:space="preserve">In the case of 4 students the </w:t>
      </w:r>
      <w:r w:rsidR="006A5CE2" w:rsidRPr="00C31D7B">
        <w:rPr>
          <w:lang w:val="en-GB"/>
        </w:rPr>
        <w:t xml:space="preserve">student status was missing. </w:t>
      </w:r>
      <w:r w:rsidR="00EB4EF4" w:rsidRPr="00C31D7B">
        <w:rPr>
          <w:lang w:val="en-GB"/>
        </w:rPr>
        <w:t>The corresponding means and standard devi</w:t>
      </w:r>
      <w:r w:rsidR="002C69CA" w:rsidRPr="00C31D7B">
        <w:rPr>
          <w:lang w:val="en-GB"/>
        </w:rPr>
        <w:t>ations are found in T</w:t>
      </w:r>
      <w:r w:rsidR="00EB4EF4" w:rsidRPr="00C31D7B">
        <w:rPr>
          <w:lang w:val="en-GB"/>
        </w:rPr>
        <w:t xml:space="preserve">able </w:t>
      </w:r>
      <w:r w:rsidR="00B05F56" w:rsidRPr="00C31D7B">
        <w:rPr>
          <w:lang w:val="en-GB"/>
        </w:rPr>
        <w:t>4</w:t>
      </w:r>
      <w:r w:rsidR="00EB4EF4" w:rsidRPr="00C31D7B">
        <w:rPr>
          <w:lang w:val="en-GB"/>
        </w:rPr>
        <w:t>.</w:t>
      </w:r>
    </w:p>
    <w:p w:rsidR="00B54F80" w:rsidRPr="00C31D7B" w:rsidRDefault="00B54F80" w:rsidP="004E6403">
      <w:pPr>
        <w:spacing w:after="120"/>
        <w:ind w:firstLine="720"/>
        <w:jc w:val="both"/>
        <w:rPr>
          <w:lang w:val="en-GB"/>
        </w:rPr>
      </w:pPr>
    </w:p>
    <w:p w:rsidR="00B54F80" w:rsidRPr="00C31D7B" w:rsidRDefault="00B54F80" w:rsidP="00B54F80">
      <w:pPr>
        <w:jc w:val="center"/>
        <w:rPr>
          <w:lang w:val="en-GB"/>
        </w:rPr>
      </w:pPr>
      <w:r w:rsidRPr="00C31D7B">
        <w:rPr>
          <w:lang w:val="en-GB"/>
        </w:rPr>
        <w:t>-------------</w:t>
      </w:r>
    </w:p>
    <w:p w:rsidR="00B54F80" w:rsidRPr="00C31D7B" w:rsidRDefault="00B54F80" w:rsidP="00B54F80">
      <w:pPr>
        <w:jc w:val="center"/>
        <w:rPr>
          <w:lang w:val="en-GB"/>
        </w:rPr>
      </w:pPr>
      <w:r w:rsidRPr="00C31D7B">
        <w:rPr>
          <w:lang w:val="en-GB"/>
        </w:rPr>
        <w:t>Table 4 about here</w:t>
      </w:r>
    </w:p>
    <w:p w:rsidR="00B54F80" w:rsidRPr="00C31D7B" w:rsidRDefault="00B54F80" w:rsidP="00B54F80">
      <w:pPr>
        <w:jc w:val="center"/>
        <w:rPr>
          <w:lang w:val="en-GB"/>
        </w:rPr>
      </w:pPr>
      <w:r w:rsidRPr="00C31D7B">
        <w:rPr>
          <w:lang w:val="en-GB"/>
        </w:rPr>
        <w:t>-------------</w:t>
      </w:r>
    </w:p>
    <w:p w:rsidR="00B54F80" w:rsidRPr="00C31D7B" w:rsidRDefault="00B54F80" w:rsidP="004E6403">
      <w:pPr>
        <w:spacing w:after="120"/>
        <w:ind w:firstLine="720"/>
        <w:jc w:val="both"/>
        <w:rPr>
          <w:lang w:val="en-GB"/>
        </w:rPr>
      </w:pPr>
    </w:p>
    <w:p w:rsidR="00E73C6A" w:rsidRPr="00C31D7B" w:rsidRDefault="00AB5551" w:rsidP="004E6403">
      <w:pPr>
        <w:spacing w:after="120"/>
        <w:ind w:firstLine="720"/>
        <w:jc w:val="both"/>
        <w:rPr>
          <w:lang w:val="en-GB"/>
        </w:rPr>
      </w:pPr>
      <w:r w:rsidRPr="00C31D7B">
        <w:rPr>
          <w:lang w:val="en-GB"/>
        </w:rPr>
        <w:t xml:space="preserve">For </w:t>
      </w:r>
      <w:r w:rsidR="00D10553" w:rsidRPr="00C31D7B">
        <w:rPr>
          <w:lang w:val="en-GB"/>
        </w:rPr>
        <w:t>both models</w:t>
      </w:r>
      <w:r w:rsidRPr="00C31D7B">
        <w:rPr>
          <w:lang w:val="en-GB"/>
        </w:rPr>
        <w:t xml:space="preserve"> we see a positive and statistically significant </w:t>
      </w:r>
      <w:r w:rsidR="00F1057D" w:rsidRPr="00C31D7B">
        <w:rPr>
          <w:lang w:val="en-GB"/>
        </w:rPr>
        <w:t>association between</w:t>
      </w:r>
      <w:r w:rsidRPr="00C31D7B">
        <w:rPr>
          <w:lang w:val="en-GB"/>
        </w:rPr>
        <w:t xml:space="preserve"> attendance </w:t>
      </w:r>
      <w:r w:rsidR="00F1057D" w:rsidRPr="00C31D7B">
        <w:rPr>
          <w:lang w:val="en-GB"/>
        </w:rPr>
        <w:t>and</w:t>
      </w:r>
      <w:r w:rsidRPr="00C31D7B">
        <w:rPr>
          <w:lang w:val="en-GB"/>
        </w:rPr>
        <w:t xml:space="preserve"> exam score, such that an attendance rate increased by ten percent raises exam score by 1</w:t>
      </w:r>
      <w:r w:rsidR="002C69CA" w:rsidRPr="00C31D7B">
        <w:rPr>
          <w:lang w:val="en-GB"/>
        </w:rPr>
        <w:t>.4</w:t>
      </w:r>
      <w:r w:rsidRPr="00C31D7B">
        <w:rPr>
          <w:lang w:val="en-GB"/>
        </w:rPr>
        <w:t>%</w:t>
      </w:r>
      <w:r w:rsidR="002C69CA" w:rsidRPr="00C31D7B">
        <w:rPr>
          <w:lang w:val="en-GB"/>
        </w:rPr>
        <w:t xml:space="preserve"> in one model, and by</w:t>
      </w:r>
      <w:r w:rsidRPr="00C31D7B">
        <w:rPr>
          <w:lang w:val="en-GB"/>
        </w:rPr>
        <w:t xml:space="preserve"> 1.</w:t>
      </w:r>
      <w:r w:rsidR="002C69CA" w:rsidRPr="00C31D7B">
        <w:rPr>
          <w:lang w:val="en-GB"/>
        </w:rPr>
        <w:t>2</w:t>
      </w:r>
      <w:r w:rsidRPr="00C31D7B">
        <w:rPr>
          <w:lang w:val="en-GB"/>
        </w:rPr>
        <w:t>%</w:t>
      </w:r>
      <w:r w:rsidR="002C69CA" w:rsidRPr="00C31D7B">
        <w:rPr>
          <w:lang w:val="en-GB"/>
        </w:rPr>
        <w:t xml:space="preserve"> in the other</w:t>
      </w:r>
      <w:r w:rsidRPr="00C31D7B">
        <w:rPr>
          <w:lang w:val="en-GB"/>
        </w:rPr>
        <w:t>.</w:t>
      </w:r>
      <w:r w:rsidR="002C69CA" w:rsidRPr="00C31D7B">
        <w:rPr>
          <w:lang w:val="en-GB"/>
        </w:rPr>
        <w:t xml:space="preserve"> This confirms the existence of the </w:t>
      </w:r>
      <w:r w:rsidR="002C69CA" w:rsidRPr="00C31D7B">
        <w:rPr>
          <w:lang w:val="en-GB"/>
        </w:rPr>
        <w:lastRenderedPageBreak/>
        <w:t xml:space="preserve">attendance </w:t>
      </w:r>
      <w:r w:rsidR="00F1057D" w:rsidRPr="00C31D7B">
        <w:rPr>
          <w:lang w:val="en-GB"/>
        </w:rPr>
        <w:t>effect</w:t>
      </w:r>
      <w:r w:rsidR="002C69CA" w:rsidRPr="00C31D7B">
        <w:rPr>
          <w:lang w:val="en-GB"/>
        </w:rPr>
        <w:t xml:space="preserve"> we were looking for. We do not find a gender effect, confirming the finding of Fielding et al. (2008). </w:t>
      </w:r>
      <w:r w:rsidRPr="00C31D7B">
        <w:rPr>
          <w:lang w:val="en-GB"/>
        </w:rPr>
        <w:t>Interestingly we see some effects on the tutor and scheduling dummy variables</w:t>
      </w:r>
      <w:r w:rsidR="002C69CA" w:rsidRPr="00C31D7B">
        <w:rPr>
          <w:lang w:val="en-GB"/>
        </w:rPr>
        <w:t>. The tutor effect is only present for one tutor, in the model without ability at entry. However, in terms of scheduling we see that early week scheduling, and early afternoon scheduling</w:t>
      </w:r>
      <w:r w:rsidR="00F1057D" w:rsidRPr="00C31D7B">
        <w:rPr>
          <w:lang w:val="en-GB"/>
        </w:rPr>
        <w:t>,</w:t>
      </w:r>
      <w:r w:rsidR="002C69CA" w:rsidRPr="00C31D7B">
        <w:rPr>
          <w:lang w:val="en-GB"/>
        </w:rPr>
        <w:t xml:space="preserve"> appear to be associated with better exam results.</w:t>
      </w:r>
      <w:r w:rsidR="0036710A" w:rsidRPr="00C31D7B">
        <w:rPr>
          <w:lang w:val="en-GB"/>
        </w:rPr>
        <w:t xml:space="preserve"> </w:t>
      </w:r>
      <w:r w:rsidR="009B41EA" w:rsidRPr="00C31D7B">
        <w:rPr>
          <w:lang w:val="en-GB"/>
        </w:rPr>
        <w:t>Interestingly,</w:t>
      </w:r>
      <w:r w:rsidR="0036710A" w:rsidRPr="00C31D7B">
        <w:rPr>
          <w:lang w:val="en-GB"/>
        </w:rPr>
        <w:t xml:space="preserve"> ability at entry, as measured by the UCAS</w:t>
      </w:r>
      <w:r w:rsidR="009B41EA" w:rsidRPr="00C31D7B">
        <w:rPr>
          <w:lang w:val="en-GB"/>
        </w:rPr>
        <w:t xml:space="preserve"> entry </w:t>
      </w:r>
      <w:r w:rsidR="00F1057D" w:rsidRPr="00C31D7B">
        <w:rPr>
          <w:lang w:val="en-GB"/>
        </w:rPr>
        <w:t>score</w:t>
      </w:r>
      <w:r w:rsidR="0036710A" w:rsidRPr="00C31D7B">
        <w:rPr>
          <w:lang w:val="en-GB"/>
        </w:rPr>
        <w:t>,</w:t>
      </w:r>
      <w:r w:rsidR="009B41EA" w:rsidRPr="00C31D7B">
        <w:rPr>
          <w:lang w:val="en-GB"/>
        </w:rPr>
        <w:t xml:space="preserve"> is not a significant predictor of exam performance. Removing the</w:t>
      </w:r>
      <w:r w:rsidR="0036710A" w:rsidRPr="00C31D7B">
        <w:rPr>
          <w:lang w:val="en-GB"/>
        </w:rPr>
        <w:t xml:space="preserve"> attendance variable changes this</w:t>
      </w:r>
      <w:r w:rsidR="009B41EA" w:rsidRPr="00C31D7B">
        <w:rPr>
          <w:lang w:val="en-GB"/>
        </w:rPr>
        <w:t xml:space="preserve"> model, such that entry score becomes significant, with a one hundred point rise in UCAS score leading to </w:t>
      </w:r>
      <w:r w:rsidR="0036710A" w:rsidRPr="00C31D7B">
        <w:rPr>
          <w:lang w:val="en-GB"/>
        </w:rPr>
        <w:t>a</w:t>
      </w:r>
      <w:r w:rsidR="009B41EA" w:rsidRPr="00C31D7B">
        <w:rPr>
          <w:lang w:val="en-GB"/>
        </w:rPr>
        <w:t xml:space="preserve"> </w:t>
      </w:r>
      <w:r w:rsidR="0036710A" w:rsidRPr="00C31D7B">
        <w:rPr>
          <w:lang w:val="en-GB"/>
        </w:rPr>
        <w:t>1</w:t>
      </w:r>
      <w:r w:rsidR="009B41EA" w:rsidRPr="00C31D7B">
        <w:rPr>
          <w:lang w:val="en-GB"/>
        </w:rPr>
        <w:t>.</w:t>
      </w:r>
      <w:r w:rsidR="0036710A" w:rsidRPr="00C31D7B">
        <w:rPr>
          <w:lang w:val="en-GB"/>
        </w:rPr>
        <w:t>9</w:t>
      </w:r>
      <w:r w:rsidR="009B41EA" w:rsidRPr="00C31D7B">
        <w:rPr>
          <w:lang w:val="en-GB"/>
        </w:rPr>
        <w:t xml:space="preserve">% </w:t>
      </w:r>
      <w:r w:rsidR="0036710A" w:rsidRPr="00C31D7B">
        <w:rPr>
          <w:lang w:val="en-GB"/>
        </w:rPr>
        <w:t>increase in exam score</w:t>
      </w:r>
      <w:r w:rsidR="009B41EA" w:rsidRPr="00C31D7B">
        <w:rPr>
          <w:lang w:val="en-GB"/>
        </w:rPr>
        <w:t>.</w:t>
      </w:r>
      <w:r w:rsidR="00222DA2" w:rsidRPr="00C31D7B">
        <w:rPr>
          <w:lang w:val="en-GB"/>
        </w:rPr>
        <w:t xml:space="preserve"> One interpretation of this could be that attendance allows students with lower ability at entry to catch up with their stronger peers.</w:t>
      </w:r>
    </w:p>
    <w:p w:rsidR="008C1798" w:rsidRPr="00C31D7B" w:rsidRDefault="00C75787" w:rsidP="00BE1C8B">
      <w:pPr>
        <w:spacing w:after="120"/>
        <w:ind w:firstLine="720"/>
        <w:jc w:val="both"/>
        <w:rPr>
          <w:lang w:val="en-GB"/>
        </w:rPr>
      </w:pPr>
      <w:r w:rsidRPr="00C31D7B">
        <w:rPr>
          <w:lang w:val="en-GB"/>
        </w:rPr>
        <w:t xml:space="preserve">An unexpected finding concerns the age at start variable. This variable is statistically significant in </w:t>
      </w:r>
      <w:r w:rsidR="00320CC4" w:rsidRPr="00C31D7B">
        <w:rPr>
          <w:lang w:val="en-GB"/>
        </w:rPr>
        <w:t>both models</w:t>
      </w:r>
      <w:r w:rsidR="00222DA2" w:rsidRPr="00C31D7B">
        <w:rPr>
          <w:lang w:val="en-GB"/>
        </w:rPr>
        <w:t>,</w:t>
      </w:r>
      <w:r w:rsidR="00320CC4" w:rsidRPr="00C31D7B">
        <w:rPr>
          <w:lang w:val="en-GB"/>
        </w:rPr>
        <w:t xml:space="preserve"> such that</w:t>
      </w:r>
      <w:r w:rsidRPr="00C31D7B">
        <w:rPr>
          <w:lang w:val="en-GB"/>
        </w:rPr>
        <w:t xml:space="preserve"> entering university at a younger age leads to a higher exam score. Attendance </w:t>
      </w:r>
      <w:r w:rsidR="00DF20F7" w:rsidRPr="00C31D7B">
        <w:rPr>
          <w:lang w:val="en-GB"/>
        </w:rPr>
        <w:t>behaviour</w:t>
      </w:r>
      <w:r w:rsidRPr="00C31D7B">
        <w:rPr>
          <w:lang w:val="en-GB"/>
        </w:rPr>
        <w:t xml:space="preserve"> and age at start </w:t>
      </w:r>
      <w:r w:rsidR="00320CC4" w:rsidRPr="00C31D7B">
        <w:rPr>
          <w:lang w:val="en-GB"/>
        </w:rPr>
        <w:t>were uncorrelated in our sample</w:t>
      </w:r>
      <w:r w:rsidRPr="00C31D7B">
        <w:rPr>
          <w:lang w:val="en-GB"/>
        </w:rPr>
        <w:t xml:space="preserve">. The same was the case for UCAS entry tariff score and age at entry. </w:t>
      </w:r>
      <w:r w:rsidR="00320CC4" w:rsidRPr="00C31D7B">
        <w:rPr>
          <w:lang w:val="en-GB"/>
        </w:rPr>
        <w:t>A visual inspection of</w:t>
      </w:r>
      <w:r w:rsidR="00FF50DD" w:rsidRPr="00C31D7B">
        <w:rPr>
          <w:lang w:val="en-GB"/>
        </w:rPr>
        <w:t xml:space="preserve"> a box plot of</w:t>
      </w:r>
      <w:r w:rsidR="00320CC4" w:rsidRPr="00C31D7B">
        <w:rPr>
          <w:lang w:val="en-GB"/>
        </w:rPr>
        <w:t xml:space="preserve"> the relationship between exam score and age at start</w:t>
      </w:r>
      <w:r w:rsidR="00FF50DD" w:rsidRPr="00C31D7B">
        <w:rPr>
          <w:lang w:val="en-GB"/>
        </w:rPr>
        <w:t xml:space="preserve"> (for the original full sample, </w:t>
      </w:r>
      <w:r w:rsidR="00FF50DD" w:rsidRPr="00C31D7B">
        <w:rPr>
          <w:i/>
          <w:lang w:val="en-GB"/>
        </w:rPr>
        <w:t>N</w:t>
      </w:r>
      <w:r w:rsidR="00FF50DD" w:rsidRPr="00C31D7B">
        <w:rPr>
          <w:lang w:val="en-GB"/>
        </w:rPr>
        <w:t xml:space="preserve"> = 738),</w:t>
      </w:r>
      <w:r w:rsidR="00320CC4" w:rsidRPr="00C31D7B">
        <w:rPr>
          <w:lang w:val="en-GB"/>
        </w:rPr>
        <w:t xml:space="preserve"> suggested that the effect might be U-shaped</w:t>
      </w:r>
      <w:r w:rsidR="0065504C" w:rsidRPr="00C31D7B">
        <w:rPr>
          <w:lang w:val="en-GB"/>
        </w:rPr>
        <w:t>, such that students reaching their thirties catch up again with direct-entry peers</w:t>
      </w:r>
      <w:r w:rsidR="00320CC4" w:rsidRPr="00C31D7B">
        <w:rPr>
          <w:lang w:val="en-GB"/>
        </w:rPr>
        <w:t>, but the explanatory power is very low (r</w:t>
      </w:r>
      <w:r w:rsidR="00320CC4" w:rsidRPr="00C31D7B">
        <w:rPr>
          <w:vertAlign w:val="superscript"/>
          <w:lang w:val="en-GB"/>
        </w:rPr>
        <w:t>2</w:t>
      </w:r>
      <w:r w:rsidR="00320CC4" w:rsidRPr="00C31D7B">
        <w:rPr>
          <w:lang w:val="en-GB"/>
        </w:rPr>
        <w:t xml:space="preserve"> &lt; 0.01). The effect size is also very small, even if statistically significant.</w:t>
      </w:r>
    </w:p>
    <w:p w:rsidR="00222DA2" w:rsidRPr="00C31D7B" w:rsidRDefault="00222DA2" w:rsidP="004E6403">
      <w:pPr>
        <w:spacing w:after="120"/>
        <w:rPr>
          <w:b/>
          <w:bCs/>
          <w:lang w:val="en-GB"/>
        </w:rPr>
      </w:pPr>
    </w:p>
    <w:p w:rsidR="002E7000" w:rsidRPr="00C31D7B" w:rsidRDefault="00222DA2" w:rsidP="00222DA2">
      <w:pPr>
        <w:spacing w:after="120"/>
        <w:jc w:val="center"/>
        <w:rPr>
          <w:b/>
          <w:bCs/>
          <w:lang w:val="en-GB"/>
        </w:rPr>
      </w:pPr>
      <w:r w:rsidRPr="00C31D7B">
        <w:rPr>
          <w:b/>
          <w:bCs/>
          <w:lang w:val="en-GB"/>
        </w:rPr>
        <w:t>DISCUSSION AND CONCLUSION</w:t>
      </w:r>
    </w:p>
    <w:p w:rsidR="00222DA2" w:rsidRPr="00C31D7B" w:rsidRDefault="00222DA2" w:rsidP="004E6403">
      <w:pPr>
        <w:spacing w:after="120"/>
        <w:ind w:firstLine="720"/>
        <w:jc w:val="both"/>
        <w:rPr>
          <w:lang w:val="en-GB"/>
        </w:rPr>
      </w:pPr>
    </w:p>
    <w:p w:rsidR="000709AE" w:rsidRPr="00C31D7B" w:rsidRDefault="00D13E33" w:rsidP="004E6403">
      <w:pPr>
        <w:spacing w:after="120"/>
        <w:ind w:firstLine="720"/>
        <w:jc w:val="both"/>
        <w:rPr>
          <w:lang w:val="en-GB"/>
        </w:rPr>
      </w:pPr>
      <w:r w:rsidRPr="00C31D7B">
        <w:rPr>
          <w:lang w:val="en-GB"/>
        </w:rPr>
        <w:lastRenderedPageBreak/>
        <w:t>T</w:t>
      </w:r>
      <w:r w:rsidR="006F605B" w:rsidRPr="00C31D7B">
        <w:rPr>
          <w:lang w:val="en-GB"/>
        </w:rPr>
        <w:t>he results of th</w:t>
      </w:r>
      <w:r w:rsidR="005079B6" w:rsidRPr="00C31D7B">
        <w:rPr>
          <w:lang w:val="en-GB"/>
        </w:rPr>
        <w:t>e regressions</w:t>
      </w:r>
      <w:r w:rsidR="006F605B" w:rsidRPr="00C31D7B">
        <w:rPr>
          <w:lang w:val="en-GB"/>
        </w:rPr>
        <w:t xml:space="preserve"> </w:t>
      </w:r>
      <w:r w:rsidR="00C525C6" w:rsidRPr="00C31D7B">
        <w:rPr>
          <w:lang w:val="en-GB"/>
        </w:rPr>
        <w:t xml:space="preserve">corroborate </w:t>
      </w:r>
      <w:r w:rsidR="006F605B" w:rsidRPr="00C31D7B">
        <w:rPr>
          <w:lang w:val="en-GB"/>
        </w:rPr>
        <w:t xml:space="preserve">the </w:t>
      </w:r>
      <w:r w:rsidR="00C525C6" w:rsidRPr="00C31D7B">
        <w:rPr>
          <w:lang w:val="en-GB"/>
        </w:rPr>
        <w:t>studies that have reported associations between</w:t>
      </w:r>
      <w:r w:rsidR="006F605B" w:rsidRPr="00C31D7B">
        <w:rPr>
          <w:lang w:val="en-GB"/>
        </w:rPr>
        <w:t xml:space="preserve"> attendance and student achievement</w:t>
      </w:r>
      <w:r w:rsidR="00C525C6" w:rsidRPr="00C31D7B">
        <w:rPr>
          <w:lang w:val="en-GB"/>
        </w:rPr>
        <w:t xml:space="preserve">. Attending classroom sessions </w:t>
      </w:r>
      <w:r w:rsidR="009941EF" w:rsidRPr="00C31D7B">
        <w:rPr>
          <w:lang w:val="en-GB"/>
        </w:rPr>
        <w:t>appears</w:t>
      </w:r>
      <w:r w:rsidR="00C525C6" w:rsidRPr="00C31D7B">
        <w:rPr>
          <w:lang w:val="en-GB"/>
        </w:rPr>
        <w:t xml:space="preserve"> beneficial to students</w:t>
      </w:r>
      <w:r w:rsidR="00222DA2" w:rsidRPr="00C31D7B">
        <w:rPr>
          <w:lang w:val="en-GB"/>
        </w:rPr>
        <w:t xml:space="preserve"> in our sample, lending </w:t>
      </w:r>
      <w:r w:rsidR="003A00DB" w:rsidRPr="00C31D7B">
        <w:rPr>
          <w:lang w:val="en-GB"/>
        </w:rPr>
        <w:t xml:space="preserve">new </w:t>
      </w:r>
      <w:r w:rsidR="00222DA2" w:rsidRPr="00C31D7B">
        <w:rPr>
          <w:lang w:val="en-GB"/>
        </w:rPr>
        <w:t>support to the performance argument</w:t>
      </w:r>
      <w:r w:rsidR="0065504C" w:rsidRPr="00C31D7B">
        <w:rPr>
          <w:lang w:val="en-GB"/>
        </w:rPr>
        <w:t xml:space="preserve"> dismissed by some in the attendance policy discussion</w:t>
      </w:r>
      <w:r w:rsidR="00C525C6" w:rsidRPr="00C31D7B">
        <w:rPr>
          <w:lang w:val="en-GB"/>
        </w:rPr>
        <w:t>.</w:t>
      </w:r>
      <w:r w:rsidR="0051677E" w:rsidRPr="00C31D7B">
        <w:rPr>
          <w:lang w:val="en-GB"/>
        </w:rPr>
        <w:t xml:space="preserve"> </w:t>
      </w:r>
      <w:r w:rsidR="00D47372" w:rsidRPr="00C31D7B">
        <w:rPr>
          <w:lang w:val="en-GB"/>
        </w:rPr>
        <w:t xml:space="preserve">In our study we have used archival data covering a larger sample of students than most previous comparable studies, and incorporating more moderating variables than most previous studies. </w:t>
      </w:r>
      <w:r w:rsidR="0051677E" w:rsidRPr="00C31D7B">
        <w:rPr>
          <w:lang w:val="en-GB"/>
        </w:rPr>
        <w:t xml:space="preserve">What our study shows clearly is that once controls for such variables as gender, </w:t>
      </w:r>
      <w:r w:rsidR="0065504C" w:rsidRPr="00C31D7B">
        <w:rPr>
          <w:lang w:val="en-GB"/>
        </w:rPr>
        <w:t>ability at entry</w:t>
      </w:r>
      <w:r w:rsidR="0051677E" w:rsidRPr="00C31D7B">
        <w:rPr>
          <w:lang w:val="en-GB"/>
        </w:rPr>
        <w:t xml:space="preserve">, tutor, or timetabling are taken into account, the statistical association between attendance and academic achievement </w:t>
      </w:r>
      <w:r w:rsidR="00C525C6" w:rsidRPr="00C31D7B">
        <w:rPr>
          <w:lang w:val="en-GB"/>
        </w:rPr>
        <w:t>remains</w:t>
      </w:r>
      <w:r w:rsidR="0051677E" w:rsidRPr="00C31D7B">
        <w:rPr>
          <w:lang w:val="en-GB"/>
        </w:rPr>
        <w:t>.</w:t>
      </w:r>
      <w:r w:rsidR="00C525C6" w:rsidRPr="00C31D7B">
        <w:rPr>
          <w:lang w:val="en-GB"/>
        </w:rPr>
        <w:t xml:space="preserve"> The effect is not large, but statistically significant.</w:t>
      </w:r>
      <w:r w:rsidRPr="00C31D7B">
        <w:rPr>
          <w:lang w:val="en-GB"/>
        </w:rPr>
        <w:t xml:space="preserve"> Furthermore, we find that </w:t>
      </w:r>
      <w:r w:rsidR="0065504C" w:rsidRPr="00C31D7B">
        <w:rPr>
          <w:lang w:val="en-GB"/>
        </w:rPr>
        <w:t>there may be a timetabling effect such that early week and mid-day scheduling has a favourable impact on performance</w:t>
      </w:r>
      <w:r w:rsidRPr="00C31D7B">
        <w:rPr>
          <w:lang w:val="en-GB"/>
        </w:rPr>
        <w:t>.</w:t>
      </w:r>
      <w:r w:rsidR="00460CBF" w:rsidRPr="00C31D7B">
        <w:rPr>
          <w:lang w:val="en-GB"/>
        </w:rPr>
        <w:t xml:space="preserve"> </w:t>
      </w:r>
      <w:r w:rsidR="00D47372" w:rsidRPr="00C31D7B">
        <w:rPr>
          <w:lang w:val="en-GB"/>
        </w:rPr>
        <w:t>It should be noted that our results relate to a particular course, in a particular university, as do previous comparable studies mentioned in our review of such studies. However, we add to a growing body of evidence that from a meta-study perspective indicates consistent findings across subject areas.</w:t>
      </w:r>
    </w:p>
    <w:p w:rsidR="006F656F" w:rsidRPr="00C31D7B" w:rsidRDefault="002A1052" w:rsidP="0075646C">
      <w:pPr>
        <w:spacing w:after="120"/>
        <w:ind w:firstLine="720"/>
        <w:jc w:val="both"/>
        <w:rPr>
          <w:lang w:val="en-GB"/>
        </w:rPr>
      </w:pPr>
      <w:r w:rsidRPr="00C31D7B">
        <w:rPr>
          <w:lang w:val="en-GB"/>
        </w:rPr>
        <w:t>An unexpected result was a</w:t>
      </w:r>
      <w:r w:rsidR="006E1EAA" w:rsidRPr="00C31D7B">
        <w:rPr>
          <w:lang w:val="en-GB"/>
        </w:rPr>
        <w:t xml:space="preserve"> negative</w:t>
      </w:r>
      <w:r w:rsidRPr="00C31D7B">
        <w:rPr>
          <w:lang w:val="en-GB"/>
        </w:rPr>
        <w:t xml:space="preserve"> student age at entry effect, suggesting that students who have had a break in their studies between school and university subsequently find it harder to perform in their studies.</w:t>
      </w:r>
      <w:r w:rsidR="00B46944" w:rsidRPr="00C31D7B">
        <w:rPr>
          <w:lang w:val="en-GB"/>
        </w:rPr>
        <w:t xml:space="preserve"> This result contradicts the result of for example Halpern (2007)</w:t>
      </w:r>
      <w:r w:rsidR="006E1EAA" w:rsidRPr="00C31D7B">
        <w:rPr>
          <w:lang w:val="en-GB"/>
        </w:rPr>
        <w:t xml:space="preserve">, </w:t>
      </w:r>
      <w:r w:rsidR="0065504C" w:rsidRPr="00C31D7B">
        <w:rPr>
          <w:lang w:val="en-GB"/>
        </w:rPr>
        <w:t xml:space="preserve">but </w:t>
      </w:r>
      <w:r w:rsidR="006E1EAA" w:rsidRPr="00C31D7B">
        <w:rPr>
          <w:lang w:val="en-GB"/>
        </w:rPr>
        <w:t xml:space="preserve">who used a </w:t>
      </w:r>
      <w:r w:rsidR="0065504C" w:rsidRPr="00C31D7B">
        <w:rPr>
          <w:lang w:val="en-GB"/>
        </w:rPr>
        <w:t xml:space="preserve">simple </w:t>
      </w:r>
      <w:r w:rsidR="006E1EAA" w:rsidRPr="00C31D7B">
        <w:rPr>
          <w:lang w:val="en-GB"/>
        </w:rPr>
        <w:t>binary age variable. Our measurement was of actual age, and our result leads us to</w:t>
      </w:r>
      <w:r w:rsidRPr="00C31D7B">
        <w:rPr>
          <w:lang w:val="en-GB"/>
        </w:rPr>
        <w:t xml:space="preserve"> speculate that </w:t>
      </w:r>
      <w:r w:rsidR="006E1EAA" w:rsidRPr="00C31D7B">
        <w:rPr>
          <w:lang w:val="en-GB"/>
        </w:rPr>
        <w:t>there is an</w:t>
      </w:r>
      <w:r w:rsidRPr="00C31D7B">
        <w:rPr>
          <w:lang w:val="en-GB"/>
        </w:rPr>
        <w:t xml:space="preserve"> </w:t>
      </w:r>
      <w:r w:rsidR="00222DA2" w:rsidRPr="00C31D7B">
        <w:rPr>
          <w:lang w:val="en-GB"/>
        </w:rPr>
        <w:t>erosion of general study skills</w:t>
      </w:r>
      <w:r w:rsidR="009941EF" w:rsidRPr="00C31D7B">
        <w:rPr>
          <w:lang w:val="en-GB"/>
        </w:rPr>
        <w:t>, difficulties in social integration,</w:t>
      </w:r>
      <w:r w:rsidR="0065504C" w:rsidRPr="00C31D7B">
        <w:rPr>
          <w:lang w:val="en-GB"/>
        </w:rPr>
        <w:t xml:space="preserve"> increased</w:t>
      </w:r>
      <w:r w:rsidR="009941EF" w:rsidRPr="00C31D7B">
        <w:rPr>
          <w:lang w:val="en-GB"/>
        </w:rPr>
        <w:t xml:space="preserve"> external obligations, or other effects impacting these students</w:t>
      </w:r>
      <w:r w:rsidR="00222DA2" w:rsidRPr="00C31D7B">
        <w:rPr>
          <w:lang w:val="en-GB"/>
        </w:rPr>
        <w:t>. If true, higher education policies trying to push high school graduates straight into</w:t>
      </w:r>
      <w:r w:rsidR="0065504C" w:rsidRPr="00C31D7B">
        <w:rPr>
          <w:lang w:val="en-GB"/>
        </w:rPr>
        <w:t xml:space="preserve"> university may have some merit</w:t>
      </w:r>
      <w:r w:rsidR="006E1EAA" w:rsidRPr="00C31D7B">
        <w:rPr>
          <w:lang w:val="en-GB"/>
        </w:rPr>
        <w:t>.</w:t>
      </w:r>
      <w:r w:rsidR="006F656F" w:rsidRPr="00C31D7B">
        <w:rPr>
          <w:lang w:val="en-GB"/>
        </w:rPr>
        <w:t xml:space="preserve"> </w:t>
      </w:r>
      <w:r w:rsidR="003A00DB" w:rsidRPr="00C31D7B">
        <w:rPr>
          <w:lang w:val="en-GB"/>
        </w:rPr>
        <w:t>Furthermore, an attendance policy could perhaps hel</w:t>
      </w:r>
      <w:r w:rsidR="0065504C" w:rsidRPr="00C31D7B">
        <w:rPr>
          <w:lang w:val="en-GB"/>
        </w:rPr>
        <w:t xml:space="preserve">p such students </w:t>
      </w:r>
      <w:r w:rsidR="00E3459E" w:rsidRPr="00C31D7B">
        <w:rPr>
          <w:lang w:val="en-GB"/>
        </w:rPr>
        <w:t>re-</w:t>
      </w:r>
      <w:r w:rsidR="0065504C" w:rsidRPr="00C31D7B">
        <w:rPr>
          <w:lang w:val="en-GB"/>
        </w:rPr>
        <w:t>engage socially</w:t>
      </w:r>
      <w:r w:rsidR="003A00DB" w:rsidRPr="00C31D7B">
        <w:rPr>
          <w:lang w:val="en-GB"/>
        </w:rPr>
        <w:t>.</w:t>
      </w:r>
      <w:r w:rsidR="00320CC4" w:rsidRPr="00C31D7B">
        <w:rPr>
          <w:lang w:val="en-GB"/>
        </w:rPr>
        <w:t xml:space="preserve"> As the effect appeared to be U-shaped, one might further speculate that mature students</w:t>
      </w:r>
      <w:r w:rsidR="00E3459E" w:rsidRPr="00C31D7B">
        <w:rPr>
          <w:lang w:val="en-GB"/>
        </w:rPr>
        <w:t xml:space="preserve"> (in their thirties)</w:t>
      </w:r>
      <w:r w:rsidR="00320CC4" w:rsidRPr="00C31D7B">
        <w:rPr>
          <w:lang w:val="en-GB"/>
        </w:rPr>
        <w:t xml:space="preserve"> more readily catch up </w:t>
      </w:r>
      <w:r w:rsidR="0065504C" w:rsidRPr="00C31D7B">
        <w:rPr>
          <w:lang w:val="en-GB"/>
        </w:rPr>
        <w:t xml:space="preserve">again with direct-entry </w:t>
      </w:r>
      <w:r w:rsidR="00E3459E" w:rsidRPr="00C31D7B">
        <w:rPr>
          <w:lang w:val="en-GB"/>
        </w:rPr>
        <w:t>peers</w:t>
      </w:r>
      <w:r w:rsidR="0065504C" w:rsidRPr="00C31D7B">
        <w:rPr>
          <w:lang w:val="en-GB"/>
        </w:rPr>
        <w:t xml:space="preserve">. If this is the case, the policy </w:t>
      </w:r>
      <w:r w:rsidR="0065504C" w:rsidRPr="00C31D7B">
        <w:rPr>
          <w:lang w:val="en-GB"/>
        </w:rPr>
        <w:lastRenderedPageBreak/>
        <w:t xml:space="preserve">implication would be to encourage both direct entry after high school, and </w:t>
      </w:r>
      <w:r w:rsidR="00E3459E" w:rsidRPr="00C31D7B">
        <w:rPr>
          <w:lang w:val="en-GB"/>
        </w:rPr>
        <w:t xml:space="preserve">options for slightly </w:t>
      </w:r>
      <w:r w:rsidR="0065504C" w:rsidRPr="00C31D7B">
        <w:rPr>
          <w:lang w:val="en-GB"/>
        </w:rPr>
        <w:t>mo</w:t>
      </w:r>
      <w:r w:rsidR="00E3459E" w:rsidRPr="00C31D7B">
        <w:rPr>
          <w:lang w:val="en-GB"/>
        </w:rPr>
        <w:t xml:space="preserve">re mature learners, </w:t>
      </w:r>
      <w:r w:rsidR="0065504C" w:rsidRPr="00C31D7B">
        <w:rPr>
          <w:lang w:val="en-GB"/>
        </w:rPr>
        <w:t>but this question deserves further study</w:t>
      </w:r>
      <w:r w:rsidR="00E3459E" w:rsidRPr="00C31D7B">
        <w:rPr>
          <w:lang w:val="en-GB"/>
        </w:rPr>
        <w:t>.</w:t>
      </w:r>
    </w:p>
    <w:p w:rsidR="003916E4" w:rsidRPr="00C31D7B" w:rsidRDefault="008756D3" w:rsidP="00222DA2">
      <w:pPr>
        <w:spacing w:after="120"/>
        <w:ind w:firstLine="720"/>
        <w:jc w:val="both"/>
        <w:rPr>
          <w:lang w:val="en-GB"/>
        </w:rPr>
      </w:pPr>
      <w:r w:rsidRPr="00C31D7B">
        <w:rPr>
          <w:lang w:val="en-GB"/>
        </w:rPr>
        <w:t>Our</w:t>
      </w:r>
      <w:r w:rsidR="00222DA2" w:rsidRPr="00C31D7B">
        <w:rPr>
          <w:lang w:val="en-GB"/>
        </w:rPr>
        <w:t xml:space="preserve"> findings </w:t>
      </w:r>
      <w:r w:rsidR="00A408DE" w:rsidRPr="00C31D7B">
        <w:rPr>
          <w:lang w:val="en-GB"/>
        </w:rPr>
        <w:t xml:space="preserve">provide some </w:t>
      </w:r>
      <w:r w:rsidR="003916E4" w:rsidRPr="00C31D7B">
        <w:rPr>
          <w:lang w:val="en-GB"/>
        </w:rPr>
        <w:t>justification</w:t>
      </w:r>
      <w:r w:rsidR="00A408DE" w:rsidRPr="00C31D7B">
        <w:rPr>
          <w:lang w:val="en-GB"/>
        </w:rPr>
        <w:t xml:space="preserve"> for universities reported in Macfarlane (</w:t>
      </w:r>
      <w:r w:rsidR="00E5328D" w:rsidRPr="00C31D7B">
        <w:rPr>
          <w:lang w:val="en-GB"/>
        </w:rPr>
        <w:t xml:space="preserve">2012; </w:t>
      </w:r>
      <w:r w:rsidR="00A408DE" w:rsidRPr="00C31D7B">
        <w:rPr>
          <w:lang w:val="en-GB"/>
        </w:rPr>
        <w:t xml:space="preserve">2013) to have adopted attendance policies. Firstly, </w:t>
      </w:r>
      <w:r w:rsidR="00E3459E" w:rsidRPr="00C31D7B">
        <w:rPr>
          <w:lang w:val="en-GB"/>
        </w:rPr>
        <w:t>once we removed attendance, ability at entry became statistically significant, such that a 100 point increase in UCAS score was associated with a 1.9% higher exam score. This may not seem like much, but the average UCAS score at Oxford University, is almost 400 points higher than that of students in our sample.</w:t>
      </w:r>
      <w:r w:rsidR="00516728" w:rsidRPr="00C31D7B">
        <w:rPr>
          <w:lang w:val="en-GB"/>
        </w:rPr>
        <w:t xml:space="preserve"> As</w:t>
      </w:r>
      <w:r w:rsidR="00E3459E" w:rsidRPr="00C31D7B">
        <w:rPr>
          <w:lang w:val="en-GB"/>
        </w:rPr>
        <w:t xml:space="preserve"> </w:t>
      </w:r>
      <w:r w:rsidR="00A408DE" w:rsidRPr="00C31D7B">
        <w:rPr>
          <w:lang w:val="en-GB"/>
        </w:rPr>
        <w:t xml:space="preserve">elite universities attract students with high ability at entry, </w:t>
      </w:r>
      <w:r w:rsidR="00516728" w:rsidRPr="00C31D7B">
        <w:rPr>
          <w:lang w:val="en-GB"/>
        </w:rPr>
        <w:t>they</w:t>
      </w:r>
      <w:r w:rsidR="00A408DE" w:rsidRPr="00C31D7B">
        <w:rPr>
          <w:lang w:val="en-GB"/>
        </w:rPr>
        <w:t xml:space="preserve"> may be less likely to find that attendance policies have an</w:t>
      </w:r>
      <w:r w:rsidR="00516728" w:rsidRPr="00C31D7B">
        <w:rPr>
          <w:lang w:val="en-GB"/>
        </w:rPr>
        <w:t xml:space="preserve"> important</w:t>
      </w:r>
      <w:r w:rsidR="00A408DE" w:rsidRPr="00C31D7B">
        <w:rPr>
          <w:lang w:val="en-GB"/>
        </w:rPr>
        <w:t xml:space="preserve"> impact, whereas lower ranked colleges and universities, attracting weaker students, may find </w:t>
      </w:r>
      <w:r w:rsidR="00516728" w:rsidRPr="00C31D7B">
        <w:rPr>
          <w:lang w:val="en-GB"/>
        </w:rPr>
        <w:t>that</w:t>
      </w:r>
      <w:r w:rsidR="00A408DE" w:rsidRPr="00C31D7B">
        <w:rPr>
          <w:lang w:val="en-GB"/>
        </w:rPr>
        <w:t xml:space="preserve"> impact</w:t>
      </w:r>
      <w:r w:rsidR="00516728" w:rsidRPr="00C31D7B">
        <w:rPr>
          <w:lang w:val="en-GB"/>
        </w:rPr>
        <w:t xml:space="preserve"> to be more critical</w:t>
      </w:r>
      <w:r w:rsidR="00A408DE" w:rsidRPr="00C31D7B">
        <w:rPr>
          <w:lang w:val="en-GB"/>
        </w:rPr>
        <w:t>. Secondly, having an attendance policy is in our view consistent with higher education funding mechanisms and policies that encourage and reward high retention and completion rates. Our results from a teaching intensive university show relatively low mean exam scores. In this context, raising the mean exam score by just a few percent</w:t>
      </w:r>
      <w:r w:rsidR="00460CBF" w:rsidRPr="00C31D7B">
        <w:rPr>
          <w:lang w:val="en-GB"/>
        </w:rPr>
        <w:t>age points</w:t>
      </w:r>
      <w:r w:rsidR="00A408DE" w:rsidRPr="00C31D7B">
        <w:rPr>
          <w:lang w:val="en-GB"/>
        </w:rPr>
        <w:t xml:space="preserve"> has an impact on </w:t>
      </w:r>
      <w:r w:rsidR="0080230D" w:rsidRPr="00C31D7B">
        <w:rPr>
          <w:lang w:val="en-GB"/>
        </w:rPr>
        <w:t xml:space="preserve">course and degree </w:t>
      </w:r>
      <w:r w:rsidR="00A408DE" w:rsidRPr="00C31D7B">
        <w:rPr>
          <w:lang w:val="en-GB"/>
        </w:rPr>
        <w:t>pass rates</w:t>
      </w:r>
      <w:r w:rsidR="0080230D" w:rsidRPr="00C31D7B">
        <w:rPr>
          <w:lang w:val="en-GB"/>
        </w:rPr>
        <w:t xml:space="preserve">. An attendance policy could therefore conceivable benefit </w:t>
      </w:r>
      <w:r w:rsidR="003A00DB" w:rsidRPr="00C31D7B">
        <w:rPr>
          <w:lang w:val="en-GB"/>
        </w:rPr>
        <w:t xml:space="preserve">some </w:t>
      </w:r>
      <w:r w:rsidR="0080230D" w:rsidRPr="00C31D7B">
        <w:rPr>
          <w:lang w:val="en-GB"/>
        </w:rPr>
        <w:t xml:space="preserve">universities </w:t>
      </w:r>
      <w:r w:rsidR="003A00DB" w:rsidRPr="00C31D7B">
        <w:rPr>
          <w:lang w:val="en-GB"/>
        </w:rPr>
        <w:t xml:space="preserve">as they </w:t>
      </w:r>
      <w:r w:rsidR="0080230D" w:rsidRPr="00C31D7B">
        <w:rPr>
          <w:lang w:val="en-GB"/>
        </w:rPr>
        <w:t>try to satisfy the requirements of funders, even if it does take away some of the freedom of students.</w:t>
      </w:r>
    </w:p>
    <w:p w:rsidR="00222DA2" w:rsidRPr="00C31D7B" w:rsidRDefault="001F5953" w:rsidP="00222DA2">
      <w:pPr>
        <w:spacing w:after="120"/>
        <w:ind w:firstLine="720"/>
        <w:jc w:val="both"/>
        <w:rPr>
          <w:lang w:val="en-GB"/>
        </w:rPr>
      </w:pPr>
      <w:r w:rsidRPr="00C31D7B">
        <w:rPr>
          <w:lang w:val="en-GB"/>
        </w:rPr>
        <w:t xml:space="preserve">Whether or not the performance argument is sufficient to warrant a formal attendance policy is at the end of the day a matter of choice for each institution, but our results should convince the reader that the performance argument cannot simply be dismissed. </w:t>
      </w:r>
      <w:r w:rsidR="003916E4" w:rsidRPr="00C31D7B">
        <w:rPr>
          <w:lang w:val="en-GB"/>
        </w:rPr>
        <w:t>An alternative to strict compulsory attendance would be a policy that assessment should be closely linked to student learning, as indeed proposed by Macfarlane (2012). Various forms of in-class assessment throughout the semester</w:t>
      </w:r>
      <w:r w:rsidRPr="00C31D7B">
        <w:rPr>
          <w:lang w:val="en-GB"/>
        </w:rPr>
        <w:t xml:space="preserve"> is one way to achieve this.</w:t>
      </w:r>
      <w:r w:rsidR="00523790" w:rsidRPr="00C31D7B">
        <w:rPr>
          <w:lang w:val="en-GB"/>
        </w:rPr>
        <w:t xml:space="preserve"> What is missing in this discussion is not </w:t>
      </w:r>
      <w:r w:rsidR="00523790" w:rsidRPr="00C31D7B">
        <w:rPr>
          <w:lang w:val="en-GB"/>
        </w:rPr>
        <w:lastRenderedPageBreak/>
        <w:t>proof of an attendance effect on student performance, but more detailed studies on the behavioural effects of various types of attendance policy.</w:t>
      </w:r>
      <w:r w:rsidR="00516728" w:rsidRPr="00C31D7B">
        <w:rPr>
          <w:lang w:val="en-GB"/>
        </w:rPr>
        <w:t xml:space="preserve"> </w:t>
      </w:r>
      <w:r w:rsidR="00F23490" w:rsidRPr="00C31D7B">
        <w:rPr>
          <w:lang w:val="en-GB"/>
        </w:rPr>
        <w:t xml:space="preserve">Given our findings on the effects of age at entry, one might speculate that differentiating attendance policies, or even assessment policies, according to student characteristics could benefit students more than the one-size-fits-all approach taken by most universities today. </w:t>
      </w:r>
      <w:r w:rsidR="00523790" w:rsidRPr="00C31D7B">
        <w:rPr>
          <w:lang w:val="en-GB"/>
        </w:rPr>
        <w:t>More experiments along the lines of Marburger’s (2006) study could point the way for university teachers and administrators to design effective attendance policies, adapted to their particular student population, programme area, and courses.</w:t>
      </w:r>
    </w:p>
    <w:p w:rsidR="00011DDE" w:rsidRPr="00C31D7B" w:rsidRDefault="00011DDE" w:rsidP="00735B91">
      <w:pPr>
        <w:spacing w:after="120"/>
        <w:jc w:val="both"/>
        <w:rPr>
          <w:lang w:val="en-GB"/>
        </w:rPr>
      </w:pPr>
    </w:p>
    <w:p w:rsidR="00FD432B" w:rsidRPr="00C31D7B" w:rsidRDefault="0080230D" w:rsidP="0080230D">
      <w:pPr>
        <w:pStyle w:val="Header"/>
        <w:tabs>
          <w:tab w:val="clear" w:pos="4320"/>
          <w:tab w:val="clear" w:pos="8640"/>
        </w:tabs>
        <w:spacing w:after="120" w:line="240" w:lineRule="auto"/>
        <w:jc w:val="center"/>
        <w:rPr>
          <w:b/>
          <w:bCs/>
          <w:lang w:val="en-GB"/>
        </w:rPr>
      </w:pPr>
      <w:r w:rsidRPr="00C31D7B">
        <w:rPr>
          <w:b/>
          <w:bCs/>
          <w:lang w:val="en-GB"/>
        </w:rPr>
        <w:t>REFERENCES</w:t>
      </w:r>
    </w:p>
    <w:p w:rsidR="00460CBF" w:rsidRPr="00C31D7B" w:rsidRDefault="00460CBF" w:rsidP="0080230D">
      <w:pPr>
        <w:pStyle w:val="Header"/>
        <w:tabs>
          <w:tab w:val="clear" w:pos="4320"/>
          <w:tab w:val="clear" w:pos="8640"/>
        </w:tabs>
        <w:spacing w:after="120" w:line="240" w:lineRule="auto"/>
        <w:jc w:val="center"/>
        <w:rPr>
          <w:b/>
          <w:bCs/>
          <w:lang w:val="en-GB"/>
        </w:rPr>
      </w:pPr>
    </w:p>
    <w:p w:rsidR="007B503E" w:rsidRPr="00C31D7B" w:rsidRDefault="007B503E" w:rsidP="002E5DDD">
      <w:pPr>
        <w:pStyle w:val="BodyTextIndent"/>
        <w:spacing w:after="0"/>
        <w:ind w:left="720" w:hanging="720"/>
        <w:jc w:val="both"/>
        <w:rPr>
          <w:lang w:val="en-GB"/>
        </w:rPr>
      </w:pPr>
      <w:r w:rsidRPr="00C31D7B">
        <w:rPr>
          <w:lang w:val="en-GB"/>
        </w:rPr>
        <w:t xml:space="preserve">Astin, A. W. (1993). </w:t>
      </w:r>
      <w:r w:rsidRPr="00C31D7B">
        <w:rPr>
          <w:rStyle w:val="Emphasis"/>
          <w:lang w:val="en-GB"/>
        </w:rPr>
        <w:t>Assessment for excellence: The philosophy and practice of assessment and evaluation in higher education</w:t>
      </w:r>
      <w:r w:rsidRPr="00C31D7B">
        <w:rPr>
          <w:lang w:val="en-GB"/>
        </w:rPr>
        <w:t>. Phoenix: The Oryx Press.</w:t>
      </w:r>
    </w:p>
    <w:p w:rsidR="00CE6ED9" w:rsidRPr="00C31D7B" w:rsidRDefault="00CE6ED9" w:rsidP="002E5DDD">
      <w:pPr>
        <w:pStyle w:val="BodyTextIndent"/>
        <w:spacing w:after="0"/>
        <w:ind w:left="720" w:hanging="720"/>
        <w:jc w:val="both"/>
        <w:rPr>
          <w:lang w:val="en-GB"/>
        </w:rPr>
      </w:pPr>
      <w:r w:rsidRPr="00C31D7B">
        <w:rPr>
          <w:lang w:val="en-GB"/>
        </w:rPr>
        <w:t xml:space="preserve">Auranen, O., &amp; Nieminen, M. (2010). University research funding and publication performance—An international comparison. </w:t>
      </w:r>
      <w:r w:rsidRPr="00C31D7B">
        <w:rPr>
          <w:i/>
          <w:lang w:val="en-GB"/>
        </w:rPr>
        <w:t>Research Policy, 39</w:t>
      </w:r>
      <w:r w:rsidRPr="00C31D7B">
        <w:rPr>
          <w:lang w:val="en-GB"/>
        </w:rPr>
        <w:t>(6), 822-834.</w:t>
      </w:r>
    </w:p>
    <w:p w:rsidR="00CC6AB4" w:rsidRPr="00C31D7B" w:rsidRDefault="006C605A" w:rsidP="002E5DDD">
      <w:pPr>
        <w:pStyle w:val="BodyTextIndent"/>
        <w:spacing w:after="0"/>
        <w:ind w:left="720" w:hanging="720"/>
        <w:jc w:val="both"/>
        <w:rPr>
          <w:lang w:val="en-GB"/>
        </w:rPr>
      </w:pPr>
      <w:r w:rsidRPr="00C31D7B">
        <w:rPr>
          <w:lang w:val="en-GB"/>
        </w:rPr>
        <w:t xml:space="preserve">Baldwin, B. A. (1980). On positioning the quiz: An empirical analysis. </w:t>
      </w:r>
      <w:r w:rsidRPr="00C31D7B">
        <w:rPr>
          <w:i/>
          <w:lang w:val="en-GB"/>
        </w:rPr>
        <w:t>The Accounting Review</w:t>
      </w:r>
      <w:r w:rsidRPr="00C31D7B">
        <w:rPr>
          <w:lang w:val="en-GB"/>
        </w:rPr>
        <w:t>, 55(4), 664–671.</w:t>
      </w:r>
    </w:p>
    <w:p w:rsidR="00E1487D" w:rsidRPr="00C31D7B" w:rsidRDefault="00E1487D" w:rsidP="002E5DDD">
      <w:pPr>
        <w:pStyle w:val="BodyTextIndent"/>
        <w:spacing w:after="0"/>
        <w:ind w:left="720" w:hanging="720"/>
        <w:jc w:val="both"/>
        <w:rPr>
          <w:lang w:val="en-GB" w:eastAsia="en-GB"/>
        </w:rPr>
      </w:pPr>
      <w:r w:rsidRPr="00C31D7B">
        <w:rPr>
          <w:lang w:val="en-GB" w:eastAsia="en-GB"/>
        </w:rPr>
        <w:t xml:space="preserve">Breakwell, G. M., &amp; Tytherleigh, M. Y. (2010). University leaders and university performance in the United Kingdom: is it ‘who’leads, or ‘where’they lead that matters most? </w:t>
      </w:r>
      <w:r w:rsidRPr="00C31D7B">
        <w:rPr>
          <w:i/>
          <w:lang w:val="en-GB" w:eastAsia="en-GB"/>
        </w:rPr>
        <w:t>Higher Education, 60</w:t>
      </w:r>
      <w:r w:rsidRPr="00C31D7B">
        <w:rPr>
          <w:lang w:val="en-GB" w:eastAsia="en-GB"/>
        </w:rPr>
        <w:t>(5), 491-506.</w:t>
      </w:r>
    </w:p>
    <w:p w:rsidR="00F45750" w:rsidRPr="00C31D7B" w:rsidRDefault="00F45750" w:rsidP="002E5DDD">
      <w:pPr>
        <w:pStyle w:val="BodyTextIndent"/>
        <w:spacing w:after="0"/>
        <w:ind w:left="720" w:hanging="720"/>
        <w:jc w:val="both"/>
        <w:rPr>
          <w:lang w:val="en-GB"/>
        </w:rPr>
      </w:pPr>
      <w:r w:rsidRPr="00C31D7B">
        <w:rPr>
          <w:lang w:val="en-GB" w:eastAsia="en-GB"/>
        </w:rPr>
        <w:t>Brody, N. (2000)</w:t>
      </w:r>
      <w:r w:rsidR="00DF20F7" w:rsidRPr="00C31D7B">
        <w:rPr>
          <w:lang w:val="en-GB" w:eastAsia="en-GB"/>
        </w:rPr>
        <w:t>.</w:t>
      </w:r>
      <w:r w:rsidRPr="00C31D7B">
        <w:rPr>
          <w:lang w:val="en-GB" w:eastAsia="en-GB"/>
        </w:rPr>
        <w:t xml:space="preserve"> History of theories and measurements of </w:t>
      </w:r>
      <w:r w:rsidR="00DF20F7" w:rsidRPr="00C31D7B">
        <w:rPr>
          <w:lang w:val="en-GB" w:eastAsia="en-GB"/>
        </w:rPr>
        <w:t>intelligence, IN</w:t>
      </w:r>
      <w:r w:rsidRPr="00C31D7B">
        <w:rPr>
          <w:lang w:val="en-GB" w:eastAsia="en-GB"/>
        </w:rPr>
        <w:t xml:space="preserve">: R. J. Steinberg (Ed.) </w:t>
      </w:r>
      <w:r w:rsidRPr="00C31D7B">
        <w:rPr>
          <w:i/>
          <w:iCs/>
          <w:lang w:val="en-GB" w:eastAsia="en-GB"/>
        </w:rPr>
        <w:t>Handbook of intelligence</w:t>
      </w:r>
      <w:r w:rsidR="00DF1C5A" w:rsidRPr="00C31D7B">
        <w:rPr>
          <w:i/>
          <w:iCs/>
          <w:lang w:val="en-GB" w:eastAsia="en-GB"/>
        </w:rPr>
        <w:t>.</w:t>
      </w:r>
      <w:r w:rsidRPr="00C31D7B">
        <w:rPr>
          <w:i/>
          <w:iCs/>
          <w:lang w:val="en-GB" w:eastAsia="en-GB"/>
        </w:rPr>
        <w:t xml:space="preserve"> </w:t>
      </w:r>
      <w:r w:rsidRPr="00C31D7B">
        <w:rPr>
          <w:lang w:val="en-GB" w:eastAsia="en-GB"/>
        </w:rPr>
        <w:t>N</w:t>
      </w:r>
      <w:r w:rsidR="00DF1C5A" w:rsidRPr="00C31D7B">
        <w:rPr>
          <w:lang w:val="en-GB" w:eastAsia="en-GB"/>
        </w:rPr>
        <w:t>e</w:t>
      </w:r>
      <w:r w:rsidRPr="00C31D7B">
        <w:rPr>
          <w:lang w:val="en-GB" w:eastAsia="en-GB"/>
        </w:rPr>
        <w:t>w York, Cambridge University Press, 16–33.</w:t>
      </w:r>
    </w:p>
    <w:p w:rsidR="00455733" w:rsidRPr="00C31D7B" w:rsidRDefault="00455733" w:rsidP="002E5DDD">
      <w:pPr>
        <w:pStyle w:val="BodyTextIndent"/>
        <w:spacing w:after="0"/>
        <w:ind w:left="720" w:hanging="720"/>
        <w:rPr>
          <w:lang w:val="en-GB"/>
        </w:rPr>
      </w:pPr>
      <w:r w:rsidRPr="00C31D7B">
        <w:rPr>
          <w:lang w:val="en-GB"/>
        </w:rPr>
        <w:t xml:space="preserve">CBI (2011) </w:t>
      </w:r>
      <w:r w:rsidRPr="00C31D7B">
        <w:rPr>
          <w:i/>
          <w:lang w:val="en-GB"/>
        </w:rPr>
        <w:t>Working towards your future: making the most of your time in higher education</w:t>
      </w:r>
      <w:r w:rsidRPr="00C31D7B">
        <w:rPr>
          <w:lang w:val="en-GB"/>
        </w:rPr>
        <w:t xml:space="preserve">. London: CBI. Available from: </w:t>
      </w:r>
      <w:r w:rsidRPr="00C31D7B">
        <w:rPr>
          <w:lang w:val="en-GB"/>
        </w:rPr>
        <w:lastRenderedPageBreak/>
        <w:t>http://aces.shu.ac.uk/employability/resources/CBI_NUS_Employability%20report_May%202011.pdf</w:t>
      </w:r>
    </w:p>
    <w:p w:rsidR="008D5822" w:rsidRPr="00C31D7B" w:rsidRDefault="008D5822" w:rsidP="002E5DDD">
      <w:pPr>
        <w:pStyle w:val="BodyTextIndent"/>
        <w:spacing w:after="0"/>
        <w:ind w:left="720" w:hanging="720"/>
        <w:jc w:val="both"/>
        <w:rPr>
          <w:lang w:val="en-GB"/>
        </w:rPr>
      </w:pPr>
      <w:r w:rsidRPr="00C31D7B">
        <w:rPr>
          <w:lang w:val="en-GB"/>
        </w:rPr>
        <w:t xml:space="preserve">Chen, J., &amp; Lin, T. F. (2008). Class attendance and exam performance: A randomized experiment. </w:t>
      </w:r>
      <w:r w:rsidRPr="00C31D7B">
        <w:rPr>
          <w:i/>
          <w:lang w:val="en-GB"/>
        </w:rPr>
        <w:t>Journal of Economic Education, 39</w:t>
      </w:r>
      <w:r w:rsidRPr="00C31D7B">
        <w:rPr>
          <w:lang w:val="en-GB"/>
        </w:rPr>
        <w:t>(3), 213-227.</w:t>
      </w:r>
    </w:p>
    <w:p w:rsidR="00DF20F7" w:rsidRPr="00C31D7B" w:rsidRDefault="00DF20F7" w:rsidP="002E5DDD">
      <w:pPr>
        <w:pStyle w:val="BodyTextIndent"/>
        <w:spacing w:after="0"/>
        <w:ind w:left="720" w:hanging="720"/>
        <w:jc w:val="both"/>
        <w:rPr>
          <w:lang w:val="en-GB"/>
        </w:rPr>
      </w:pPr>
      <w:r w:rsidRPr="00C31D7B">
        <w:rPr>
          <w:lang w:val="en-GB"/>
        </w:rPr>
        <w:t xml:space="preserve">Christensen, C. M., &amp; Carlile, P. R. (2009). Course research: Using the case method to build and teach management theory. </w:t>
      </w:r>
      <w:r w:rsidRPr="00C31D7B">
        <w:rPr>
          <w:i/>
          <w:lang w:val="en-GB"/>
        </w:rPr>
        <w:t>Academy of Management Learning &amp; Education, 8</w:t>
      </w:r>
      <w:r w:rsidRPr="00C31D7B">
        <w:rPr>
          <w:lang w:val="en-GB"/>
        </w:rPr>
        <w:t>(2), 240-251.</w:t>
      </w:r>
    </w:p>
    <w:p w:rsidR="00DF1C5A" w:rsidRPr="00C31D7B" w:rsidRDefault="00DF1C5A" w:rsidP="002E5DDD">
      <w:pPr>
        <w:pStyle w:val="BodyTextIndent"/>
        <w:spacing w:after="0"/>
        <w:ind w:left="720" w:hanging="720"/>
        <w:jc w:val="both"/>
        <w:rPr>
          <w:lang w:val="en-GB" w:eastAsia="en-GB"/>
        </w:rPr>
      </w:pPr>
      <w:r w:rsidRPr="00C31D7B">
        <w:rPr>
          <w:lang w:val="en-GB" w:eastAsia="en-GB"/>
        </w:rPr>
        <w:t>Costa, P. T., &amp; McCrae, R. R. (1989). The neo-PI/Neo-FFI manual supplement. Odessa, FL: Psychological Assessment Resources, 40.</w:t>
      </w:r>
    </w:p>
    <w:p w:rsidR="008D5822" w:rsidRPr="00C31D7B" w:rsidRDefault="008D5822" w:rsidP="002E5DDD">
      <w:pPr>
        <w:pStyle w:val="BodyTextIndent"/>
        <w:spacing w:after="0"/>
        <w:ind w:left="720" w:hanging="720"/>
        <w:jc w:val="both"/>
        <w:rPr>
          <w:lang w:val="en-GB"/>
        </w:rPr>
      </w:pPr>
      <w:r w:rsidRPr="00C31D7B">
        <w:rPr>
          <w:lang w:val="en-GB"/>
        </w:rPr>
        <w:t xml:space="preserve">Devadoss, S., &amp; Foltz, J. (1996). Evaluation of factors influencing student class attendance and performance. </w:t>
      </w:r>
      <w:r w:rsidRPr="00C31D7B">
        <w:rPr>
          <w:i/>
          <w:lang w:val="en-GB"/>
        </w:rPr>
        <w:t>American Journal of Agricultural Economics, 78</w:t>
      </w:r>
      <w:r w:rsidRPr="00C31D7B">
        <w:rPr>
          <w:lang w:val="en-GB"/>
        </w:rPr>
        <w:t>(3), 499-507.</w:t>
      </w:r>
    </w:p>
    <w:p w:rsidR="00B743D8" w:rsidRPr="00C31D7B" w:rsidRDefault="00B743D8" w:rsidP="002E5DDD">
      <w:pPr>
        <w:pStyle w:val="BodyTextIndent"/>
        <w:spacing w:after="0"/>
        <w:ind w:left="720" w:hanging="720"/>
        <w:jc w:val="both"/>
        <w:rPr>
          <w:lang w:val="en-GB"/>
        </w:rPr>
      </w:pPr>
      <w:r w:rsidRPr="00C31D7B">
        <w:rPr>
          <w:lang w:val="en-GB"/>
        </w:rPr>
        <w:t xml:space="preserve">De Vita, G. &amp; Case, P. (2016). ‘The smell of the place’: Managerialist culture in contemporary UK business schools. </w:t>
      </w:r>
      <w:r w:rsidRPr="00C31D7B">
        <w:rPr>
          <w:i/>
          <w:lang w:val="en-GB"/>
        </w:rPr>
        <w:t>Culture and Organization, 22</w:t>
      </w:r>
      <w:r w:rsidRPr="00C31D7B">
        <w:rPr>
          <w:lang w:val="en-GB"/>
        </w:rPr>
        <w:t>:4, 348-364.</w:t>
      </w:r>
    </w:p>
    <w:p w:rsidR="00D30F17" w:rsidRPr="00C31D7B" w:rsidRDefault="00D30F17" w:rsidP="002E5DDD">
      <w:pPr>
        <w:pStyle w:val="BodyTextIndent"/>
        <w:spacing w:after="0"/>
        <w:ind w:left="720" w:hanging="720"/>
        <w:jc w:val="both"/>
        <w:rPr>
          <w:lang w:val="en-GB"/>
        </w:rPr>
      </w:pPr>
      <w:r w:rsidRPr="00C31D7B">
        <w:rPr>
          <w:lang w:val="en-GB"/>
        </w:rPr>
        <w:t xml:space="preserve">Dougherty, K. J., Jones, S. M., Lahr, H., Natow, R. S., Pheatt, L., &amp; Reddy, V. (2014). Performance funding for higher education forms, origins, impacts, and futures. </w:t>
      </w:r>
      <w:r w:rsidRPr="00C31D7B">
        <w:rPr>
          <w:i/>
          <w:lang w:val="en-GB"/>
        </w:rPr>
        <w:t>The Annals of the American Academy of Political and Social Science, 655</w:t>
      </w:r>
      <w:r w:rsidRPr="00C31D7B">
        <w:rPr>
          <w:lang w:val="en-GB"/>
        </w:rPr>
        <w:t>(1), 163-184.</w:t>
      </w:r>
    </w:p>
    <w:p w:rsidR="006C605A" w:rsidRPr="00C31D7B" w:rsidRDefault="006C605A" w:rsidP="002E5DDD">
      <w:pPr>
        <w:pStyle w:val="BodyTextIndent"/>
        <w:spacing w:after="0"/>
        <w:ind w:left="720" w:hanging="720"/>
        <w:jc w:val="both"/>
        <w:rPr>
          <w:lang w:val="en-GB"/>
        </w:rPr>
      </w:pPr>
      <w:r w:rsidRPr="00C31D7B">
        <w:rPr>
          <w:lang w:val="en-GB"/>
        </w:rPr>
        <w:t xml:space="preserve">Durden, G. C., and L. V. Ellis. 1995. The effects of attendance on student learning in principles of economics. </w:t>
      </w:r>
      <w:r w:rsidRPr="00C31D7B">
        <w:rPr>
          <w:i/>
          <w:lang w:val="en-GB"/>
        </w:rPr>
        <w:t>American Economic Review Papers and Proceedings</w:t>
      </w:r>
      <w:r w:rsidRPr="00C31D7B">
        <w:rPr>
          <w:lang w:val="en-GB"/>
        </w:rPr>
        <w:t xml:space="preserve"> 85 (May): 343–46. </w:t>
      </w:r>
    </w:p>
    <w:p w:rsidR="006C605A" w:rsidRPr="00C31D7B" w:rsidRDefault="00C5352F" w:rsidP="002E5DDD">
      <w:pPr>
        <w:pStyle w:val="BodyTextIndent"/>
        <w:spacing w:after="0"/>
        <w:ind w:left="720" w:hanging="720"/>
        <w:jc w:val="both"/>
        <w:rPr>
          <w:lang w:val="en-GB"/>
        </w:rPr>
      </w:pPr>
      <w:r w:rsidRPr="00C31D7B">
        <w:rPr>
          <w:lang w:val="en-GB"/>
        </w:rPr>
        <w:t xml:space="preserve">Fielding, A., Charlton, C., Kounali, D., &amp; Leckie, G. (2008). </w:t>
      </w:r>
      <w:r w:rsidRPr="00C31D7B">
        <w:rPr>
          <w:i/>
          <w:lang w:val="en-GB"/>
        </w:rPr>
        <w:t>Degree attainment, ethnicity and gender: Interactions and the modification of effects. A quantitative analysis</w:t>
      </w:r>
      <w:r w:rsidRPr="00C31D7B">
        <w:rPr>
          <w:lang w:val="en-GB"/>
        </w:rPr>
        <w:t>. The Higher Education Academy.</w:t>
      </w:r>
    </w:p>
    <w:p w:rsidR="006C605A" w:rsidRPr="00C31D7B" w:rsidRDefault="006C605A" w:rsidP="002E5DDD">
      <w:pPr>
        <w:pStyle w:val="BodyTextIndent"/>
        <w:spacing w:after="0"/>
        <w:ind w:left="720" w:hanging="720"/>
        <w:jc w:val="both"/>
        <w:rPr>
          <w:lang w:val="en-GB"/>
        </w:rPr>
      </w:pPr>
      <w:r w:rsidRPr="00C31D7B">
        <w:rPr>
          <w:lang w:val="en-GB"/>
        </w:rPr>
        <w:lastRenderedPageBreak/>
        <w:t xml:space="preserve">Gatherer, D., &amp; Manning, C. R. (1998). Correlation of examination performance with lecture attendance: A comparative study of first year biological sciences undergraduates. </w:t>
      </w:r>
      <w:r w:rsidRPr="00C31D7B">
        <w:rPr>
          <w:i/>
          <w:lang w:val="en-GB"/>
        </w:rPr>
        <w:t>Biochemical Education</w:t>
      </w:r>
      <w:r w:rsidRPr="00C31D7B">
        <w:rPr>
          <w:lang w:val="en-GB"/>
        </w:rPr>
        <w:t>, 26(2), 121–131.</w:t>
      </w:r>
    </w:p>
    <w:p w:rsidR="00755576" w:rsidRPr="00C31D7B" w:rsidRDefault="00755576" w:rsidP="002E5DDD">
      <w:pPr>
        <w:pStyle w:val="BodyTextIndent"/>
        <w:spacing w:after="0"/>
        <w:ind w:left="720" w:hanging="720"/>
        <w:jc w:val="both"/>
        <w:rPr>
          <w:lang w:val="en-GB" w:eastAsia="en-GB"/>
        </w:rPr>
      </w:pPr>
      <w:r w:rsidRPr="00C31D7B">
        <w:rPr>
          <w:lang w:val="en-GB" w:eastAsia="en-GB"/>
        </w:rPr>
        <w:t xml:space="preserve">Halpern, N. (2007). The impact of attendance and student characteristics on academic achievement: findings from an undergraduate business management module. </w:t>
      </w:r>
      <w:r w:rsidRPr="00C31D7B">
        <w:rPr>
          <w:i/>
          <w:lang w:val="en-GB" w:eastAsia="en-GB"/>
        </w:rPr>
        <w:t>Journal of Further and Higher Education, 31</w:t>
      </w:r>
      <w:r w:rsidRPr="00C31D7B">
        <w:rPr>
          <w:lang w:val="en-GB" w:eastAsia="en-GB"/>
        </w:rPr>
        <w:t>(4), 335-349.</w:t>
      </w:r>
    </w:p>
    <w:p w:rsidR="00935193" w:rsidRPr="00C31D7B" w:rsidRDefault="00935193" w:rsidP="002E5DDD">
      <w:pPr>
        <w:pStyle w:val="BodyTextIndent"/>
        <w:spacing w:after="0"/>
        <w:ind w:left="720" w:hanging="720"/>
        <w:jc w:val="both"/>
        <w:rPr>
          <w:lang w:val="en-GB"/>
        </w:rPr>
      </w:pPr>
      <w:r w:rsidRPr="00C31D7B">
        <w:rPr>
          <w:lang w:val="en-GB" w:eastAsia="en-GB"/>
        </w:rPr>
        <w:t xml:space="preserve">Heim, A. W., Watts, K. P. &amp; Simmonds, V. (1983) </w:t>
      </w:r>
      <w:r w:rsidRPr="00C31D7B">
        <w:rPr>
          <w:i/>
          <w:iCs/>
          <w:lang w:val="en-GB" w:eastAsia="en-GB"/>
        </w:rPr>
        <w:t>AH6 group tests of high level intelligence</w:t>
      </w:r>
      <w:r w:rsidR="00DF1C5A" w:rsidRPr="00C31D7B">
        <w:rPr>
          <w:i/>
          <w:iCs/>
          <w:lang w:val="en-GB" w:eastAsia="en-GB"/>
        </w:rPr>
        <w:t xml:space="preserve">. </w:t>
      </w:r>
      <w:r w:rsidRPr="00C31D7B">
        <w:rPr>
          <w:lang w:val="en-GB" w:eastAsia="en-GB"/>
        </w:rPr>
        <w:t>Windsor</w:t>
      </w:r>
      <w:r w:rsidR="00DF1C5A" w:rsidRPr="00C31D7B">
        <w:rPr>
          <w:lang w:val="en-GB" w:eastAsia="en-GB"/>
        </w:rPr>
        <w:t>: NFER-Nelson.</w:t>
      </w:r>
    </w:p>
    <w:p w:rsidR="00935193" w:rsidRPr="00C31D7B" w:rsidRDefault="00935193" w:rsidP="002E5DDD">
      <w:pPr>
        <w:pStyle w:val="BodyTextIndent"/>
        <w:spacing w:after="0"/>
        <w:ind w:left="720" w:hanging="720"/>
        <w:jc w:val="both"/>
        <w:rPr>
          <w:lang w:val="en-GB"/>
        </w:rPr>
      </w:pPr>
      <w:r w:rsidRPr="00C31D7B">
        <w:rPr>
          <w:lang w:val="en-GB" w:eastAsia="en-GB"/>
        </w:rPr>
        <w:t xml:space="preserve">Heim, A. W. (1968) </w:t>
      </w:r>
      <w:r w:rsidRPr="00C31D7B">
        <w:rPr>
          <w:i/>
          <w:iCs/>
          <w:lang w:val="en-GB" w:eastAsia="en-GB"/>
        </w:rPr>
        <w:t>AH5 group test of high-grade intelligence: manual</w:t>
      </w:r>
      <w:r w:rsidR="00DF1C5A" w:rsidRPr="00C31D7B">
        <w:rPr>
          <w:i/>
          <w:iCs/>
          <w:lang w:val="en-GB" w:eastAsia="en-GB"/>
        </w:rPr>
        <w:t xml:space="preserve">. </w:t>
      </w:r>
      <w:r w:rsidR="00DF1C5A" w:rsidRPr="00C31D7B">
        <w:rPr>
          <w:lang w:val="en-GB" w:eastAsia="en-GB"/>
        </w:rPr>
        <w:t>Windsor: NFER Publishing</w:t>
      </w:r>
      <w:r w:rsidRPr="00C31D7B">
        <w:rPr>
          <w:lang w:val="en-GB" w:eastAsia="en-GB"/>
        </w:rPr>
        <w:t>.</w:t>
      </w:r>
    </w:p>
    <w:p w:rsidR="00D30F17" w:rsidRPr="00C31D7B" w:rsidRDefault="00D30F17" w:rsidP="002E5DDD">
      <w:pPr>
        <w:pStyle w:val="BodyTextIndent"/>
        <w:spacing w:after="0"/>
        <w:ind w:left="720" w:hanging="720"/>
        <w:jc w:val="both"/>
        <w:rPr>
          <w:lang w:val="en-GB"/>
        </w:rPr>
      </w:pPr>
      <w:r w:rsidRPr="00C31D7B">
        <w:rPr>
          <w:lang w:val="en-GB"/>
        </w:rPr>
        <w:t xml:space="preserve">Hillman, N. W., Tandberg, D. A., &amp; Fryar, A. H. (2015). Evaluating the impacts of “new” performance funding in higher education. </w:t>
      </w:r>
      <w:r w:rsidR="001F556C" w:rsidRPr="00C31D7B">
        <w:rPr>
          <w:i/>
          <w:lang w:val="en-GB"/>
        </w:rPr>
        <w:t>Educational Evaluation and Policy Analysis 37</w:t>
      </w:r>
      <w:r w:rsidR="001F556C" w:rsidRPr="00C31D7B">
        <w:rPr>
          <w:lang w:val="en-GB"/>
        </w:rPr>
        <w:t>(4): 501-519</w:t>
      </w:r>
      <w:r w:rsidRPr="00C31D7B">
        <w:rPr>
          <w:lang w:val="en-GB"/>
        </w:rPr>
        <w:t>.</w:t>
      </w:r>
    </w:p>
    <w:p w:rsidR="00745F4F" w:rsidRPr="00C31D7B" w:rsidRDefault="008D5822" w:rsidP="002E5DDD">
      <w:pPr>
        <w:pStyle w:val="BodyTextIndent"/>
        <w:spacing w:after="0"/>
        <w:ind w:left="720" w:hanging="720"/>
        <w:jc w:val="both"/>
        <w:rPr>
          <w:lang w:val="en-GB"/>
        </w:rPr>
      </w:pPr>
      <w:r w:rsidRPr="00C31D7B">
        <w:rPr>
          <w:lang w:val="en-GB"/>
        </w:rPr>
        <w:t xml:space="preserve">Horstmanshof, L., &amp; Zimitat, C. (2007). Future time orientation predicts academic engagement among first-year university students. </w:t>
      </w:r>
      <w:r w:rsidRPr="00C31D7B">
        <w:rPr>
          <w:i/>
          <w:lang w:val="en-GB"/>
        </w:rPr>
        <w:t>British Journal of Educational Psychology, 77</w:t>
      </w:r>
      <w:r w:rsidRPr="00C31D7B">
        <w:rPr>
          <w:lang w:val="en-GB"/>
        </w:rPr>
        <w:t>, 703–718.</w:t>
      </w:r>
    </w:p>
    <w:p w:rsidR="009774E0" w:rsidRPr="00C31D7B" w:rsidRDefault="009774E0" w:rsidP="002E5DDD">
      <w:pPr>
        <w:pStyle w:val="BodyTextIndent"/>
        <w:spacing w:after="0"/>
        <w:ind w:left="720" w:hanging="720"/>
        <w:jc w:val="both"/>
        <w:rPr>
          <w:lang w:val="en-GB" w:eastAsia="en-GB"/>
        </w:rPr>
      </w:pPr>
      <w:r w:rsidRPr="00C31D7B">
        <w:rPr>
          <w:lang w:val="en-GB" w:eastAsia="en-GB"/>
        </w:rPr>
        <w:t xml:space="preserve">Jongbloed, B., &amp; Vossensteyn, H. (2001). Keeping up performances: An international survey of performance-based funding in higher education. </w:t>
      </w:r>
      <w:r w:rsidRPr="00C31D7B">
        <w:rPr>
          <w:i/>
          <w:lang w:val="en-GB" w:eastAsia="en-GB"/>
        </w:rPr>
        <w:t>Journal of Higher Education Policy and Management, 23</w:t>
      </w:r>
      <w:r w:rsidRPr="00C31D7B">
        <w:rPr>
          <w:lang w:val="en-GB" w:eastAsia="en-GB"/>
        </w:rPr>
        <w:t>(2), 127-145.</w:t>
      </w:r>
    </w:p>
    <w:p w:rsidR="00B3321F" w:rsidRPr="00C31D7B" w:rsidRDefault="00B3321F" w:rsidP="002E5DDD">
      <w:pPr>
        <w:pStyle w:val="BodyTextIndent"/>
        <w:spacing w:after="0"/>
        <w:ind w:left="720" w:hanging="720"/>
        <w:jc w:val="both"/>
        <w:rPr>
          <w:lang w:val="en-GB"/>
        </w:rPr>
      </w:pPr>
      <w:r w:rsidRPr="00C31D7B">
        <w:rPr>
          <w:lang w:val="en-GB" w:eastAsia="en-GB"/>
        </w:rPr>
        <w:t xml:space="preserve">Karran, T. (2009) Academic Freedom: in Justification of a Universal Ideal. </w:t>
      </w:r>
      <w:r w:rsidRPr="00C31D7B">
        <w:rPr>
          <w:i/>
          <w:iCs/>
          <w:lang w:val="en-GB" w:eastAsia="en-GB"/>
        </w:rPr>
        <w:t>Studies in Higher Education</w:t>
      </w:r>
      <w:r w:rsidRPr="00C31D7B">
        <w:rPr>
          <w:lang w:val="en-GB" w:eastAsia="en-GB"/>
        </w:rPr>
        <w:t>, 34 (3), pp. 263–283.</w:t>
      </w:r>
    </w:p>
    <w:p w:rsidR="008D5822" w:rsidRPr="00C31D7B" w:rsidRDefault="008D5822" w:rsidP="002E5DDD">
      <w:pPr>
        <w:pStyle w:val="BodyTextIndent"/>
        <w:spacing w:after="0"/>
        <w:ind w:left="720" w:hanging="720"/>
        <w:jc w:val="both"/>
        <w:rPr>
          <w:lang w:val="en-GB"/>
        </w:rPr>
      </w:pPr>
      <w:r w:rsidRPr="00C31D7B">
        <w:rPr>
          <w:lang w:val="en-GB"/>
        </w:rPr>
        <w:t xml:space="preserve">Kirby, A., &amp; McElroy, B. (2003). The Effect of Attendance on Grade for First Year Economics Students in University College Cork. </w:t>
      </w:r>
      <w:r w:rsidRPr="00C31D7B">
        <w:rPr>
          <w:i/>
          <w:lang w:val="en-GB"/>
        </w:rPr>
        <w:t>The Economic and Social Review, 34</w:t>
      </w:r>
      <w:r w:rsidRPr="00C31D7B">
        <w:rPr>
          <w:lang w:val="en-GB"/>
        </w:rPr>
        <w:t>(3), 311-326.</w:t>
      </w:r>
    </w:p>
    <w:p w:rsidR="006C605A" w:rsidRPr="00C31D7B" w:rsidRDefault="008D5822" w:rsidP="002E5DDD">
      <w:pPr>
        <w:pStyle w:val="BodyTextIndent"/>
        <w:spacing w:after="0"/>
        <w:ind w:left="720" w:hanging="720"/>
        <w:jc w:val="both"/>
        <w:rPr>
          <w:lang w:val="en-GB"/>
        </w:rPr>
      </w:pPr>
      <w:r w:rsidRPr="00C31D7B">
        <w:rPr>
          <w:lang w:val="en-GB"/>
        </w:rPr>
        <w:lastRenderedPageBreak/>
        <w:t xml:space="preserve">Lin, T. F., &amp; Chen, J. (2006). Cumulative class attendance and exam performance. </w:t>
      </w:r>
      <w:r w:rsidRPr="00C31D7B">
        <w:rPr>
          <w:i/>
          <w:lang w:val="en-GB"/>
        </w:rPr>
        <w:t>Applied Economics Letters, 13</w:t>
      </w:r>
      <w:r w:rsidRPr="00C31D7B">
        <w:rPr>
          <w:lang w:val="en-GB"/>
        </w:rPr>
        <w:t>(14), 937-942.</w:t>
      </w:r>
    </w:p>
    <w:p w:rsidR="00CE3E47" w:rsidRPr="00C31D7B" w:rsidRDefault="00CE3E47" w:rsidP="002E5DDD">
      <w:pPr>
        <w:pStyle w:val="BodyTextIndent"/>
        <w:spacing w:after="0"/>
        <w:ind w:left="720" w:hanging="720"/>
        <w:jc w:val="both"/>
        <w:rPr>
          <w:lang w:val="en-GB"/>
        </w:rPr>
      </w:pPr>
      <w:r w:rsidRPr="00C31D7B">
        <w:rPr>
          <w:lang w:val="en-GB"/>
        </w:rPr>
        <w:t xml:space="preserve">Macfarlane, B. (2012). Re-framing student academic freedom: a capability perspective. </w:t>
      </w:r>
      <w:r w:rsidRPr="00C31D7B">
        <w:rPr>
          <w:i/>
          <w:lang w:val="en-GB"/>
        </w:rPr>
        <w:t>Higher Education, 63</w:t>
      </w:r>
      <w:r w:rsidRPr="00C31D7B">
        <w:rPr>
          <w:lang w:val="en-GB"/>
        </w:rPr>
        <w:t>(6), 719-732.</w:t>
      </w:r>
    </w:p>
    <w:p w:rsidR="006667D9" w:rsidRPr="00C31D7B" w:rsidRDefault="006667D9" w:rsidP="002E5DDD">
      <w:pPr>
        <w:pStyle w:val="BodyTextIndent"/>
        <w:spacing w:after="0"/>
        <w:ind w:left="720" w:hanging="720"/>
        <w:jc w:val="both"/>
        <w:rPr>
          <w:lang w:val="en-GB"/>
        </w:rPr>
      </w:pPr>
      <w:r w:rsidRPr="00C31D7B">
        <w:rPr>
          <w:lang w:val="en-GB"/>
        </w:rPr>
        <w:t>Macfarlane, B. (2013). The Surveillance of Learning: A Critical Analysis of University Attendance Policies</w:t>
      </w:r>
      <w:r w:rsidRPr="00C31D7B">
        <w:rPr>
          <w:i/>
          <w:lang w:val="en-GB"/>
        </w:rPr>
        <w:t>. Higher Education Quarterly, 67</w:t>
      </w:r>
      <w:r w:rsidRPr="00C31D7B">
        <w:rPr>
          <w:lang w:val="en-GB"/>
        </w:rPr>
        <w:t>(4), 358–373.</w:t>
      </w:r>
    </w:p>
    <w:p w:rsidR="006C605A" w:rsidRPr="00C31D7B" w:rsidRDefault="006C605A" w:rsidP="002E5DDD">
      <w:pPr>
        <w:pStyle w:val="BodyTextIndent"/>
        <w:spacing w:after="0"/>
        <w:ind w:left="720" w:hanging="720"/>
        <w:jc w:val="both"/>
        <w:rPr>
          <w:lang w:val="en-GB"/>
        </w:rPr>
      </w:pPr>
      <w:r w:rsidRPr="00C31D7B">
        <w:rPr>
          <w:lang w:val="en-GB"/>
        </w:rPr>
        <w:t xml:space="preserve">Marburger, D. R. 2001. Absenteeism and undergraduate exam performance. </w:t>
      </w:r>
      <w:r w:rsidRPr="00C31D7B">
        <w:rPr>
          <w:i/>
          <w:lang w:val="en-GB"/>
        </w:rPr>
        <w:t>Journal of Economic Education</w:t>
      </w:r>
      <w:r w:rsidRPr="00C31D7B">
        <w:rPr>
          <w:lang w:val="en-GB"/>
        </w:rPr>
        <w:t xml:space="preserve"> 32 (Spring): 99–109. </w:t>
      </w:r>
    </w:p>
    <w:p w:rsidR="00DF1C5A" w:rsidRPr="00C31D7B" w:rsidRDefault="006C605A" w:rsidP="002E5DDD">
      <w:pPr>
        <w:pStyle w:val="BodyTextIndent"/>
        <w:spacing w:after="0"/>
        <w:ind w:left="720" w:hanging="720"/>
        <w:jc w:val="both"/>
        <w:rPr>
          <w:lang w:val="en-GB"/>
        </w:rPr>
      </w:pPr>
      <w:r w:rsidRPr="00C31D7B">
        <w:rPr>
          <w:lang w:val="en-GB"/>
        </w:rPr>
        <w:t xml:space="preserve">Marburger, D. R. 2006. Does mandatory attendance improve student performance. </w:t>
      </w:r>
      <w:r w:rsidRPr="00C31D7B">
        <w:rPr>
          <w:i/>
          <w:lang w:val="en-GB"/>
        </w:rPr>
        <w:t>Journal of Economic Education</w:t>
      </w:r>
      <w:r w:rsidRPr="00C31D7B">
        <w:rPr>
          <w:lang w:val="en-GB"/>
        </w:rPr>
        <w:t>, 37 (Spring): 148-155</w:t>
      </w:r>
    </w:p>
    <w:p w:rsidR="00BF247B" w:rsidRPr="00C31D7B" w:rsidRDefault="00BF247B" w:rsidP="002E5DDD">
      <w:pPr>
        <w:pStyle w:val="BodyTextIndent"/>
        <w:spacing w:after="0"/>
        <w:ind w:left="720" w:hanging="720"/>
        <w:jc w:val="both"/>
        <w:rPr>
          <w:lang w:val="en-GB"/>
        </w:rPr>
      </w:pPr>
      <w:r w:rsidRPr="00C31D7B">
        <w:rPr>
          <w:lang w:val="en-GB" w:eastAsia="en-GB"/>
        </w:rPr>
        <w:t>Mellanby, J., Martin, M. &amp; Doherty, J. (2000)</w:t>
      </w:r>
      <w:r w:rsidR="00DF1C5A" w:rsidRPr="00C31D7B">
        <w:rPr>
          <w:lang w:val="en-GB" w:eastAsia="en-GB"/>
        </w:rPr>
        <w:t>.</w:t>
      </w:r>
      <w:r w:rsidRPr="00C31D7B">
        <w:rPr>
          <w:lang w:val="en-GB" w:eastAsia="en-GB"/>
        </w:rPr>
        <w:t xml:space="preserve"> The ‘gender gap’ in final examination</w:t>
      </w:r>
      <w:r w:rsidR="00DF1C5A" w:rsidRPr="00C31D7B">
        <w:rPr>
          <w:lang w:val="en-GB" w:eastAsia="en-GB"/>
        </w:rPr>
        <w:t xml:space="preserve"> results at </w:t>
      </w:r>
      <w:r w:rsidRPr="00C31D7B">
        <w:rPr>
          <w:lang w:val="en-GB" w:eastAsia="en-GB"/>
        </w:rPr>
        <w:t xml:space="preserve">Oxford University, </w:t>
      </w:r>
      <w:r w:rsidRPr="00C31D7B">
        <w:rPr>
          <w:i/>
          <w:iCs/>
          <w:lang w:val="en-GB" w:eastAsia="en-GB"/>
        </w:rPr>
        <w:t xml:space="preserve">British Journal of Psychology, </w:t>
      </w:r>
      <w:r w:rsidRPr="00C31D7B">
        <w:rPr>
          <w:lang w:val="en-GB" w:eastAsia="en-GB"/>
        </w:rPr>
        <w:t>91, 377–390.</w:t>
      </w:r>
    </w:p>
    <w:p w:rsidR="006C605A" w:rsidRPr="00C31D7B" w:rsidRDefault="006C605A" w:rsidP="002E5DDD">
      <w:pPr>
        <w:pStyle w:val="BodyTextIndent"/>
        <w:spacing w:after="0"/>
        <w:ind w:left="720" w:hanging="720"/>
        <w:jc w:val="both"/>
        <w:rPr>
          <w:lang w:val="en-GB"/>
        </w:rPr>
      </w:pPr>
      <w:r w:rsidRPr="00C31D7B">
        <w:rPr>
          <w:lang w:val="en-GB"/>
        </w:rPr>
        <w:t xml:space="preserve">Moore S., Armstrong, C., Pearson, J. (2008). Lecture absenteeism among students in higher education: a valuable route to understanding student motivation. </w:t>
      </w:r>
      <w:r w:rsidRPr="00C31D7B">
        <w:rPr>
          <w:i/>
          <w:lang w:val="en-GB"/>
        </w:rPr>
        <w:t>Journal of Higher Education Policy and Management</w:t>
      </w:r>
      <w:r w:rsidRPr="00C31D7B">
        <w:rPr>
          <w:lang w:val="en-GB"/>
        </w:rPr>
        <w:t>, 30 (1): 15–24</w:t>
      </w:r>
    </w:p>
    <w:p w:rsidR="006C605A" w:rsidRPr="00C31D7B" w:rsidRDefault="008D5822" w:rsidP="002E5DDD">
      <w:pPr>
        <w:pStyle w:val="BodyTextIndent"/>
        <w:spacing w:after="0"/>
        <w:ind w:left="720" w:hanging="720"/>
        <w:jc w:val="both"/>
        <w:rPr>
          <w:lang w:val="en-GB"/>
        </w:rPr>
      </w:pPr>
      <w:r w:rsidRPr="00C31D7B">
        <w:rPr>
          <w:lang w:val="en-GB"/>
        </w:rPr>
        <w:t xml:space="preserve">Newman-Ford, L., Fitzgibbon, K., Lloyd, S., &amp; Thomas, S. (2008). A large-scale investigation into the relationship between attendance and attainment: a study using an innovative, electronic attendance monitoring system. </w:t>
      </w:r>
      <w:r w:rsidRPr="00C31D7B">
        <w:rPr>
          <w:i/>
          <w:lang w:val="en-GB"/>
        </w:rPr>
        <w:t>Studies in Higher Education, 33</w:t>
      </w:r>
      <w:r w:rsidRPr="00C31D7B">
        <w:rPr>
          <w:lang w:val="en-GB"/>
        </w:rPr>
        <w:t>(6), 699-717.</w:t>
      </w:r>
    </w:p>
    <w:p w:rsidR="00613495" w:rsidRPr="00C31D7B" w:rsidRDefault="00613495" w:rsidP="002E5DDD">
      <w:pPr>
        <w:pStyle w:val="BodyTextIndent"/>
        <w:spacing w:after="0"/>
        <w:ind w:left="720" w:hanging="720"/>
        <w:jc w:val="both"/>
        <w:rPr>
          <w:lang w:val="en-GB"/>
        </w:rPr>
      </w:pPr>
      <w:r w:rsidRPr="00C31D7B">
        <w:rPr>
          <w:lang w:val="en-GB"/>
        </w:rPr>
        <w:t xml:space="preserve">Nixon, E., Scullion, R., &amp; Hearn, R. (2016). Her majesty the student: marketised higher education and the narcissistic (dis) satisfactions of the student-consumer. </w:t>
      </w:r>
      <w:r w:rsidRPr="00C31D7B">
        <w:rPr>
          <w:i/>
          <w:lang w:val="en-GB"/>
        </w:rPr>
        <w:t>Studies in Higher Education</w:t>
      </w:r>
      <w:r w:rsidRPr="00C31D7B">
        <w:rPr>
          <w:lang w:val="en-GB"/>
        </w:rPr>
        <w:t>. Advance online publication. doi: 10.1080/03075079.2016.1196353</w:t>
      </w:r>
    </w:p>
    <w:p w:rsidR="006C605A" w:rsidRPr="00C31D7B" w:rsidRDefault="006C605A" w:rsidP="002E5DDD">
      <w:pPr>
        <w:pStyle w:val="BodyTextIndent"/>
        <w:spacing w:after="0"/>
        <w:ind w:left="720" w:hanging="720"/>
        <w:jc w:val="both"/>
        <w:rPr>
          <w:lang w:val="en-GB"/>
        </w:rPr>
      </w:pPr>
      <w:r w:rsidRPr="00C31D7B">
        <w:rPr>
          <w:lang w:val="en-GB"/>
        </w:rPr>
        <w:t xml:space="preserve">Park, K. H., and P. M. Kerr. 1990. Determinants of academic performance: A multinomial logit approach. </w:t>
      </w:r>
      <w:r w:rsidRPr="00C31D7B">
        <w:rPr>
          <w:i/>
          <w:lang w:val="en-GB"/>
        </w:rPr>
        <w:t>Journal of Economic Education</w:t>
      </w:r>
      <w:r w:rsidRPr="00C31D7B">
        <w:rPr>
          <w:lang w:val="en-GB"/>
        </w:rPr>
        <w:t xml:space="preserve"> 21 (Spring): 101–11. </w:t>
      </w:r>
    </w:p>
    <w:p w:rsidR="00FE4C29" w:rsidRPr="00C31D7B" w:rsidRDefault="00FE4C29" w:rsidP="002E5DDD">
      <w:pPr>
        <w:ind w:left="709" w:hanging="709"/>
        <w:jc w:val="both"/>
      </w:pPr>
      <w:r w:rsidRPr="00C31D7B">
        <w:lastRenderedPageBreak/>
        <w:t xml:space="preserve">Pascarella, E. T. (1985). College environmental influences on learning and cognitive development: A critical review and synthesis. </w:t>
      </w:r>
      <w:r w:rsidRPr="00C31D7B">
        <w:rPr>
          <w:i/>
        </w:rPr>
        <w:t>Higher Education: Handbook of Theory and Research</w:t>
      </w:r>
      <w:r w:rsidRPr="00C31D7B">
        <w:t>, 1, 1–61.</w:t>
      </w:r>
    </w:p>
    <w:p w:rsidR="008D5822" w:rsidRPr="00C31D7B" w:rsidRDefault="008D5822" w:rsidP="002E5DDD">
      <w:pPr>
        <w:pStyle w:val="BodyTextIndent"/>
        <w:spacing w:after="0"/>
        <w:ind w:left="720" w:hanging="720"/>
        <w:jc w:val="both"/>
        <w:rPr>
          <w:lang w:val="en-GB"/>
        </w:rPr>
      </w:pPr>
      <w:r w:rsidRPr="00C31D7B">
        <w:rPr>
          <w:lang w:val="en-GB"/>
        </w:rPr>
        <w:t xml:space="preserve">Pike, G. R., &amp; Kuh, G. D. (2005). A Typology of Student Engagement for American Colleges and Universities. </w:t>
      </w:r>
      <w:r w:rsidRPr="00C31D7B">
        <w:rPr>
          <w:i/>
          <w:lang w:val="en-GB"/>
        </w:rPr>
        <w:t>Research in Higher Education, 46</w:t>
      </w:r>
      <w:r w:rsidRPr="00C31D7B">
        <w:rPr>
          <w:lang w:val="en-GB"/>
        </w:rPr>
        <w:t>(2), 185-209.</w:t>
      </w:r>
    </w:p>
    <w:p w:rsidR="000C68B4" w:rsidRPr="00C31D7B" w:rsidRDefault="000C68B4" w:rsidP="002E5DDD">
      <w:pPr>
        <w:pStyle w:val="BodyTextIndent"/>
        <w:spacing w:after="0"/>
        <w:ind w:left="720" w:hanging="720"/>
        <w:jc w:val="both"/>
        <w:rPr>
          <w:lang w:val="en-GB"/>
        </w:rPr>
      </w:pPr>
      <w:r w:rsidRPr="00C31D7B">
        <w:rPr>
          <w:lang w:val="en-GB"/>
        </w:rPr>
        <w:t xml:space="preserve">Prince, M. J., &amp; Felder, R. M. (2006). Inductive teaching and learning methods: Definitions, comparisons, and research bases. </w:t>
      </w:r>
      <w:r w:rsidRPr="00C31D7B">
        <w:rPr>
          <w:i/>
          <w:lang w:val="en-GB"/>
        </w:rPr>
        <w:t>Journal of Engineering Education,</w:t>
      </w:r>
      <w:r w:rsidRPr="00C31D7B">
        <w:rPr>
          <w:lang w:val="en-GB"/>
        </w:rPr>
        <w:t xml:space="preserve"> </w:t>
      </w:r>
      <w:r w:rsidRPr="00C31D7B">
        <w:rPr>
          <w:i/>
          <w:lang w:val="en-GB"/>
        </w:rPr>
        <w:t>95</w:t>
      </w:r>
      <w:r w:rsidRPr="00C31D7B">
        <w:rPr>
          <w:lang w:val="en-GB"/>
        </w:rPr>
        <w:t>(2), 123-138.</w:t>
      </w:r>
    </w:p>
    <w:p w:rsidR="008D5822" w:rsidRPr="00C31D7B" w:rsidRDefault="008D5822" w:rsidP="002E5DDD">
      <w:pPr>
        <w:pStyle w:val="BodyTextIndent"/>
        <w:spacing w:after="0"/>
        <w:ind w:left="720" w:hanging="720"/>
        <w:jc w:val="both"/>
        <w:rPr>
          <w:lang w:val="en-GB"/>
        </w:rPr>
      </w:pPr>
      <w:r w:rsidRPr="00C31D7B">
        <w:rPr>
          <w:lang w:val="en-GB"/>
        </w:rPr>
        <w:t xml:space="preserve">Romer, D. (1993). Do Students Go to Class? Should They? </w:t>
      </w:r>
      <w:r w:rsidRPr="00C31D7B">
        <w:rPr>
          <w:i/>
          <w:lang w:val="en-GB"/>
        </w:rPr>
        <w:t>Journal of Economic Perspectives, 7</w:t>
      </w:r>
      <w:r w:rsidRPr="00C31D7B">
        <w:rPr>
          <w:lang w:val="en-GB"/>
        </w:rPr>
        <w:t>(3), 167-174.</w:t>
      </w:r>
    </w:p>
    <w:p w:rsidR="004E2166" w:rsidRPr="00C31D7B" w:rsidRDefault="004E2166" w:rsidP="002E5DDD">
      <w:pPr>
        <w:pStyle w:val="BodyTextIndent"/>
        <w:spacing w:after="0"/>
        <w:ind w:left="720" w:hanging="720"/>
        <w:jc w:val="both"/>
        <w:rPr>
          <w:lang w:val="en-GB"/>
        </w:rPr>
      </w:pPr>
      <w:r w:rsidRPr="00C31D7B">
        <w:rPr>
          <w:lang w:val="en-GB" w:eastAsia="en-GB"/>
        </w:rPr>
        <w:t>Rudd, E. (1984)</w:t>
      </w:r>
      <w:r w:rsidR="00DF1C5A" w:rsidRPr="00C31D7B">
        <w:rPr>
          <w:lang w:val="en-GB" w:eastAsia="en-GB"/>
        </w:rPr>
        <w:t>.</w:t>
      </w:r>
      <w:r w:rsidRPr="00C31D7B">
        <w:rPr>
          <w:lang w:val="en-GB" w:eastAsia="en-GB"/>
        </w:rPr>
        <w:t xml:space="preserve"> A comparison between the results achieved by women and men studying for first degrees in British universities, </w:t>
      </w:r>
      <w:r w:rsidRPr="00C31D7B">
        <w:rPr>
          <w:i/>
          <w:iCs/>
          <w:lang w:val="en-GB" w:eastAsia="en-GB"/>
        </w:rPr>
        <w:t xml:space="preserve">Studies in Higher Education, </w:t>
      </w:r>
      <w:r w:rsidRPr="00C31D7B">
        <w:rPr>
          <w:lang w:val="en-GB" w:eastAsia="en-GB"/>
        </w:rPr>
        <w:t>9, 47–57.</w:t>
      </w:r>
    </w:p>
    <w:p w:rsidR="00B16D43" w:rsidRPr="00C31D7B" w:rsidRDefault="00B16D43" w:rsidP="002E5DDD">
      <w:pPr>
        <w:pStyle w:val="BodyTextIndent"/>
        <w:spacing w:after="0"/>
        <w:ind w:left="720" w:hanging="720"/>
        <w:jc w:val="both"/>
        <w:rPr>
          <w:lang w:val="en-GB"/>
        </w:rPr>
      </w:pPr>
      <w:r w:rsidRPr="00C31D7B">
        <w:rPr>
          <w:lang w:val="en-GB"/>
        </w:rPr>
        <w:t xml:space="preserve">Rutherford, A., &amp; Rabovsky, T. (2014). Evaluating impacts of performance funding policies on student outcomes in higher education. </w:t>
      </w:r>
      <w:r w:rsidRPr="00C31D7B">
        <w:rPr>
          <w:i/>
          <w:lang w:val="en-GB"/>
        </w:rPr>
        <w:t>The Annals of the American Academy of Political and Social Science, 655</w:t>
      </w:r>
      <w:r w:rsidRPr="00C31D7B">
        <w:rPr>
          <w:lang w:val="en-GB"/>
        </w:rPr>
        <w:t>(1), 185-208.</w:t>
      </w:r>
    </w:p>
    <w:p w:rsidR="00DF1C5A" w:rsidRPr="00C31D7B" w:rsidRDefault="006C605A" w:rsidP="002E5DDD">
      <w:pPr>
        <w:pStyle w:val="BodyTextIndent"/>
        <w:spacing w:after="0"/>
        <w:ind w:left="720" w:hanging="720"/>
        <w:jc w:val="both"/>
        <w:rPr>
          <w:lang w:val="en-GB"/>
        </w:rPr>
      </w:pPr>
      <w:r w:rsidRPr="00C31D7B">
        <w:rPr>
          <w:lang w:val="en-GB"/>
        </w:rPr>
        <w:t xml:space="preserve">Schmidt, R. M. </w:t>
      </w:r>
      <w:r w:rsidR="00DF1C5A" w:rsidRPr="00C31D7B">
        <w:rPr>
          <w:lang w:val="en-GB"/>
        </w:rPr>
        <w:t>(</w:t>
      </w:r>
      <w:r w:rsidRPr="00C31D7B">
        <w:rPr>
          <w:lang w:val="en-GB"/>
        </w:rPr>
        <w:t>1983</w:t>
      </w:r>
      <w:r w:rsidR="00DF1C5A" w:rsidRPr="00C31D7B">
        <w:rPr>
          <w:lang w:val="en-GB"/>
        </w:rPr>
        <w:t>)</w:t>
      </w:r>
      <w:r w:rsidRPr="00C31D7B">
        <w:rPr>
          <w:lang w:val="en-GB"/>
        </w:rPr>
        <w:t xml:space="preserve">. Who maximizes what? A study in student time allocation. </w:t>
      </w:r>
      <w:r w:rsidRPr="00C31D7B">
        <w:rPr>
          <w:i/>
          <w:lang w:val="en-GB"/>
        </w:rPr>
        <w:t>American Economic Review Papers and Proceedings</w:t>
      </w:r>
      <w:r w:rsidR="00DF1C5A" w:rsidRPr="00C31D7B">
        <w:rPr>
          <w:lang w:val="en-GB"/>
        </w:rPr>
        <w:t>,</w:t>
      </w:r>
      <w:r w:rsidRPr="00C31D7B">
        <w:rPr>
          <w:lang w:val="en-GB"/>
        </w:rPr>
        <w:t xml:space="preserve"> 73(May)</w:t>
      </w:r>
      <w:r w:rsidR="00DF1C5A" w:rsidRPr="00C31D7B">
        <w:rPr>
          <w:lang w:val="en-GB"/>
        </w:rPr>
        <w:t>,</w:t>
      </w:r>
      <w:r w:rsidRPr="00C31D7B">
        <w:rPr>
          <w:lang w:val="en-GB"/>
        </w:rPr>
        <w:t xml:space="preserve"> 23–28.</w:t>
      </w:r>
    </w:p>
    <w:p w:rsidR="00807E6D" w:rsidRPr="00C31D7B" w:rsidRDefault="00807E6D" w:rsidP="002E5DDD">
      <w:pPr>
        <w:pStyle w:val="BodyTextIndent"/>
        <w:spacing w:after="0"/>
        <w:ind w:left="720" w:hanging="720"/>
        <w:jc w:val="both"/>
        <w:rPr>
          <w:lang w:val="en-GB"/>
        </w:rPr>
      </w:pPr>
      <w:r w:rsidRPr="00C31D7B">
        <w:rPr>
          <w:lang w:val="en-GB" w:eastAsia="en-GB"/>
        </w:rPr>
        <w:t xml:space="preserve">Seth, N. K. &amp; Pratap, S. (1971) A study of the academic performance, intelligence and aptitude of engineering students, </w:t>
      </w:r>
      <w:r w:rsidRPr="00C31D7B">
        <w:rPr>
          <w:i/>
          <w:iCs/>
          <w:lang w:val="en-GB" w:eastAsia="en-GB"/>
        </w:rPr>
        <w:t xml:space="preserve">Education and Psychology Review, </w:t>
      </w:r>
      <w:r w:rsidRPr="00C31D7B">
        <w:rPr>
          <w:lang w:val="en-GB" w:eastAsia="en-GB"/>
        </w:rPr>
        <w:t>11, 3–10.</w:t>
      </w:r>
    </w:p>
    <w:p w:rsidR="008D5822" w:rsidRPr="00C31D7B" w:rsidRDefault="008D5822" w:rsidP="002E5DDD">
      <w:pPr>
        <w:pStyle w:val="BodyTextIndent"/>
        <w:spacing w:after="0"/>
        <w:ind w:left="720" w:hanging="720"/>
        <w:jc w:val="both"/>
        <w:rPr>
          <w:lang w:val="en-GB"/>
        </w:rPr>
      </w:pPr>
      <w:r w:rsidRPr="00C31D7B">
        <w:rPr>
          <w:lang w:val="en-GB"/>
        </w:rPr>
        <w:t xml:space="preserve">Shimoff, E., &amp; Catania, A. C. (2001). Effects of recording attendance on grades in introductory psychology. </w:t>
      </w:r>
      <w:r w:rsidRPr="00C31D7B">
        <w:rPr>
          <w:i/>
          <w:lang w:val="en-GB"/>
        </w:rPr>
        <w:t>Teaching of Psychology, 28</w:t>
      </w:r>
      <w:r w:rsidRPr="00C31D7B">
        <w:rPr>
          <w:lang w:val="en-GB"/>
        </w:rPr>
        <w:t>(3), 192-195.</w:t>
      </w:r>
    </w:p>
    <w:p w:rsidR="00821DC7" w:rsidRPr="00C31D7B" w:rsidRDefault="00821DC7" w:rsidP="002E5DDD">
      <w:pPr>
        <w:pStyle w:val="BodyTextIndent"/>
        <w:spacing w:after="0"/>
        <w:ind w:left="720" w:hanging="720"/>
        <w:jc w:val="both"/>
        <w:rPr>
          <w:lang w:val="en-GB"/>
        </w:rPr>
      </w:pPr>
      <w:r w:rsidRPr="00C31D7B">
        <w:rPr>
          <w:lang w:val="en-GB"/>
        </w:rPr>
        <w:t xml:space="preserve">Sund, K. J. (2016). Attendance, Employability, Student Performance and Electronic Course Materials: an Exploration and Discussion. IN S. R. Tiwari , &amp; L. Nafees (eds.), </w:t>
      </w:r>
      <w:r w:rsidRPr="00C31D7B">
        <w:rPr>
          <w:i/>
          <w:lang w:val="en-GB"/>
        </w:rPr>
        <w:lastRenderedPageBreak/>
        <w:t>Innovative Management Education Pedagogies for Preparing Next-Generation Leaders</w:t>
      </w:r>
      <w:r w:rsidRPr="00C31D7B">
        <w:rPr>
          <w:lang w:val="en-GB"/>
        </w:rPr>
        <w:t>. p. 108-118). Hershey PA: IGI global.</w:t>
      </w:r>
    </w:p>
    <w:p w:rsidR="00E02EAF" w:rsidRPr="00C31D7B" w:rsidRDefault="00E02EAF" w:rsidP="002E5DDD">
      <w:pPr>
        <w:pStyle w:val="BodyTextIndent"/>
        <w:spacing w:after="0"/>
        <w:ind w:left="720" w:hanging="720"/>
        <w:jc w:val="both"/>
        <w:rPr>
          <w:lang w:val="en-GB"/>
        </w:rPr>
      </w:pPr>
      <w:r w:rsidRPr="00C31D7B">
        <w:rPr>
          <w:lang w:val="en-GB"/>
        </w:rPr>
        <w:t xml:space="preserve">Teixeira, A. A. (2016). The impact of class absenteeism on undergraduates’ academic performance: evidence from an elite Economics school in Portugal. </w:t>
      </w:r>
      <w:r w:rsidRPr="00C31D7B">
        <w:rPr>
          <w:i/>
          <w:lang w:val="en-GB"/>
        </w:rPr>
        <w:t>Innovations in Education and Teaching International, 53</w:t>
      </w:r>
      <w:r w:rsidRPr="00C31D7B">
        <w:rPr>
          <w:lang w:val="en-GB"/>
        </w:rPr>
        <w:t>(2), 230-242.</w:t>
      </w:r>
    </w:p>
    <w:p w:rsidR="00125F53" w:rsidRPr="00C31D7B" w:rsidRDefault="00125F53" w:rsidP="002E5DDD">
      <w:pPr>
        <w:pStyle w:val="BodyTextIndent"/>
        <w:spacing w:after="0"/>
        <w:ind w:left="720" w:hanging="720"/>
        <w:jc w:val="both"/>
        <w:rPr>
          <w:lang w:val="en-GB"/>
        </w:rPr>
      </w:pPr>
      <w:r w:rsidRPr="00C31D7B">
        <w:rPr>
          <w:lang w:val="en-GB"/>
        </w:rPr>
        <w:t xml:space="preserve">Tomlinson, M. (2017). Student Engagement: Towards A Critical Policy Sociology. </w:t>
      </w:r>
      <w:r w:rsidRPr="00C31D7B">
        <w:rPr>
          <w:i/>
          <w:lang w:val="en-GB"/>
        </w:rPr>
        <w:t>Higher Education Policy, 30</w:t>
      </w:r>
      <w:r w:rsidRPr="00C31D7B">
        <w:rPr>
          <w:lang w:val="en-GB"/>
        </w:rPr>
        <w:t>(1), 35-52</w:t>
      </w:r>
    </w:p>
    <w:p w:rsidR="00E9571F" w:rsidRPr="00C31D7B" w:rsidRDefault="00E9571F" w:rsidP="002E5DDD">
      <w:pPr>
        <w:pStyle w:val="BodyTextIndent"/>
        <w:spacing w:after="0"/>
        <w:ind w:left="720" w:hanging="720"/>
        <w:jc w:val="both"/>
        <w:rPr>
          <w:lang w:val="en-GB"/>
        </w:rPr>
      </w:pPr>
      <w:r w:rsidRPr="00C31D7B">
        <w:rPr>
          <w:lang w:val="en-GB"/>
        </w:rPr>
        <w:t xml:space="preserve">Trowler, P. 2001. “Captured by the Discourse? The Socially Constitutive Power of New Higher Education Discourse in the UK.” </w:t>
      </w:r>
      <w:r w:rsidRPr="00C31D7B">
        <w:rPr>
          <w:i/>
          <w:lang w:val="en-GB"/>
        </w:rPr>
        <w:t>Organization 8</w:t>
      </w:r>
      <w:r w:rsidRPr="00C31D7B">
        <w:rPr>
          <w:lang w:val="en-GB"/>
        </w:rPr>
        <w:t>(2): 183–201.</w:t>
      </w:r>
    </w:p>
    <w:p w:rsidR="008D5822" w:rsidRPr="00C31D7B" w:rsidRDefault="008D5822" w:rsidP="002E5DDD">
      <w:pPr>
        <w:pStyle w:val="BodyTextIndent"/>
        <w:spacing w:after="0"/>
        <w:ind w:left="720" w:hanging="720"/>
        <w:jc w:val="both"/>
        <w:rPr>
          <w:lang w:val="en-GB"/>
        </w:rPr>
      </w:pPr>
      <w:r w:rsidRPr="00C31D7B">
        <w:rPr>
          <w:lang w:val="en-GB"/>
        </w:rPr>
        <w:t xml:space="preserve">van Walbeek, C. (2004). Does Lecture Attendance Matter? Some Observations from a First-Year Economics Course at the University Of Cape Town. </w:t>
      </w:r>
      <w:r w:rsidRPr="00C31D7B">
        <w:rPr>
          <w:i/>
          <w:lang w:val="en-GB"/>
        </w:rPr>
        <w:t>South African Journal of Economics, 72</w:t>
      </w:r>
      <w:r w:rsidRPr="00C31D7B">
        <w:rPr>
          <w:lang w:val="en-GB"/>
        </w:rPr>
        <w:t>(4), 861-883.</w:t>
      </w:r>
    </w:p>
    <w:p w:rsidR="003258DF" w:rsidRPr="00C31D7B" w:rsidRDefault="003258DF" w:rsidP="002E5DDD">
      <w:pPr>
        <w:pStyle w:val="BodyTextIndent"/>
        <w:spacing w:after="0"/>
        <w:ind w:left="720" w:hanging="720"/>
        <w:jc w:val="both"/>
        <w:rPr>
          <w:lang w:val="en-GB"/>
        </w:rPr>
      </w:pPr>
      <w:r w:rsidRPr="00C31D7B">
        <w:rPr>
          <w:lang w:val="en-GB"/>
        </w:rPr>
        <w:t xml:space="preserve">Vingaard Johansen, U., Knudsen, F. B., Engelbrecht Kristoffersen, C., Stellfeld Rasmussen, J., Saaby </w:t>
      </w:r>
      <w:r w:rsidR="00EA3ECC" w:rsidRPr="00C31D7B">
        <w:rPr>
          <w:lang w:val="en-GB"/>
        </w:rPr>
        <w:t>Steffen, E., &amp; Sund, K. J. (2017</w:t>
      </w:r>
      <w:r w:rsidRPr="00C31D7B">
        <w:rPr>
          <w:lang w:val="en-GB"/>
        </w:rPr>
        <w:t xml:space="preserve">). Political discourse on higher education in Denmark: from enlightened citizen to homo economicus. </w:t>
      </w:r>
      <w:r w:rsidRPr="00C31D7B">
        <w:rPr>
          <w:i/>
          <w:lang w:val="en-GB"/>
        </w:rPr>
        <w:t>Studies in Higher Education</w:t>
      </w:r>
      <w:r w:rsidR="00EA3ECC" w:rsidRPr="00C31D7B">
        <w:rPr>
          <w:i/>
          <w:lang w:val="en-GB"/>
        </w:rPr>
        <w:t>,</w:t>
      </w:r>
      <w:r w:rsidRPr="00C31D7B">
        <w:rPr>
          <w:lang w:val="en-GB"/>
        </w:rPr>
        <w:t xml:space="preserve"> </w:t>
      </w:r>
      <w:r w:rsidR="00EA3ECC" w:rsidRPr="00C31D7B">
        <w:rPr>
          <w:i/>
          <w:lang w:val="en-GB"/>
        </w:rPr>
        <w:t>42</w:t>
      </w:r>
      <w:r w:rsidR="00EA3ECC" w:rsidRPr="00C31D7B">
        <w:rPr>
          <w:lang w:val="en-GB"/>
        </w:rPr>
        <w:t>(2), 264-277.</w:t>
      </w:r>
    </w:p>
    <w:p w:rsidR="00110305" w:rsidRPr="00C31D7B" w:rsidRDefault="00110305" w:rsidP="002E5DDD">
      <w:pPr>
        <w:pStyle w:val="BodyTextIndent"/>
        <w:spacing w:after="0"/>
        <w:ind w:left="720" w:hanging="720"/>
        <w:jc w:val="both"/>
        <w:rPr>
          <w:lang w:val="en-GB"/>
        </w:rPr>
      </w:pPr>
      <w:r w:rsidRPr="00C31D7B">
        <w:rPr>
          <w:lang w:val="en-GB"/>
        </w:rPr>
        <w:t>Westerman, J. W., Perez</w:t>
      </w:r>
      <w:r w:rsidRPr="00C31D7B">
        <w:rPr>
          <w:rFonts w:ascii="Cambria Math" w:hAnsi="Cambria Math" w:cs="Cambria Math"/>
          <w:lang w:val="en-GB"/>
        </w:rPr>
        <w:t>‐</w:t>
      </w:r>
      <w:r w:rsidRPr="00C31D7B">
        <w:rPr>
          <w:lang w:val="en-GB"/>
        </w:rPr>
        <w:t xml:space="preserve">Batres, L. A., Coffey, B. S., &amp; Pouder, R. W. (2011). The relationship between undergraduate attendance and performance revisited: alignment of student and instructor goals. </w:t>
      </w:r>
      <w:r w:rsidRPr="00C31D7B">
        <w:rPr>
          <w:i/>
          <w:lang w:val="en-GB"/>
        </w:rPr>
        <w:t>Decision Sciences Journal of Innovative Education</w:t>
      </w:r>
      <w:r w:rsidRPr="00C31D7B">
        <w:rPr>
          <w:lang w:val="en-GB"/>
        </w:rPr>
        <w:t>, 9(1), 49-67.</w:t>
      </w:r>
    </w:p>
    <w:p w:rsidR="008D5822" w:rsidRPr="00C31D7B" w:rsidRDefault="008D5822" w:rsidP="002E5DDD">
      <w:pPr>
        <w:pStyle w:val="BodyTextIndent"/>
        <w:spacing w:after="0"/>
        <w:ind w:left="720" w:hanging="720"/>
        <w:jc w:val="both"/>
        <w:rPr>
          <w:lang w:val="en-GB"/>
        </w:rPr>
      </w:pPr>
      <w:r w:rsidRPr="00C31D7B">
        <w:rPr>
          <w:lang w:val="en-GB"/>
        </w:rPr>
        <w:t xml:space="preserve">Woodfield, R., Jessop, D., &amp; McMillan, L. (2006). Gender differences in undergraduate attendance rates. </w:t>
      </w:r>
      <w:r w:rsidRPr="00C31D7B">
        <w:rPr>
          <w:i/>
          <w:lang w:val="en-GB"/>
        </w:rPr>
        <w:t>Studies in Higher Education, 31</w:t>
      </w:r>
      <w:r w:rsidRPr="00C31D7B">
        <w:rPr>
          <w:lang w:val="en-GB"/>
        </w:rPr>
        <w:t>(1), 1-22.</w:t>
      </w:r>
    </w:p>
    <w:p w:rsidR="00DF1C5A" w:rsidRPr="00C31D7B" w:rsidRDefault="00461841" w:rsidP="002E5DDD">
      <w:pPr>
        <w:autoSpaceDE w:val="0"/>
        <w:autoSpaceDN w:val="0"/>
        <w:adjustRightInd w:val="0"/>
        <w:ind w:left="709" w:hanging="709"/>
        <w:rPr>
          <w:lang w:val="en-GB" w:eastAsia="en-GB"/>
        </w:rPr>
      </w:pPr>
      <w:r w:rsidRPr="00C31D7B">
        <w:rPr>
          <w:lang w:val="en-GB" w:eastAsia="en-GB"/>
        </w:rPr>
        <w:t>Ylijoki, O.-H. 2000. Disciplinary cultures and the moral order of studying – A case-s</w:t>
      </w:r>
      <w:r w:rsidR="00FB58DB" w:rsidRPr="00C31D7B">
        <w:rPr>
          <w:lang w:val="en-GB" w:eastAsia="en-GB"/>
        </w:rPr>
        <w:t xml:space="preserve">tudy of four Finnish university </w:t>
      </w:r>
      <w:r w:rsidRPr="00C31D7B">
        <w:rPr>
          <w:lang w:val="en-GB" w:eastAsia="en-GB"/>
        </w:rPr>
        <w:t xml:space="preserve">departments. </w:t>
      </w:r>
      <w:r w:rsidRPr="00C31D7B">
        <w:rPr>
          <w:i/>
          <w:iCs/>
          <w:lang w:val="en-GB" w:eastAsia="en-GB"/>
        </w:rPr>
        <w:t xml:space="preserve">Higher Education </w:t>
      </w:r>
      <w:r w:rsidR="00DF1C5A" w:rsidRPr="00C31D7B">
        <w:rPr>
          <w:lang w:val="en-GB" w:eastAsia="en-GB"/>
        </w:rPr>
        <w:t>39.</w:t>
      </w:r>
      <w:r w:rsidRPr="00C31D7B">
        <w:rPr>
          <w:lang w:val="en-GB" w:eastAsia="en-GB"/>
        </w:rPr>
        <w:t xml:space="preserve"> 339–36.</w:t>
      </w:r>
    </w:p>
    <w:p w:rsidR="00FB58DB" w:rsidRPr="00C31D7B" w:rsidRDefault="00FB58DB" w:rsidP="002E5DDD">
      <w:pPr>
        <w:autoSpaceDE w:val="0"/>
        <w:autoSpaceDN w:val="0"/>
        <w:adjustRightInd w:val="0"/>
        <w:ind w:left="709" w:hanging="709"/>
        <w:rPr>
          <w:lang w:val="en-GB" w:eastAsia="en-GB"/>
        </w:rPr>
      </w:pPr>
      <w:r w:rsidRPr="00C31D7B">
        <w:rPr>
          <w:lang w:val="en-GB" w:eastAsia="en-GB"/>
        </w:rPr>
        <w:lastRenderedPageBreak/>
        <w:t xml:space="preserve">Zeidner, M. &amp; Matthews, G. (2000) Intelligence and personality, </w:t>
      </w:r>
      <w:r w:rsidR="00DF1C5A" w:rsidRPr="00C31D7B">
        <w:rPr>
          <w:lang w:val="en-GB" w:eastAsia="en-GB"/>
        </w:rPr>
        <w:t>IN</w:t>
      </w:r>
      <w:r w:rsidRPr="00C31D7B">
        <w:rPr>
          <w:lang w:val="en-GB" w:eastAsia="en-GB"/>
        </w:rPr>
        <w:t xml:space="preserve">: R. J. Sternberg (Ed.) </w:t>
      </w:r>
      <w:r w:rsidRPr="00C31D7B">
        <w:rPr>
          <w:i/>
          <w:iCs/>
          <w:lang w:val="en-GB" w:eastAsia="en-GB"/>
        </w:rPr>
        <w:t>Handbook of intelligence</w:t>
      </w:r>
      <w:r w:rsidR="00DF1C5A" w:rsidRPr="00C31D7B">
        <w:rPr>
          <w:i/>
          <w:iCs/>
          <w:lang w:val="en-GB" w:eastAsia="en-GB"/>
        </w:rPr>
        <w:t xml:space="preserve">. </w:t>
      </w:r>
      <w:r w:rsidR="00DF1C5A" w:rsidRPr="00C31D7B">
        <w:rPr>
          <w:lang w:val="en-GB" w:eastAsia="en-GB"/>
        </w:rPr>
        <w:t>Cambridge:</w:t>
      </w:r>
      <w:r w:rsidRPr="00C31D7B">
        <w:rPr>
          <w:lang w:val="en-GB" w:eastAsia="en-GB"/>
        </w:rPr>
        <w:t xml:space="preserve"> Cambridge University Press, 581–610.</w:t>
      </w:r>
    </w:p>
    <w:p w:rsidR="00EA2E1F" w:rsidRPr="00C31D7B" w:rsidRDefault="00EA2E1F" w:rsidP="00410F5C">
      <w:pPr>
        <w:spacing w:line="240" w:lineRule="auto"/>
        <w:rPr>
          <w:lang w:val="en-GB"/>
        </w:rPr>
      </w:pPr>
    </w:p>
    <w:p w:rsidR="008C1798" w:rsidRPr="00C31D7B" w:rsidRDefault="008C1798" w:rsidP="00D328E3">
      <w:pPr>
        <w:spacing w:line="240" w:lineRule="auto"/>
        <w:rPr>
          <w:lang w:val="en-GB"/>
        </w:rPr>
      </w:pPr>
    </w:p>
    <w:sectPr w:rsidR="008C1798" w:rsidRPr="00C31D7B" w:rsidSect="00F32C27">
      <w:footerReference w:type="default" r:id="rId8"/>
      <w:headerReference w:type="first" r:id="rId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7F0" w:rsidRDefault="00B267F0">
      <w:r>
        <w:separator/>
      </w:r>
    </w:p>
  </w:endnote>
  <w:endnote w:type="continuationSeparator" w:id="0">
    <w:p w:rsidR="00B267F0" w:rsidRDefault="00B2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601592"/>
      <w:docPartObj>
        <w:docPartGallery w:val="Page Numbers (Bottom of Page)"/>
        <w:docPartUnique/>
      </w:docPartObj>
    </w:sdtPr>
    <w:sdtContent>
      <w:p w:rsidR="00203885" w:rsidRDefault="003046A9">
        <w:pPr>
          <w:pStyle w:val="Footer"/>
          <w:jc w:val="center"/>
        </w:pPr>
        <w:r w:rsidRPr="003046A9">
          <w:fldChar w:fldCharType="begin"/>
        </w:r>
        <w:r w:rsidR="006C172F">
          <w:instrText>PAGE   \* MERGEFORMAT</w:instrText>
        </w:r>
        <w:r w:rsidRPr="003046A9">
          <w:fldChar w:fldCharType="separate"/>
        </w:r>
        <w:r w:rsidR="007B6959" w:rsidRPr="007B6959">
          <w:rPr>
            <w:noProof/>
            <w:lang w:val="da-DK"/>
          </w:rPr>
          <w:t>35</w:t>
        </w:r>
        <w:r>
          <w:rPr>
            <w:noProof/>
            <w:lang w:val="da-DK"/>
          </w:rPr>
          <w:fldChar w:fldCharType="end"/>
        </w:r>
      </w:p>
    </w:sdtContent>
  </w:sdt>
  <w:p w:rsidR="00203885" w:rsidRDefault="002038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7F0" w:rsidRDefault="00B267F0">
      <w:r>
        <w:separator/>
      </w:r>
    </w:p>
  </w:footnote>
  <w:footnote w:type="continuationSeparator" w:id="0">
    <w:p w:rsidR="00B267F0" w:rsidRDefault="00B26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85" w:rsidRDefault="00203885">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6FAEE0A"/>
    <w:lvl w:ilvl="0">
      <w:start w:val="1"/>
      <w:numFmt w:val="decimal"/>
      <w:pStyle w:val="ListNumber"/>
      <w:lvlText w:val="%1."/>
      <w:lvlJc w:val="left"/>
      <w:pPr>
        <w:tabs>
          <w:tab w:val="num" w:pos="360"/>
        </w:tabs>
        <w:ind w:left="360" w:hanging="360"/>
      </w:pPr>
    </w:lvl>
  </w:abstractNum>
  <w:abstractNum w:abstractNumId="1">
    <w:nsid w:val="01F661DD"/>
    <w:multiLevelType w:val="hybridMultilevel"/>
    <w:tmpl w:val="B5F4D3E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02718"/>
    <w:multiLevelType w:val="hybridMultilevel"/>
    <w:tmpl w:val="3D9869A8"/>
    <w:lvl w:ilvl="0" w:tplc="1EBC9E46">
      <w:start w:val="1"/>
      <w:numFmt w:val="bullet"/>
      <w:lvlText w:val="-"/>
      <w:lvlJc w:val="left"/>
      <w:pPr>
        <w:ind w:left="3960" w:hanging="360"/>
      </w:pPr>
      <w:rPr>
        <w:rFonts w:ascii="Times New Roman" w:eastAsia="Times New Roman" w:hAnsi="Times New Roman"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nsid w:val="1E850148"/>
    <w:multiLevelType w:val="hybridMultilevel"/>
    <w:tmpl w:val="E1AAE8A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8E11FF"/>
    <w:multiLevelType w:val="hybridMultilevel"/>
    <w:tmpl w:val="4276338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626EDC"/>
    <w:multiLevelType w:val="hybridMultilevel"/>
    <w:tmpl w:val="3C48E99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0C4122"/>
    <w:multiLevelType w:val="hybridMultilevel"/>
    <w:tmpl w:val="DD34D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FBA5D37"/>
    <w:multiLevelType w:val="hybridMultilevel"/>
    <w:tmpl w:val="DE040200"/>
    <w:lvl w:ilvl="0" w:tplc="206AE91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ttendance and Technology.enl&lt;/item&gt;&lt;/Libraries&gt;&lt;/ENLibraries&gt;"/>
  </w:docVars>
  <w:rsids>
    <w:rsidRoot w:val="00F27603"/>
    <w:rsid w:val="00000456"/>
    <w:rsid w:val="00001578"/>
    <w:rsid w:val="00001DCC"/>
    <w:rsid w:val="00001F1D"/>
    <w:rsid w:val="00005F12"/>
    <w:rsid w:val="0000668E"/>
    <w:rsid w:val="00006DE1"/>
    <w:rsid w:val="000070ED"/>
    <w:rsid w:val="0001120B"/>
    <w:rsid w:val="00011DDE"/>
    <w:rsid w:val="000130C5"/>
    <w:rsid w:val="000135AA"/>
    <w:rsid w:val="0001684F"/>
    <w:rsid w:val="00016F50"/>
    <w:rsid w:val="000170F3"/>
    <w:rsid w:val="0001771B"/>
    <w:rsid w:val="00017B79"/>
    <w:rsid w:val="00017B93"/>
    <w:rsid w:val="000204DA"/>
    <w:rsid w:val="00020AD9"/>
    <w:rsid w:val="00020C84"/>
    <w:rsid w:val="000214D1"/>
    <w:rsid w:val="000246D7"/>
    <w:rsid w:val="00024BC4"/>
    <w:rsid w:val="00026347"/>
    <w:rsid w:val="0003042D"/>
    <w:rsid w:val="00030CC4"/>
    <w:rsid w:val="00030F72"/>
    <w:rsid w:val="000319D2"/>
    <w:rsid w:val="00031F21"/>
    <w:rsid w:val="0003333A"/>
    <w:rsid w:val="00034C79"/>
    <w:rsid w:val="00035D55"/>
    <w:rsid w:val="0003609E"/>
    <w:rsid w:val="00037324"/>
    <w:rsid w:val="0003763F"/>
    <w:rsid w:val="00040A3E"/>
    <w:rsid w:val="00041401"/>
    <w:rsid w:val="00041B76"/>
    <w:rsid w:val="00042522"/>
    <w:rsid w:val="00046BF2"/>
    <w:rsid w:val="00047C98"/>
    <w:rsid w:val="000501C2"/>
    <w:rsid w:val="00050271"/>
    <w:rsid w:val="00051592"/>
    <w:rsid w:val="00052425"/>
    <w:rsid w:val="000524C8"/>
    <w:rsid w:val="00052A21"/>
    <w:rsid w:val="00053438"/>
    <w:rsid w:val="00053BA2"/>
    <w:rsid w:val="00054995"/>
    <w:rsid w:val="00054A47"/>
    <w:rsid w:val="00055077"/>
    <w:rsid w:val="00056151"/>
    <w:rsid w:val="00056326"/>
    <w:rsid w:val="0006274D"/>
    <w:rsid w:val="00062AE2"/>
    <w:rsid w:val="00062CF3"/>
    <w:rsid w:val="0006319A"/>
    <w:rsid w:val="00063A6C"/>
    <w:rsid w:val="00065E1E"/>
    <w:rsid w:val="00065E33"/>
    <w:rsid w:val="000709AE"/>
    <w:rsid w:val="00072092"/>
    <w:rsid w:val="00072377"/>
    <w:rsid w:val="00072C2B"/>
    <w:rsid w:val="00074232"/>
    <w:rsid w:val="00075029"/>
    <w:rsid w:val="000752AB"/>
    <w:rsid w:val="00075DBF"/>
    <w:rsid w:val="00075EA8"/>
    <w:rsid w:val="000761B9"/>
    <w:rsid w:val="00076811"/>
    <w:rsid w:val="00076E52"/>
    <w:rsid w:val="000803AC"/>
    <w:rsid w:val="00080D3B"/>
    <w:rsid w:val="00081353"/>
    <w:rsid w:val="00082219"/>
    <w:rsid w:val="00083DB7"/>
    <w:rsid w:val="00083ED6"/>
    <w:rsid w:val="00084FB8"/>
    <w:rsid w:val="0008519F"/>
    <w:rsid w:val="00087997"/>
    <w:rsid w:val="00090221"/>
    <w:rsid w:val="000904CC"/>
    <w:rsid w:val="0009188E"/>
    <w:rsid w:val="00091BBB"/>
    <w:rsid w:val="0009412D"/>
    <w:rsid w:val="0009416B"/>
    <w:rsid w:val="000959AD"/>
    <w:rsid w:val="00096D83"/>
    <w:rsid w:val="000A18D9"/>
    <w:rsid w:val="000A1B75"/>
    <w:rsid w:val="000A1FAD"/>
    <w:rsid w:val="000A6678"/>
    <w:rsid w:val="000A6A20"/>
    <w:rsid w:val="000A7970"/>
    <w:rsid w:val="000B1C69"/>
    <w:rsid w:val="000B2640"/>
    <w:rsid w:val="000B2FCA"/>
    <w:rsid w:val="000B5687"/>
    <w:rsid w:val="000B5A38"/>
    <w:rsid w:val="000B6A19"/>
    <w:rsid w:val="000C000B"/>
    <w:rsid w:val="000C0CB1"/>
    <w:rsid w:val="000C1E9F"/>
    <w:rsid w:val="000C2BC6"/>
    <w:rsid w:val="000C4BC8"/>
    <w:rsid w:val="000C4F42"/>
    <w:rsid w:val="000C68B4"/>
    <w:rsid w:val="000C7628"/>
    <w:rsid w:val="000D1FD2"/>
    <w:rsid w:val="000D2404"/>
    <w:rsid w:val="000D2E70"/>
    <w:rsid w:val="000D3A40"/>
    <w:rsid w:val="000D3F28"/>
    <w:rsid w:val="000D4410"/>
    <w:rsid w:val="000D44E8"/>
    <w:rsid w:val="000D472E"/>
    <w:rsid w:val="000D491D"/>
    <w:rsid w:val="000D5DE3"/>
    <w:rsid w:val="000D5FE9"/>
    <w:rsid w:val="000D7DDD"/>
    <w:rsid w:val="000E072A"/>
    <w:rsid w:val="000E10EE"/>
    <w:rsid w:val="000E1767"/>
    <w:rsid w:val="000E2C25"/>
    <w:rsid w:val="000E3C69"/>
    <w:rsid w:val="000E4918"/>
    <w:rsid w:val="000E5781"/>
    <w:rsid w:val="000E62BA"/>
    <w:rsid w:val="000E6577"/>
    <w:rsid w:val="000F09DB"/>
    <w:rsid w:val="000F20D8"/>
    <w:rsid w:val="000F414E"/>
    <w:rsid w:val="000F4DFF"/>
    <w:rsid w:val="001000C6"/>
    <w:rsid w:val="0010039D"/>
    <w:rsid w:val="00100A87"/>
    <w:rsid w:val="00100B5B"/>
    <w:rsid w:val="00101C8F"/>
    <w:rsid w:val="001031A5"/>
    <w:rsid w:val="001045BC"/>
    <w:rsid w:val="00104901"/>
    <w:rsid w:val="0010549F"/>
    <w:rsid w:val="0010658D"/>
    <w:rsid w:val="00110267"/>
    <w:rsid w:val="00110305"/>
    <w:rsid w:val="001109C6"/>
    <w:rsid w:val="00111540"/>
    <w:rsid w:val="001115FA"/>
    <w:rsid w:val="001120D4"/>
    <w:rsid w:val="00113A96"/>
    <w:rsid w:val="00114322"/>
    <w:rsid w:val="001153D5"/>
    <w:rsid w:val="00115AD9"/>
    <w:rsid w:val="00115C8F"/>
    <w:rsid w:val="00117778"/>
    <w:rsid w:val="00121553"/>
    <w:rsid w:val="00123347"/>
    <w:rsid w:val="001246DB"/>
    <w:rsid w:val="00125548"/>
    <w:rsid w:val="00125F53"/>
    <w:rsid w:val="00127799"/>
    <w:rsid w:val="0013219E"/>
    <w:rsid w:val="00132D2A"/>
    <w:rsid w:val="00134D32"/>
    <w:rsid w:val="001360C6"/>
    <w:rsid w:val="00136337"/>
    <w:rsid w:val="001402FC"/>
    <w:rsid w:val="00140731"/>
    <w:rsid w:val="0014132B"/>
    <w:rsid w:val="00141459"/>
    <w:rsid w:val="00141994"/>
    <w:rsid w:val="0014379D"/>
    <w:rsid w:val="00144B6B"/>
    <w:rsid w:val="00144F98"/>
    <w:rsid w:val="001450FD"/>
    <w:rsid w:val="00145459"/>
    <w:rsid w:val="001463E7"/>
    <w:rsid w:val="00147864"/>
    <w:rsid w:val="00150794"/>
    <w:rsid w:val="00153A69"/>
    <w:rsid w:val="0015485E"/>
    <w:rsid w:val="00155F22"/>
    <w:rsid w:val="0015616B"/>
    <w:rsid w:val="0015665C"/>
    <w:rsid w:val="0015760F"/>
    <w:rsid w:val="001579A6"/>
    <w:rsid w:val="00160015"/>
    <w:rsid w:val="00160C6B"/>
    <w:rsid w:val="0016100F"/>
    <w:rsid w:val="0016259A"/>
    <w:rsid w:val="00163530"/>
    <w:rsid w:val="00164286"/>
    <w:rsid w:val="001646F7"/>
    <w:rsid w:val="0016519D"/>
    <w:rsid w:val="001654DD"/>
    <w:rsid w:val="00167C44"/>
    <w:rsid w:val="00167F3C"/>
    <w:rsid w:val="00172A3B"/>
    <w:rsid w:val="00172F88"/>
    <w:rsid w:val="00175533"/>
    <w:rsid w:val="001765FD"/>
    <w:rsid w:val="00176F20"/>
    <w:rsid w:val="0018036A"/>
    <w:rsid w:val="00181D48"/>
    <w:rsid w:val="00185425"/>
    <w:rsid w:val="00186E8D"/>
    <w:rsid w:val="001870C2"/>
    <w:rsid w:val="00190C68"/>
    <w:rsid w:val="001922B2"/>
    <w:rsid w:val="001928D1"/>
    <w:rsid w:val="00194595"/>
    <w:rsid w:val="00194852"/>
    <w:rsid w:val="00195021"/>
    <w:rsid w:val="001A1251"/>
    <w:rsid w:val="001A2556"/>
    <w:rsid w:val="001A352F"/>
    <w:rsid w:val="001A4822"/>
    <w:rsid w:val="001A5911"/>
    <w:rsid w:val="001A74E5"/>
    <w:rsid w:val="001A7C17"/>
    <w:rsid w:val="001B146A"/>
    <w:rsid w:val="001B2737"/>
    <w:rsid w:val="001B378E"/>
    <w:rsid w:val="001B3DB8"/>
    <w:rsid w:val="001B5614"/>
    <w:rsid w:val="001B597C"/>
    <w:rsid w:val="001C04B8"/>
    <w:rsid w:val="001C29D3"/>
    <w:rsid w:val="001C3FBF"/>
    <w:rsid w:val="001C4C4E"/>
    <w:rsid w:val="001C6C92"/>
    <w:rsid w:val="001C6EDF"/>
    <w:rsid w:val="001D0572"/>
    <w:rsid w:val="001D1DB9"/>
    <w:rsid w:val="001D1EB9"/>
    <w:rsid w:val="001D1FC9"/>
    <w:rsid w:val="001D2801"/>
    <w:rsid w:val="001D51C0"/>
    <w:rsid w:val="001D55DF"/>
    <w:rsid w:val="001D55FC"/>
    <w:rsid w:val="001D5A01"/>
    <w:rsid w:val="001D5ADA"/>
    <w:rsid w:val="001D5EC5"/>
    <w:rsid w:val="001D65F7"/>
    <w:rsid w:val="001D6673"/>
    <w:rsid w:val="001D66A7"/>
    <w:rsid w:val="001E06B8"/>
    <w:rsid w:val="001E0FDB"/>
    <w:rsid w:val="001E122E"/>
    <w:rsid w:val="001E1C44"/>
    <w:rsid w:val="001E2754"/>
    <w:rsid w:val="001E27CB"/>
    <w:rsid w:val="001E2F60"/>
    <w:rsid w:val="001E3D07"/>
    <w:rsid w:val="001E62E6"/>
    <w:rsid w:val="001E6DD3"/>
    <w:rsid w:val="001E78FD"/>
    <w:rsid w:val="001E7E09"/>
    <w:rsid w:val="001F0DD7"/>
    <w:rsid w:val="001F29A3"/>
    <w:rsid w:val="001F4645"/>
    <w:rsid w:val="001F556C"/>
    <w:rsid w:val="001F5953"/>
    <w:rsid w:val="001F5FBC"/>
    <w:rsid w:val="001F675B"/>
    <w:rsid w:val="001F6C67"/>
    <w:rsid w:val="001F6E4C"/>
    <w:rsid w:val="001F75D3"/>
    <w:rsid w:val="001F7E30"/>
    <w:rsid w:val="0020031E"/>
    <w:rsid w:val="00200D01"/>
    <w:rsid w:val="002016A3"/>
    <w:rsid w:val="00202E37"/>
    <w:rsid w:val="00203885"/>
    <w:rsid w:val="00204102"/>
    <w:rsid w:val="002044D0"/>
    <w:rsid w:val="00205C6D"/>
    <w:rsid w:val="00206262"/>
    <w:rsid w:val="00206805"/>
    <w:rsid w:val="002108DF"/>
    <w:rsid w:val="00210B1D"/>
    <w:rsid w:val="002120C8"/>
    <w:rsid w:val="00212C71"/>
    <w:rsid w:val="00212CBB"/>
    <w:rsid w:val="00212F2D"/>
    <w:rsid w:val="00212FAC"/>
    <w:rsid w:val="00213207"/>
    <w:rsid w:val="00215F65"/>
    <w:rsid w:val="002176DF"/>
    <w:rsid w:val="00222DA2"/>
    <w:rsid w:val="00224A53"/>
    <w:rsid w:val="002250C7"/>
    <w:rsid w:val="0022625F"/>
    <w:rsid w:val="002273BC"/>
    <w:rsid w:val="0023002E"/>
    <w:rsid w:val="00233429"/>
    <w:rsid w:val="00233490"/>
    <w:rsid w:val="00233702"/>
    <w:rsid w:val="002345B1"/>
    <w:rsid w:val="00235FF2"/>
    <w:rsid w:val="0023679D"/>
    <w:rsid w:val="00237C59"/>
    <w:rsid w:val="00241E8C"/>
    <w:rsid w:val="00242851"/>
    <w:rsid w:val="00243541"/>
    <w:rsid w:val="00244489"/>
    <w:rsid w:val="00245C77"/>
    <w:rsid w:val="00246871"/>
    <w:rsid w:val="00247EE3"/>
    <w:rsid w:val="00250730"/>
    <w:rsid w:val="00250C5A"/>
    <w:rsid w:val="00250CF0"/>
    <w:rsid w:val="0025282F"/>
    <w:rsid w:val="0025294D"/>
    <w:rsid w:val="002530D7"/>
    <w:rsid w:val="002561A1"/>
    <w:rsid w:val="00256C5F"/>
    <w:rsid w:val="00256F2F"/>
    <w:rsid w:val="00260D1E"/>
    <w:rsid w:val="00262DC8"/>
    <w:rsid w:val="00263C26"/>
    <w:rsid w:val="002648EE"/>
    <w:rsid w:val="00264D5F"/>
    <w:rsid w:val="00267262"/>
    <w:rsid w:val="0027098B"/>
    <w:rsid w:val="00270B95"/>
    <w:rsid w:val="00270C6B"/>
    <w:rsid w:val="00271303"/>
    <w:rsid w:val="00271C28"/>
    <w:rsid w:val="00271FE4"/>
    <w:rsid w:val="00275D86"/>
    <w:rsid w:val="002765B9"/>
    <w:rsid w:val="00276A32"/>
    <w:rsid w:val="00280D0A"/>
    <w:rsid w:val="00281036"/>
    <w:rsid w:val="00283A81"/>
    <w:rsid w:val="002843BB"/>
    <w:rsid w:val="00284D33"/>
    <w:rsid w:val="00286D66"/>
    <w:rsid w:val="00290FD1"/>
    <w:rsid w:val="002915AC"/>
    <w:rsid w:val="00291A2E"/>
    <w:rsid w:val="0029211B"/>
    <w:rsid w:val="002949B9"/>
    <w:rsid w:val="00295BBC"/>
    <w:rsid w:val="00295D4F"/>
    <w:rsid w:val="00296B3E"/>
    <w:rsid w:val="002A064C"/>
    <w:rsid w:val="002A0C92"/>
    <w:rsid w:val="002A1052"/>
    <w:rsid w:val="002A11A7"/>
    <w:rsid w:val="002A1E46"/>
    <w:rsid w:val="002A27F7"/>
    <w:rsid w:val="002A36DA"/>
    <w:rsid w:val="002A4890"/>
    <w:rsid w:val="002A7BF8"/>
    <w:rsid w:val="002A7D43"/>
    <w:rsid w:val="002B09D8"/>
    <w:rsid w:val="002B0B75"/>
    <w:rsid w:val="002B5613"/>
    <w:rsid w:val="002B6529"/>
    <w:rsid w:val="002B67C9"/>
    <w:rsid w:val="002B6DDD"/>
    <w:rsid w:val="002C0360"/>
    <w:rsid w:val="002C09F8"/>
    <w:rsid w:val="002C0D8B"/>
    <w:rsid w:val="002C2568"/>
    <w:rsid w:val="002C3092"/>
    <w:rsid w:val="002C5276"/>
    <w:rsid w:val="002C534C"/>
    <w:rsid w:val="002C5808"/>
    <w:rsid w:val="002C69CA"/>
    <w:rsid w:val="002C6DE7"/>
    <w:rsid w:val="002C73D4"/>
    <w:rsid w:val="002C771A"/>
    <w:rsid w:val="002C7BA5"/>
    <w:rsid w:val="002D0578"/>
    <w:rsid w:val="002D11C3"/>
    <w:rsid w:val="002D1316"/>
    <w:rsid w:val="002D3352"/>
    <w:rsid w:val="002D33A0"/>
    <w:rsid w:val="002D4140"/>
    <w:rsid w:val="002E0ED3"/>
    <w:rsid w:val="002E16C8"/>
    <w:rsid w:val="002E36D6"/>
    <w:rsid w:val="002E3BEC"/>
    <w:rsid w:val="002E3EF3"/>
    <w:rsid w:val="002E41FC"/>
    <w:rsid w:val="002E4C45"/>
    <w:rsid w:val="002E520F"/>
    <w:rsid w:val="002E5B47"/>
    <w:rsid w:val="002E5DDD"/>
    <w:rsid w:val="002E6368"/>
    <w:rsid w:val="002E64D9"/>
    <w:rsid w:val="002E6F79"/>
    <w:rsid w:val="002E7000"/>
    <w:rsid w:val="002E7D7C"/>
    <w:rsid w:val="002F22E4"/>
    <w:rsid w:val="002F41EB"/>
    <w:rsid w:val="002F4F0C"/>
    <w:rsid w:val="00300399"/>
    <w:rsid w:val="00301E05"/>
    <w:rsid w:val="00302EDE"/>
    <w:rsid w:val="00303CD9"/>
    <w:rsid w:val="00303E0E"/>
    <w:rsid w:val="0030436E"/>
    <w:rsid w:val="003046A9"/>
    <w:rsid w:val="00307810"/>
    <w:rsid w:val="0031014B"/>
    <w:rsid w:val="00310621"/>
    <w:rsid w:val="00311997"/>
    <w:rsid w:val="00313F39"/>
    <w:rsid w:val="0031547A"/>
    <w:rsid w:val="00316686"/>
    <w:rsid w:val="0031696A"/>
    <w:rsid w:val="00317EA4"/>
    <w:rsid w:val="00320CC4"/>
    <w:rsid w:val="00321109"/>
    <w:rsid w:val="00321BDE"/>
    <w:rsid w:val="00321D58"/>
    <w:rsid w:val="0032256D"/>
    <w:rsid w:val="00322DA1"/>
    <w:rsid w:val="00322E93"/>
    <w:rsid w:val="003258DF"/>
    <w:rsid w:val="00325DDC"/>
    <w:rsid w:val="003273D0"/>
    <w:rsid w:val="00331885"/>
    <w:rsid w:val="0033351F"/>
    <w:rsid w:val="00333A11"/>
    <w:rsid w:val="00336A75"/>
    <w:rsid w:val="00336BE3"/>
    <w:rsid w:val="00337A05"/>
    <w:rsid w:val="00340690"/>
    <w:rsid w:val="0034199B"/>
    <w:rsid w:val="003419D5"/>
    <w:rsid w:val="00341DA5"/>
    <w:rsid w:val="0034316F"/>
    <w:rsid w:val="00343422"/>
    <w:rsid w:val="003438A1"/>
    <w:rsid w:val="003439CB"/>
    <w:rsid w:val="00344459"/>
    <w:rsid w:val="003447D3"/>
    <w:rsid w:val="0034535C"/>
    <w:rsid w:val="00345DF2"/>
    <w:rsid w:val="0034764C"/>
    <w:rsid w:val="00347C22"/>
    <w:rsid w:val="00351243"/>
    <w:rsid w:val="003528FD"/>
    <w:rsid w:val="00352E1D"/>
    <w:rsid w:val="00353A0A"/>
    <w:rsid w:val="0035746B"/>
    <w:rsid w:val="003577D5"/>
    <w:rsid w:val="003642E6"/>
    <w:rsid w:val="00364F94"/>
    <w:rsid w:val="0036501E"/>
    <w:rsid w:val="0036528E"/>
    <w:rsid w:val="00365432"/>
    <w:rsid w:val="003665CF"/>
    <w:rsid w:val="0036710A"/>
    <w:rsid w:val="00370564"/>
    <w:rsid w:val="003707E8"/>
    <w:rsid w:val="00370E34"/>
    <w:rsid w:val="0037128D"/>
    <w:rsid w:val="00373701"/>
    <w:rsid w:val="00374467"/>
    <w:rsid w:val="00374D2E"/>
    <w:rsid w:val="003759E4"/>
    <w:rsid w:val="003760AC"/>
    <w:rsid w:val="003766E8"/>
    <w:rsid w:val="00376A84"/>
    <w:rsid w:val="00376CE2"/>
    <w:rsid w:val="00380FCE"/>
    <w:rsid w:val="00381A9F"/>
    <w:rsid w:val="00381CF3"/>
    <w:rsid w:val="00381F60"/>
    <w:rsid w:val="00382080"/>
    <w:rsid w:val="003848E3"/>
    <w:rsid w:val="003849B6"/>
    <w:rsid w:val="00384D6B"/>
    <w:rsid w:val="00385C43"/>
    <w:rsid w:val="00386156"/>
    <w:rsid w:val="00386892"/>
    <w:rsid w:val="00390DAC"/>
    <w:rsid w:val="0039149D"/>
    <w:rsid w:val="003916E4"/>
    <w:rsid w:val="00394B6D"/>
    <w:rsid w:val="00395092"/>
    <w:rsid w:val="00395DBB"/>
    <w:rsid w:val="0039688C"/>
    <w:rsid w:val="0039795D"/>
    <w:rsid w:val="00397AAF"/>
    <w:rsid w:val="003A00DB"/>
    <w:rsid w:val="003A0D54"/>
    <w:rsid w:val="003A3595"/>
    <w:rsid w:val="003A4883"/>
    <w:rsid w:val="003A4952"/>
    <w:rsid w:val="003A570C"/>
    <w:rsid w:val="003A5774"/>
    <w:rsid w:val="003A765E"/>
    <w:rsid w:val="003A7825"/>
    <w:rsid w:val="003A7B21"/>
    <w:rsid w:val="003B176B"/>
    <w:rsid w:val="003B27AB"/>
    <w:rsid w:val="003B30F7"/>
    <w:rsid w:val="003B3DE3"/>
    <w:rsid w:val="003B3FAB"/>
    <w:rsid w:val="003B4525"/>
    <w:rsid w:val="003B4AF2"/>
    <w:rsid w:val="003B4F3E"/>
    <w:rsid w:val="003B58E9"/>
    <w:rsid w:val="003C0CA4"/>
    <w:rsid w:val="003C2C24"/>
    <w:rsid w:val="003C2D23"/>
    <w:rsid w:val="003C2F4A"/>
    <w:rsid w:val="003C7BB4"/>
    <w:rsid w:val="003D028D"/>
    <w:rsid w:val="003D2800"/>
    <w:rsid w:val="003D2AC7"/>
    <w:rsid w:val="003D3804"/>
    <w:rsid w:val="003D38F8"/>
    <w:rsid w:val="003D5296"/>
    <w:rsid w:val="003D6538"/>
    <w:rsid w:val="003D6F6F"/>
    <w:rsid w:val="003E1A0C"/>
    <w:rsid w:val="003E1F49"/>
    <w:rsid w:val="003E2D8B"/>
    <w:rsid w:val="003E6247"/>
    <w:rsid w:val="003E74E9"/>
    <w:rsid w:val="003F3715"/>
    <w:rsid w:val="003F3721"/>
    <w:rsid w:val="003F38A9"/>
    <w:rsid w:val="003F51E8"/>
    <w:rsid w:val="003F54A8"/>
    <w:rsid w:val="00400906"/>
    <w:rsid w:val="00400A34"/>
    <w:rsid w:val="0040138A"/>
    <w:rsid w:val="004014A9"/>
    <w:rsid w:val="004014BD"/>
    <w:rsid w:val="004016EE"/>
    <w:rsid w:val="00401C16"/>
    <w:rsid w:val="00402094"/>
    <w:rsid w:val="00402646"/>
    <w:rsid w:val="00402EE3"/>
    <w:rsid w:val="00403654"/>
    <w:rsid w:val="004039E9"/>
    <w:rsid w:val="00404106"/>
    <w:rsid w:val="00406B75"/>
    <w:rsid w:val="00407EE4"/>
    <w:rsid w:val="00410F5C"/>
    <w:rsid w:val="0041177D"/>
    <w:rsid w:val="00411D60"/>
    <w:rsid w:val="00412B24"/>
    <w:rsid w:val="0041353A"/>
    <w:rsid w:val="00413EBA"/>
    <w:rsid w:val="00414F21"/>
    <w:rsid w:val="00415A53"/>
    <w:rsid w:val="004161C9"/>
    <w:rsid w:val="0041622C"/>
    <w:rsid w:val="00416363"/>
    <w:rsid w:val="00416663"/>
    <w:rsid w:val="00416696"/>
    <w:rsid w:val="00420217"/>
    <w:rsid w:val="00422B72"/>
    <w:rsid w:val="004230D5"/>
    <w:rsid w:val="0042316D"/>
    <w:rsid w:val="00423FA1"/>
    <w:rsid w:val="004244D1"/>
    <w:rsid w:val="00426100"/>
    <w:rsid w:val="00432C48"/>
    <w:rsid w:val="004337EF"/>
    <w:rsid w:val="0043659B"/>
    <w:rsid w:val="00437D19"/>
    <w:rsid w:val="00441631"/>
    <w:rsid w:val="004421E0"/>
    <w:rsid w:val="00442EC6"/>
    <w:rsid w:val="00443275"/>
    <w:rsid w:val="004435E7"/>
    <w:rsid w:val="00445760"/>
    <w:rsid w:val="004457EC"/>
    <w:rsid w:val="00446B73"/>
    <w:rsid w:val="004502CE"/>
    <w:rsid w:val="00450B2E"/>
    <w:rsid w:val="004517A8"/>
    <w:rsid w:val="0045288B"/>
    <w:rsid w:val="00453C43"/>
    <w:rsid w:val="00453F4D"/>
    <w:rsid w:val="004551D4"/>
    <w:rsid w:val="00455733"/>
    <w:rsid w:val="004569E5"/>
    <w:rsid w:val="00460037"/>
    <w:rsid w:val="0046052E"/>
    <w:rsid w:val="00460CBF"/>
    <w:rsid w:val="00460F4C"/>
    <w:rsid w:val="00461841"/>
    <w:rsid w:val="004629D8"/>
    <w:rsid w:val="00464F60"/>
    <w:rsid w:val="00465A50"/>
    <w:rsid w:val="00465EBA"/>
    <w:rsid w:val="00467C11"/>
    <w:rsid w:val="00467E13"/>
    <w:rsid w:val="00470C17"/>
    <w:rsid w:val="00471DDA"/>
    <w:rsid w:val="004723B1"/>
    <w:rsid w:val="00472B6F"/>
    <w:rsid w:val="00473509"/>
    <w:rsid w:val="00474976"/>
    <w:rsid w:val="00475ED6"/>
    <w:rsid w:val="0047699F"/>
    <w:rsid w:val="00480077"/>
    <w:rsid w:val="004808A8"/>
    <w:rsid w:val="00480DAD"/>
    <w:rsid w:val="00481967"/>
    <w:rsid w:val="004828D9"/>
    <w:rsid w:val="0048529D"/>
    <w:rsid w:val="00486008"/>
    <w:rsid w:val="004861C8"/>
    <w:rsid w:val="004863F6"/>
    <w:rsid w:val="00486712"/>
    <w:rsid w:val="0048678B"/>
    <w:rsid w:val="00491C0A"/>
    <w:rsid w:val="004926E4"/>
    <w:rsid w:val="004936DC"/>
    <w:rsid w:val="00493B02"/>
    <w:rsid w:val="00494006"/>
    <w:rsid w:val="004948A1"/>
    <w:rsid w:val="0049518B"/>
    <w:rsid w:val="00496099"/>
    <w:rsid w:val="00497ADE"/>
    <w:rsid w:val="004A0DC3"/>
    <w:rsid w:val="004A1B37"/>
    <w:rsid w:val="004A28D5"/>
    <w:rsid w:val="004A43DA"/>
    <w:rsid w:val="004A4EE5"/>
    <w:rsid w:val="004A5505"/>
    <w:rsid w:val="004A570B"/>
    <w:rsid w:val="004A5F04"/>
    <w:rsid w:val="004B09C3"/>
    <w:rsid w:val="004B0C6E"/>
    <w:rsid w:val="004B2141"/>
    <w:rsid w:val="004B33EC"/>
    <w:rsid w:val="004B3B6F"/>
    <w:rsid w:val="004B3E82"/>
    <w:rsid w:val="004B5301"/>
    <w:rsid w:val="004B572A"/>
    <w:rsid w:val="004B5C83"/>
    <w:rsid w:val="004B6023"/>
    <w:rsid w:val="004B6896"/>
    <w:rsid w:val="004B6C2A"/>
    <w:rsid w:val="004C0BAB"/>
    <w:rsid w:val="004C5C35"/>
    <w:rsid w:val="004C5FB4"/>
    <w:rsid w:val="004C72D1"/>
    <w:rsid w:val="004C7325"/>
    <w:rsid w:val="004C7393"/>
    <w:rsid w:val="004D2894"/>
    <w:rsid w:val="004D54E9"/>
    <w:rsid w:val="004D7274"/>
    <w:rsid w:val="004D7784"/>
    <w:rsid w:val="004D7860"/>
    <w:rsid w:val="004E0299"/>
    <w:rsid w:val="004E0A3E"/>
    <w:rsid w:val="004E1AA5"/>
    <w:rsid w:val="004E2166"/>
    <w:rsid w:val="004E2F26"/>
    <w:rsid w:val="004E3306"/>
    <w:rsid w:val="004E46A9"/>
    <w:rsid w:val="004E5D14"/>
    <w:rsid w:val="004E6403"/>
    <w:rsid w:val="004E6BBD"/>
    <w:rsid w:val="004E78BA"/>
    <w:rsid w:val="004F1D5C"/>
    <w:rsid w:val="004F21D5"/>
    <w:rsid w:val="004F305F"/>
    <w:rsid w:val="004F3521"/>
    <w:rsid w:val="004F44FA"/>
    <w:rsid w:val="004F4A66"/>
    <w:rsid w:val="004F4CA0"/>
    <w:rsid w:val="004F5C88"/>
    <w:rsid w:val="004F5E7B"/>
    <w:rsid w:val="004F61EA"/>
    <w:rsid w:val="004F6945"/>
    <w:rsid w:val="004F69C7"/>
    <w:rsid w:val="00500C78"/>
    <w:rsid w:val="005013EE"/>
    <w:rsid w:val="00501935"/>
    <w:rsid w:val="00502ED0"/>
    <w:rsid w:val="00504626"/>
    <w:rsid w:val="0050585C"/>
    <w:rsid w:val="00506093"/>
    <w:rsid w:val="005060D2"/>
    <w:rsid w:val="005072F2"/>
    <w:rsid w:val="005075F9"/>
    <w:rsid w:val="005079B6"/>
    <w:rsid w:val="005101D7"/>
    <w:rsid w:val="0051104D"/>
    <w:rsid w:val="005135C6"/>
    <w:rsid w:val="00513938"/>
    <w:rsid w:val="00513BD0"/>
    <w:rsid w:val="00515FFF"/>
    <w:rsid w:val="0051649B"/>
    <w:rsid w:val="00516728"/>
    <w:rsid w:val="0051677E"/>
    <w:rsid w:val="00521D71"/>
    <w:rsid w:val="005220F7"/>
    <w:rsid w:val="00523790"/>
    <w:rsid w:val="00524448"/>
    <w:rsid w:val="00524DAB"/>
    <w:rsid w:val="00524E02"/>
    <w:rsid w:val="005252AD"/>
    <w:rsid w:val="0052623F"/>
    <w:rsid w:val="00531707"/>
    <w:rsid w:val="00532214"/>
    <w:rsid w:val="00534FA8"/>
    <w:rsid w:val="005354E8"/>
    <w:rsid w:val="00537AC9"/>
    <w:rsid w:val="0054100B"/>
    <w:rsid w:val="00541D65"/>
    <w:rsid w:val="00542657"/>
    <w:rsid w:val="005426A1"/>
    <w:rsid w:val="00542CD2"/>
    <w:rsid w:val="0054400E"/>
    <w:rsid w:val="00544350"/>
    <w:rsid w:val="00544BED"/>
    <w:rsid w:val="005450E2"/>
    <w:rsid w:val="0054746D"/>
    <w:rsid w:val="00547FC0"/>
    <w:rsid w:val="0055144B"/>
    <w:rsid w:val="005517D7"/>
    <w:rsid w:val="00552354"/>
    <w:rsid w:val="00552BC8"/>
    <w:rsid w:val="00553714"/>
    <w:rsid w:val="0055499C"/>
    <w:rsid w:val="00554D28"/>
    <w:rsid w:val="00555EA2"/>
    <w:rsid w:val="005570CB"/>
    <w:rsid w:val="00557197"/>
    <w:rsid w:val="00557B8A"/>
    <w:rsid w:val="00560CD8"/>
    <w:rsid w:val="00561067"/>
    <w:rsid w:val="00561EB5"/>
    <w:rsid w:val="00562E59"/>
    <w:rsid w:val="005637F8"/>
    <w:rsid w:val="00564396"/>
    <w:rsid w:val="005648D2"/>
    <w:rsid w:val="00564D2F"/>
    <w:rsid w:val="00565D4D"/>
    <w:rsid w:val="005660B4"/>
    <w:rsid w:val="00566879"/>
    <w:rsid w:val="005673E2"/>
    <w:rsid w:val="0056769F"/>
    <w:rsid w:val="00567797"/>
    <w:rsid w:val="005706B7"/>
    <w:rsid w:val="00570A00"/>
    <w:rsid w:val="0057169C"/>
    <w:rsid w:val="00571DC4"/>
    <w:rsid w:val="00572181"/>
    <w:rsid w:val="00574FDC"/>
    <w:rsid w:val="0057576E"/>
    <w:rsid w:val="00575A0A"/>
    <w:rsid w:val="00575A0D"/>
    <w:rsid w:val="00575D38"/>
    <w:rsid w:val="00577047"/>
    <w:rsid w:val="00581899"/>
    <w:rsid w:val="00581BDF"/>
    <w:rsid w:val="00581E8A"/>
    <w:rsid w:val="005821D3"/>
    <w:rsid w:val="005842F5"/>
    <w:rsid w:val="00584B66"/>
    <w:rsid w:val="00584CED"/>
    <w:rsid w:val="00584D6A"/>
    <w:rsid w:val="00585EBA"/>
    <w:rsid w:val="005860B2"/>
    <w:rsid w:val="00586F90"/>
    <w:rsid w:val="005871DD"/>
    <w:rsid w:val="00587E22"/>
    <w:rsid w:val="005912F2"/>
    <w:rsid w:val="005913B8"/>
    <w:rsid w:val="0059554D"/>
    <w:rsid w:val="005959C3"/>
    <w:rsid w:val="00596752"/>
    <w:rsid w:val="00596ACE"/>
    <w:rsid w:val="00596C4F"/>
    <w:rsid w:val="00596FC0"/>
    <w:rsid w:val="0059717F"/>
    <w:rsid w:val="005A0681"/>
    <w:rsid w:val="005A16F2"/>
    <w:rsid w:val="005A241C"/>
    <w:rsid w:val="005A2614"/>
    <w:rsid w:val="005A35B1"/>
    <w:rsid w:val="005A4C23"/>
    <w:rsid w:val="005B0A38"/>
    <w:rsid w:val="005B177B"/>
    <w:rsid w:val="005B201F"/>
    <w:rsid w:val="005B22E8"/>
    <w:rsid w:val="005B28F6"/>
    <w:rsid w:val="005B52AF"/>
    <w:rsid w:val="005B52F2"/>
    <w:rsid w:val="005B7790"/>
    <w:rsid w:val="005C0702"/>
    <w:rsid w:val="005C140C"/>
    <w:rsid w:val="005C2F4B"/>
    <w:rsid w:val="005C39FF"/>
    <w:rsid w:val="005C4FDB"/>
    <w:rsid w:val="005C59CB"/>
    <w:rsid w:val="005C6E2D"/>
    <w:rsid w:val="005C7072"/>
    <w:rsid w:val="005C70B6"/>
    <w:rsid w:val="005D0771"/>
    <w:rsid w:val="005D11E5"/>
    <w:rsid w:val="005D4E36"/>
    <w:rsid w:val="005D6476"/>
    <w:rsid w:val="005D7728"/>
    <w:rsid w:val="005D7FA4"/>
    <w:rsid w:val="005E0304"/>
    <w:rsid w:val="005E14B5"/>
    <w:rsid w:val="005E169F"/>
    <w:rsid w:val="005E23A6"/>
    <w:rsid w:val="005E261E"/>
    <w:rsid w:val="005E45DE"/>
    <w:rsid w:val="005E767B"/>
    <w:rsid w:val="005E773B"/>
    <w:rsid w:val="005F04C2"/>
    <w:rsid w:val="005F0BD4"/>
    <w:rsid w:val="005F114D"/>
    <w:rsid w:val="005F304A"/>
    <w:rsid w:val="005F4B6E"/>
    <w:rsid w:val="005F79A2"/>
    <w:rsid w:val="006014E8"/>
    <w:rsid w:val="00601E84"/>
    <w:rsid w:val="00601F99"/>
    <w:rsid w:val="00602140"/>
    <w:rsid w:val="00602333"/>
    <w:rsid w:val="006034EE"/>
    <w:rsid w:val="006037EF"/>
    <w:rsid w:val="00603B78"/>
    <w:rsid w:val="006049AC"/>
    <w:rsid w:val="00605A64"/>
    <w:rsid w:val="00605B3A"/>
    <w:rsid w:val="0060755D"/>
    <w:rsid w:val="00607A68"/>
    <w:rsid w:val="00607DF1"/>
    <w:rsid w:val="00607E33"/>
    <w:rsid w:val="00613495"/>
    <w:rsid w:val="006143A1"/>
    <w:rsid w:val="00615D19"/>
    <w:rsid w:val="006160F4"/>
    <w:rsid w:val="006169F4"/>
    <w:rsid w:val="006171B3"/>
    <w:rsid w:val="00617D5B"/>
    <w:rsid w:val="00620907"/>
    <w:rsid w:val="006215CF"/>
    <w:rsid w:val="00621DDE"/>
    <w:rsid w:val="0062530D"/>
    <w:rsid w:val="006261EE"/>
    <w:rsid w:val="006264DA"/>
    <w:rsid w:val="0063018B"/>
    <w:rsid w:val="0063019A"/>
    <w:rsid w:val="0063096F"/>
    <w:rsid w:val="00631F55"/>
    <w:rsid w:val="00632B02"/>
    <w:rsid w:val="00633C5D"/>
    <w:rsid w:val="00635873"/>
    <w:rsid w:val="00635D79"/>
    <w:rsid w:val="00636F29"/>
    <w:rsid w:val="00642CA0"/>
    <w:rsid w:val="006432B3"/>
    <w:rsid w:val="00644BAF"/>
    <w:rsid w:val="00644BB3"/>
    <w:rsid w:val="006450E5"/>
    <w:rsid w:val="0064533A"/>
    <w:rsid w:val="00646C58"/>
    <w:rsid w:val="006472E7"/>
    <w:rsid w:val="00652385"/>
    <w:rsid w:val="006549E7"/>
    <w:rsid w:val="0065504C"/>
    <w:rsid w:val="006554DF"/>
    <w:rsid w:val="00655F3C"/>
    <w:rsid w:val="006575FE"/>
    <w:rsid w:val="00657CFB"/>
    <w:rsid w:val="00662E22"/>
    <w:rsid w:val="00663234"/>
    <w:rsid w:val="00663E22"/>
    <w:rsid w:val="00663ED8"/>
    <w:rsid w:val="00664460"/>
    <w:rsid w:val="006655ED"/>
    <w:rsid w:val="00666429"/>
    <w:rsid w:val="006667D9"/>
    <w:rsid w:val="00666AC8"/>
    <w:rsid w:val="006704DD"/>
    <w:rsid w:val="00670C96"/>
    <w:rsid w:val="00671622"/>
    <w:rsid w:val="006718D9"/>
    <w:rsid w:val="00671937"/>
    <w:rsid w:val="006720AC"/>
    <w:rsid w:val="0067262E"/>
    <w:rsid w:val="00674E5B"/>
    <w:rsid w:val="006751DE"/>
    <w:rsid w:val="0067595B"/>
    <w:rsid w:val="006832CA"/>
    <w:rsid w:val="00683D65"/>
    <w:rsid w:val="00685ADB"/>
    <w:rsid w:val="00685EA6"/>
    <w:rsid w:val="006861C6"/>
    <w:rsid w:val="00694638"/>
    <w:rsid w:val="006A222B"/>
    <w:rsid w:val="006A2C9B"/>
    <w:rsid w:val="006A2E0E"/>
    <w:rsid w:val="006A5CE2"/>
    <w:rsid w:val="006A6A4A"/>
    <w:rsid w:val="006B00AE"/>
    <w:rsid w:val="006B1D35"/>
    <w:rsid w:val="006B47FD"/>
    <w:rsid w:val="006B56CE"/>
    <w:rsid w:val="006B5A8B"/>
    <w:rsid w:val="006B725C"/>
    <w:rsid w:val="006B753D"/>
    <w:rsid w:val="006B7758"/>
    <w:rsid w:val="006C172F"/>
    <w:rsid w:val="006C2912"/>
    <w:rsid w:val="006C3072"/>
    <w:rsid w:val="006C605A"/>
    <w:rsid w:val="006C6155"/>
    <w:rsid w:val="006C7A16"/>
    <w:rsid w:val="006D0362"/>
    <w:rsid w:val="006D0D2B"/>
    <w:rsid w:val="006D197C"/>
    <w:rsid w:val="006D494E"/>
    <w:rsid w:val="006E03E8"/>
    <w:rsid w:val="006E1432"/>
    <w:rsid w:val="006E18BE"/>
    <w:rsid w:val="006E1C5A"/>
    <w:rsid w:val="006E1EAA"/>
    <w:rsid w:val="006E2CA8"/>
    <w:rsid w:val="006E2CA9"/>
    <w:rsid w:val="006E4D27"/>
    <w:rsid w:val="006E579E"/>
    <w:rsid w:val="006F0A28"/>
    <w:rsid w:val="006F210E"/>
    <w:rsid w:val="006F3021"/>
    <w:rsid w:val="006F3716"/>
    <w:rsid w:val="006F43DC"/>
    <w:rsid w:val="006F46D5"/>
    <w:rsid w:val="006F544C"/>
    <w:rsid w:val="006F5B2E"/>
    <w:rsid w:val="006F605B"/>
    <w:rsid w:val="006F656F"/>
    <w:rsid w:val="00700A38"/>
    <w:rsid w:val="00700FB7"/>
    <w:rsid w:val="007035DF"/>
    <w:rsid w:val="007037B6"/>
    <w:rsid w:val="00703B9D"/>
    <w:rsid w:val="00703D3E"/>
    <w:rsid w:val="00704171"/>
    <w:rsid w:val="00706AFB"/>
    <w:rsid w:val="00706F19"/>
    <w:rsid w:val="007070D8"/>
    <w:rsid w:val="00713E47"/>
    <w:rsid w:val="007140D9"/>
    <w:rsid w:val="0071495B"/>
    <w:rsid w:val="00714D64"/>
    <w:rsid w:val="00716B58"/>
    <w:rsid w:val="00716F4A"/>
    <w:rsid w:val="007170A0"/>
    <w:rsid w:val="00720A89"/>
    <w:rsid w:val="00720B36"/>
    <w:rsid w:val="00724BDC"/>
    <w:rsid w:val="00725ADC"/>
    <w:rsid w:val="00726795"/>
    <w:rsid w:val="0072685B"/>
    <w:rsid w:val="007326D5"/>
    <w:rsid w:val="00732BB1"/>
    <w:rsid w:val="00735B91"/>
    <w:rsid w:val="007361F7"/>
    <w:rsid w:val="007364E5"/>
    <w:rsid w:val="00737042"/>
    <w:rsid w:val="00737991"/>
    <w:rsid w:val="007379D9"/>
    <w:rsid w:val="00740977"/>
    <w:rsid w:val="00742C3D"/>
    <w:rsid w:val="00744256"/>
    <w:rsid w:val="00744AD3"/>
    <w:rsid w:val="00744E19"/>
    <w:rsid w:val="00744E46"/>
    <w:rsid w:val="007458D0"/>
    <w:rsid w:val="00745F4F"/>
    <w:rsid w:val="00746272"/>
    <w:rsid w:val="00747C60"/>
    <w:rsid w:val="00751596"/>
    <w:rsid w:val="007519C6"/>
    <w:rsid w:val="00753B28"/>
    <w:rsid w:val="007552F8"/>
    <w:rsid w:val="00755576"/>
    <w:rsid w:val="007557F3"/>
    <w:rsid w:val="00755CBE"/>
    <w:rsid w:val="0075646C"/>
    <w:rsid w:val="00756D36"/>
    <w:rsid w:val="00757035"/>
    <w:rsid w:val="007616F0"/>
    <w:rsid w:val="00762DD4"/>
    <w:rsid w:val="00762FF0"/>
    <w:rsid w:val="00765440"/>
    <w:rsid w:val="00766676"/>
    <w:rsid w:val="00766A65"/>
    <w:rsid w:val="0077056F"/>
    <w:rsid w:val="0077190E"/>
    <w:rsid w:val="00773EE9"/>
    <w:rsid w:val="00781B23"/>
    <w:rsid w:val="00782DC7"/>
    <w:rsid w:val="00784144"/>
    <w:rsid w:val="00784E28"/>
    <w:rsid w:val="007854B0"/>
    <w:rsid w:val="00785A2C"/>
    <w:rsid w:val="00785ABE"/>
    <w:rsid w:val="00786720"/>
    <w:rsid w:val="007876D2"/>
    <w:rsid w:val="00790117"/>
    <w:rsid w:val="00790F77"/>
    <w:rsid w:val="007913E8"/>
    <w:rsid w:val="00791BD9"/>
    <w:rsid w:val="00794177"/>
    <w:rsid w:val="007948B3"/>
    <w:rsid w:val="00794B76"/>
    <w:rsid w:val="007965F0"/>
    <w:rsid w:val="007971B8"/>
    <w:rsid w:val="007A38FE"/>
    <w:rsid w:val="007A3F20"/>
    <w:rsid w:val="007A4685"/>
    <w:rsid w:val="007A46D9"/>
    <w:rsid w:val="007A7A37"/>
    <w:rsid w:val="007B2EBE"/>
    <w:rsid w:val="007B3C6A"/>
    <w:rsid w:val="007B45CB"/>
    <w:rsid w:val="007B4C66"/>
    <w:rsid w:val="007B503E"/>
    <w:rsid w:val="007B5C28"/>
    <w:rsid w:val="007B6959"/>
    <w:rsid w:val="007B6C37"/>
    <w:rsid w:val="007B7599"/>
    <w:rsid w:val="007B7D1E"/>
    <w:rsid w:val="007C13C5"/>
    <w:rsid w:val="007C218F"/>
    <w:rsid w:val="007C21A0"/>
    <w:rsid w:val="007C23AB"/>
    <w:rsid w:val="007C2AF5"/>
    <w:rsid w:val="007C2F47"/>
    <w:rsid w:val="007C49F3"/>
    <w:rsid w:val="007C4FDE"/>
    <w:rsid w:val="007C63C6"/>
    <w:rsid w:val="007D2BE3"/>
    <w:rsid w:val="007D3361"/>
    <w:rsid w:val="007D34F3"/>
    <w:rsid w:val="007D3B33"/>
    <w:rsid w:val="007D453E"/>
    <w:rsid w:val="007D4D18"/>
    <w:rsid w:val="007D63C8"/>
    <w:rsid w:val="007D77BA"/>
    <w:rsid w:val="007D7ED2"/>
    <w:rsid w:val="007E0FD2"/>
    <w:rsid w:val="007E1E83"/>
    <w:rsid w:val="007E4FB3"/>
    <w:rsid w:val="007E54A8"/>
    <w:rsid w:val="007E5A3C"/>
    <w:rsid w:val="007E6910"/>
    <w:rsid w:val="007E7434"/>
    <w:rsid w:val="007F01AC"/>
    <w:rsid w:val="007F1C7F"/>
    <w:rsid w:val="007F1DCD"/>
    <w:rsid w:val="007F3470"/>
    <w:rsid w:val="007F34CD"/>
    <w:rsid w:val="007F4E28"/>
    <w:rsid w:val="007F5467"/>
    <w:rsid w:val="007F6B0A"/>
    <w:rsid w:val="007F7F18"/>
    <w:rsid w:val="00800359"/>
    <w:rsid w:val="008008A0"/>
    <w:rsid w:val="00801DED"/>
    <w:rsid w:val="0080230D"/>
    <w:rsid w:val="008037B5"/>
    <w:rsid w:val="008037E3"/>
    <w:rsid w:val="0080415F"/>
    <w:rsid w:val="00804A87"/>
    <w:rsid w:val="00804C40"/>
    <w:rsid w:val="00806BFC"/>
    <w:rsid w:val="00806E2E"/>
    <w:rsid w:val="00806E8E"/>
    <w:rsid w:val="0080742F"/>
    <w:rsid w:val="008076C1"/>
    <w:rsid w:val="00807E6D"/>
    <w:rsid w:val="00811B4C"/>
    <w:rsid w:val="00811B88"/>
    <w:rsid w:val="00811D29"/>
    <w:rsid w:val="0081483A"/>
    <w:rsid w:val="00815274"/>
    <w:rsid w:val="0081581A"/>
    <w:rsid w:val="008207F6"/>
    <w:rsid w:val="00821DC7"/>
    <w:rsid w:val="00822B66"/>
    <w:rsid w:val="00823250"/>
    <w:rsid w:val="0082409A"/>
    <w:rsid w:val="008242D5"/>
    <w:rsid w:val="00827C7B"/>
    <w:rsid w:val="00831FC5"/>
    <w:rsid w:val="008325C6"/>
    <w:rsid w:val="00832A05"/>
    <w:rsid w:val="00833B07"/>
    <w:rsid w:val="00834950"/>
    <w:rsid w:val="00834F01"/>
    <w:rsid w:val="008351A7"/>
    <w:rsid w:val="008352DA"/>
    <w:rsid w:val="00836926"/>
    <w:rsid w:val="008369EA"/>
    <w:rsid w:val="008373C5"/>
    <w:rsid w:val="00840B69"/>
    <w:rsid w:val="00841407"/>
    <w:rsid w:val="0084166E"/>
    <w:rsid w:val="00842F4D"/>
    <w:rsid w:val="00843F95"/>
    <w:rsid w:val="0084533F"/>
    <w:rsid w:val="00847109"/>
    <w:rsid w:val="008476EE"/>
    <w:rsid w:val="00850FD1"/>
    <w:rsid w:val="008517AF"/>
    <w:rsid w:val="00851B9B"/>
    <w:rsid w:val="00852014"/>
    <w:rsid w:val="00853435"/>
    <w:rsid w:val="0085371B"/>
    <w:rsid w:val="00857058"/>
    <w:rsid w:val="00857637"/>
    <w:rsid w:val="008620A8"/>
    <w:rsid w:val="008629E7"/>
    <w:rsid w:val="00862BB3"/>
    <w:rsid w:val="008637A9"/>
    <w:rsid w:val="00864B6C"/>
    <w:rsid w:val="008661F7"/>
    <w:rsid w:val="00866AA6"/>
    <w:rsid w:val="00867708"/>
    <w:rsid w:val="008677E6"/>
    <w:rsid w:val="00867AB0"/>
    <w:rsid w:val="00870486"/>
    <w:rsid w:val="008705D5"/>
    <w:rsid w:val="008718B0"/>
    <w:rsid w:val="00872873"/>
    <w:rsid w:val="008740A6"/>
    <w:rsid w:val="00875328"/>
    <w:rsid w:val="008756D3"/>
    <w:rsid w:val="00875B9A"/>
    <w:rsid w:val="00876A93"/>
    <w:rsid w:val="00876FA4"/>
    <w:rsid w:val="008815CA"/>
    <w:rsid w:val="0088460D"/>
    <w:rsid w:val="00885B9B"/>
    <w:rsid w:val="00890836"/>
    <w:rsid w:val="00891C19"/>
    <w:rsid w:val="008A1C79"/>
    <w:rsid w:val="008A1DA5"/>
    <w:rsid w:val="008A5E2C"/>
    <w:rsid w:val="008B1AAA"/>
    <w:rsid w:val="008B1D8A"/>
    <w:rsid w:val="008B2C4F"/>
    <w:rsid w:val="008B2CD0"/>
    <w:rsid w:val="008B3FB7"/>
    <w:rsid w:val="008B4645"/>
    <w:rsid w:val="008B4704"/>
    <w:rsid w:val="008B5A38"/>
    <w:rsid w:val="008B7286"/>
    <w:rsid w:val="008C0A15"/>
    <w:rsid w:val="008C1798"/>
    <w:rsid w:val="008C217B"/>
    <w:rsid w:val="008C46D1"/>
    <w:rsid w:val="008C47A0"/>
    <w:rsid w:val="008C7760"/>
    <w:rsid w:val="008D056E"/>
    <w:rsid w:val="008D0EC3"/>
    <w:rsid w:val="008D229C"/>
    <w:rsid w:val="008D2596"/>
    <w:rsid w:val="008D29BC"/>
    <w:rsid w:val="008D2E59"/>
    <w:rsid w:val="008D4D46"/>
    <w:rsid w:val="008D5822"/>
    <w:rsid w:val="008D5C2F"/>
    <w:rsid w:val="008D6C00"/>
    <w:rsid w:val="008D7E33"/>
    <w:rsid w:val="008E007F"/>
    <w:rsid w:val="008E3450"/>
    <w:rsid w:val="008E34E5"/>
    <w:rsid w:val="008E3C71"/>
    <w:rsid w:val="008E5018"/>
    <w:rsid w:val="008E54C1"/>
    <w:rsid w:val="008E6ECD"/>
    <w:rsid w:val="008F10C4"/>
    <w:rsid w:val="008F18B0"/>
    <w:rsid w:val="008F1DBB"/>
    <w:rsid w:val="008F5883"/>
    <w:rsid w:val="008F7980"/>
    <w:rsid w:val="00900C38"/>
    <w:rsid w:val="0090104D"/>
    <w:rsid w:val="00901EAD"/>
    <w:rsid w:val="00901FD8"/>
    <w:rsid w:val="0090204D"/>
    <w:rsid w:val="009021F5"/>
    <w:rsid w:val="00903167"/>
    <w:rsid w:val="0090334F"/>
    <w:rsid w:val="00904255"/>
    <w:rsid w:val="00904366"/>
    <w:rsid w:val="009059B5"/>
    <w:rsid w:val="0090644B"/>
    <w:rsid w:val="00907CEC"/>
    <w:rsid w:val="0091056E"/>
    <w:rsid w:val="00911153"/>
    <w:rsid w:val="00911353"/>
    <w:rsid w:val="00912057"/>
    <w:rsid w:val="00912D41"/>
    <w:rsid w:val="0091398F"/>
    <w:rsid w:val="00913CAD"/>
    <w:rsid w:val="009148BC"/>
    <w:rsid w:val="009170A6"/>
    <w:rsid w:val="00917D67"/>
    <w:rsid w:val="00920D23"/>
    <w:rsid w:val="00920F6D"/>
    <w:rsid w:val="009221BD"/>
    <w:rsid w:val="009224C5"/>
    <w:rsid w:val="00922F32"/>
    <w:rsid w:val="0092363B"/>
    <w:rsid w:val="00924549"/>
    <w:rsid w:val="00924E29"/>
    <w:rsid w:val="009252AB"/>
    <w:rsid w:val="00925384"/>
    <w:rsid w:val="0092570C"/>
    <w:rsid w:val="00926D3D"/>
    <w:rsid w:val="009278FD"/>
    <w:rsid w:val="009306DD"/>
    <w:rsid w:val="00930E15"/>
    <w:rsid w:val="00932495"/>
    <w:rsid w:val="00932625"/>
    <w:rsid w:val="00932824"/>
    <w:rsid w:val="009329CF"/>
    <w:rsid w:val="00933B5F"/>
    <w:rsid w:val="00934ABB"/>
    <w:rsid w:val="00935193"/>
    <w:rsid w:val="0094214D"/>
    <w:rsid w:val="00942626"/>
    <w:rsid w:val="00942642"/>
    <w:rsid w:val="00943276"/>
    <w:rsid w:val="00944068"/>
    <w:rsid w:val="0094564F"/>
    <w:rsid w:val="009474CC"/>
    <w:rsid w:val="0095050D"/>
    <w:rsid w:val="009510AA"/>
    <w:rsid w:val="00951179"/>
    <w:rsid w:val="009531F5"/>
    <w:rsid w:val="00953C17"/>
    <w:rsid w:val="0095475E"/>
    <w:rsid w:val="00954C0C"/>
    <w:rsid w:val="0095685F"/>
    <w:rsid w:val="00957D29"/>
    <w:rsid w:val="009609B9"/>
    <w:rsid w:val="00960D4D"/>
    <w:rsid w:val="00962005"/>
    <w:rsid w:val="009642BE"/>
    <w:rsid w:val="009705BB"/>
    <w:rsid w:val="00971618"/>
    <w:rsid w:val="00971914"/>
    <w:rsid w:val="00971B3D"/>
    <w:rsid w:val="0097268D"/>
    <w:rsid w:val="0097296C"/>
    <w:rsid w:val="0097355B"/>
    <w:rsid w:val="0097497F"/>
    <w:rsid w:val="00975A91"/>
    <w:rsid w:val="00975D21"/>
    <w:rsid w:val="00975DC6"/>
    <w:rsid w:val="009768F5"/>
    <w:rsid w:val="009769AE"/>
    <w:rsid w:val="00976F55"/>
    <w:rsid w:val="009774E0"/>
    <w:rsid w:val="00977CD5"/>
    <w:rsid w:val="009820D9"/>
    <w:rsid w:val="00982B34"/>
    <w:rsid w:val="00982CE6"/>
    <w:rsid w:val="00983540"/>
    <w:rsid w:val="009855F9"/>
    <w:rsid w:val="00987F57"/>
    <w:rsid w:val="009918F6"/>
    <w:rsid w:val="00993483"/>
    <w:rsid w:val="00993785"/>
    <w:rsid w:val="00993D7F"/>
    <w:rsid w:val="00993E25"/>
    <w:rsid w:val="00993F6F"/>
    <w:rsid w:val="009941EF"/>
    <w:rsid w:val="00994209"/>
    <w:rsid w:val="00994877"/>
    <w:rsid w:val="00994B3A"/>
    <w:rsid w:val="0099574C"/>
    <w:rsid w:val="00996541"/>
    <w:rsid w:val="009974C0"/>
    <w:rsid w:val="009A00B0"/>
    <w:rsid w:val="009A2085"/>
    <w:rsid w:val="009A20D1"/>
    <w:rsid w:val="009A31A5"/>
    <w:rsid w:val="009A38E5"/>
    <w:rsid w:val="009A49B4"/>
    <w:rsid w:val="009A6D4B"/>
    <w:rsid w:val="009A6F53"/>
    <w:rsid w:val="009A7A2D"/>
    <w:rsid w:val="009B0A82"/>
    <w:rsid w:val="009B1A0F"/>
    <w:rsid w:val="009B1C27"/>
    <w:rsid w:val="009B2876"/>
    <w:rsid w:val="009B41EA"/>
    <w:rsid w:val="009B4CE6"/>
    <w:rsid w:val="009B5F3D"/>
    <w:rsid w:val="009B6C8C"/>
    <w:rsid w:val="009C0722"/>
    <w:rsid w:val="009C1C9E"/>
    <w:rsid w:val="009C1E64"/>
    <w:rsid w:val="009C1F90"/>
    <w:rsid w:val="009C5ACC"/>
    <w:rsid w:val="009C6278"/>
    <w:rsid w:val="009C65D6"/>
    <w:rsid w:val="009C7A88"/>
    <w:rsid w:val="009D0CCE"/>
    <w:rsid w:val="009D458F"/>
    <w:rsid w:val="009D4987"/>
    <w:rsid w:val="009D59B4"/>
    <w:rsid w:val="009D6DD6"/>
    <w:rsid w:val="009D7660"/>
    <w:rsid w:val="009E0968"/>
    <w:rsid w:val="009E2C49"/>
    <w:rsid w:val="009E3CAF"/>
    <w:rsid w:val="009E3CFA"/>
    <w:rsid w:val="009E5184"/>
    <w:rsid w:val="009E704A"/>
    <w:rsid w:val="009E740D"/>
    <w:rsid w:val="009E7B31"/>
    <w:rsid w:val="009F0981"/>
    <w:rsid w:val="009F0A83"/>
    <w:rsid w:val="009F15A9"/>
    <w:rsid w:val="009F4630"/>
    <w:rsid w:val="009F6254"/>
    <w:rsid w:val="009F6A13"/>
    <w:rsid w:val="009F7394"/>
    <w:rsid w:val="009F75D3"/>
    <w:rsid w:val="009F7783"/>
    <w:rsid w:val="009F794A"/>
    <w:rsid w:val="00A00E71"/>
    <w:rsid w:val="00A01F4D"/>
    <w:rsid w:val="00A02588"/>
    <w:rsid w:val="00A0397D"/>
    <w:rsid w:val="00A03EAE"/>
    <w:rsid w:val="00A0445E"/>
    <w:rsid w:val="00A04AEA"/>
    <w:rsid w:val="00A05529"/>
    <w:rsid w:val="00A07EC4"/>
    <w:rsid w:val="00A10C83"/>
    <w:rsid w:val="00A11224"/>
    <w:rsid w:val="00A11AB4"/>
    <w:rsid w:val="00A12841"/>
    <w:rsid w:val="00A13BB6"/>
    <w:rsid w:val="00A14AE8"/>
    <w:rsid w:val="00A15FDB"/>
    <w:rsid w:val="00A1764E"/>
    <w:rsid w:val="00A17F9F"/>
    <w:rsid w:val="00A21FF5"/>
    <w:rsid w:val="00A22084"/>
    <w:rsid w:val="00A249B9"/>
    <w:rsid w:val="00A258FC"/>
    <w:rsid w:val="00A266F6"/>
    <w:rsid w:val="00A2711B"/>
    <w:rsid w:val="00A27BA6"/>
    <w:rsid w:val="00A27E11"/>
    <w:rsid w:val="00A3018F"/>
    <w:rsid w:val="00A3061A"/>
    <w:rsid w:val="00A354D1"/>
    <w:rsid w:val="00A35CE7"/>
    <w:rsid w:val="00A36014"/>
    <w:rsid w:val="00A3742B"/>
    <w:rsid w:val="00A379AE"/>
    <w:rsid w:val="00A37C4D"/>
    <w:rsid w:val="00A40898"/>
    <w:rsid w:val="00A408DE"/>
    <w:rsid w:val="00A437C2"/>
    <w:rsid w:val="00A43DF9"/>
    <w:rsid w:val="00A44C6E"/>
    <w:rsid w:val="00A44CA3"/>
    <w:rsid w:val="00A4559E"/>
    <w:rsid w:val="00A501CF"/>
    <w:rsid w:val="00A5111B"/>
    <w:rsid w:val="00A51F9B"/>
    <w:rsid w:val="00A53847"/>
    <w:rsid w:val="00A557EC"/>
    <w:rsid w:val="00A5689C"/>
    <w:rsid w:val="00A56C97"/>
    <w:rsid w:val="00A56CC2"/>
    <w:rsid w:val="00A60EF7"/>
    <w:rsid w:val="00A61840"/>
    <w:rsid w:val="00A6327F"/>
    <w:rsid w:val="00A634E5"/>
    <w:rsid w:val="00A6415C"/>
    <w:rsid w:val="00A64774"/>
    <w:rsid w:val="00A64DB2"/>
    <w:rsid w:val="00A652BD"/>
    <w:rsid w:val="00A65394"/>
    <w:rsid w:val="00A66719"/>
    <w:rsid w:val="00A66E7E"/>
    <w:rsid w:val="00A67FA0"/>
    <w:rsid w:val="00A72610"/>
    <w:rsid w:val="00A73218"/>
    <w:rsid w:val="00A73608"/>
    <w:rsid w:val="00A74418"/>
    <w:rsid w:val="00A74712"/>
    <w:rsid w:val="00A80023"/>
    <w:rsid w:val="00A81F98"/>
    <w:rsid w:val="00A82037"/>
    <w:rsid w:val="00A82505"/>
    <w:rsid w:val="00A83034"/>
    <w:rsid w:val="00A83C49"/>
    <w:rsid w:val="00A84C04"/>
    <w:rsid w:val="00A84DEC"/>
    <w:rsid w:val="00A8525E"/>
    <w:rsid w:val="00A85E9C"/>
    <w:rsid w:val="00A870B0"/>
    <w:rsid w:val="00A8718C"/>
    <w:rsid w:val="00A9048F"/>
    <w:rsid w:val="00A91DC6"/>
    <w:rsid w:val="00A96A90"/>
    <w:rsid w:val="00AA01E6"/>
    <w:rsid w:val="00AA0649"/>
    <w:rsid w:val="00AA0F3A"/>
    <w:rsid w:val="00AA1376"/>
    <w:rsid w:val="00AA213D"/>
    <w:rsid w:val="00AA23FB"/>
    <w:rsid w:val="00AA26A3"/>
    <w:rsid w:val="00AA27E7"/>
    <w:rsid w:val="00AA29A2"/>
    <w:rsid w:val="00AA301C"/>
    <w:rsid w:val="00AA3433"/>
    <w:rsid w:val="00AA45CA"/>
    <w:rsid w:val="00AA4A73"/>
    <w:rsid w:val="00AA57CC"/>
    <w:rsid w:val="00AA5A0C"/>
    <w:rsid w:val="00AA729F"/>
    <w:rsid w:val="00AA7912"/>
    <w:rsid w:val="00AB07C1"/>
    <w:rsid w:val="00AB171B"/>
    <w:rsid w:val="00AB23A6"/>
    <w:rsid w:val="00AB373F"/>
    <w:rsid w:val="00AB4223"/>
    <w:rsid w:val="00AB4E83"/>
    <w:rsid w:val="00AB5551"/>
    <w:rsid w:val="00AB568D"/>
    <w:rsid w:val="00AC065C"/>
    <w:rsid w:val="00AC1382"/>
    <w:rsid w:val="00AC25B4"/>
    <w:rsid w:val="00AC3D5E"/>
    <w:rsid w:val="00AC45E0"/>
    <w:rsid w:val="00AC47FD"/>
    <w:rsid w:val="00AC5704"/>
    <w:rsid w:val="00AC6C5C"/>
    <w:rsid w:val="00AD0B24"/>
    <w:rsid w:val="00AD2724"/>
    <w:rsid w:val="00AD3789"/>
    <w:rsid w:val="00AD4285"/>
    <w:rsid w:val="00AD57F4"/>
    <w:rsid w:val="00AD580F"/>
    <w:rsid w:val="00AD638D"/>
    <w:rsid w:val="00AD758F"/>
    <w:rsid w:val="00AE0471"/>
    <w:rsid w:val="00AE113C"/>
    <w:rsid w:val="00AE1193"/>
    <w:rsid w:val="00AE2040"/>
    <w:rsid w:val="00AE23F8"/>
    <w:rsid w:val="00AE3067"/>
    <w:rsid w:val="00AE5E26"/>
    <w:rsid w:val="00AE7C35"/>
    <w:rsid w:val="00AF0283"/>
    <w:rsid w:val="00AF1726"/>
    <w:rsid w:val="00AF1C1E"/>
    <w:rsid w:val="00AF21D8"/>
    <w:rsid w:val="00AF2EB9"/>
    <w:rsid w:val="00AF413B"/>
    <w:rsid w:val="00AF444F"/>
    <w:rsid w:val="00B00BB9"/>
    <w:rsid w:val="00B010CA"/>
    <w:rsid w:val="00B01485"/>
    <w:rsid w:val="00B019F0"/>
    <w:rsid w:val="00B01FD7"/>
    <w:rsid w:val="00B02589"/>
    <w:rsid w:val="00B04B02"/>
    <w:rsid w:val="00B059C0"/>
    <w:rsid w:val="00B05F56"/>
    <w:rsid w:val="00B07596"/>
    <w:rsid w:val="00B077AD"/>
    <w:rsid w:val="00B131D1"/>
    <w:rsid w:val="00B16D43"/>
    <w:rsid w:val="00B176D4"/>
    <w:rsid w:val="00B2310A"/>
    <w:rsid w:val="00B235F8"/>
    <w:rsid w:val="00B23F49"/>
    <w:rsid w:val="00B25073"/>
    <w:rsid w:val="00B256E2"/>
    <w:rsid w:val="00B25E18"/>
    <w:rsid w:val="00B25EE8"/>
    <w:rsid w:val="00B267F0"/>
    <w:rsid w:val="00B32AEF"/>
    <w:rsid w:val="00B32DA2"/>
    <w:rsid w:val="00B3321F"/>
    <w:rsid w:val="00B35E7F"/>
    <w:rsid w:val="00B36357"/>
    <w:rsid w:val="00B40D98"/>
    <w:rsid w:val="00B4153B"/>
    <w:rsid w:val="00B426ED"/>
    <w:rsid w:val="00B4488F"/>
    <w:rsid w:val="00B46944"/>
    <w:rsid w:val="00B4694F"/>
    <w:rsid w:val="00B4749D"/>
    <w:rsid w:val="00B50902"/>
    <w:rsid w:val="00B50D4E"/>
    <w:rsid w:val="00B52213"/>
    <w:rsid w:val="00B5445B"/>
    <w:rsid w:val="00B54F80"/>
    <w:rsid w:val="00B55AC2"/>
    <w:rsid w:val="00B5798B"/>
    <w:rsid w:val="00B57FB9"/>
    <w:rsid w:val="00B6147D"/>
    <w:rsid w:val="00B62388"/>
    <w:rsid w:val="00B62B8F"/>
    <w:rsid w:val="00B63089"/>
    <w:rsid w:val="00B63657"/>
    <w:rsid w:val="00B63B3F"/>
    <w:rsid w:val="00B63D0D"/>
    <w:rsid w:val="00B63DAA"/>
    <w:rsid w:val="00B71E8C"/>
    <w:rsid w:val="00B7258E"/>
    <w:rsid w:val="00B73106"/>
    <w:rsid w:val="00B743D8"/>
    <w:rsid w:val="00B74C27"/>
    <w:rsid w:val="00B75259"/>
    <w:rsid w:val="00B76000"/>
    <w:rsid w:val="00B77439"/>
    <w:rsid w:val="00B802E4"/>
    <w:rsid w:val="00B80952"/>
    <w:rsid w:val="00B81DE9"/>
    <w:rsid w:val="00B841F7"/>
    <w:rsid w:val="00B842F7"/>
    <w:rsid w:val="00B847CB"/>
    <w:rsid w:val="00B851D0"/>
    <w:rsid w:val="00B8600B"/>
    <w:rsid w:val="00B862DA"/>
    <w:rsid w:val="00B87EBB"/>
    <w:rsid w:val="00B904EE"/>
    <w:rsid w:val="00B90D7B"/>
    <w:rsid w:val="00B9116C"/>
    <w:rsid w:val="00B92191"/>
    <w:rsid w:val="00B95BD4"/>
    <w:rsid w:val="00B9754F"/>
    <w:rsid w:val="00B975E0"/>
    <w:rsid w:val="00BA0850"/>
    <w:rsid w:val="00BA1235"/>
    <w:rsid w:val="00BA1E82"/>
    <w:rsid w:val="00BA2285"/>
    <w:rsid w:val="00BA2CFC"/>
    <w:rsid w:val="00BA4314"/>
    <w:rsid w:val="00BA518A"/>
    <w:rsid w:val="00BA5620"/>
    <w:rsid w:val="00BA5C86"/>
    <w:rsid w:val="00BA74AC"/>
    <w:rsid w:val="00BB2007"/>
    <w:rsid w:val="00BB5B77"/>
    <w:rsid w:val="00BB716D"/>
    <w:rsid w:val="00BB7269"/>
    <w:rsid w:val="00BB788C"/>
    <w:rsid w:val="00BD2BEC"/>
    <w:rsid w:val="00BD4777"/>
    <w:rsid w:val="00BD4C7D"/>
    <w:rsid w:val="00BD592D"/>
    <w:rsid w:val="00BD5B5D"/>
    <w:rsid w:val="00BD5C05"/>
    <w:rsid w:val="00BD63FC"/>
    <w:rsid w:val="00BD7758"/>
    <w:rsid w:val="00BE1C8B"/>
    <w:rsid w:val="00BE29DC"/>
    <w:rsid w:val="00BE376C"/>
    <w:rsid w:val="00BE3E52"/>
    <w:rsid w:val="00BE4FCF"/>
    <w:rsid w:val="00BE5613"/>
    <w:rsid w:val="00BE7D8E"/>
    <w:rsid w:val="00BF0E4F"/>
    <w:rsid w:val="00BF1B94"/>
    <w:rsid w:val="00BF247B"/>
    <w:rsid w:val="00BF2BAF"/>
    <w:rsid w:val="00BF71EB"/>
    <w:rsid w:val="00C00CF5"/>
    <w:rsid w:val="00C040E7"/>
    <w:rsid w:val="00C0428F"/>
    <w:rsid w:val="00C06CE1"/>
    <w:rsid w:val="00C06EF8"/>
    <w:rsid w:val="00C105AD"/>
    <w:rsid w:val="00C105E2"/>
    <w:rsid w:val="00C11A2E"/>
    <w:rsid w:val="00C12F7B"/>
    <w:rsid w:val="00C13A34"/>
    <w:rsid w:val="00C142E2"/>
    <w:rsid w:val="00C14E7A"/>
    <w:rsid w:val="00C15BAF"/>
    <w:rsid w:val="00C16990"/>
    <w:rsid w:val="00C1707B"/>
    <w:rsid w:val="00C22810"/>
    <w:rsid w:val="00C239B7"/>
    <w:rsid w:val="00C24B0B"/>
    <w:rsid w:val="00C258E7"/>
    <w:rsid w:val="00C2617C"/>
    <w:rsid w:val="00C2620A"/>
    <w:rsid w:val="00C26B61"/>
    <w:rsid w:val="00C272DA"/>
    <w:rsid w:val="00C274B0"/>
    <w:rsid w:val="00C30B12"/>
    <w:rsid w:val="00C30C5D"/>
    <w:rsid w:val="00C31ACA"/>
    <w:rsid w:val="00C31D7B"/>
    <w:rsid w:val="00C3255C"/>
    <w:rsid w:val="00C3299D"/>
    <w:rsid w:val="00C342E4"/>
    <w:rsid w:val="00C34F0F"/>
    <w:rsid w:val="00C400ED"/>
    <w:rsid w:val="00C41940"/>
    <w:rsid w:val="00C41FEB"/>
    <w:rsid w:val="00C42E6B"/>
    <w:rsid w:val="00C4313E"/>
    <w:rsid w:val="00C4506C"/>
    <w:rsid w:val="00C519A5"/>
    <w:rsid w:val="00C51CE4"/>
    <w:rsid w:val="00C525C6"/>
    <w:rsid w:val="00C533AD"/>
    <w:rsid w:val="00C5352F"/>
    <w:rsid w:val="00C53615"/>
    <w:rsid w:val="00C543E6"/>
    <w:rsid w:val="00C54663"/>
    <w:rsid w:val="00C54824"/>
    <w:rsid w:val="00C54C7D"/>
    <w:rsid w:val="00C56857"/>
    <w:rsid w:val="00C56A2D"/>
    <w:rsid w:val="00C5786D"/>
    <w:rsid w:val="00C61285"/>
    <w:rsid w:val="00C61718"/>
    <w:rsid w:val="00C62932"/>
    <w:rsid w:val="00C62F53"/>
    <w:rsid w:val="00C63011"/>
    <w:rsid w:val="00C6322A"/>
    <w:rsid w:val="00C634CD"/>
    <w:rsid w:val="00C64778"/>
    <w:rsid w:val="00C66496"/>
    <w:rsid w:val="00C67C1F"/>
    <w:rsid w:val="00C67E54"/>
    <w:rsid w:val="00C70966"/>
    <w:rsid w:val="00C712BB"/>
    <w:rsid w:val="00C713E6"/>
    <w:rsid w:val="00C72449"/>
    <w:rsid w:val="00C72D03"/>
    <w:rsid w:val="00C7304E"/>
    <w:rsid w:val="00C73783"/>
    <w:rsid w:val="00C7465A"/>
    <w:rsid w:val="00C75126"/>
    <w:rsid w:val="00C7520F"/>
    <w:rsid w:val="00C75787"/>
    <w:rsid w:val="00C76239"/>
    <w:rsid w:val="00C81357"/>
    <w:rsid w:val="00C824CA"/>
    <w:rsid w:val="00C82D95"/>
    <w:rsid w:val="00C82F9D"/>
    <w:rsid w:val="00C838C7"/>
    <w:rsid w:val="00C83A45"/>
    <w:rsid w:val="00C843D7"/>
    <w:rsid w:val="00C85071"/>
    <w:rsid w:val="00C851E6"/>
    <w:rsid w:val="00C858AD"/>
    <w:rsid w:val="00C90156"/>
    <w:rsid w:val="00C90CB7"/>
    <w:rsid w:val="00C911EC"/>
    <w:rsid w:val="00C937AC"/>
    <w:rsid w:val="00C95469"/>
    <w:rsid w:val="00CA0E87"/>
    <w:rsid w:val="00CA0EDE"/>
    <w:rsid w:val="00CA138E"/>
    <w:rsid w:val="00CA1DB6"/>
    <w:rsid w:val="00CA21F0"/>
    <w:rsid w:val="00CA24C5"/>
    <w:rsid w:val="00CA3FE9"/>
    <w:rsid w:val="00CA4D1B"/>
    <w:rsid w:val="00CA578A"/>
    <w:rsid w:val="00CA6951"/>
    <w:rsid w:val="00CA749A"/>
    <w:rsid w:val="00CB08D7"/>
    <w:rsid w:val="00CB0905"/>
    <w:rsid w:val="00CB15DE"/>
    <w:rsid w:val="00CB2329"/>
    <w:rsid w:val="00CB2A1A"/>
    <w:rsid w:val="00CB4048"/>
    <w:rsid w:val="00CB50DB"/>
    <w:rsid w:val="00CC03B6"/>
    <w:rsid w:val="00CC0908"/>
    <w:rsid w:val="00CC1845"/>
    <w:rsid w:val="00CC3F5D"/>
    <w:rsid w:val="00CC658E"/>
    <w:rsid w:val="00CC6A2B"/>
    <w:rsid w:val="00CC6AB4"/>
    <w:rsid w:val="00CD0AA2"/>
    <w:rsid w:val="00CD13A5"/>
    <w:rsid w:val="00CD28DE"/>
    <w:rsid w:val="00CD2A75"/>
    <w:rsid w:val="00CD3F8A"/>
    <w:rsid w:val="00CD66DD"/>
    <w:rsid w:val="00CD7B40"/>
    <w:rsid w:val="00CE0500"/>
    <w:rsid w:val="00CE198F"/>
    <w:rsid w:val="00CE1AC7"/>
    <w:rsid w:val="00CE3E47"/>
    <w:rsid w:val="00CE49DA"/>
    <w:rsid w:val="00CE49EE"/>
    <w:rsid w:val="00CE6ED9"/>
    <w:rsid w:val="00CE7F41"/>
    <w:rsid w:val="00CF2E4D"/>
    <w:rsid w:val="00CF3C63"/>
    <w:rsid w:val="00CF4780"/>
    <w:rsid w:val="00CF4948"/>
    <w:rsid w:val="00CF7582"/>
    <w:rsid w:val="00CF7CCC"/>
    <w:rsid w:val="00CF7E05"/>
    <w:rsid w:val="00D020CC"/>
    <w:rsid w:val="00D027F9"/>
    <w:rsid w:val="00D036FF"/>
    <w:rsid w:val="00D04D1F"/>
    <w:rsid w:val="00D07C55"/>
    <w:rsid w:val="00D10553"/>
    <w:rsid w:val="00D10B4D"/>
    <w:rsid w:val="00D10EC6"/>
    <w:rsid w:val="00D11AC8"/>
    <w:rsid w:val="00D11C2C"/>
    <w:rsid w:val="00D125DC"/>
    <w:rsid w:val="00D12CFB"/>
    <w:rsid w:val="00D131AC"/>
    <w:rsid w:val="00D13313"/>
    <w:rsid w:val="00D13E33"/>
    <w:rsid w:val="00D14090"/>
    <w:rsid w:val="00D15236"/>
    <w:rsid w:val="00D169B2"/>
    <w:rsid w:val="00D17FA7"/>
    <w:rsid w:val="00D20716"/>
    <w:rsid w:val="00D21096"/>
    <w:rsid w:val="00D21285"/>
    <w:rsid w:val="00D21CF5"/>
    <w:rsid w:val="00D2449C"/>
    <w:rsid w:val="00D24E5F"/>
    <w:rsid w:val="00D304AD"/>
    <w:rsid w:val="00D30E73"/>
    <w:rsid w:val="00D30F17"/>
    <w:rsid w:val="00D328E3"/>
    <w:rsid w:val="00D33B29"/>
    <w:rsid w:val="00D362C2"/>
    <w:rsid w:val="00D4022A"/>
    <w:rsid w:val="00D41B98"/>
    <w:rsid w:val="00D43DE0"/>
    <w:rsid w:val="00D45E98"/>
    <w:rsid w:val="00D45FB0"/>
    <w:rsid w:val="00D47372"/>
    <w:rsid w:val="00D4762D"/>
    <w:rsid w:val="00D47955"/>
    <w:rsid w:val="00D47AE9"/>
    <w:rsid w:val="00D47B5B"/>
    <w:rsid w:val="00D5079C"/>
    <w:rsid w:val="00D5099D"/>
    <w:rsid w:val="00D5107D"/>
    <w:rsid w:val="00D51BCC"/>
    <w:rsid w:val="00D5244C"/>
    <w:rsid w:val="00D5287F"/>
    <w:rsid w:val="00D52E6E"/>
    <w:rsid w:val="00D53B35"/>
    <w:rsid w:val="00D543B6"/>
    <w:rsid w:val="00D54ABB"/>
    <w:rsid w:val="00D54BAB"/>
    <w:rsid w:val="00D554BA"/>
    <w:rsid w:val="00D561A9"/>
    <w:rsid w:val="00D56C99"/>
    <w:rsid w:val="00D57F14"/>
    <w:rsid w:val="00D60DEF"/>
    <w:rsid w:val="00D64682"/>
    <w:rsid w:val="00D64D34"/>
    <w:rsid w:val="00D64F78"/>
    <w:rsid w:val="00D64FF3"/>
    <w:rsid w:val="00D65332"/>
    <w:rsid w:val="00D65C45"/>
    <w:rsid w:val="00D70595"/>
    <w:rsid w:val="00D71589"/>
    <w:rsid w:val="00D736E9"/>
    <w:rsid w:val="00D7779B"/>
    <w:rsid w:val="00D8081C"/>
    <w:rsid w:val="00D814E1"/>
    <w:rsid w:val="00D81B08"/>
    <w:rsid w:val="00D821BA"/>
    <w:rsid w:val="00D8309E"/>
    <w:rsid w:val="00D84705"/>
    <w:rsid w:val="00D8483F"/>
    <w:rsid w:val="00D8488E"/>
    <w:rsid w:val="00D8589D"/>
    <w:rsid w:val="00D85AE2"/>
    <w:rsid w:val="00D865CD"/>
    <w:rsid w:val="00D878A9"/>
    <w:rsid w:val="00D9115D"/>
    <w:rsid w:val="00D91D11"/>
    <w:rsid w:val="00D9270F"/>
    <w:rsid w:val="00D94DD7"/>
    <w:rsid w:val="00D97729"/>
    <w:rsid w:val="00DA174F"/>
    <w:rsid w:val="00DA176A"/>
    <w:rsid w:val="00DA2519"/>
    <w:rsid w:val="00DA3A9F"/>
    <w:rsid w:val="00DA49B1"/>
    <w:rsid w:val="00DA4C84"/>
    <w:rsid w:val="00DA5859"/>
    <w:rsid w:val="00DA6E19"/>
    <w:rsid w:val="00DA7790"/>
    <w:rsid w:val="00DA7A54"/>
    <w:rsid w:val="00DB06FF"/>
    <w:rsid w:val="00DB1393"/>
    <w:rsid w:val="00DB33EC"/>
    <w:rsid w:val="00DB4C0D"/>
    <w:rsid w:val="00DB4DDA"/>
    <w:rsid w:val="00DB5128"/>
    <w:rsid w:val="00DB52F5"/>
    <w:rsid w:val="00DB62A6"/>
    <w:rsid w:val="00DC310F"/>
    <w:rsid w:val="00DC3FB1"/>
    <w:rsid w:val="00DC5543"/>
    <w:rsid w:val="00DC642A"/>
    <w:rsid w:val="00DC6D5A"/>
    <w:rsid w:val="00DC7374"/>
    <w:rsid w:val="00DD072F"/>
    <w:rsid w:val="00DD6F9D"/>
    <w:rsid w:val="00DD7D64"/>
    <w:rsid w:val="00DE247F"/>
    <w:rsid w:val="00DE3A10"/>
    <w:rsid w:val="00DE3E3B"/>
    <w:rsid w:val="00DF0708"/>
    <w:rsid w:val="00DF1691"/>
    <w:rsid w:val="00DF1C5A"/>
    <w:rsid w:val="00DF20F7"/>
    <w:rsid w:val="00DF5D30"/>
    <w:rsid w:val="00DF6B4B"/>
    <w:rsid w:val="00E00014"/>
    <w:rsid w:val="00E00C79"/>
    <w:rsid w:val="00E00DA5"/>
    <w:rsid w:val="00E025A9"/>
    <w:rsid w:val="00E02EAF"/>
    <w:rsid w:val="00E03E6F"/>
    <w:rsid w:val="00E04D74"/>
    <w:rsid w:val="00E05DB5"/>
    <w:rsid w:val="00E05EDD"/>
    <w:rsid w:val="00E06F7D"/>
    <w:rsid w:val="00E07C16"/>
    <w:rsid w:val="00E1053E"/>
    <w:rsid w:val="00E1222E"/>
    <w:rsid w:val="00E12527"/>
    <w:rsid w:val="00E12A2E"/>
    <w:rsid w:val="00E13817"/>
    <w:rsid w:val="00E1487D"/>
    <w:rsid w:val="00E14957"/>
    <w:rsid w:val="00E15448"/>
    <w:rsid w:val="00E15CDA"/>
    <w:rsid w:val="00E15F45"/>
    <w:rsid w:val="00E1647D"/>
    <w:rsid w:val="00E16A1C"/>
    <w:rsid w:val="00E1715E"/>
    <w:rsid w:val="00E172AF"/>
    <w:rsid w:val="00E20364"/>
    <w:rsid w:val="00E214D5"/>
    <w:rsid w:val="00E23666"/>
    <w:rsid w:val="00E24A15"/>
    <w:rsid w:val="00E25A28"/>
    <w:rsid w:val="00E26204"/>
    <w:rsid w:val="00E26C59"/>
    <w:rsid w:val="00E27599"/>
    <w:rsid w:val="00E30BCB"/>
    <w:rsid w:val="00E319D7"/>
    <w:rsid w:val="00E3301F"/>
    <w:rsid w:val="00E3459E"/>
    <w:rsid w:val="00E3558D"/>
    <w:rsid w:val="00E35A05"/>
    <w:rsid w:val="00E35C18"/>
    <w:rsid w:val="00E35F50"/>
    <w:rsid w:val="00E3685B"/>
    <w:rsid w:val="00E37E44"/>
    <w:rsid w:val="00E40935"/>
    <w:rsid w:val="00E40B3B"/>
    <w:rsid w:val="00E40FB8"/>
    <w:rsid w:val="00E417FF"/>
    <w:rsid w:val="00E42741"/>
    <w:rsid w:val="00E428B4"/>
    <w:rsid w:val="00E429C0"/>
    <w:rsid w:val="00E429CB"/>
    <w:rsid w:val="00E43589"/>
    <w:rsid w:val="00E44853"/>
    <w:rsid w:val="00E45791"/>
    <w:rsid w:val="00E45B10"/>
    <w:rsid w:val="00E5044A"/>
    <w:rsid w:val="00E50750"/>
    <w:rsid w:val="00E50EE1"/>
    <w:rsid w:val="00E531A3"/>
    <w:rsid w:val="00E5328D"/>
    <w:rsid w:val="00E5330E"/>
    <w:rsid w:val="00E53C74"/>
    <w:rsid w:val="00E54372"/>
    <w:rsid w:val="00E549F4"/>
    <w:rsid w:val="00E55C66"/>
    <w:rsid w:val="00E564C8"/>
    <w:rsid w:val="00E5691A"/>
    <w:rsid w:val="00E57FDB"/>
    <w:rsid w:val="00E60166"/>
    <w:rsid w:val="00E607CF"/>
    <w:rsid w:val="00E61084"/>
    <w:rsid w:val="00E6130F"/>
    <w:rsid w:val="00E626FF"/>
    <w:rsid w:val="00E63743"/>
    <w:rsid w:val="00E63CBC"/>
    <w:rsid w:val="00E640BF"/>
    <w:rsid w:val="00E65031"/>
    <w:rsid w:val="00E65B6E"/>
    <w:rsid w:val="00E66346"/>
    <w:rsid w:val="00E667C3"/>
    <w:rsid w:val="00E66BB6"/>
    <w:rsid w:val="00E703CD"/>
    <w:rsid w:val="00E70AD3"/>
    <w:rsid w:val="00E70B74"/>
    <w:rsid w:val="00E71484"/>
    <w:rsid w:val="00E717F8"/>
    <w:rsid w:val="00E7269A"/>
    <w:rsid w:val="00E7296A"/>
    <w:rsid w:val="00E73831"/>
    <w:rsid w:val="00E73C6A"/>
    <w:rsid w:val="00E74B28"/>
    <w:rsid w:val="00E74FE6"/>
    <w:rsid w:val="00E7528D"/>
    <w:rsid w:val="00E77685"/>
    <w:rsid w:val="00E820AD"/>
    <w:rsid w:val="00E827D0"/>
    <w:rsid w:val="00E83F47"/>
    <w:rsid w:val="00E84799"/>
    <w:rsid w:val="00E85233"/>
    <w:rsid w:val="00E85A36"/>
    <w:rsid w:val="00E85B5C"/>
    <w:rsid w:val="00E86266"/>
    <w:rsid w:val="00E86FB5"/>
    <w:rsid w:val="00E87749"/>
    <w:rsid w:val="00E91634"/>
    <w:rsid w:val="00E91952"/>
    <w:rsid w:val="00E93584"/>
    <w:rsid w:val="00E94E9E"/>
    <w:rsid w:val="00E9571F"/>
    <w:rsid w:val="00E96BE0"/>
    <w:rsid w:val="00E96F2C"/>
    <w:rsid w:val="00E97032"/>
    <w:rsid w:val="00EA1BAE"/>
    <w:rsid w:val="00EA2E0C"/>
    <w:rsid w:val="00EA2E1F"/>
    <w:rsid w:val="00EA3133"/>
    <w:rsid w:val="00EA3ECC"/>
    <w:rsid w:val="00EA5796"/>
    <w:rsid w:val="00EB1197"/>
    <w:rsid w:val="00EB18E7"/>
    <w:rsid w:val="00EB3A8B"/>
    <w:rsid w:val="00EB3DA9"/>
    <w:rsid w:val="00EB4DBB"/>
    <w:rsid w:val="00EB4EF4"/>
    <w:rsid w:val="00EB6092"/>
    <w:rsid w:val="00EC15A9"/>
    <w:rsid w:val="00EC15D1"/>
    <w:rsid w:val="00EC1754"/>
    <w:rsid w:val="00EC32ED"/>
    <w:rsid w:val="00EC3C5F"/>
    <w:rsid w:val="00EC3FA5"/>
    <w:rsid w:val="00EC4228"/>
    <w:rsid w:val="00EC4805"/>
    <w:rsid w:val="00EC71B9"/>
    <w:rsid w:val="00ED0105"/>
    <w:rsid w:val="00ED0F70"/>
    <w:rsid w:val="00ED2277"/>
    <w:rsid w:val="00ED264B"/>
    <w:rsid w:val="00ED26FB"/>
    <w:rsid w:val="00ED3095"/>
    <w:rsid w:val="00ED3332"/>
    <w:rsid w:val="00ED45BB"/>
    <w:rsid w:val="00ED53FD"/>
    <w:rsid w:val="00ED5B78"/>
    <w:rsid w:val="00ED5DB1"/>
    <w:rsid w:val="00EE1D90"/>
    <w:rsid w:val="00EE2A6F"/>
    <w:rsid w:val="00EE4967"/>
    <w:rsid w:val="00EE4D34"/>
    <w:rsid w:val="00EE4E8E"/>
    <w:rsid w:val="00EE53E0"/>
    <w:rsid w:val="00EE54DE"/>
    <w:rsid w:val="00EE5AB6"/>
    <w:rsid w:val="00EE5DF2"/>
    <w:rsid w:val="00EE6AFC"/>
    <w:rsid w:val="00EE6C07"/>
    <w:rsid w:val="00EE7793"/>
    <w:rsid w:val="00EF1B03"/>
    <w:rsid w:val="00EF1C6F"/>
    <w:rsid w:val="00EF24ED"/>
    <w:rsid w:val="00EF366D"/>
    <w:rsid w:val="00EF55E1"/>
    <w:rsid w:val="00EF5C25"/>
    <w:rsid w:val="00EF6044"/>
    <w:rsid w:val="00EF6BE6"/>
    <w:rsid w:val="00EF6F98"/>
    <w:rsid w:val="00EF771D"/>
    <w:rsid w:val="00F0023E"/>
    <w:rsid w:val="00F009A9"/>
    <w:rsid w:val="00F00BCE"/>
    <w:rsid w:val="00F00CA7"/>
    <w:rsid w:val="00F018B1"/>
    <w:rsid w:val="00F01F84"/>
    <w:rsid w:val="00F02060"/>
    <w:rsid w:val="00F024F3"/>
    <w:rsid w:val="00F03238"/>
    <w:rsid w:val="00F0395C"/>
    <w:rsid w:val="00F052A2"/>
    <w:rsid w:val="00F06D38"/>
    <w:rsid w:val="00F0783E"/>
    <w:rsid w:val="00F1057D"/>
    <w:rsid w:val="00F1120E"/>
    <w:rsid w:val="00F12B65"/>
    <w:rsid w:val="00F1437A"/>
    <w:rsid w:val="00F177F9"/>
    <w:rsid w:val="00F2010F"/>
    <w:rsid w:val="00F201D6"/>
    <w:rsid w:val="00F20BB7"/>
    <w:rsid w:val="00F20C63"/>
    <w:rsid w:val="00F20DA2"/>
    <w:rsid w:val="00F22DE3"/>
    <w:rsid w:val="00F23490"/>
    <w:rsid w:val="00F234D6"/>
    <w:rsid w:val="00F24C71"/>
    <w:rsid w:val="00F265B4"/>
    <w:rsid w:val="00F266DD"/>
    <w:rsid w:val="00F27603"/>
    <w:rsid w:val="00F2786A"/>
    <w:rsid w:val="00F27E8D"/>
    <w:rsid w:val="00F30394"/>
    <w:rsid w:val="00F31304"/>
    <w:rsid w:val="00F32C27"/>
    <w:rsid w:val="00F33908"/>
    <w:rsid w:val="00F34055"/>
    <w:rsid w:val="00F34287"/>
    <w:rsid w:val="00F4048E"/>
    <w:rsid w:val="00F40B82"/>
    <w:rsid w:val="00F41460"/>
    <w:rsid w:val="00F41CE9"/>
    <w:rsid w:val="00F41E99"/>
    <w:rsid w:val="00F42497"/>
    <w:rsid w:val="00F4265E"/>
    <w:rsid w:val="00F428EE"/>
    <w:rsid w:val="00F45750"/>
    <w:rsid w:val="00F47635"/>
    <w:rsid w:val="00F5497F"/>
    <w:rsid w:val="00F54B7C"/>
    <w:rsid w:val="00F5566C"/>
    <w:rsid w:val="00F55A31"/>
    <w:rsid w:val="00F55F27"/>
    <w:rsid w:val="00F57BAA"/>
    <w:rsid w:val="00F60718"/>
    <w:rsid w:val="00F6164E"/>
    <w:rsid w:val="00F62F7C"/>
    <w:rsid w:val="00F656FC"/>
    <w:rsid w:val="00F6656A"/>
    <w:rsid w:val="00F70575"/>
    <w:rsid w:val="00F7135A"/>
    <w:rsid w:val="00F71F70"/>
    <w:rsid w:val="00F72CA1"/>
    <w:rsid w:val="00F72EC2"/>
    <w:rsid w:val="00F74351"/>
    <w:rsid w:val="00F77495"/>
    <w:rsid w:val="00F80F12"/>
    <w:rsid w:val="00F81529"/>
    <w:rsid w:val="00F81793"/>
    <w:rsid w:val="00F82C04"/>
    <w:rsid w:val="00F84FA6"/>
    <w:rsid w:val="00F85101"/>
    <w:rsid w:val="00F8551C"/>
    <w:rsid w:val="00F86366"/>
    <w:rsid w:val="00F86E20"/>
    <w:rsid w:val="00F871B0"/>
    <w:rsid w:val="00F90B29"/>
    <w:rsid w:val="00F910C2"/>
    <w:rsid w:val="00F92026"/>
    <w:rsid w:val="00F93229"/>
    <w:rsid w:val="00F9422B"/>
    <w:rsid w:val="00F94AA8"/>
    <w:rsid w:val="00F94B79"/>
    <w:rsid w:val="00F95B3D"/>
    <w:rsid w:val="00F965E9"/>
    <w:rsid w:val="00FA0D00"/>
    <w:rsid w:val="00FA1F9D"/>
    <w:rsid w:val="00FA23D8"/>
    <w:rsid w:val="00FA2DEA"/>
    <w:rsid w:val="00FA3102"/>
    <w:rsid w:val="00FA368D"/>
    <w:rsid w:val="00FA3B87"/>
    <w:rsid w:val="00FA3FA0"/>
    <w:rsid w:val="00FA4162"/>
    <w:rsid w:val="00FA4686"/>
    <w:rsid w:val="00FA4948"/>
    <w:rsid w:val="00FA4A6C"/>
    <w:rsid w:val="00FA4DD9"/>
    <w:rsid w:val="00FA5047"/>
    <w:rsid w:val="00FA609D"/>
    <w:rsid w:val="00FB02D3"/>
    <w:rsid w:val="00FB0537"/>
    <w:rsid w:val="00FB089F"/>
    <w:rsid w:val="00FB0F29"/>
    <w:rsid w:val="00FB38FA"/>
    <w:rsid w:val="00FB58DB"/>
    <w:rsid w:val="00FB6611"/>
    <w:rsid w:val="00FB6EAB"/>
    <w:rsid w:val="00FC08B9"/>
    <w:rsid w:val="00FC1565"/>
    <w:rsid w:val="00FC1B4E"/>
    <w:rsid w:val="00FC1DD7"/>
    <w:rsid w:val="00FC31D8"/>
    <w:rsid w:val="00FC327E"/>
    <w:rsid w:val="00FC51B5"/>
    <w:rsid w:val="00FC7418"/>
    <w:rsid w:val="00FD02D9"/>
    <w:rsid w:val="00FD0A99"/>
    <w:rsid w:val="00FD1385"/>
    <w:rsid w:val="00FD15D8"/>
    <w:rsid w:val="00FD1DD8"/>
    <w:rsid w:val="00FD2C26"/>
    <w:rsid w:val="00FD2F2A"/>
    <w:rsid w:val="00FD3626"/>
    <w:rsid w:val="00FD3FD2"/>
    <w:rsid w:val="00FD432B"/>
    <w:rsid w:val="00FD433D"/>
    <w:rsid w:val="00FD4F86"/>
    <w:rsid w:val="00FD5896"/>
    <w:rsid w:val="00FE0B22"/>
    <w:rsid w:val="00FE0F1F"/>
    <w:rsid w:val="00FE1255"/>
    <w:rsid w:val="00FE1AE3"/>
    <w:rsid w:val="00FE2490"/>
    <w:rsid w:val="00FE2791"/>
    <w:rsid w:val="00FE27BB"/>
    <w:rsid w:val="00FE44BF"/>
    <w:rsid w:val="00FE4C29"/>
    <w:rsid w:val="00FE57F5"/>
    <w:rsid w:val="00FE60CF"/>
    <w:rsid w:val="00FE7028"/>
    <w:rsid w:val="00FE7AEA"/>
    <w:rsid w:val="00FF0534"/>
    <w:rsid w:val="00FF09CA"/>
    <w:rsid w:val="00FF2DA4"/>
    <w:rsid w:val="00FF360A"/>
    <w:rsid w:val="00FF3A84"/>
    <w:rsid w:val="00FF4527"/>
    <w:rsid w:val="00FF4A0D"/>
    <w:rsid w:val="00FF50DD"/>
    <w:rsid w:val="00FF619E"/>
    <w:rsid w:val="00FF68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2B"/>
    <w:pPr>
      <w:spacing w:line="480" w:lineRule="auto"/>
    </w:pPr>
    <w:rPr>
      <w:sz w:val="24"/>
      <w:szCs w:val="24"/>
      <w:lang w:val="en-US" w:eastAsia="en-US"/>
    </w:rPr>
  </w:style>
  <w:style w:type="paragraph" w:styleId="Heading1">
    <w:name w:val="heading 1"/>
    <w:basedOn w:val="Normal"/>
    <w:next w:val="Normal"/>
    <w:qFormat/>
    <w:rsid w:val="00FD43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43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432B"/>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432B"/>
    <w:pPr>
      <w:tabs>
        <w:tab w:val="center" w:pos="4320"/>
        <w:tab w:val="right" w:pos="8640"/>
      </w:tabs>
    </w:pPr>
  </w:style>
  <w:style w:type="character" w:styleId="HTMLKeyboard">
    <w:name w:val="HTML Keyboard"/>
    <w:basedOn w:val="DefaultParagraphFont"/>
    <w:rsid w:val="00FD432B"/>
    <w:rPr>
      <w:rFonts w:ascii="Courier New" w:hAnsi="Courier New"/>
      <w:sz w:val="20"/>
      <w:szCs w:val="20"/>
    </w:rPr>
  </w:style>
  <w:style w:type="character" w:styleId="PageNumber">
    <w:name w:val="page number"/>
    <w:basedOn w:val="DefaultParagraphFont"/>
    <w:rsid w:val="00FD432B"/>
  </w:style>
  <w:style w:type="character" w:styleId="LineNumber">
    <w:name w:val="line number"/>
    <w:basedOn w:val="DefaultParagraphFont"/>
    <w:rsid w:val="00781B23"/>
  </w:style>
  <w:style w:type="paragraph" w:styleId="Footer">
    <w:name w:val="footer"/>
    <w:basedOn w:val="Normal"/>
    <w:link w:val="FooterChar"/>
    <w:uiPriority w:val="99"/>
    <w:rsid w:val="00FD432B"/>
    <w:pPr>
      <w:tabs>
        <w:tab w:val="center" w:pos="4320"/>
        <w:tab w:val="right" w:pos="8640"/>
      </w:tabs>
    </w:pPr>
  </w:style>
  <w:style w:type="paragraph" w:styleId="Title">
    <w:name w:val="Title"/>
    <w:basedOn w:val="Normal"/>
    <w:qFormat/>
    <w:rsid w:val="00FD432B"/>
    <w:pPr>
      <w:spacing w:before="240" w:after="60"/>
      <w:jc w:val="center"/>
      <w:outlineLvl w:val="0"/>
    </w:pPr>
    <w:rPr>
      <w:rFonts w:ascii="Arial" w:hAnsi="Arial" w:cs="Arial"/>
      <w:b/>
      <w:bCs/>
      <w:kern w:val="28"/>
      <w:sz w:val="32"/>
      <w:szCs w:val="32"/>
    </w:rPr>
  </w:style>
  <w:style w:type="paragraph" w:styleId="FootnoteText">
    <w:name w:val="footnote text"/>
    <w:basedOn w:val="Normal"/>
    <w:semiHidden/>
    <w:rsid w:val="00114322"/>
    <w:rPr>
      <w:sz w:val="20"/>
      <w:szCs w:val="20"/>
    </w:rPr>
  </w:style>
  <w:style w:type="character" w:styleId="FootnoteReference">
    <w:name w:val="footnote reference"/>
    <w:basedOn w:val="DefaultParagraphFont"/>
    <w:semiHidden/>
    <w:rsid w:val="00114322"/>
    <w:rPr>
      <w:vertAlign w:val="superscript"/>
    </w:rPr>
  </w:style>
  <w:style w:type="paragraph" w:styleId="BodyText">
    <w:name w:val="Body Text"/>
    <w:basedOn w:val="Normal"/>
    <w:rsid w:val="008D056E"/>
    <w:pPr>
      <w:tabs>
        <w:tab w:val="right" w:pos="8640"/>
      </w:tabs>
      <w:spacing w:after="280" w:line="360" w:lineRule="auto"/>
      <w:jc w:val="both"/>
    </w:pPr>
    <w:rPr>
      <w:rFonts w:ascii="Garamond" w:hAnsi="Garamond"/>
      <w:spacing w:val="-2"/>
      <w:szCs w:val="20"/>
    </w:rPr>
  </w:style>
  <w:style w:type="paragraph" w:customStyle="1" w:styleId="ChapterTitle">
    <w:name w:val="Chapter Title"/>
    <w:basedOn w:val="Normal"/>
    <w:next w:val="Normal"/>
    <w:rsid w:val="00912057"/>
    <w:pPr>
      <w:keepNext/>
      <w:keepLines/>
      <w:tabs>
        <w:tab w:val="right" w:pos="8640"/>
      </w:tabs>
      <w:spacing w:before="560" w:after="560" w:line="240" w:lineRule="auto"/>
      <w:jc w:val="center"/>
    </w:pPr>
    <w:rPr>
      <w:rFonts w:ascii="Garamond" w:hAnsi="Garamond"/>
      <w:caps/>
      <w:spacing w:val="2"/>
      <w:kern w:val="28"/>
      <w:szCs w:val="20"/>
    </w:rPr>
  </w:style>
  <w:style w:type="paragraph" w:styleId="BodyTextIndent">
    <w:name w:val="Body Text Indent"/>
    <w:basedOn w:val="Normal"/>
    <w:link w:val="BodyTextIndentChar"/>
    <w:rsid w:val="00B50D4E"/>
    <w:pPr>
      <w:spacing w:after="120"/>
      <w:ind w:left="283"/>
    </w:pPr>
  </w:style>
  <w:style w:type="paragraph" w:customStyle="1" w:styleId="SectionLabel">
    <w:name w:val="Section Label"/>
    <w:basedOn w:val="Normal"/>
    <w:next w:val="BodyText"/>
    <w:rsid w:val="00B50D4E"/>
    <w:pPr>
      <w:keepNext/>
      <w:keepLines/>
      <w:pageBreakBefore/>
      <w:tabs>
        <w:tab w:val="right" w:pos="8640"/>
      </w:tabs>
      <w:spacing w:after="700" w:line="360" w:lineRule="auto"/>
      <w:jc w:val="center"/>
    </w:pPr>
    <w:rPr>
      <w:rFonts w:ascii="Garamond" w:hAnsi="Garamond"/>
      <w:caps/>
      <w:spacing w:val="10"/>
      <w:kern w:val="28"/>
      <w:szCs w:val="20"/>
    </w:rPr>
  </w:style>
  <w:style w:type="paragraph" w:styleId="ListNumber">
    <w:name w:val="List Number"/>
    <w:basedOn w:val="List"/>
    <w:rsid w:val="00A9048F"/>
    <w:pPr>
      <w:numPr>
        <w:numId w:val="1"/>
      </w:numPr>
      <w:tabs>
        <w:tab w:val="clear" w:pos="360"/>
        <w:tab w:val="right" w:leader="dot" w:pos="7440"/>
      </w:tabs>
      <w:spacing w:line="360" w:lineRule="auto"/>
      <w:ind w:left="0" w:firstLine="0"/>
      <w:jc w:val="both"/>
    </w:pPr>
    <w:rPr>
      <w:rFonts w:ascii="Garamond" w:hAnsi="Garamond"/>
      <w:spacing w:val="-2"/>
      <w:szCs w:val="20"/>
    </w:rPr>
  </w:style>
  <w:style w:type="paragraph" w:styleId="List">
    <w:name w:val="List"/>
    <w:basedOn w:val="Normal"/>
    <w:rsid w:val="00A9048F"/>
    <w:pPr>
      <w:ind w:left="283" w:hanging="283"/>
    </w:pPr>
  </w:style>
  <w:style w:type="character" w:customStyle="1" w:styleId="HeaderChar">
    <w:name w:val="Header Char"/>
    <w:basedOn w:val="DefaultParagraphFont"/>
    <w:link w:val="Header"/>
    <w:uiPriority w:val="99"/>
    <w:rsid w:val="001E06B8"/>
    <w:rPr>
      <w:sz w:val="24"/>
      <w:szCs w:val="24"/>
      <w:lang w:val="en-US" w:eastAsia="en-US"/>
    </w:rPr>
  </w:style>
  <w:style w:type="paragraph" w:styleId="DocumentMap">
    <w:name w:val="Document Map"/>
    <w:basedOn w:val="Normal"/>
    <w:link w:val="DocumentMapChar"/>
    <w:rsid w:val="006B7758"/>
    <w:rPr>
      <w:rFonts w:ascii="Tahoma" w:hAnsi="Tahoma" w:cs="Tahoma"/>
      <w:sz w:val="16"/>
      <w:szCs w:val="16"/>
    </w:rPr>
  </w:style>
  <w:style w:type="character" w:customStyle="1" w:styleId="DocumentMapChar">
    <w:name w:val="Document Map Char"/>
    <w:basedOn w:val="DefaultParagraphFont"/>
    <w:link w:val="DocumentMap"/>
    <w:rsid w:val="006B7758"/>
    <w:rPr>
      <w:rFonts w:ascii="Tahoma" w:hAnsi="Tahoma" w:cs="Tahoma"/>
      <w:sz w:val="16"/>
      <w:szCs w:val="16"/>
      <w:lang w:val="en-US" w:eastAsia="en-US"/>
    </w:rPr>
  </w:style>
  <w:style w:type="paragraph" w:styleId="ListParagraph">
    <w:name w:val="List Paragraph"/>
    <w:basedOn w:val="Normal"/>
    <w:uiPriority w:val="34"/>
    <w:qFormat/>
    <w:rsid w:val="003B58E9"/>
    <w:pPr>
      <w:ind w:left="720"/>
      <w:contextualSpacing/>
    </w:pPr>
  </w:style>
  <w:style w:type="paragraph" w:styleId="EndnoteText">
    <w:name w:val="endnote text"/>
    <w:basedOn w:val="Normal"/>
    <w:link w:val="EndnoteTextChar"/>
    <w:rsid w:val="00B74C27"/>
    <w:pPr>
      <w:spacing w:line="240" w:lineRule="auto"/>
    </w:pPr>
    <w:rPr>
      <w:sz w:val="20"/>
      <w:szCs w:val="20"/>
    </w:rPr>
  </w:style>
  <w:style w:type="character" w:customStyle="1" w:styleId="EndnoteTextChar">
    <w:name w:val="Endnote Text Char"/>
    <w:basedOn w:val="DefaultParagraphFont"/>
    <w:link w:val="EndnoteText"/>
    <w:rsid w:val="00B74C27"/>
    <w:rPr>
      <w:lang w:val="en-US" w:eastAsia="en-US"/>
    </w:rPr>
  </w:style>
  <w:style w:type="character" w:styleId="EndnoteReference">
    <w:name w:val="endnote reference"/>
    <w:basedOn w:val="DefaultParagraphFont"/>
    <w:rsid w:val="00B74C27"/>
    <w:rPr>
      <w:vertAlign w:val="superscript"/>
    </w:rPr>
  </w:style>
  <w:style w:type="table" w:customStyle="1" w:styleId="QTable">
    <w:name w:val="QTable"/>
    <w:uiPriority w:val="99"/>
    <w:qFormat/>
    <w:rsid w:val="002E7000"/>
    <w:pPr>
      <w:jc w:val="center"/>
    </w:pPr>
    <w:rPr>
      <w:rFonts w:asciiTheme="minorHAnsi" w:eastAsiaTheme="minorEastAsia" w:hAnsiTheme="minorHAnsi" w:cstheme="minorBidi"/>
      <w:sz w:val="22"/>
      <w:szCs w:val="22"/>
      <w:lang w:val="en-US"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pPr>
      <w:rPr>
        <w:color w:val="FFFFFF" w:themeColor="background1"/>
      </w:rPr>
      <w:tblPr/>
      <w:tcPr>
        <w:tcBorders>
          <w:insideV w:val="single" w:sz="4" w:space="0" w:color="969696"/>
        </w:tcBorders>
        <w:shd w:val="clear" w:color="auto" w:fill="58595B"/>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paragraph" w:customStyle="1" w:styleId="QLabel">
    <w:name w:val="QLabel"/>
    <w:basedOn w:val="Normal"/>
    <w:qFormat/>
    <w:rsid w:val="002E7000"/>
    <w:pPr>
      <w:pBdr>
        <w:left w:val="single" w:sz="4" w:space="4" w:color="D9D9D9" w:themeColor="background1" w:themeShade="D9"/>
        <w:right w:val="single" w:sz="4" w:space="4" w:color="D9D9D9" w:themeColor="background1" w:themeShade="D9"/>
      </w:pBdr>
      <w:shd w:val="clear" w:color="auto" w:fill="D9D9D9" w:themeFill="background1" w:themeFillShade="D9"/>
      <w:spacing w:after="200" w:line="276" w:lineRule="auto"/>
    </w:pPr>
    <w:rPr>
      <w:rFonts w:asciiTheme="minorHAnsi" w:eastAsiaTheme="minorEastAsia" w:hAnsiTheme="minorHAnsi" w:cstheme="minorBidi"/>
      <w:b/>
      <w:sz w:val="32"/>
      <w:szCs w:val="22"/>
    </w:rPr>
  </w:style>
  <w:style w:type="table" w:customStyle="1" w:styleId="QBar">
    <w:name w:val="QBar"/>
    <w:uiPriority w:val="99"/>
    <w:qFormat/>
    <w:rsid w:val="002E7000"/>
    <w:rPr>
      <w:rFonts w:asciiTheme="minorHAnsi" w:eastAsiaTheme="minorEastAsia" w:hAnsiTheme="minorHAnsi" w:cstheme="minorBidi"/>
      <w:sz w:val="18"/>
      <w:lang w:val="da-DK" w:eastAsia="zh-CN"/>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2E7000"/>
    <w:rPr>
      <w:rFonts w:asciiTheme="minorHAnsi" w:eastAsiaTheme="minorEastAsia" w:hAnsiTheme="minorHAnsi" w:cstheme="minorBidi"/>
      <w:color w:val="FFFFFF" w:themeColor="background1"/>
      <w:sz w:val="22"/>
      <w:szCs w:val="22"/>
      <w:lang w:val="en-US" w:eastAsia="en-US"/>
    </w:rPr>
  </w:style>
  <w:style w:type="character" w:styleId="Hyperlink">
    <w:name w:val="Hyperlink"/>
    <w:basedOn w:val="DefaultParagraphFont"/>
    <w:unhideWhenUsed/>
    <w:rsid w:val="0094214D"/>
    <w:rPr>
      <w:color w:val="0000FF" w:themeColor="hyperlink"/>
      <w:u w:val="single"/>
    </w:rPr>
  </w:style>
  <w:style w:type="paragraph" w:styleId="BalloonText">
    <w:name w:val="Balloon Text"/>
    <w:basedOn w:val="Normal"/>
    <w:link w:val="BalloonTextChar"/>
    <w:semiHidden/>
    <w:unhideWhenUsed/>
    <w:rsid w:val="00D705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70595"/>
    <w:rPr>
      <w:rFonts w:ascii="Segoe UI" w:hAnsi="Segoe UI" w:cs="Segoe UI"/>
      <w:sz w:val="18"/>
      <w:szCs w:val="18"/>
      <w:lang w:val="en-US" w:eastAsia="en-US"/>
    </w:rPr>
  </w:style>
  <w:style w:type="character" w:customStyle="1" w:styleId="BodyTextIndentChar">
    <w:name w:val="Body Text Indent Char"/>
    <w:basedOn w:val="DefaultParagraphFont"/>
    <w:link w:val="BodyTextIndent"/>
    <w:rsid w:val="00A84DEC"/>
    <w:rPr>
      <w:sz w:val="24"/>
      <w:szCs w:val="24"/>
      <w:lang w:val="en-US" w:eastAsia="en-US"/>
    </w:rPr>
  </w:style>
  <w:style w:type="character" w:styleId="Emphasis">
    <w:name w:val="Emphasis"/>
    <w:basedOn w:val="DefaultParagraphFont"/>
    <w:uiPriority w:val="20"/>
    <w:qFormat/>
    <w:rsid w:val="0055144B"/>
    <w:rPr>
      <w:i/>
      <w:iCs/>
    </w:rPr>
  </w:style>
  <w:style w:type="character" w:customStyle="1" w:styleId="FooterChar">
    <w:name w:val="Footer Char"/>
    <w:basedOn w:val="DefaultParagraphFont"/>
    <w:link w:val="Footer"/>
    <w:uiPriority w:val="99"/>
    <w:rsid w:val="00F32C2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03974513">
      <w:bodyDiv w:val="1"/>
      <w:marLeft w:val="0"/>
      <w:marRight w:val="0"/>
      <w:marTop w:val="0"/>
      <w:marBottom w:val="0"/>
      <w:divBdr>
        <w:top w:val="none" w:sz="0" w:space="0" w:color="auto"/>
        <w:left w:val="none" w:sz="0" w:space="0" w:color="auto"/>
        <w:bottom w:val="none" w:sz="0" w:space="0" w:color="auto"/>
        <w:right w:val="none" w:sz="0" w:space="0" w:color="auto"/>
      </w:divBdr>
      <w:divsChild>
        <w:div w:id="755832698">
          <w:marLeft w:val="0"/>
          <w:marRight w:val="0"/>
          <w:marTop w:val="0"/>
          <w:marBottom w:val="0"/>
          <w:divBdr>
            <w:top w:val="none" w:sz="0" w:space="0" w:color="auto"/>
            <w:left w:val="none" w:sz="0" w:space="0" w:color="auto"/>
            <w:bottom w:val="none" w:sz="0" w:space="0" w:color="auto"/>
            <w:right w:val="none" w:sz="0" w:space="0" w:color="auto"/>
          </w:divBdr>
        </w:div>
        <w:div w:id="902369221">
          <w:marLeft w:val="0"/>
          <w:marRight w:val="0"/>
          <w:marTop w:val="0"/>
          <w:marBottom w:val="0"/>
          <w:divBdr>
            <w:top w:val="none" w:sz="0" w:space="0" w:color="auto"/>
            <w:left w:val="none" w:sz="0" w:space="0" w:color="auto"/>
            <w:bottom w:val="none" w:sz="0" w:space="0" w:color="auto"/>
            <w:right w:val="none" w:sz="0" w:space="0" w:color="auto"/>
          </w:divBdr>
        </w:div>
        <w:div w:id="2022394852">
          <w:marLeft w:val="0"/>
          <w:marRight w:val="0"/>
          <w:marTop w:val="0"/>
          <w:marBottom w:val="0"/>
          <w:divBdr>
            <w:top w:val="none" w:sz="0" w:space="0" w:color="auto"/>
            <w:left w:val="none" w:sz="0" w:space="0" w:color="auto"/>
            <w:bottom w:val="none" w:sz="0" w:space="0" w:color="auto"/>
            <w:right w:val="none" w:sz="0" w:space="0" w:color="auto"/>
          </w:divBdr>
        </w:div>
        <w:div w:id="105389614">
          <w:marLeft w:val="0"/>
          <w:marRight w:val="0"/>
          <w:marTop w:val="0"/>
          <w:marBottom w:val="0"/>
          <w:divBdr>
            <w:top w:val="none" w:sz="0" w:space="0" w:color="auto"/>
            <w:left w:val="none" w:sz="0" w:space="0" w:color="auto"/>
            <w:bottom w:val="none" w:sz="0" w:space="0" w:color="auto"/>
            <w:right w:val="none" w:sz="0" w:space="0" w:color="auto"/>
          </w:divBdr>
        </w:div>
        <w:div w:id="1537892863">
          <w:marLeft w:val="0"/>
          <w:marRight w:val="0"/>
          <w:marTop w:val="0"/>
          <w:marBottom w:val="0"/>
          <w:divBdr>
            <w:top w:val="none" w:sz="0" w:space="0" w:color="auto"/>
            <w:left w:val="none" w:sz="0" w:space="0" w:color="auto"/>
            <w:bottom w:val="none" w:sz="0" w:space="0" w:color="auto"/>
            <w:right w:val="none" w:sz="0" w:space="0" w:color="auto"/>
          </w:divBdr>
        </w:div>
        <w:div w:id="576475631">
          <w:marLeft w:val="0"/>
          <w:marRight w:val="0"/>
          <w:marTop w:val="0"/>
          <w:marBottom w:val="0"/>
          <w:divBdr>
            <w:top w:val="none" w:sz="0" w:space="0" w:color="auto"/>
            <w:left w:val="none" w:sz="0" w:space="0" w:color="auto"/>
            <w:bottom w:val="none" w:sz="0" w:space="0" w:color="auto"/>
            <w:right w:val="none" w:sz="0" w:space="0" w:color="auto"/>
          </w:divBdr>
        </w:div>
        <w:div w:id="1732269119">
          <w:marLeft w:val="0"/>
          <w:marRight w:val="0"/>
          <w:marTop w:val="0"/>
          <w:marBottom w:val="0"/>
          <w:divBdr>
            <w:top w:val="none" w:sz="0" w:space="0" w:color="auto"/>
            <w:left w:val="none" w:sz="0" w:space="0" w:color="auto"/>
            <w:bottom w:val="none" w:sz="0" w:space="0" w:color="auto"/>
            <w:right w:val="none" w:sz="0" w:space="0" w:color="auto"/>
          </w:divBdr>
        </w:div>
        <w:div w:id="253250119">
          <w:marLeft w:val="0"/>
          <w:marRight w:val="0"/>
          <w:marTop w:val="0"/>
          <w:marBottom w:val="0"/>
          <w:divBdr>
            <w:top w:val="none" w:sz="0" w:space="0" w:color="auto"/>
            <w:left w:val="none" w:sz="0" w:space="0" w:color="auto"/>
            <w:bottom w:val="none" w:sz="0" w:space="0" w:color="auto"/>
            <w:right w:val="none" w:sz="0" w:space="0" w:color="auto"/>
          </w:divBdr>
        </w:div>
        <w:div w:id="602691619">
          <w:marLeft w:val="0"/>
          <w:marRight w:val="0"/>
          <w:marTop w:val="0"/>
          <w:marBottom w:val="0"/>
          <w:divBdr>
            <w:top w:val="none" w:sz="0" w:space="0" w:color="auto"/>
            <w:left w:val="none" w:sz="0" w:space="0" w:color="auto"/>
            <w:bottom w:val="none" w:sz="0" w:space="0" w:color="auto"/>
            <w:right w:val="none" w:sz="0" w:space="0" w:color="auto"/>
          </w:divBdr>
        </w:div>
        <w:div w:id="1187137949">
          <w:marLeft w:val="0"/>
          <w:marRight w:val="0"/>
          <w:marTop w:val="0"/>
          <w:marBottom w:val="0"/>
          <w:divBdr>
            <w:top w:val="none" w:sz="0" w:space="0" w:color="auto"/>
            <w:left w:val="none" w:sz="0" w:space="0" w:color="auto"/>
            <w:bottom w:val="none" w:sz="0" w:space="0" w:color="auto"/>
            <w:right w:val="none" w:sz="0" w:space="0" w:color="auto"/>
          </w:divBdr>
        </w:div>
        <w:div w:id="748574097">
          <w:marLeft w:val="0"/>
          <w:marRight w:val="0"/>
          <w:marTop w:val="0"/>
          <w:marBottom w:val="0"/>
          <w:divBdr>
            <w:top w:val="none" w:sz="0" w:space="0" w:color="auto"/>
            <w:left w:val="none" w:sz="0" w:space="0" w:color="auto"/>
            <w:bottom w:val="none" w:sz="0" w:space="0" w:color="auto"/>
            <w:right w:val="none" w:sz="0" w:space="0" w:color="auto"/>
          </w:divBdr>
        </w:div>
        <w:div w:id="1132672074">
          <w:marLeft w:val="0"/>
          <w:marRight w:val="0"/>
          <w:marTop w:val="0"/>
          <w:marBottom w:val="0"/>
          <w:divBdr>
            <w:top w:val="none" w:sz="0" w:space="0" w:color="auto"/>
            <w:left w:val="none" w:sz="0" w:space="0" w:color="auto"/>
            <w:bottom w:val="none" w:sz="0" w:space="0" w:color="auto"/>
            <w:right w:val="none" w:sz="0" w:space="0" w:color="auto"/>
          </w:divBdr>
        </w:div>
      </w:divsChild>
    </w:div>
    <w:div w:id="508300721">
      <w:bodyDiv w:val="1"/>
      <w:marLeft w:val="0"/>
      <w:marRight w:val="0"/>
      <w:marTop w:val="0"/>
      <w:marBottom w:val="0"/>
      <w:divBdr>
        <w:top w:val="none" w:sz="0" w:space="0" w:color="auto"/>
        <w:left w:val="none" w:sz="0" w:space="0" w:color="auto"/>
        <w:bottom w:val="none" w:sz="0" w:space="0" w:color="auto"/>
        <w:right w:val="none" w:sz="0" w:space="0" w:color="auto"/>
      </w:divBdr>
      <w:divsChild>
        <w:div w:id="1001808865">
          <w:marLeft w:val="0"/>
          <w:marRight w:val="0"/>
          <w:marTop w:val="0"/>
          <w:marBottom w:val="0"/>
          <w:divBdr>
            <w:top w:val="none" w:sz="0" w:space="0" w:color="auto"/>
            <w:left w:val="none" w:sz="0" w:space="0" w:color="auto"/>
            <w:bottom w:val="none" w:sz="0" w:space="0" w:color="auto"/>
            <w:right w:val="none" w:sz="0" w:space="0" w:color="auto"/>
          </w:divBdr>
        </w:div>
        <w:div w:id="1662388308">
          <w:marLeft w:val="0"/>
          <w:marRight w:val="0"/>
          <w:marTop w:val="0"/>
          <w:marBottom w:val="0"/>
          <w:divBdr>
            <w:top w:val="none" w:sz="0" w:space="0" w:color="auto"/>
            <w:left w:val="none" w:sz="0" w:space="0" w:color="auto"/>
            <w:bottom w:val="none" w:sz="0" w:space="0" w:color="auto"/>
            <w:right w:val="none" w:sz="0" w:space="0" w:color="auto"/>
          </w:divBdr>
        </w:div>
        <w:div w:id="293606977">
          <w:marLeft w:val="0"/>
          <w:marRight w:val="0"/>
          <w:marTop w:val="0"/>
          <w:marBottom w:val="0"/>
          <w:divBdr>
            <w:top w:val="none" w:sz="0" w:space="0" w:color="auto"/>
            <w:left w:val="none" w:sz="0" w:space="0" w:color="auto"/>
            <w:bottom w:val="none" w:sz="0" w:space="0" w:color="auto"/>
            <w:right w:val="none" w:sz="0" w:space="0" w:color="auto"/>
          </w:divBdr>
        </w:div>
        <w:div w:id="1287814779">
          <w:marLeft w:val="0"/>
          <w:marRight w:val="0"/>
          <w:marTop w:val="0"/>
          <w:marBottom w:val="0"/>
          <w:divBdr>
            <w:top w:val="none" w:sz="0" w:space="0" w:color="auto"/>
            <w:left w:val="none" w:sz="0" w:space="0" w:color="auto"/>
            <w:bottom w:val="none" w:sz="0" w:space="0" w:color="auto"/>
            <w:right w:val="none" w:sz="0" w:space="0" w:color="auto"/>
          </w:divBdr>
        </w:div>
        <w:div w:id="1646278662">
          <w:marLeft w:val="0"/>
          <w:marRight w:val="0"/>
          <w:marTop w:val="0"/>
          <w:marBottom w:val="0"/>
          <w:divBdr>
            <w:top w:val="none" w:sz="0" w:space="0" w:color="auto"/>
            <w:left w:val="none" w:sz="0" w:space="0" w:color="auto"/>
            <w:bottom w:val="none" w:sz="0" w:space="0" w:color="auto"/>
            <w:right w:val="none" w:sz="0" w:space="0" w:color="auto"/>
          </w:divBdr>
        </w:div>
        <w:div w:id="1504585799">
          <w:marLeft w:val="0"/>
          <w:marRight w:val="0"/>
          <w:marTop w:val="0"/>
          <w:marBottom w:val="0"/>
          <w:divBdr>
            <w:top w:val="none" w:sz="0" w:space="0" w:color="auto"/>
            <w:left w:val="none" w:sz="0" w:space="0" w:color="auto"/>
            <w:bottom w:val="none" w:sz="0" w:space="0" w:color="auto"/>
            <w:right w:val="none" w:sz="0" w:space="0" w:color="auto"/>
          </w:divBdr>
        </w:div>
        <w:div w:id="1241981948">
          <w:marLeft w:val="0"/>
          <w:marRight w:val="0"/>
          <w:marTop w:val="0"/>
          <w:marBottom w:val="0"/>
          <w:divBdr>
            <w:top w:val="none" w:sz="0" w:space="0" w:color="auto"/>
            <w:left w:val="none" w:sz="0" w:space="0" w:color="auto"/>
            <w:bottom w:val="none" w:sz="0" w:space="0" w:color="auto"/>
            <w:right w:val="none" w:sz="0" w:space="0" w:color="auto"/>
          </w:divBdr>
        </w:div>
        <w:div w:id="435910424">
          <w:marLeft w:val="0"/>
          <w:marRight w:val="0"/>
          <w:marTop w:val="0"/>
          <w:marBottom w:val="0"/>
          <w:divBdr>
            <w:top w:val="none" w:sz="0" w:space="0" w:color="auto"/>
            <w:left w:val="none" w:sz="0" w:space="0" w:color="auto"/>
            <w:bottom w:val="none" w:sz="0" w:space="0" w:color="auto"/>
            <w:right w:val="none" w:sz="0" w:space="0" w:color="auto"/>
          </w:divBdr>
        </w:div>
        <w:div w:id="2043554888">
          <w:marLeft w:val="0"/>
          <w:marRight w:val="0"/>
          <w:marTop w:val="0"/>
          <w:marBottom w:val="0"/>
          <w:divBdr>
            <w:top w:val="none" w:sz="0" w:space="0" w:color="auto"/>
            <w:left w:val="none" w:sz="0" w:space="0" w:color="auto"/>
            <w:bottom w:val="none" w:sz="0" w:space="0" w:color="auto"/>
            <w:right w:val="none" w:sz="0" w:space="0" w:color="auto"/>
          </w:divBdr>
        </w:div>
        <w:div w:id="1494955456">
          <w:marLeft w:val="0"/>
          <w:marRight w:val="0"/>
          <w:marTop w:val="0"/>
          <w:marBottom w:val="0"/>
          <w:divBdr>
            <w:top w:val="none" w:sz="0" w:space="0" w:color="auto"/>
            <w:left w:val="none" w:sz="0" w:space="0" w:color="auto"/>
            <w:bottom w:val="none" w:sz="0" w:space="0" w:color="auto"/>
            <w:right w:val="none" w:sz="0" w:space="0" w:color="auto"/>
          </w:divBdr>
        </w:div>
        <w:div w:id="710306460">
          <w:marLeft w:val="0"/>
          <w:marRight w:val="0"/>
          <w:marTop w:val="0"/>
          <w:marBottom w:val="0"/>
          <w:divBdr>
            <w:top w:val="none" w:sz="0" w:space="0" w:color="auto"/>
            <w:left w:val="none" w:sz="0" w:space="0" w:color="auto"/>
            <w:bottom w:val="none" w:sz="0" w:space="0" w:color="auto"/>
            <w:right w:val="none" w:sz="0" w:space="0" w:color="auto"/>
          </w:divBdr>
        </w:div>
        <w:div w:id="386030449">
          <w:marLeft w:val="0"/>
          <w:marRight w:val="0"/>
          <w:marTop w:val="0"/>
          <w:marBottom w:val="0"/>
          <w:divBdr>
            <w:top w:val="none" w:sz="0" w:space="0" w:color="auto"/>
            <w:left w:val="none" w:sz="0" w:space="0" w:color="auto"/>
            <w:bottom w:val="none" w:sz="0" w:space="0" w:color="auto"/>
            <w:right w:val="none" w:sz="0" w:space="0" w:color="auto"/>
          </w:divBdr>
        </w:div>
      </w:divsChild>
    </w:div>
    <w:div w:id="1422027760">
      <w:bodyDiv w:val="1"/>
      <w:marLeft w:val="0"/>
      <w:marRight w:val="0"/>
      <w:marTop w:val="0"/>
      <w:marBottom w:val="0"/>
      <w:divBdr>
        <w:top w:val="none" w:sz="0" w:space="0" w:color="auto"/>
        <w:left w:val="none" w:sz="0" w:space="0" w:color="auto"/>
        <w:bottom w:val="none" w:sz="0" w:space="0" w:color="auto"/>
        <w:right w:val="none" w:sz="0" w:space="0" w:color="auto"/>
      </w:divBdr>
      <w:divsChild>
        <w:div w:id="1645700945">
          <w:marLeft w:val="0"/>
          <w:marRight w:val="0"/>
          <w:marTop w:val="0"/>
          <w:marBottom w:val="0"/>
          <w:divBdr>
            <w:top w:val="none" w:sz="0" w:space="0" w:color="auto"/>
            <w:left w:val="none" w:sz="0" w:space="0" w:color="auto"/>
            <w:bottom w:val="none" w:sz="0" w:space="0" w:color="auto"/>
            <w:right w:val="none" w:sz="0" w:space="0" w:color="auto"/>
          </w:divBdr>
        </w:div>
        <w:div w:id="611322164">
          <w:marLeft w:val="0"/>
          <w:marRight w:val="0"/>
          <w:marTop w:val="0"/>
          <w:marBottom w:val="0"/>
          <w:divBdr>
            <w:top w:val="none" w:sz="0" w:space="0" w:color="auto"/>
            <w:left w:val="none" w:sz="0" w:space="0" w:color="auto"/>
            <w:bottom w:val="none" w:sz="0" w:space="0" w:color="auto"/>
            <w:right w:val="none" w:sz="0" w:space="0" w:color="auto"/>
          </w:divBdr>
        </w:div>
        <w:div w:id="148404330">
          <w:marLeft w:val="0"/>
          <w:marRight w:val="0"/>
          <w:marTop w:val="0"/>
          <w:marBottom w:val="0"/>
          <w:divBdr>
            <w:top w:val="none" w:sz="0" w:space="0" w:color="auto"/>
            <w:left w:val="none" w:sz="0" w:space="0" w:color="auto"/>
            <w:bottom w:val="none" w:sz="0" w:space="0" w:color="auto"/>
            <w:right w:val="none" w:sz="0" w:space="0" w:color="auto"/>
          </w:divBdr>
        </w:div>
        <w:div w:id="552086570">
          <w:marLeft w:val="0"/>
          <w:marRight w:val="0"/>
          <w:marTop w:val="0"/>
          <w:marBottom w:val="0"/>
          <w:divBdr>
            <w:top w:val="none" w:sz="0" w:space="0" w:color="auto"/>
            <w:left w:val="none" w:sz="0" w:space="0" w:color="auto"/>
            <w:bottom w:val="none" w:sz="0" w:space="0" w:color="auto"/>
            <w:right w:val="none" w:sz="0" w:space="0" w:color="auto"/>
          </w:divBdr>
        </w:div>
        <w:div w:id="1539705860">
          <w:marLeft w:val="0"/>
          <w:marRight w:val="0"/>
          <w:marTop w:val="0"/>
          <w:marBottom w:val="0"/>
          <w:divBdr>
            <w:top w:val="none" w:sz="0" w:space="0" w:color="auto"/>
            <w:left w:val="none" w:sz="0" w:space="0" w:color="auto"/>
            <w:bottom w:val="none" w:sz="0" w:space="0" w:color="auto"/>
            <w:right w:val="none" w:sz="0" w:space="0" w:color="auto"/>
          </w:divBdr>
        </w:div>
        <w:div w:id="1875380459">
          <w:marLeft w:val="0"/>
          <w:marRight w:val="0"/>
          <w:marTop w:val="0"/>
          <w:marBottom w:val="0"/>
          <w:divBdr>
            <w:top w:val="none" w:sz="0" w:space="0" w:color="auto"/>
            <w:left w:val="none" w:sz="0" w:space="0" w:color="auto"/>
            <w:bottom w:val="none" w:sz="0" w:space="0" w:color="auto"/>
            <w:right w:val="none" w:sz="0" w:space="0" w:color="auto"/>
          </w:divBdr>
        </w:div>
        <w:div w:id="890963943">
          <w:marLeft w:val="0"/>
          <w:marRight w:val="0"/>
          <w:marTop w:val="0"/>
          <w:marBottom w:val="0"/>
          <w:divBdr>
            <w:top w:val="none" w:sz="0" w:space="0" w:color="auto"/>
            <w:left w:val="none" w:sz="0" w:space="0" w:color="auto"/>
            <w:bottom w:val="none" w:sz="0" w:space="0" w:color="auto"/>
            <w:right w:val="none" w:sz="0" w:space="0" w:color="auto"/>
          </w:divBdr>
        </w:div>
        <w:div w:id="1140877277">
          <w:marLeft w:val="0"/>
          <w:marRight w:val="0"/>
          <w:marTop w:val="0"/>
          <w:marBottom w:val="0"/>
          <w:divBdr>
            <w:top w:val="none" w:sz="0" w:space="0" w:color="auto"/>
            <w:left w:val="none" w:sz="0" w:space="0" w:color="auto"/>
            <w:bottom w:val="none" w:sz="0" w:space="0" w:color="auto"/>
            <w:right w:val="none" w:sz="0" w:space="0" w:color="auto"/>
          </w:divBdr>
        </w:div>
        <w:div w:id="730928865">
          <w:marLeft w:val="0"/>
          <w:marRight w:val="0"/>
          <w:marTop w:val="0"/>
          <w:marBottom w:val="0"/>
          <w:divBdr>
            <w:top w:val="none" w:sz="0" w:space="0" w:color="auto"/>
            <w:left w:val="none" w:sz="0" w:space="0" w:color="auto"/>
            <w:bottom w:val="none" w:sz="0" w:space="0" w:color="auto"/>
            <w:right w:val="none" w:sz="0" w:space="0" w:color="auto"/>
          </w:divBdr>
        </w:div>
        <w:div w:id="1039432050">
          <w:marLeft w:val="0"/>
          <w:marRight w:val="0"/>
          <w:marTop w:val="0"/>
          <w:marBottom w:val="0"/>
          <w:divBdr>
            <w:top w:val="none" w:sz="0" w:space="0" w:color="auto"/>
            <w:left w:val="none" w:sz="0" w:space="0" w:color="auto"/>
            <w:bottom w:val="none" w:sz="0" w:space="0" w:color="auto"/>
            <w:right w:val="none" w:sz="0" w:space="0" w:color="auto"/>
          </w:divBdr>
        </w:div>
        <w:div w:id="1084571686">
          <w:marLeft w:val="0"/>
          <w:marRight w:val="0"/>
          <w:marTop w:val="0"/>
          <w:marBottom w:val="0"/>
          <w:divBdr>
            <w:top w:val="none" w:sz="0" w:space="0" w:color="auto"/>
            <w:left w:val="none" w:sz="0" w:space="0" w:color="auto"/>
            <w:bottom w:val="none" w:sz="0" w:space="0" w:color="auto"/>
            <w:right w:val="none" w:sz="0" w:space="0" w:color="auto"/>
          </w:divBdr>
        </w:div>
        <w:div w:id="181012623">
          <w:marLeft w:val="0"/>
          <w:marRight w:val="0"/>
          <w:marTop w:val="0"/>
          <w:marBottom w:val="0"/>
          <w:divBdr>
            <w:top w:val="none" w:sz="0" w:space="0" w:color="auto"/>
            <w:left w:val="none" w:sz="0" w:space="0" w:color="auto"/>
            <w:bottom w:val="none" w:sz="0" w:space="0" w:color="auto"/>
            <w:right w:val="none" w:sz="0" w:space="0" w:color="auto"/>
          </w:divBdr>
        </w:div>
      </w:divsChild>
    </w:div>
    <w:div w:id="170690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ndNote%209\Templates\Amer%20J%20Sociolog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8070-F06C-48D5-8059-2C3C6F33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Amer J Sociology</Template>
  <TotalTime>0</TotalTime>
  <Pages>35</Pages>
  <Words>8270</Words>
  <Characters>47143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J. Sund;Stephane Bignoux</dc:creator>
  <dc:description>The author retains full copyright.</dc:description>
  <cp:lastModifiedBy>London</cp:lastModifiedBy>
  <cp:revision>2</cp:revision>
  <cp:lastPrinted>2017-11-24T21:54:00Z</cp:lastPrinted>
  <dcterms:created xsi:type="dcterms:W3CDTF">2018-06-25T20:21:00Z</dcterms:created>
  <dcterms:modified xsi:type="dcterms:W3CDTF">2018-06-25T20:21:00Z</dcterms:modified>
</cp:coreProperties>
</file>