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20E89" w14:textId="77777777" w:rsidR="00583AF6" w:rsidRDefault="00583AF6" w:rsidP="0034523C">
      <w:pPr>
        <w:spacing w:line="480" w:lineRule="auto"/>
        <w:rPr>
          <w:b/>
          <w:sz w:val="36"/>
        </w:rPr>
      </w:pPr>
    </w:p>
    <w:p w14:paraId="60F33631" w14:textId="77777777" w:rsidR="0034523C" w:rsidRPr="00583AF6" w:rsidRDefault="0034523C" w:rsidP="00583AF6">
      <w:pPr>
        <w:spacing w:line="360" w:lineRule="auto"/>
        <w:rPr>
          <w:rFonts w:eastAsiaTheme="majorEastAsia"/>
          <w:b/>
          <w:sz w:val="36"/>
        </w:rPr>
      </w:pPr>
      <w:r w:rsidRPr="00583AF6">
        <w:rPr>
          <w:b/>
          <w:sz w:val="36"/>
        </w:rPr>
        <w:t>Barriers for highly qualified A8 immigrants in the UK labour market</w:t>
      </w:r>
      <w:r w:rsidRPr="00583AF6">
        <w:rPr>
          <w:rFonts w:eastAsiaTheme="majorEastAsia"/>
          <w:b/>
          <w:sz w:val="36"/>
        </w:rPr>
        <w:t xml:space="preserve"> </w:t>
      </w:r>
    </w:p>
    <w:p w14:paraId="392DA144" w14:textId="0FC82B1D" w:rsidR="00583AF6" w:rsidRDefault="00583AF6" w:rsidP="00583AF6">
      <w:pPr>
        <w:spacing w:line="360" w:lineRule="auto"/>
        <w:rPr>
          <w:rFonts w:eastAsiaTheme="majorEastAsia"/>
          <w:b/>
        </w:rPr>
      </w:pPr>
      <w:r>
        <w:rPr>
          <w:rFonts w:eastAsiaTheme="majorEastAsia"/>
          <w:b/>
        </w:rPr>
        <w:t>Ibrahim Sirkeci</w:t>
      </w:r>
      <w:r w:rsidRPr="00583AF6">
        <w:rPr>
          <w:rFonts w:eastAsiaTheme="majorEastAsia"/>
        </w:rPr>
        <w:t>,</w:t>
      </w:r>
      <w:r>
        <w:rPr>
          <w:rFonts w:eastAsiaTheme="majorEastAsia"/>
        </w:rPr>
        <w:t xml:space="preserve"> </w:t>
      </w:r>
      <w:r w:rsidRPr="00583AF6">
        <w:rPr>
          <w:rFonts w:eastAsiaTheme="majorEastAsia"/>
        </w:rPr>
        <w:t>R</w:t>
      </w:r>
      <w:r>
        <w:rPr>
          <w:rFonts w:eastAsiaTheme="majorEastAsia"/>
        </w:rPr>
        <w:t xml:space="preserve">egent’s Centre for Transnational Studies, </w:t>
      </w:r>
      <w:r w:rsidR="004357A5">
        <w:rPr>
          <w:rFonts w:eastAsiaTheme="majorEastAsia"/>
        </w:rPr>
        <w:t xml:space="preserve">Faculty of Business and Management, </w:t>
      </w:r>
      <w:r>
        <w:rPr>
          <w:rFonts w:eastAsiaTheme="majorEastAsia"/>
        </w:rPr>
        <w:t>Regent’s University London, UK</w:t>
      </w:r>
      <w:r w:rsidRPr="00583AF6">
        <w:rPr>
          <w:rFonts w:eastAsiaTheme="majorEastAsia"/>
          <w:b/>
        </w:rPr>
        <w:t xml:space="preserve"> </w:t>
      </w:r>
    </w:p>
    <w:p w14:paraId="0FDDF7C6" w14:textId="60FABC6D" w:rsidR="00583AF6" w:rsidRDefault="00583AF6" w:rsidP="00583AF6">
      <w:pPr>
        <w:spacing w:line="360" w:lineRule="auto"/>
        <w:rPr>
          <w:rFonts w:eastAsiaTheme="majorEastAsia"/>
        </w:rPr>
      </w:pPr>
      <w:r w:rsidRPr="00583AF6">
        <w:rPr>
          <w:rFonts w:eastAsiaTheme="majorEastAsia"/>
          <w:b/>
        </w:rPr>
        <w:t>Necla Acik</w:t>
      </w:r>
      <w:r w:rsidRPr="00583AF6">
        <w:rPr>
          <w:rFonts w:eastAsiaTheme="majorEastAsia"/>
        </w:rPr>
        <w:t>, Centre for Criminology and Criminal Justice (CCCJ), School of Law, University of Manchester</w:t>
      </w:r>
      <w:r>
        <w:rPr>
          <w:rFonts w:eastAsiaTheme="majorEastAsia"/>
        </w:rPr>
        <w:t>, UK</w:t>
      </w:r>
      <w:r w:rsidRPr="00583AF6">
        <w:rPr>
          <w:rFonts w:eastAsiaTheme="majorEastAsia"/>
        </w:rPr>
        <w:t xml:space="preserve"> </w:t>
      </w:r>
    </w:p>
    <w:p w14:paraId="25C6C488" w14:textId="751A1F7C" w:rsidR="00583AF6" w:rsidRPr="00583AF6" w:rsidRDefault="00583AF6" w:rsidP="00583AF6">
      <w:pPr>
        <w:spacing w:line="360" w:lineRule="auto"/>
        <w:rPr>
          <w:rFonts w:eastAsiaTheme="majorEastAsia"/>
        </w:rPr>
      </w:pPr>
      <w:r w:rsidRPr="00583AF6">
        <w:rPr>
          <w:rFonts w:eastAsiaTheme="majorEastAsia"/>
          <w:b/>
        </w:rPr>
        <w:t>Bradley Saunders</w:t>
      </w:r>
      <w:r w:rsidRPr="00583AF6">
        <w:rPr>
          <w:rFonts w:eastAsiaTheme="majorEastAsia"/>
        </w:rPr>
        <w:t>,</w:t>
      </w:r>
      <w:r>
        <w:rPr>
          <w:rFonts w:eastAsiaTheme="majorEastAsia"/>
          <w:b/>
        </w:rPr>
        <w:t xml:space="preserve"> </w:t>
      </w:r>
      <w:r w:rsidRPr="00583AF6">
        <w:rPr>
          <w:rFonts w:eastAsiaTheme="majorEastAsia"/>
        </w:rPr>
        <w:t>Prince Mohammad bin Fahd University, Kingdom of Saudi Arabia</w:t>
      </w:r>
    </w:p>
    <w:p w14:paraId="54628EB3" w14:textId="16DAF806" w:rsidR="00583AF6" w:rsidRDefault="00583AF6" w:rsidP="00583AF6">
      <w:pPr>
        <w:spacing w:line="360" w:lineRule="auto"/>
      </w:pPr>
      <w:r w:rsidRPr="00583AF6">
        <w:rPr>
          <w:b/>
        </w:rPr>
        <w:t>Andrej Přívara</w:t>
      </w:r>
      <w:r w:rsidRPr="00583AF6">
        <w:t>, University of Economics in Bratislava</w:t>
      </w:r>
      <w:r>
        <w:t>, Slovakia</w:t>
      </w:r>
    </w:p>
    <w:p w14:paraId="267A8C70" w14:textId="77777777" w:rsidR="00583AF6" w:rsidRDefault="00583AF6" w:rsidP="00583AF6">
      <w:pPr>
        <w:spacing w:line="360" w:lineRule="auto"/>
        <w:rPr>
          <w:b/>
        </w:rPr>
      </w:pPr>
    </w:p>
    <w:p w14:paraId="6D72D675" w14:textId="77777777" w:rsidR="0034523C" w:rsidRPr="00427872" w:rsidRDefault="0034523C" w:rsidP="00583AF6">
      <w:pPr>
        <w:spacing w:line="360" w:lineRule="auto"/>
        <w:rPr>
          <w:b/>
        </w:rPr>
      </w:pPr>
      <w:r w:rsidRPr="00427872">
        <w:rPr>
          <w:b/>
        </w:rPr>
        <w:t>Abstract</w:t>
      </w:r>
    </w:p>
    <w:p w14:paraId="699A2C7B" w14:textId="55DC6973" w:rsidR="0034523C" w:rsidRPr="00427872" w:rsidRDefault="0034523C" w:rsidP="00583AF6">
      <w:pPr>
        <w:spacing w:line="360" w:lineRule="auto"/>
      </w:pPr>
      <w:r w:rsidRPr="00427872">
        <w:t xml:space="preserve">The number of migrants arriving in the UK from the EU accession countries has been higher than projected. The evidence indicates that they have been over-represented in low-paid and low-skilled jobs. </w:t>
      </w:r>
      <w:r w:rsidR="00665552">
        <w:t>T</w:t>
      </w:r>
      <w:r w:rsidRPr="00427872">
        <w:t xml:space="preserve">his </w:t>
      </w:r>
      <w:r w:rsidR="00665552">
        <w:t xml:space="preserve">is arguably </w:t>
      </w:r>
      <w:r w:rsidRPr="00427872">
        <w:t xml:space="preserve">transitory </w:t>
      </w:r>
      <w:r w:rsidR="00665552">
        <w:t xml:space="preserve">and </w:t>
      </w:r>
      <w:r w:rsidRPr="00427872">
        <w:t xml:space="preserve">there should be good prospects of upward mobility. </w:t>
      </w:r>
      <w:r w:rsidR="00665552">
        <w:t>O</w:t>
      </w:r>
      <w:r w:rsidR="00665552" w:rsidRPr="00427872">
        <w:t xml:space="preserve">ver-qualification </w:t>
      </w:r>
      <w:r w:rsidR="00665552">
        <w:t>among</w:t>
      </w:r>
      <w:r w:rsidR="00665552" w:rsidRPr="00427872">
        <w:t xml:space="preserve"> A8 migrants</w:t>
      </w:r>
      <w:r w:rsidRPr="00427872">
        <w:t xml:space="preserve">, measured using the </w:t>
      </w:r>
      <w:r w:rsidR="00665552">
        <w:t>APS data</w:t>
      </w:r>
      <w:r w:rsidRPr="00427872">
        <w:t xml:space="preserve">, </w:t>
      </w:r>
      <w:r w:rsidR="00665552">
        <w:t xml:space="preserve">is </w:t>
      </w:r>
      <w:r w:rsidRPr="00427872">
        <w:t xml:space="preserve">examined in this article. The findings show that A8 migrants have been subject to migration penalties at the high-end of the UK labour market. </w:t>
      </w:r>
      <w:r w:rsidR="00665552">
        <w:t xml:space="preserve">There are </w:t>
      </w:r>
      <w:r w:rsidRPr="00427872">
        <w:t xml:space="preserve">persistent labour </w:t>
      </w:r>
      <w:r w:rsidR="00665552">
        <w:t>market disadvantages</w:t>
      </w:r>
      <w:r w:rsidRPr="00427872">
        <w:t xml:space="preserve"> for A8 migrants in the UK and their over-qualification may be a long-term concern.</w:t>
      </w:r>
    </w:p>
    <w:p w14:paraId="5AA94CC3" w14:textId="561D80C6" w:rsidR="0034523C" w:rsidRPr="00427872" w:rsidRDefault="0034523C" w:rsidP="00583AF6">
      <w:pPr>
        <w:spacing w:line="360" w:lineRule="auto"/>
        <w:rPr>
          <w:rFonts w:eastAsiaTheme="majorEastAsia"/>
          <w:color w:val="262626" w:themeColor="text1" w:themeTint="D9"/>
        </w:rPr>
      </w:pPr>
      <w:r w:rsidRPr="00427872">
        <w:rPr>
          <w:b/>
          <w:color w:val="262626" w:themeColor="text1" w:themeTint="D9"/>
        </w:rPr>
        <w:t>Keywords</w:t>
      </w:r>
      <w:r w:rsidRPr="00427872">
        <w:rPr>
          <w:color w:val="262626" w:themeColor="text1" w:themeTint="D9"/>
        </w:rPr>
        <w:t>: A8 migrants</w:t>
      </w:r>
      <w:r w:rsidR="00583AF6">
        <w:rPr>
          <w:color w:val="262626" w:themeColor="text1" w:themeTint="D9"/>
        </w:rPr>
        <w:t>;</w:t>
      </w:r>
      <w:r w:rsidRPr="00427872">
        <w:rPr>
          <w:color w:val="262626" w:themeColor="text1" w:themeTint="D9"/>
        </w:rPr>
        <w:t xml:space="preserve"> over-qualification</w:t>
      </w:r>
      <w:r w:rsidR="00583AF6">
        <w:rPr>
          <w:color w:val="262626" w:themeColor="text1" w:themeTint="D9"/>
        </w:rPr>
        <w:t>;</w:t>
      </w:r>
      <w:r w:rsidRPr="00427872">
        <w:rPr>
          <w:color w:val="262626" w:themeColor="text1" w:themeTint="D9"/>
        </w:rPr>
        <w:t xml:space="preserve"> discrimination</w:t>
      </w:r>
      <w:r w:rsidR="00583AF6">
        <w:rPr>
          <w:color w:val="262626" w:themeColor="text1" w:themeTint="D9"/>
        </w:rPr>
        <w:t>;</w:t>
      </w:r>
      <w:r w:rsidRPr="00427872">
        <w:rPr>
          <w:color w:val="262626" w:themeColor="text1" w:themeTint="D9"/>
        </w:rPr>
        <w:t xml:space="preserve"> disadvantages</w:t>
      </w:r>
      <w:r w:rsidR="00583AF6">
        <w:rPr>
          <w:color w:val="262626" w:themeColor="text1" w:themeTint="D9"/>
        </w:rPr>
        <w:t>;</w:t>
      </w:r>
      <w:r w:rsidRPr="00427872">
        <w:rPr>
          <w:color w:val="262626" w:themeColor="text1" w:themeTint="D9"/>
        </w:rPr>
        <w:t xml:space="preserve"> immigrants.</w:t>
      </w:r>
    </w:p>
    <w:p w14:paraId="2BF2CC21" w14:textId="77777777" w:rsidR="0034523C" w:rsidRDefault="0034523C" w:rsidP="004357A5">
      <w:pPr>
        <w:spacing w:before="100" w:beforeAutospacing="1" w:after="100" w:afterAutospacing="1" w:line="480" w:lineRule="auto"/>
        <w:rPr>
          <w:b/>
        </w:rPr>
      </w:pPr>
    </w:p>
    <w:p w14:paraId="1FBC38D7" w14:textId="77777777" w:rsidR="00813179" w:rsidRDefault="00813179" w:rsidP="004357A5">
      <w:pPr>
        <w:spacing w:before="100" w:beforeAutospacing="1" w:after="100" w:afterAutospacing="1" w:line="480" w:lineRule="auto"/>
        <w:rPr>
          <w:b/>
        </w:rPr>
      </w:pPr>
    </w:p>
    <w:p w14:paraId="0F2CC35B" w14:textId="17F19AB6" w:rsidR="004357A5" w:rsidRPr="004357A5" w:rsidRDefault="004357A5" w:rsidP="004357A5">
      <w:pPr>
        <w:spacing w:line="360" w:lineRule="auto"/>
        <w:rPr>
          <w:rFonts w:eastAsiaTheme="majorEastAsia"/>
          <w:b/>
        </w:rPr>
      </w:pPr>
      <w:r w:rsidRPr="004357A5">
        <w:rPr>
          <w:rFonts w:eastAsiaTheme="majorEastAsia"/>
          <w:b/>
        </w:rPr>
        <w:t>Corresponding author</w:t>
      </w:r>
      <w:r>
        <w:rPr>
          <w:rFonts w:eastAsiaTheme="majorEastAsia"/>
          <w:b/>
        </w:rPr>
        <w:t>:</w:t>
      </w:r>
    </w:p>
    <w:p w14:paraId="434F35DA" w14:textId="77777777" w:rsidR="004357A5" w:rsidRDefault="004357A5" w:rsidP="004357A5">
      <w:pPr>
        <w:spacing w:line="360" w:lineRule="auto"/>
        <w:rPr>
          <w:rFonts w:eastAsiaTheme="majorEastAsia"/>
          <w:b/>
        </w:rPr>
      </w:pPr>
      <w:r>
        <w:rPr>
          <w:rFonts w:eastAsiaTheme="majorEastAsia"/>
          <w:b/>
        </w:rPr>
        <w:t>Ibrahim Sirkeci</w:t>
      </w:r>
      <w:r w:rsidRPr="00583AF6">
        <w:rPr>
          <w:rFonts w:eastAsiaTheme="majorEastAsia"/>
        </w:rPr>
        <w:t>,</w:t>
      </w:r>
      <w:r>
        <w:rPr>
          <w:rFonts w:eastAsiaTheme="majorEastAsia"/>
        </w:rPr>
        <w:t xml:space="preserve"> </w:t>
      </w:r>
      <w:r w:rsidRPr="00583AF6">
        <w:rPr>
          <w:rFonts w:eastAsiaTheme="majorEastAsia"/>
        </w:rPr>
        <w:t>R</w:t>
      </w:r>
      <w:r>
        <w:rPr>
          <w:rFonts w:eastAsiaTheme="majorEastAsia"/>
        </w:rPr>
        <w:t>egent’s Centre for Transnational Studies, Regent’s University London, Regent’s Park, Inner Circle, London, NW1 4NS, UK</w:t>
      </w:r>
      <w:r w:rsidRPr="00583AF6">
        <w:rPr>
          <w:rFonts w:eastAsiaTheme="majorEastAsia"/>
          <w:b/>
        </w:rPr>
        <w:t xml:space="preserve"> </w:t>
      </w:r>
    </w:p>
    <w:p w14:paraId="1C4E9EBF" w14:textId="1A5C5C4E" w:rsidR="004357A5" w:rsidRPr="004357A5" w:rsidRDefault="004357A5" w:rsidP="004357A5">
      <w:pPr>
        <w:spacing w:line="360" w:lineRule="auto"/>
        <w:rPr>
          <w:rFonts w:eastAsiaTheme="majorEastAsia"/>
        </w:rPr>
      </w:pPr>
      <w:r>
        <w:rPr>
          <w:rFonts w:eastAsiaTheme="majorEastAsia"/>
          <w:b/>
        </w:rPr>
        <w:t>E-mail</w:t>
      </w:r>
      <w:r w:rsidRPr="00583AF6">
        <w:rPr>
          <w:rFonts w:eastAsiaTheme="majorEastAsia"/>
        </w:rPr>
        <w:t>: sirkecii@regents.ac.uk</w:t>
      </w:r>
    </w:p>
    <w:p w14:paraId="1C8DC80F" w14:textId="466A7A8E" w:rsidR="0034523C" w:rsidRPr="00427872" w:rsidRDefault="00583AF6" w:rsidP="0034523C">
      <w:pPr>
        <w:spacing w:before="100" w:beforeAutospacing="1" w:after="100" w:afterAutospacing="1" w:line="480" w:lineRule="auto"/>
        <w:ind w:firstLine="720"/>
        <w:rPr>
          <w:b/>
        </w:rPr>
      </w:pPr>
      <w:r>
        <w:rPr>
          <w:b/>
        </w:rPr>
        <w:br w:type="column"/>
      </w:r>
      <w:r w:rsidR="0034523C" w:rsidRPr="00427872">
        <w:rPr>
          <w:b/>
        </w:rPr>
        <w:lastRenderedPageBreak/>
        <w:t>Introduction</w:t>
      </w:r>
    </w:p>
    <w:p w14:paraId="0640B887" w14:textId="77C32771" w:rsidR="0034523C" w:rsidRPr="00427872" w:rsidRDefault="0034523C" w:rsidP="0034523C">
      <w:pPr>
        <w:spacing w:before="100" w:beforeAutospacing="1" w:after="100" w:afterAutospacing="1" w:line="480" w:lineRule="auto"/>
        <w:ind w:firstLine="720"/>
        <w:rPr>
          <w:rFonts w:ascii="TimesNewRomanPSMT" w:eastAsiaTheme="minorHAnsi" w:hAnsi="TimesNewRomanPSMT" w:cs="TimesNewRomanPSMT"/>
          <w:sz w:val="20"/>
          <w:szCs w:val="20"/>
          <w:lang w:val="en-US" w:eastAsia="en-US"/>
        </w:rPr>
      </w:pPr>
      <w:r w:rsidRPr="00427872">
        <w:t>The EU enlargement in the 2000s had a profound effect on the labour market in the UK due to the arrival of migrants from the 2004 EU Accession countries in Eastern and Central Europe</w:t>
      </w:r>
      <w:r w:rsidRPr="00427872">
        <w:rPr>
          <w:color w:val="262626" w:themeColor="text1" w:themeTint="D9"/>
        </w:rPr>
        <w:t xml:space="preserve"> </w:t>
      </w:r>
      <w:r w:rsidRPr="00427872">
        <w:t>(hereafter, A8)</w:t>
      </w:r>
      <w:r w:rsidRPr="00427872">
        <w:rPr>
          <w:rStyle w:val="EndnoteReference"/>
        </w:rPr>
        <w:endnoteReference w:id="1"/>
      </w:r>
      <w:r w:rsidRPr="00427872">
        <w:t xml:space="preserve">. The numbers of those coming to the UK quickly surpassed the government forecasts. These migrants compete in the UK jobs market with the majority white British people, ethnic minorities in the UK and with citizens from the EU-15 (pre-2004 accession) countries. Whilst “most research on labour market participation and performance in the UK has focused on non-whites” (Johnston et al., 2014:196), significant ethnic differences have been demonstrated (Brynin and Guveli, 2012; </w:t>
      </w:r>
      <w:r w:rsidR="00583AF6">
        <w:t>Khattab et al., 2011</w:t>
      </w:r>
      <w:r w:rsidRPr="00427872">
        <w:t xml:space="preserve">; </w:t>
      </w:r>
      <w:r w:rsidR="00583AF6" w:rsidRPr="00583AF6">
        <w:t>Johnston et al., 2010</w:t>
      </w:r>
      <w:r w:rsidRPr="00427872">
        <w:t xml:space="preserve">). The emerging literature on Eastern European movers (e.g. Eade, 2007; Cook et al., 2011; Johnston et al., 2015) suggests that the labour market experiences of A8 migrants differ in many ways from those of other groups (non-white people and those from other EU countries). They are concentrated in the secondary labour market, face discrimination by employers and receive lower pay, while “West European migrants have access to primary sector and better rewards” (Johnston et al., 2015:196). Possible differences regarding the labour market outcomes in terms of over-qualification are investigated in this study against demographic characteristics. </w:t>
      </w:r>
    </w:p>
    <w:p w14:paraId="7BF3B4AF" w14:textId="2EF7F0A9" w:rsidR="0034523C" w:rsidRPr="00427872" w:rsidRDefault="0034523C" w:rsidP="0034523C">
      <w:pPr>
        <w:spacing w:before="100" w:beforeAutospacing="1" w:after="100" w:afterAutospacing="1" w:line="480" w:lineRule="auto"/>
        <w:ind w:firstLine="720"/>
      </w:pPr>
      <w:r w:rsidRPr="00427872">
        <w:t xml:space="preserve">It is clear that non-white people in the UK labour market face ethnic penalties. The A8 migrants are predominantly white Europeans and hence it would be anticipated that they were less likely to face discrimination than non-European and non-white migrants (Johnston et al., 2015; Eade, 2007). They also represent a dynamic and well-educated work force that has been welcomed by many employers, which suggests that they might overcome initial hurdles of integration in the labour market within a reasonably short time </w:t>
      </w:r>
      <w:r w:rsidRPr="00427872">
        <w:lastRenderedPageBreak/>
        <w:t xml:space="preserve">period (Chiswick and Miller, 2009). However, several studies point to the prevalence of over-qualification among these A8 migrants (Johnston et al. 2015; </w:t>
      </w:r>
      <w:r w:rsidR="00AD1C6F" w:rsidRPr="00AD1C6F">
        <w:t>Saunders, 2015</w:t>
      </w:r>
      <w:r w:rsidRPr="00427872">
        <w:t xml:space="preserve">; </w:t>
      </w:r>
      <w:r w:rsidR="00AD1C6F" w:rsidRPr="00AD1C6F">
        <w:t>Sirkeci et al., 2014</w:t>
      </w:r>
      <w:r w:rsidRPr="00427872">
        <w:t>), that has also been linked to ethnic penalties and discrimination in the UK labour market (</w:t>
      </w:r>
      <w:r w:rsidR="00AD1C6F" w:rsidRPr="00AD1C6F">
        <w:t>Khattab et al., 2011</w:t>
      </w:r>
      <w:r w:rsidRPr="00427872">
        <w:t xml:space="preserve">; </w:t>
      </w:r>
      <w:r w:rsidR="00AD1C6F">
        <w:t>Johnston et al., 2010</w:t>
      </w:r>
      <w:r w:rsidRPr="00427872">
        <w:t xml:space="preserve">; Khattab and Johnston, 2013; Heath and McMahon, 2005; Phung, 2011). </w:t>
      </w:r>
      <w:r w:rsidR="00C85E15">
        <w:t>Along with</w:t>
      </w:r>
      <w:r w:rsidRPr="00427872">
        <w:t xml:space="preserve"> the labour market outcomes (Drinkwater and Robinson, 2013, Cook et al., 2011;</w:t>
      </w:r>
      <w:r w:rsidRPr="00427872">
        <w:rPr>
          <w:shd w:val="clear" w:color="auto" w:fill="FFFFFF"/>
        </w:rPr>
        <w:t xml:space="preserve"> Clark and Drinkwater, 2008, Pollard et al., 2008), </w:t>
      </w:r>
      <w:r w:rsidR="00C85E15">
        <w:rPr>
          <w:shd w:val="clear" w:color="auto" w:fill="FFFFFF"/>
        </w:rPr>
        <w:t xml:space="preserve">also </w:t>
      </w:r>
      <w:r w:rsidRPr="00427872">
        <w:rPr>
          <w:shd w:val="clear" w:color="auto" w:fill="FFFFFF"/>
        </w:rPr>
        <w:t xml:space="preserve">the </w:t>
      </w:r>
      <w:r w:rsidRPr="00427872">
        <w:t>mismatch between educational and occupational attainment levels among ethnic groups</w:t>
      </w:r>
      <w:r w:rsidR="00C85E15">
        <w:t xml:space="preserve"> were investigated</w:t>
      </w:r>
      <w:r w:rsidRPr="00427872">
        <w:t xml:space="preserve"> (Brynin and Guveli, 2012; Rafferty, 2012; Lindley and Lenton, 2006; Phillimore and Goodson, 2008). Moreover, Johnston and colleagues (2015) compared the earnings of migrants from pre-2004 EU-15 member states with those from the new EU accession countries. However, very little attention has been paid to the persistence of over-qualification among A8 migrants working in the UK, which is the focus of the current article. </w:t>
      </w:r>
    </w:p>
    <w:p w14:paraId="4F678CC4" w14:textId="03C64ACE" w:rsidR="0034523C" w:rsidRPr="00427872" w:rsidRDefault="0034523C" w:rsidP="0034523C">
      <w:pPr>
        <w:spacing w:before="100" w:beforeAutospacing="1" w:after="100" w:afterAutospacing="1" w:line="480" w:lineRule="auto"/>
        <w:ind w:firstLine="720"/>
      </w:pPr>
      <w:r w:rsidRPr="00427872">
        <w:t>To what extent do A8 migrants encounter discrimination and disadvantages in the UK labour market, when compared to the majority group and the EU15 migrants as well as other minority ethnic groups in the UK? Using the Annual Population Survey (APS) data from 2005 to 2012, patterns of disadvantages experienced by A8 migrants in finding jobs commensurate with their qualifications in the UK labour market</w:t>
      </w:r>
      <w:r w:rsidR="00EE125A">
        <w:t xml:space="preserve"> were found</w:t>
      </w:r>
      <w:r w:rsidRPr="00427872">
        <w:t xml:space="preserve">. Continuation of over-qualification patterns among these migrants in the conditional accession period (2004 to 2011) and after, when their countries’ citizens gained full access to the EU labour markets, is investigated. This period was also marked by a global financial crisis and a recession from 2007 onwards in the UK. Earlier research has shown that the A8 migrants, as well as many other non-white people, were more likely to be over-qualified than the “UK-born white majority” (‘white British’ hereafter) (Rafferty, 2012:995). However, this disadvantage was faced only by A8 migrants and Black African men and women for all the </w:t>
      </w:r>
      <w:r w:rsidRPr="00427872">
        <w:lastRenderedPageBreak/>
        <w:t>years examined, pointing to the prevalence of over-qualification among these two groups. Persistent labour market penalties were faced by A8 migrants in the UK labour market, which were also evident at the high-end of the UK labour market, irrespective of the impact of the financial crisis and the removal of restrictions on free-movement in 2011. In this article, patterns of over-qualification among the A8 migrants in the UK between 2005 and 2012</w:t>
      </w:r>
      <w:r w:rsidR="003A03D9">
        <w:t xml:space="preserve"> are examined</w:t>
      </w:r>
      <w:r w:rsidRPr="00427872">
        <w:t xml:space="preserve">. First over-qualification </w:t>
      </w:r>
      <w:r w:rsidR="003A03D9">
        <w:t xml:space="preserve">is explained </w:t>
      </w:r>
      <w:r w:rsidRPr="00427872">
        <w:t>and the A8 migrants in the UK labour market</w:t>
      </w:r>
      <w:r w:rsidR="003A03D9">
        <w:t xml:space="preserve"> are discussed</w:t>
      </w:r>
      <w:r w:rsidRPr="00427872">
        <w:t xml:space="preserve">. </w:t>
      </w:r>
      <w:r w:rsidR="002745A2">
        <w:t xml:space="preserve">Description of </w:t>
      </w:r>
      <w:r w:rsidRPr="00427872">
        <w:t>data and methods</w:t>
      </w:r>
      <w:r w:rsidR="003A03D9">
        <w:t xml:space="preserve"> </w:t>
      </w:r>
      <w:r w:rsidR="002745A2">
        <w:t xml:space="preserve">is </w:t>
      </w:r>
      <w:r w:rsidRPr="00427872">
        <w:t xml:space="preserve">followed by presentation of the findings of a regression model, where over-qualification of A8 migrants is compared and contrasted with other population groups. Finally, results </w:t>
      </w:r>
      <w:r w:rsidR="003A03D9">
        <w:t>are discussed</w:t>
      </w:r>
      <w:r w:rsidRPr="00427872">
        <w:t>.</w:t>
      </w:r>
    </w:p>
    <w:p w14:paraId="52902A52" w14:textId="4F8956EB" w:rsidR="0034523C" w:rsidRPr="00427872" w:rsidRDefault="0034523C" w:rsidP="0034523C">
      <w:pPr>
        <w:autoSpaceDE w:val="0"/>
        <w:autoSpaceDN w:val="0"/>
        <w:adjustRightInd w:val="0"/>
        <w:spacing w:before="100" w:beforeAutospacing="1" w:after="100" w:afterAutospacing="1" w:line="480" w:lineRule="auto"/>
        <w:ind w:firstLine="720"/>
        <w:rPr>
          <w:b/>
        </w:rPr>
      </w:pPr>
      <w:r w:rsidRPr="00427872">
        <w:rPr>
          <w:b/>
        </w:rPr>
        <w:t xml:space="preserve">Over-qualification </w:t>
      </w:r>
    </w:p>
    <w:p w14:paraId="7FB473F0" w14:textId="58439D20" w:rsidR="0034523C" w:rsidRPr="00427872" w:rsidRDefault="0034523C" w:rsidP="0034523C">
      <w:pPr>
        <w:spacing w:before="100" w:beforeAutospacing="1" w:after="100" w:afterAutospacing="1" w:line="480" w:lineRule="auto"/>
        <w:ind w:firstLine="720"/>
        <w:rPr>
          <w:iCs/>
        </w:rPr>
      </w:pPr>
      <w:r w:rsidRPr="00427872">
        <w:rPr>
          <w:iCs/>
        </w:rPr>
        <w:t xml:space="preserve">Over-qualification or over-education “occurs when people hold qualifications in excess of those required for their job” (Rafferty, 2012:989) and it is interpreted as a disadvantage </w:t>
      </w:r>
      <w:r w:rsidRPr="00427872">
        <w:t>(Battu and Sloane, 2004; Nielsen, 2011; Alpin et al., 1998)</w:t>
      </w:r>
      <w:r w:rsidRPr="00427872">
        <w:rPr>
          <w:iCs/>
        </w:rPr>
        <w:t>. Over-qualification can lower the level of job satisfaction (Green and Zhu, 2010) as well as resulting in wage penalties (Mavromaras and McGuinness, 2012) and underutilisation of skills/talent (Johnston et al., 2015:197; Rafferty, 2012:989). There is an established body of literature explaining over-education (McGuiness, 2006; Becker, 1964; Sattinger, 1993; Thurow, 1975). However, debates of ethnic disadvantages and penalties in over-qualification are relatively new (Johnston et al., 2015;</w:t>
      </w:r>
      <w:r w:rsidR="00507AC9">
        <w:rPr>
          <w:iCs/>
        </w:rPr>
        <w:t xml:space="preserve"> </w:t>
      </w:r>
      <w:r w:rsidR="00AD1C6F" w:rsidRPr="00AD1C6F">
        <w:rPr>
          <w:iCs/>
        </w:rPr>
        <w:t>Johnston et al., 201</w:t>
      </w:r>
      <w:r w:rsidR="00AD1C6F">
        <w:rPr>
          <w:iCs/>
        </w:rPr>
        <w:t>0</w:t>
      </w:r>
      <w:r w:rsidR="00507AC9">
        <w:rPr>
          <w:iCs/>
        </w:rPr>
        <w:t>;</w:t>
      </w:r>
      <w:r w:rsidRPr="00427872">
        <w:rPr>
          <w:iCs/>
        </w:rPr>
        <w:t xml:space="preserve"> Rafferty, 2012). </w:t>
      </w:r>
    </w:p>
    <w:p w14:paraId="48D0AA75" w14:textId="77777777" w:rsidR="0034523C" w:rsidRPr="00427872" w:rsidRDefault="0034523C" w:rsidP="0034523C">
      <w:pPr>
        <w:spacing w:before="100" w:beforeAutospacing="1" w:after="100" w:afterAutospacing="1" w:line="480" w:lineRule="auto"/>
        <w:ind w:firstLine="720"/>
        <w:rPr>
          <w:iCs/>
        </w:rPr>
      </w:pPr>
      <w:r w:rsidRPr="00427872">
        <w:rPr>
          <w:iCs/>
        </w:rPr>
        <w:t xml:space="preserve">Human capital, or the “productive wealth embodied in labour, skills and knowledge” (OECD, 2001), is context specific. That is, migrants’ home country qualifications and work experience might often not be fully transferable to another country. Knowledge of how the host country labour market works, language skills, skills </w:t>
      </w:r>
      <w:r w:rsidRPr="00427872">
        <w:rPr>
          <w:iCs/>
        </w:rPr>
        <w:lastRenderedPageBreak/>
        <w:t xml:space="preserve">that are specific to particular occupations, differences in technology, legal or licensing barriers and cultural differences all hinder smooth transferability of human capital between countries (Chiswick and Miller, 2009; </w:t>
      </w:r>
      <w:r w:rsidRPr="00427872">
        <w:rPr>
          <w:color w:val="222222"/>
          <w:shd w:val="clear" w:color="auto" w:fill="FFFFFF"/>
        </w:rPr>
        <w:t xml:space="preserve">Kramer </w:t>
      </w:r>
      <w:r w:rsidRPr="00427872">
        <w:rPr>
          <w:i/>
          <w:color w:val="222222"/>
          <w:shd w:val="clear" w:color="auto" w:fill="FFFFFF"/>
        </w:rPr>
        <w:t>et al.,</w:t>
      </w:r>
      <w:r w:rsidRPr="00427872">
        <w:rPr>
          <w:color w:val="222222"/>
          <w:shd w:val="clear" w:color="auto" w:fill="FFFFFF"/>
        </w:rPr>
        <w:t xml:space="preserve"> 2013</w:t>
      </w:r>
      <w:r w:rsidRPr="00427872">
        <w:rPr>
          <w:iCs/>
        </w:rPr>
        <w:t xml:space="preserve">). </w:t>
      </w:r>
    </w:p>
    <w:p w14:paraId="0828367B" w14:textId="4600EA4E" w:rsidR="0034523C" w:rsidRPr="00427872" w:rsidRDefault="0034523C" w:rsidP="0034523C">
      <w:pPr>
        <w:spacing w:before="100" w:beforeAutospacing="1" w:after="100" w:afterAutospacing="1" w:line="480" w:lineRule="auto"/>
        <w:ind w:firstLine="720"/>
        <w:rPr>
          <w:iCs/>
          <w:color w:val="262626" w:themeColor="text1" w:themeTint="D9"/>
        </w:rPr>
      </w:pPr>
      <w:r w:rsidRPr="00427872">
        <w:rPr>
          <w:iCs/>
          <w:color w:val="262626" w:themeColor="text1" w:themeTint="D9"/>
        </w:rPr>
        <w:t>Human capital theory also suggests that labour migration is directed towards countries in which the work experience that is gained is most valued in the home country (Tassinopoulos and Werner, 1999). Migrants’ acceptance of a job below their levels of education might be looked upon as a temporary solution to enable them to gain experience, learn English language skills and save up financial capital to invest in properties or a business upon their return to the home country. O</w:t>
      </w:r>
      <w:r w:rsidRPr="00427872">
        <w:rPr>
          <w:iCs/>
        </w:rPr>
        <w:t>ver-qualification is argued to be a transitory phenomenon that dissipates once migrants improve their ability in the host language, gain local experience and become familiar with local opportunities and regulations (Chiswick and Miller, 200</w:t>
      </w:r>
      <w:r w:rsidR="00A16483">
        <w:rPr>
          <w:iCs/>
        </w:rPr>
        <w:t>9</w:t>
      </w:r>
      <w:r w:rsidRPr="00427872">
        <w:rPr>
          <w:iCs/>
        </w:rPr>
        <w:t xml:space="preserve">; </w:t>
      </w:r>
      <w:r w:rsidRPr="00427872">
        <w:t>Sanroma et al., 2008; Clarke and Drinkwater, 2008</w:t>
      </w:r>
      <w:r w:rsidRPr="00427872">
        <w:rPr>
          <w:iCs/>
        </w:rPr>
        <w:t xml:space="preserve">). It </w:t>
      </w:r>
      <w:r w:rsidRPr="00427872">
        <w:t xml:space="preserve">is expected to fall as workers improve their positions within a firm or move into higher skilled occupations (McGuinness, 2006) and thus, can be perceived as a temporary trade-off until relevant experience is acquired (Frei and Sousa-Poza, 2012). However, this is contested by </w:t>
      </w:r>
      <w:r w:rsidRPr="00427872">
        <w:rPr>
          <w:iCs/>
        </w:rPr>
        <w:t xml:space="preserve">Dalton and Siles (2003), who argue that being overeducated in first employment (after graduation) tends to constrain graduates permanently to low-level occupations. </w:t>
      </w:r>
      <w:r w:rsidRPr="00427872">
        <w:rPr>
          <w:iCs/>
          <w:color w:val="262626" w:themeColor="text1" w:themeTint="D9"/>
        </w:rPr>
        <w:t>Consequently, there is pressure on migrants to find paid employment quickly, as the difficulty of and delay in having their qualifications recognised and the vicious circle of needing local experience in order to gain employment, could make overeducation a long-term, rather than transitory experience, for highly-skilled migrants (</w:t>
      </w:r>
      <w:r w:rsidR="00AD1C6F">
        <w:rPr>
          <w:iCs/>
          <w:color w:val="262626" w:themeColor="text1" w:themeTint="D9"/>
        </w:rPr>
        <w:t>Saunders, 2015</w:t>
      </w:r>
      <w:r w:rsidRPr="00427872">
        <w:rPr>
          <w:iCs/>
          <w:color w:val="262626" w:themeColor="text1" w:themeTint="D9"/>
        </w:rPr>
        <w:t xml:space="preserve">). </w:t>
      </w:r>
    </w:p>
    <w:p w14:paraId="09BEB659" w14:textId="77777777" w:rsidR="0034523C" w:rsidRPr="00427872" w:rsidRDefault="0034523C" w:rsidP="0034523C">
      <w:pPr>
        <w:pStyle w:val="Heading2"/>
        <w:spacing w:before="100" w:beforeAutospacing="1" w:after="100" w:afterAutospacing="1" w:line="480" w:lineRule="auto"/>
        <w:ind w:firstLine="720"/>
        <w:rPr>
          <w:rFonts w:ascii="Times New Roman" w:hAnsi="Times New Roman"/>
          <w:color w:val="262626" w:themeColor="text1" w:themeTint="D9"/>
          <w:sz w:val="24"/>
          <w:szCs w:val="24"/>
        </w:rPr>
      </w:pPr>
      <w:r w:rsidRPr="00427872">
        <w:rPr>
          <w:rFonts w:ascii="Times New Roman" w:hAnsi="Times New Roman"/>
          <w:color w:val="262626" w:themeColor="text1" w:themeTint="D9"/>
          <w:sz w:val="24"/>
          <w:szCs w:val="24"/>
        </w:rPr>
        <w:lastRenderedPageBreak/>
        <w:t>A8 migrants in the UK labour market</w:t>
      </w:r>
    </w:p>
    <w:p w14:paraId="74662781" w14:textId="4D9941E1" w:rsidR="0034523C" w:rsidRPr="00427872" w:rsidRDefault="0034523C" w:rsidP="0034523C">
      <w:pPr>
        <w:spacing w:before="100" w:beforeAutospacing="1" w:after="100" w:afterAutospacing="1" w:line="480" w:lineRule="auto"/>
        <w:ind w:firstLine="720"/>
      </w:pPr>
      <w:r w:rsidRPr="00427872">
        <w:rPr>
          <w:color w:val="262626" w:themeColor="text1" w:themeTint="D9"/>
        </w:rPr>
        <w:t xml:space="preserve">Unlike their fellow Western European EU citizens, A8 migrants “appear to be penalised in the UK labour market relative to their human capital” (Johnston et al., 2015:200). </w:t>
      </w:r>
      <w:r w:rsidRPr="00427872">
        <w:t xml:space="preserve">Moreover, over-qualification points to disadvantages and discrimination in the labour market, aggravating the inequalities between migrants and the white UK born category (Khattab and Johnston, 2013; </w:t>
      </w:r>
      <w:r w:rsidR="00AD1C6F">
        <w:t xml:space="preserve">Khattab </w:t>
      </w:r>
      <w:r w:rsidR="00AD1C6F" w:rsidRPr="00AD1C6F">
        <w:t>et al., 201</w:t>
      </w:r>
      <w:r w:rsidR="00AD1C6F">
        <w:t>1</w:t>
      </w:r>
      <w:r w:rsidRPr="00427872">
        <w:t xml:space="preserve">; Battu and Sloane, 2004). </w:t>
      </w:r>
      <w:r w:rsidRPr="00427872">
        <w:rPr>
          <w:color w:val="262626" w:themeColor="text1" w:themeTint="D9"/>
        </w:rPr>
        <w:t>About 15 percent of all those born overseas in England and Wales were from the A8 countries, according to the 2011 UK Census.</w:t>
      </w:r>
      <w:r w:rsidRPr="00427872">
        <w:rPr>
          <w:color w:val="262626" w:themeColor="text1" w:themeTint="D9"/>
          <w:lang w:eastAsia="en-GB"/>
        </w:rPr>
        <w:t xml:space="preserve"> Polish migrants were the largest group, comprising 579,121 out of a total of </w:t>
      </w:r>
      <w:r w:rsidRPr="00427872">
        <w:rPr>
          <w:color w:val="262626" w:themeColor="text1" w:themeTint="D9"/>
        </w:rPr>
        <w:t xml:space="preserve">1,114,368, as compared to the 2001 census, where their numbers were just </w:t>
      </w:r>
      <w:r w:rsidRPr="00427872">
        <w:rPr>
          <w:color w:val="262626" w:themeColor="text1" w:themeTint="D9"/>
          <w:lang w:eastAsia="en-GB"/>
        </w:rPr>
        <w:t xml:space="preserve">58,106. The majority, 84%, of A8 immigrants are </w:t>
      </w:r>
      <w:r w:rsidRPr="00427872">
        <w:rPr>
          <w:color w:val="262626" w:themeColor="text1" w:themeTint="D9"/>
        </w:rPr>
        <w:t xml:space="preserve">of working age with a relatively young age profile. They are concentrated mainly in the </w:t>
      </w:r>
      <w:r w:rsidRPr="00427872">
        <w:rPr>
          <w:color w:val="262626" w:themeColor="text1" w:themeTint="D9"/>
          <w:lang w:eastAsia="en-GB"/>
        </w:rPr>
        <w:t>South East and London</w:t>
      </w:r>
      <w:r w:rsidRPr="00427872">
        <w:rPr>
          <w:color w:val="262626" w:themeColor="text1" w:themeTint="D9"/>
        </w:rPr>
        <w:t xml:space="preserve"> (650,000; 58%)</w:t>
      </w:r>
      <w:r w:rsidRPr="00427872">
        <w:rPr>
          <w:color w:val="262626" w:themeColor="text1" w:themeTint="D9"/>
          <w:lang w:eastAsia="en-GB"/>
        </w:rPr>
        <w:t xml:space="preserve">, whereas the remainder are dispersed around other regions of England, with the smallest proportion living in the North West (1.5%), Wales (2.6%) and </w:t>
      </w:r>
      <w:r w:rsidRPr="00427872">
        <w:rPr>
          <w:color w:val="262626" w:themeColor="text1" w:themeTint="D9"/>
        </w:rPr>
        <w:t>Scotland (</w:t>
      </w:r>
      <w:r w:rsidRPr="00427872">
        <w:rPr>
          <w:color w:val="262626" w:themeColor="text1" w:themeTint="D9"/>
          <w:lang w:eastAsia="en-GB"/>
        </w:rPr>
        <w:t>1.5%)</w:t>
      </w:r>
      <w:r w:rsidRPr="00427872">
        <w:rPr>
          <w:rStyle w:val="cell-data"/>
          <w:color w:val="262626" w:themeColor="text1" w:themeTint="D9"/>
        </w:rPr>
        <w:t>.</w:t>
      </w:r>
      <w:r w:rsidRPr="00427872">
        <w:rPr>
          <w:rStyle w:val="EndnoteReference"/>
          <w:color w:val="262626" w:themeColor="text1" w:themeTint="D9"/>
        </w:rPr>
        <w:endnoteReference w:id="2"/>
      </w:r>
    </w:p>
    <w:p w14:paraId="0E068264"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 xml:space="preserve">Compared to others who require a visa and work permit to enter the UK, A8 migrants have benefited from the conditional accession to the EU. Between 2004 and 2011, they could enter the UK without a visa, but they had to register with the Workers Registration Scheme (WRS) within a month of taking up employment and re-register if they changed employer. Their right to claim any social security assistance was only granted upon continuous employment for 12 months in the UK (Home Office, 2016). Whilst this lowered the barriers of travelling to and entering, the labour market in the UK, it also meant that they had to take up the jobs that were most readily available. Not surprisingly, the employment rate of A8 migrants in the UK has been one of the highest compared to white British and other ethnic groups, as their right to remain in the UK has </w:t>
      </w:r>
      <w:r w:rsidRPr="00427872">
        <w:rPr>
          <w:color w:val="262626" w:themeColor="text1" w:themeTint="D9"/>
        </w:rPr>
        <w:lastRenderedPageBreak/>
        <w:t xml:space="preserve">been dependent on their ability to find work (Blanchflower and Shadforth, 2009; Clark and Drinkwater, 2008). It has also had an effect on the type of jobs and the sectors in which A8 migrants work. According to the APS data, between 2005 and 2012, the majority of A8 migrants were employed in manufacturing (about 30%) along with distribution, hotels and restaurants (about 25%). </w:t>
      </w:r>
    </w:p>
    <w:p w14:paraId="2AC4F9FD"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t xml:space="preserve">Hence, it is not surprising that, according to a Home Office (2007) report, the occupations most frequently entered into by A8 migrants in the UK between July 2004 and June 2007 were: process operative (other factory worker), packer, kitchen and catering assistants, warehouse operative, cleaner, domestic staff, farm worker/ farm hand, waiter/waitress, maid / room attendant (hotel), care assistants and home carers, and labourer in construction. </w:t>
      </w:r>
      <w:r w:rsidRPr="00427872">
        <w:rPr>
          <w:color w:val="262626" w:themeColor="text1" w:themeTint="D9"/>
        </w:rPr>
        <w:t>Most of these jobs are of a temporary nature, and tend to offer weaker social security cover, low wages, and limited career prospects (Booth et al., 2002:17). Many A8 migrants settled down in areas where there was a labour shortage, which could not be filled locally. Such areas had traditionally attracted fewer immigrants (Pollard et al., 2008) and the jobs available there were typically in the agricultural and food-processing sectors in which work tends to be seasonal (Findlay et al., 2013).</w:t>
      </w:r>
    </w:p>
    <w:p w14:paraId="61B73992"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 xml:space="preserve">Despite relatively easy access to the UK labour market, research suggests that A8 migrants face barriers in improving their human capital. French (2012) found that local employers in East Staffordshire and Derby were reluctant to train A8 migrants. Moreover, the opportunity for these migrants to pursue further qualifications independently was hampered by the demands of full-time employment and family commitments, combined with a lack of information about training and education. One key constraint on A8 migrants is their relatively low English proficiency (Clark and Drinkwater, 2008). However, ESOL (English for Speakers of Other Languages) classes are often run at times </w:t>
      </w:r>
      <w:r w:rsidRPr="00427872">
        <w:rPr>
          <w:color w:val="262626" w:themeColor="text1" w:themeTint="D9"/>
        </w:rPr>
        <w:lastRenderedPageBreak/>
        <w:t xml:space="preserve">and locations that are difficult for migrant workers to fit in around their working hours (Cook et al., 2011). Qualitative research on A8 migrants has shown that those who have better English skills are likely to negotiate better employment conditions and move into higher skilled jobs (Cook et al., 2011; Eade, 2007). </w:t>
      </w:r>
    </w:p>
    <w:p w14:paraId="4D288E00" w14:textId="77777777" w:rsidR="0034523C" w:rsidRPr="00427872" w:rsidRDefault="0034523C" w:rsidP="0034523C">
      <w:pPr>
        <w:pStyle w:val="Heading2"/>
        <w:spacing w:before="100" w:beforeAutospacing="1" w:after="100" w:afterAutospacing="1" w:line="480" w:lineRule="auto"/>
        <w:ind w:firstLine="720"/>
        <w:rPr>
          <w:rFonts w:ascii="Times New Roman" w:hAnsi="Times New Roman"/>
          <w:b w:val="0"/>
          <w:bCs w:val="0"/>
          <w:color w:val="262626" w:themeColor="text1" w:themeTint="D9"/>
          <w:sz w:val="24"/>
          <w:szCs w:val="24"/>
        </w:rPr>
      </w:pPr>
      <w:r w:rsidRPr="00427872">
        <w:rPr>
          <w:rFonts w:ascii="Times New Roman" w:hAnsi="Times New Roman"/>
          <w:color w:val="262626" w:themeColor="text1" w:themeTint="D9"/>
          <w:sz w:val="24"/>
          <w:szCs w:val="24"/>
        </w:rPr>
        <w:t>Data and Methods</w:t>
      </w:r>
    </w:p>
    <w:p w14:paraId="27DC686C"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 xml:space="preserve">As aforementioned, our analyses are based on the Annual Population Survey (APS) data for the years 2005 to 2012 (ONS, 2013). The APS combines data from the Labour Force Survey (LFS) and national boosts of the English </w:t>
      </w:r>
      <w:r w:rsidRPr="00427872">
        <w:rPr>
          <w:i/>
          <w:iCs/>
          <w:color w:val="262626" w:themeColor="text1" w:themeTint="D9"/>
        </w:rPr>
        <w:t>Local Labour Force Survey</w:t>
      </w:r>
      <w:r w:rsidRPr="00427872">
        <w:rPr>
          <w:color w:val="262626" w:themeColor="text1" w:themeTint="D9"/>
        </w:rPr>
        <w:t xml:space="preserve"> (LLFS), </w:t>
      </w:r>
      <w:r w:rsidRPr="00427872">
        <w:rPr>
          <w:i/>
          <w:color w:val="262626" w:themeColor="text1" w:themeTint="D9"/>
        </w:rPr>
        <w:t>The</w:t>
      </w:r>
      <w:r w:rsidRPr="00427872">
        <w:rPr>
          <w:color w:val="262626" w:themeColor="text1" w:themeTint="D9"/>
        </w:rPr>
        <w:t xml:space="preserve"> </w:t>
      </w:r>
      <w:r w:rsidRPr="00427872">
        <w:rPr>
          <w:i/>
          <w:iCs/>
          <w:color w:val="262626" w:themeColor="text1" w:themeTint="D9"/>
        </w:rPr>
        <w:t>Welsh Labour Force Survey</w:t>
      </w:r>
      <w:r w:rsidRPr="00427872">
        <w:rPr>
          <w:color w:val="262626" w:themeColor="text1" w:themeTint="D9"/>
        </w:rPr>
        <w:t xml:space="preserve"> (WLFS), and the </w:t>
      </w:r>
      <w:r w:rsidRPr="00427872">
        <w:rPr>
          <w:i/>
          <w:iCs/>
          <w:color w:val="262626" w:themeColor="text1" w:themeTint="D9"/>
        </w:rPr>
        <w:t>Scottish Labour Force Survey</w:t>
      </w:r>
      <w:r w:rsidRPr="00427872">
        <w:rPr>
          <w:color w:val="262626" w:themeColor="text1" w:themeTint="D9"/>
        </w:rPr>
        <w:t xml:space="preserve"> (SLFS). It is an annual cross-sectional sample survey of households and individuals living at private addresses in the UK. It contains 12 months of data and covers the same topics as the LFS, including education, employment, health and ethnicity. Due to the national boost, the sample size of the APS is much larger than that of the quarterly LFS, thereby enabling us to have more confidence in analysing smaller sub-groups of the population. As the article is focused on labour market performance, the analyses are restricted to the working age population (men aged 16 to 64 and women aged 16 to 59), who are in employment (excluding the self-employed). This provided sample sizes for each year between about 78,000 (2011) and 179,000 (2008).</w:t>
      </w:r>
      <w:r w:rsidRPr="00427872">
        <w:rPr>
          <w:rStyle w:val="EndnoteReference"/>
          <w:color w:val="262626" w:themeColor="text1" w:themeTint="D9"/>
        </w:rPr>
        <w:endnoteReference w:id="3"/>
      </w:r>
      <w:r w:rsidRPr="00427872">
        <w:rPr>
          <w:color w:val="262626" w:themeColor="text1" w:themeTint="D9"/>
        </w:rPr>
        <w:t xml:space="preserve">  </w:t>
      </w:r>
    </w:p>
    <w:p w14:paraId="4D9EC994" w14:textId="4348EDFF" w:rsidR="0034523C" w:rsidRPr="00427872" w:rsidRDefault="0034523C" w:rsidP="0034523C">
      <w:pPr>
        <w:spacing w:before="100" w:beforeAutospacing="1" w:after="100" w:afterAutospacing="1" w:line="480" w:lineRule="auto"/>
        <w:ind w:firstLine="720"/>
      </w:pPr>
      <w:r w:rsidRPr="00427872">
        <w:rPr>
          <w:color w:val="262626" w:themeColor="text1" w:themeTint="D9"/>
        </w:rPr>
        <w:t>Over-qualification (measured by Qualification Level Distance: QLD), defined as “educational-occupational mismatch” (Johnston et al., 2015:202), is derived by extracting the respondent’s highest educational qualification (International Labour Organisation’s two-digit standard classification of occupations) from the modal qualification level for all individuals in that occupation within the APS data. Using the Office of National Statistics’ classification (2013b), the qualification level (</w:t>
      </w:r>
      <w:r w:rsidRPr="00427872">
        <w:t xml:space="preserve">LQ), </w:t>
      </w:r>
      <w:r w:rsidRPr="00427872">
        <w:rPr>
          <w:color w:val="262626" w:themeColor="text1" w:themeTint="D9"/>
        </w:rPr>
        <w:t xml:space="preserve">according to the highest qualification </w:t>
      </w:r>
      <w:r w:rsidRPr="00427872">
        <w:rPr>
          <w:color w:val="262626" w:themeColor="text1" w:themeTint="D9"/>
        </w:rPr>
        <w:lastRenderedPageBreak/>
        <w:t>acquired through formal education, and the corresponding required qualification for the occupation (</w:t>
      </w:r>
      <w:r w:rsidRPr="00427872">
        <w:t xml:space="preserve">QO), as </w:t>
      </w:r>
      <w:r w:rsidRPr="00427872">
        <w:rPr>
          <w:color w:val="262626" w:themeColor="text1" w:themeTint="D9"/>
        </w:rPr>
        <w:t xml:space="preserve">provided by ISCED-97 (UNESCO, 2006), are measured. To measure over-qualification, an equation used in similar studies (Johnston et al., 2015; </w:t>
      </w:r>
      <w:r w:rsidR="00AD1C6F">
        <w:rPr>
          <w:color w:val="262626" w:themeColor="text1" w:themeTint="D9"/>
        </w:rPr>
        <w:t xml:space="preserve">Khattab </w:t>
      </w:r>
      <w:r w:rsidR="00AD1C6F" w:rsidRPr="00AD1C6F">
        <w:rPr>
          <w:color w:val="262626" w:themeColor="text1" w:themeTint="D9"/>
        </w:rPr>
        <w:t>et al., 201</w:t>
      </w:r>
      <w:r w:rsidR="00AD1C6F">
        <w:rPr>
          <w:color w:val="262626" w:themeColor="text1" w:themeTint="D9"/>
        </w:rPr>
        <w:t>1</w:t>
      </w:r>
      <w:r w:rsidRPr="00427872">
        <w:rPr>
          <w:color w:val="262626" w:themeColor="text1" w:themeTint="D9"/>
        </w:rPr>
        <w:t xml:space="preserve">; </w:t>
      </w:r>
      <w:r w:rsidR="00AD1C6F">
        <w:rPr>
          <w:color w:val="262626" w:themeColor="text1" w:themeTint="D9"/>
        </w:rPr>
        <w:t>Johnston et al., 2010</w:t>
      </w:r>
      <w:r w:rsidRPr="00427872">
        <w:rPr>
          <w:color w:val="262626" w:themeColor="text1" w:themeTint="D9"/>
        </w:rPr>
        <w:t xml:space="preserve">; Chevalier, 2003) is adopted here: </w:t>
      </w:r>
      <w:r w:rsidRPr="00427872">
        <w:t>To obtain a qualification level distance score (QLD</w:t>
      </w:r>
      <w:r w:rsidRPr="00427872">
        <w:rPr>
          <w:i/>
          <w:vertAlign w:val="subscript"/>
        </w:rPr>
        <w:t>i</w:t>
      </w:r>
      <w:r w:rsidRPr="00427872">
        <w:t xml:space="preserve">) for each individual </w:t>
      </w:r>
      <w:r w:rsidRPr="00427872">
        <w:rPr>
          <w:i/>
        </w:rPr>
        <w:t>i,</w:t>
      </w:r>
      <w:r w:rsidRPr="00427872">
        <w:t xml:space="preserve"> the individual’s qualification score (LQ</w:t>
      </w:r>
      <w:r w:rsidRPr="00427872">
        <w:rPr>
          <w:i/>
          <w:vertAlign w:val="subscript"/>
        </w:rPr>
        <w:t>i</w:t>
      </w:r>
      <w:r w:rsidRPr="00427872">
        <w:t>) is subtracted from their occupational qualification level (QO</w:t>
      </w:r>
      <w:r w:rsidRPr="00427872">
        <w:rPr>
          <w:i/>
          <w:vertAlign w:val="subscript"/>
        </w:rPr>
        <w:t>i</w:t>
      </w:r>
      <w:r w:rsidRPr="00427872">
        <w:t xml:space="preserve">): </w:t>
      </w:r>
    </w:p>
    <w:p w14:paraId="5FA82481" w14:textId="77777777" w:rsidR="0034523C" w:rsidRPr="00427872" w:rsidRDefault="0034523C" w:rsidP="0034523C">
      <w:pPr>
        <w:spacing w:before="100" w:beforeAutospacing="1" w:after="100" w:afterAutospacing="1" w:line="480" w:lineRule="auto"/>
        <w:ind w:firstLine="720"/>
      </w:pPr>
      <w:r w:rsidRPr="00427872">
        <w:t>Qualification Level Distance (QLD</w:t>
      </w:r>
      <w:r w:rsidRPr="00427872">
        <w:rPr>
          <w:i/>
          <w:vertAlign w:val="subscript"/>
        </w:rPr>
        <w:t>i</w:t>
      </w:r>
      <w:r w:rsidRPr="00427872">
        <w:t>) = QO</w:t>
      </w:r>
      <w:r w:rsidRPr="00427872">
        <w:rPr>
          <w:i/>
          <w:vertAlign w:val="subscript"/>
        </w:rPr>
        <w:t>i</w:t>
      </w:r>
      <w:r w:rsidRPr="00427872">
        <w:t xml:space="preserve"> - LQ</w:t>
      </w:r>
      <w:r w:rsidRPr="00427872">
        <w:rPr>
          <w:i/>
          <w:vertAlign w:val="subscript"/>
        </w:rPr>
        <w:t>i</w:t>
      </w:r>
    </w:p>
    <w:p w14:paraId="508D5EBA" w14:textId="77777777" w:rsidR="0034523C" w:rsidRPr="00427872" w:rsidRDefault="0034523C" w:rsidP="0034523C">
      <w:pPr>
        <w:spacing w:before="100" w:beforeAutospacing="1" w:after="100" w:afterAutospacing="1" w:line="480" w:lineRule="auto"/>
        <w:ind w:firstLine="720"/>
        <w:rPr>
          <w:color w:val="000000"/>
          <w:lang w:eastAsia="en-GB"/>
        </w:rPr>
      </w:pPr>
      <w:r w:rsidRPr="00427872">
        <w:rPr>
          <w:color w:val="262626" w:themeColor="text1" w:themeTint="D9"/>
        </w:rPr>
        <w:t xml:space="preserve">A seven-point scale ranging from +3 (highly over-qualified) to -3 (highly under-qualified) is generated. Analyses here are restricted to the higher-end of the scale to focus on disadvantages among individuals with high-level qualifications (GCE A Level or equivalent, or Higher Education degree or equivalent), who are in occupations with modal qualification level 1 (i.e. elementary occupations) or level 2 (administrative and secretarial occupations, skilled trades occupations, personal service occupations, sales and customer service occupation, and process, plant and machine operatives). </w:t>
      </w:r>
      <w:r w:rsidRPr="00427872">
        <w:t xml:space="preserve">A person who is over-qualified will be working in an occupation that is below his/her obtained level of education, such as those with higher degrees working in elementary occupations. Occupational skill and formal qualification levels are considered a match when a person works in a job where the two are commensurate. Under-qualification occurs when a person is employed in an occupation for which he/she does not have the required formal educational qualification. It should also be noted that this measure is an approximation and that there are also jobs that may require a particular qualification, while other similar jobs do not. Finally, </w:t>
      </w:r>
      <w:r w:rsidRPr="00427872">
        <w:rPr>
          <w:color w:val="000000"/>
          <w:lang w:eastAsia="en-GB"/>
        </w:rPr>
        <w:t xml:space="preserve">the qualification level differences are transformed into a dichotomous variable using logit analysis to estimate the likelihood of being over-qualified (or </w:t>
      </w:r>
      <w:r w:rsidRPr="00427872">
        <w:rPr>
          <w:color w:val="000000"/>
          <w:lang w:eastAsia="en-GB"/>
        </w:rPr>
        <w:lastRenderedPageBreak/>
        <w:t xml:space="preserve">“substantially over-qualified”, as labelled by Johnston et al., 2015) compared to having the correct match or being under-qualified. </w:t>
      </w:r>
    </w:p>
    <w:p w14:paraId="5A77D4B1" w14:textId="3F814E69"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 xml:space="preserve">To compare and contrast the A8 migrants with other population groups, ethnicity and nationality variables in the APS </w:t>
      </w:r>
      <w:r w:rsidR="00EE125A">
        <w:rPr>
          <w:color w:val="262626" w:themeColor="text1" w:themeTint="D9"/>
        </w:rPr>
        <w:t xml:space="preserve">were used </w:t>
      </w:r>
      <w:r w:rsidRPr="00427872">
        <w:rPr>
          <w:color w:val="262626" w:themeColor="text1" w:themeTint="D9"/>
        </w:rPr>
        <w:t xml:space="preserve">to identify </w:t>
      </w:r>
      <w:r w:rsidR="003A03D9">
        <w:rPr>
          <w:color w:val="262626" w:themeColor="text1" w:themeTint="D9"/>
        </w:rPr>
        <w:t xml:space="preserve">groups in </w:t>
      </w:r>
      <w:r w:rsidRPr="00427872">
        <w:rPr>
          <w:color w:val="262626" w:themeColor="text1" w:themeTint="D9"/>
        </w:rPr>
        <w:t>this study. A8 migrants and EU15 migrants have identified themselves predominantly as belonging to the white ethnic group. Using the variable nationality and ethnicity, two additional ethnic categories were created for the purpose of this analysis: white EU group, which includes EU migrants from the 15 old EU countries (excluding UK nationals); and A8 migrants identifying themselves as white.</w:t>
      </w:r>
      <w:r w:rsidRPr="00427872">
        <w:rPr>
          <w:rStyle w:val="EndnoteReference"/>
          <w:color w:val="262626" w:themeColor="text1" w:themeTint="D9"/>
        </w:rPr>
        <w:endnoteReference w:id="4"/>
      </w:r>
      <w:r w:rsidRPr="00427872">
        <w:rPr>
          <w:color w:val="262626" w:themeColor="text1" w:themeTint="D9"/>
        </w:rPr>
        <w:t xml:space="preserve">  </w:t>
      </w:r>
    </w:p>
    <w:p w14:paraId="4227834F" w14:textId="4951B4EF" w:rsidR="0034523C" w:rsidRPr="00427872" w:rsidRDefault="00EE125A" w:rsidP="0034523C">
      <w:pPr>
        <w:spacing w:before="100" w:beforeAutospacing="1" w:after="100" w:afterAutospacing="1" w:line="480" w:lineRule="auto"/>
        <w:ind w:firstLine="720"/>
        <w:rPr>
          <w:color w:val="262626" w:themeColor="text1" w:themeTint="D9"/>
        </w:rPr>
      </w:pPr>
      <w:r>
        <w:rPr>
          <w:color w:val="262626" w:themeColor="text1" w:themeTint="D9"/>
        </w:rPr>
        <w:t>Control variables in the models included</w:t>
      </w:r>
      <w:r w:rsidR="0034523C" w:rsidRPr="00427872">
        <w:rPr>
          <w:rStyle w:val="EndnoteReference"/>
          <w:color w:val="262626" w:themeColor="text1" w:themeTint="D9"/>
        </w:rPr>
        <w:endnoteReference w:id="5"/>
      </w:r>
      <w:r w:rsidR="0034523C" w:rsidRPr="00427872">
        <w:rPr>
          <w:color w:val="262626" w:themeColor="text1" w:themeTint="D9"/>
        </w:rPr>
        <w:t xml:space="preserve"> age group, marital status, sex, having dependent children, religion, age that full time education was completed, industry sector, UK citizenship, year of arrival in the UK, </w:t>
      </w:r>
      <w:r w:rsidR="0034523C" w:rsidRPr="00427872">
        <w:rPr>
          <w:iCs/>
          <w:color w:val="262626" w:themeColor="text1" w:themeTint="D9"/>
        </w:rPr>
        <w:t>public or private sector employment, part time or full time employment, temporary or permanent employment, duration with the current employer and region</w:t>
      </w:r>
      <w:r w:rsidR="0034523C" w:rsidRPr="00427872">
        <w:rPr>
          <w:color w:val="262626" w:themeColor="text1" w:themeTint="D9"/>
        </w:rPr>
        <w:t xml:space="preserve">.  </w:t>
      </w:r>
    </w:p>
    <w:p w14:paraId="00E554F4" w14:textId="77777777" w:rsidR="0034523C" w:rsidRPr="00427872" w:rsidRDefault="0034523C" w:rsidP="0034523C">
      <w:pPr>
        <w:spacing w:before="100" w:beforeAutospacing="1" w:after="100" w:afterAutospacing="1" w:line="480" w:lineRule="auto"/>
        <w:ind w:firstLine="720"/>
        <w:rPr>
          <w:b/>
          <w:color w:val="262626" w:themeColor="text1" w:themeTint="D9"/>
        </w:rPr>
      </w:pPr>
      <w:r w:rsidRPr="00427872">
        <w:rPr>
          <w:b/>
          <w:color w:val="262626" w:themeColor="text1" w:themeTint="D9"/>
        </w:rPr>
        <w:t>Findings: A8 migrants in the UK labour market</w:t>
      </w:r>
    </w:p>
    <w:p w14:paraId="78F8D3A7" w14:textId="7FE213B5" w:rsidR="0034523C" w:rsidRPr="00427872" w:rsidRDefault="0034523C" w:rsidP="0034523C">
      <w:pPr>
        <w:spacing w:before="100" w:beforeAutospacing="1" w:after="100" w:afterAutospacing="1" w:line="480" w:lineRule="auto"/>
        <w:ind w:firstLine="720"/>
      </w:pPr>
      <w:r w:rsidRPr="00427872">
        <w:rPr>
          <w:color w:val="262626" w:themeColor="text1" w:themeTint="D9"/>
        </w:rPr>
        <w:t>As Table 1 shows, the APS offers reasonable sample sizes for minority ethnic groups, although this varies considerably. Bangladeshis have the smallest number of observations for 200</w:t>
      </w:r>
      <w:r w:rsidR="001B4F51">
        <w:rPr>
          <w:color w:val="262626" w:themeColor="text1" w:themeTint="D9"/>
        </w:rPr>
        <w:t>5</w:t>
      </w:r>
      <w:r w:rsidRPr="00427872">
        <w:rPr>
          <w:color w:val="262626" w:themeColor="text1" w:themeTint="D9"/>
        </w:rPr>
        <w:t>, with 2</w:t>
      </w:r>
      <w:r w:rsidR="001B4F51">
        <w:rPr>
          <w:color w:val="262626" w:themeColor="text1" w:themeTint="D9"/>
        </w:rPr>
        <w:t>99</w:t>
      </w:r>
      <w:r w:rsidRPr="00427872">
        <w:rPr>
          <w:color w:val="262626" w:themeColor="text1" w:themeTint="D9"/>
        </w:rPr>
        <w:t xml:space="preserve"> cases, and Indian people hav</w:t>
      </w:r>
      <w:r w:rsidR="001B4F51">
        <w:rPr>
          <w:color w:val="262626" w:themeColor="text1" w:themeTint="D9"/>
        </w:rPr>
        <w:t>e the largest, registering 3,576</w:t>
      </w:r>
      <w:r w:rsidRPr="00427872">
        <w:rPr>
          <w:color w:val="262626" w:themeColor="text1" w:themeTint="D9"/>
        </w:rPr>
        <w:t xml:space="preserve"> cases in 200</w:t>
      </w:r>
      <w:r w:rsidR="001B4F51">
        <w:rPr>
          <w:color w:val="262626" w:themeColor="text1" w:themeTint="D9"/>
        </w:rPr>
        <w:t>8</w:t>
      </w:r>
      <w:r w:rsidRPr="00427872">
        <w:rPr>
          <w:color w:val="262626" w:themeColor="text1" w:themeTint="D9"/>
        </w:rPr>
        <w:t xml:space="preserve">. In 2012, Indian people represented the biggest ethnic minority group with 2.5 percent of the sample population, closely followed by white A8 migrants at 2.2 percent. While the sample size of Indian people has remained fairly stable between 2005 and 2012, that of A8 migrants increased from 636 cases in 2005 (0.5 percent) to over 2,000 cases from 2008 onwards. Overall, there was a substantial number of cases in each ethnic </w:t>
      </w:r>
      <w:r w:rsidRPr="00427872">
        <w:rPr>
          <w:color w:val="262626" w:themeColor="text1" w:themeTint="D9"/>
        </w:rPr>
        <w:lastRenderedPageBreak/>
        <w:t xml:space="preserve">minority group for carrying out the analyses. All the models include the LFS population weights, and these weights are </w:t>
      </w:r>
      <w:r w:rsidRPr="00427872">
        <w:t xml:space="preserve">formed using a population weighting procedure that involves weighting data to sub-regional population estimates and then adjusting for the estimated age and sex composition by region. </w:t>
      </w:r>
    </w:p>
    <w:p w14:paraId="7CDCA4A7" w14:textId="77777777" w:rsidR="0034523C" w:rsidRPr="00427872" w:rsidRDefault="0034523C" w:rsidP="0034523C">
      <w:pPr>
        <w:pStyle w:val="Caption"/>
        <w:spacing w:before="100" w:beforeAutospacing="1" w:after="100" w:afterAutospacing="1" w:line="480" w:lineRule="auto"/>
        <w:ind w:firstLine="720"/>
      </w:pPr>
      <w:r w:rsidRPr="00427872">
        <w:rPr>
          <w:rFonts w:ascii="Times New Roman" w:hAnsi="Times New Roman" w:cs="Times New Roman"/>
          <w:b/>
          <w:bCs/>
          <w:i w:val="0"/>
          <w:iCs w:val="0"/>
          <w:color w:val="262626" w:themeColor="text1" w:themeTint="D9"/>
          <w:sz w:val="24"/>
          <w:szCs w:val="24"/>
        </w:rPr>
        <w:t>&lt;&lt; Table 1</w:t>
      </w:r>
      <w:r w:rsidRPr="00427872">
        <w:rPr>
          <w:rFonts w:ascii="Times New Roman" w:hAnsi="Times New Roman" w:cs="Times New Roman"/>
          <w:b/>
          <w:bCs/>
          <w:i w:val="0"/>
          <w:iCs w:val="0"/>
          <w:noProof/>
          <w:color w:val="262626" w:themeColor="text1" w:themeTint="D9"/>
          <w:sz w:val="24"/>
          <w:szCs w:val="24"/>
        </w:rPr>
        <w:t>.</w:t>
      </w:r>
      <w:r w:rsidRPr="00427872">
        <w:rPr>
          <w:rFonts w:ascii="Times New Roman" w:hAnsi="Times New Roman" w:cs="Times New Roman"/>
          <w:b/>
          <w:bCs/>
          <w:i w:val="0"/>
          <w:iCs w:val="0"/>
          <w:color w:val="262626" w:themeColor="text1" w:themeTint="D9"/>
          <w:sz w:val="24"/>
          <w:szCs w:val="24"/>
        </w:rPr>
        <w:t xml:space="preserve"> </w:t>
      </w:r>
      <w:r w:rsidRPr="00427872">
        <w:rPr>
          <w:rFonts w:ascii="Times New Roman" w:hAnsi="Times New Roman" w:cs="Times New Roman"/>
          <w:bCs/>
          <w:i w:val="0"/>
          <w:iCs w:val="0"/>
          <w:color w:val="262626" w:themeColor="text1" w:themeTint="D9"/>
          <w:sz w:val="24"/>
          <w:szCs w:val="24"/>
        </w:rPr>
        <w:t>Frequency of ethnic groups APS 2005, 2008, 2012 &gt;&gt;</w:t>
      </w:r>
    </w:p>
    <w:p w14:paraId="37A59121" w14:textId="77777777" w:rsidR="0034523C" w:rsidRPr="00427872" w:rsidRDefault="0034523C" w:rsidP="0034523C">
      <w:pPr>
        <w:spacing w:before="100" w:beforeAutospacing="1" w:after="100" w:afterAutospacing="1" w:line="480" w:lineRule="auto"/>
        <w:rPr>
          <w:color w:val="231F20"/>
        </w:rPr>
      </w:pPr>
      <w:r w:rsidRPr="00427872">
        <w:t>Table 2 shows the percentage of the working age population with the highest qualification by ethnicity in 2012. Level 4 represents the highest qualification and includes degrees, higher education or equivalent, with about 40 percent of the working age population in Britain falling into this category. This figure is much higher, around 60 percent, for white European, Indian, and the Black African as well as other black categories. The white A8 migrants, on the other hand, are least represented in this group, with only around one third of them having a degree or equivalent. Nearly half of the A8 migrants are grouped into level 2 qualifications, which include GCSE grades A-C or equivalent and other qualifications.  This might be because, as new migrants, they are not familiar with the education system in the UK and hence, less confident in mapping their home qualifications onto comparable UK educational levels, as suggested by a study carried out among 900 A8 migrants working in Scotland (</w:t>
      </w:r>
      <w:r w:rsidRPr="00427872">
        <w:rPr>
          <w:color w:val="231F20"/>
        </w:rPr>
        <w:t>Fife Research Coordination Group, 2008)</w:t>
      </w:r>
      <w:r w:rsidRPr="00427872">
        <w:t>. The same survey also found that 30 percent of the respondents had a degree, thus reflecting our findings</w:t>
      </w:r>
      <w:r w:rsidRPr="00427872">
        <w:rPr>
          <w:color w:val="231F20"/>
        </w:rPr>
        <w:t xml:space="preserve">.  </w:t>
      </w:r>
    </w:p>
    <w:p w14:paraId="65BD7F92" w14:textId="77777777" w:rsidR="0034523C" w:rsidRPr="00427872" w:rsidRDefault="0034523C" w:rsidP="0034523C">
      <w:pPr>
        <w:spacing w:before="100" w:beforeAutospacing="1" w:after="100" w:afterAutospacing="1" w:line="480" w:lineRule="auto"/>
        <w:ind w:firstLine="720"/>
        <w:rPr>
          <w:bCs/>
          <w:i/>
          <w:iCs/>
          <w:color w:val="262626" w:themeColor="text1" w:themeTint="D9"/>
          <w:sz w:val="20"/>
          <w:szCs w:val="20"/>
          <w:lang w:eastAsia="en-GB"/>
        </w:rPr>
      </w:pPr>
      <w:r w:rsidRPr="00427872">
        <w:rPr>
          <w:b/>
        </w:rPr>
        <w:t>&lt;&lt; Table 2</w:t>
      </w:r>
      <w:r w:rsidRPr="00427872">
        <w:t>. Qualification levels by ethnicity, 2012 &gt;&gt;</w:t>
      </w:r>
    </w:p>
    <w:p w14:paraId="31D3E30D" w14:textId="77777777" w:rsidR="0034523C" w:rsidRPr="00427872" w:rsidRDefault="0034523C" w:rsidP="0034523C">
      <w:pPr>
        <w:spacing w:before="100" w:beforeAutospacing="1" w:after="100" w:afterAutospacing="1" w:line="480" w:lineRule="auto"/>
        <w:ind w:firstLine="720"/>
        <w:rPr>
          <w:color w:val="000000"/>
          <w:lang w:eastAsia="en-GB"/>
        </w:rPr>
      </w:pPr>
      <w:r w:rsidRPr="00427872">
        <w:t xml:space="preserve">Table 3 shows the occupational groups for the white British, white A8 migrants and the averages for all ethnic groups for each year covered. On average, for all years, the percentage of people working in elementary occupations is around 10 percent for the white British, decreasing slightly from 2005 to 2012. In contrast, the percentage of A8 migrants </w:t>
      </w:r>
      <w:r w:rsidRPr="00427872">
        <w:lastRenderedPageBreak/>
        <w:t xml:space="preserve">working in such occupations was the highest in 2006 at 45 percent and, at the lowest level in 2008, at 35 percent. Compared to other ethnic groups, this rate is by far the highest, with, for example, the proportion of Bangladeshi, Black African and other black categories exhibiting half of that figure, at around 18 percent. Moreover, as Table 3 shows, the proportion of the white British category working at the top occupational level is relatively high and stable, at around 30 percent. White A8 migrants, on the other hand, again, are the group with the lowest rate at around 8 percent of </w:t>
      </w:r>
      <w:r w:rsidRPr="00427872">
        <w:rPr>
          <w:color w:val="000000"/>
          <w:lang w:eastAsia="en-GB"/>
        </w:rPr>
        <w:t>managers, senior officials and professional occupations</w:t>
      </w:r>
      <w:r w:rsidRPr="00427872">
        <w:t xml:space="preserve">. Similarly, for </w:t>
      </w:r>
      <w:r w:rsidRPr="00427872">
        <w:rPr>
          <w:color w:val="000000"/>
          <w:lang w:eastAsia="en-GB"/>
        </w:rPr>
        <w:t xml:space="preserve">associate professional and technical occupations (level 3) their rates are again low compared to other ethnic groups at around 5 percent on average for all years, whereas the average for all ethnic groups is three times higher. </w:t>
      </w:r>
      <w:r w:rsidRPr="00427872">
        <w:t>White A8 migrants are largely concentrated in occupational skill levels 1 and 2, while being thinly represented in levels 3 and 4. It should be noted that those immigrants with a time restriction on finding employment might have felt forced to take any jobs that were available regardless of their qualifications.</w:t>
      </w:r>
    </w:p>
    <w:p w14:paraId="28BA297D" w14:textId="77777777" w:rsidR="0034523C" w:rsidRPr="00427872" w:rsidRDefault="0034523C" w:rsidP="0034523C">
      <w:pPr>
        <w:spacing w:before="100" w:beforeAutospacing="1" w:after="100" w:afterAutospacing="1" w:line="480" w:lineRule="auto"/>
        <w:ind w:firstLine="720"/>
        <w:rPr>
          <w:sz w:val="20"/>
          <w:szCs w:val="20"/>
        </w:rPr>
      </w:pPr>
      <w:r w:rsidRPr="00427872">
        <w:rPr>
          <w:b/>
        </w:rPr>
        <w:t>&lt;&lt; Table 3</w:t>
      </w:r>
      <w:r w:rsidRPr="00427872">
        <w:t>. Occupational levels for white British, A8 migrants, and groups, 2005-2012 &gt;&gt;</w:t>
      </w:r>
    </w:p>
    <w:p w14:paraId="08D669FE" w14:textId="77777777" w:rsidR="0034523C" w:rsidRPr="00427872" w:rsidRDefault="0034523C" w:rsidP="0034523C">
      <w:pPr>
        <w:spacing w:before="100" w:beforeAutospacing="1" w:after="100" w:afterAutospacing="1" w:line="480" w:lineRule="auto"/>
        <w:ind w:firstLine="720"/>
        <w:rPr>
          <w:color w:val="000000"/>
          <w:lang w:eastAsia="en-GB"/>
        </w:rPr>
      </w:pPr>
      <w:r w:rsidRPr="00427872">
        <w:rPr>
          <w:color w:val="000000"/>
          <w:lang w:eastAsia="en-GB"/>
        </w:rPr>
        <w:t xml:space="preserve">In Table 4, the share of those over-qualified by gender is shown by category of each variable included in our models. An interesting finding here is that the share of those over-qualified among women is higher than men in almost all categories, except in those not married, Black African people, those aged 50 to 64, those based in Scotland, those in temporary or part-time jobs as well as those in the agriculture or construction sectors. Over-qualification is more common among women than men in all ethnic and religious categories, except for black women, while women aged 50 to 64 are also less likely to be over-qualified. The last two columns in the table show the share of the group within the </w:t>
      </w:r>
      <w:r w:rsidRPr="00427872">
        <w:rPr>
          <w:color w:val="000000"/>
          <w:lang w:eastAsia="en-GB"/>
        </w:rPr>
        <w:lastRenderedPageBreak/>
        <w:t xml:space="preserve">over-qualified and their share within the over-qualified A8 migrants, respectively. Regarding which, while 39.1% of the over-qualified are aged 35-49, 61% of the over-qualified A8 migrants are 25-34 year olds. </w:t>
      </w:r>
    </w:p>
    <w:p w14:paraId="24ACF6FD" w14:textId="77777777" w:rsidR="0034523C" w:rsidRPr="00427872" w:rsidRDefault="0034523C" w:rsidP="0034523C">
      <w:pPr>
        <w:pStyle w:val="Caption"/>
        <w:spacing w:before="100" w:beforeAutospacing="1" w:after="100" w:afterAutospacing="1" w:line="480" w:lineRule="auto"/>
        <w:ind w:firstLine="720"/>
        <w:rPr>
          <w:rFonts w:ascii="Times New Roman" w:hAnsi="Times New Roman" w:cs="Times New Roman"/>
          <w:color w:val="262626" w:themeColor="text1" w:themeTint="D9"/>
          <w:sz w:val="24"/>
          <w:szCs w:val="24"/>
        </w:rPr>
      </w:pPr>
      <w:r w:rsidRPr="00427872">
        <w:rPr>
          <w:rFonts w:ascii="Times New Roman" w:hAnsi="Times New Roman" w:cs="Times New Roman"/>
          <w:b/>
          <w:bCs/>
          <w:i w:val="0"/>
          <w:iCs w:val="0"/>
          <w:color w:val="262626" w:themeColor="text1" w:themeTint="D9"/>
          <w:sz w:val="24"/>
          <w:szCs w:val="24"/>
        </w:rPr>
        <w:t xml:space="preserve">&lt;&lt; Table 4. </w:t>
      </w:r>
      <w:r w:rsidRPr="00427872">
        <w:rPr>
          <w:rFonts w:ascii="Times New Roman" w:hAnsi="Times New Roman" w:cs="Times New Roman"/>
          <w:i w:val="0"/>
          <w:iCs w:val="0"/>
          <w:color w:val="262626" w:themeColor="text1" w:themeTint="D9"/>
          <w:sz w:val="24"/>
          <w:szCs w:val="24"/>
        </w:rPr>
        <w:t>Over-qualified by gender and demographic and employment characteristics,</w:t>
      </w:r>
      <w:r w:rsidRPr="00427872">
        <w:rPr>
          <w:rFonts w:ascii="Times New Roman" w:hAnsi="Times New Roman" w:cs="Times New Roman"/>
          <w:bCs/>
          <w:i w:val="0"/>
          <w:iCs w:val="0"/>
          <w:color w:val="262626" w:themeColor="text1" w:themeTint="D9"/>
          <w:sz w:val="24"/>
          <w:szCs w:val="24"/>
        </w:rPr>
        <w:t xml:space="preserve"> 2012</w:t>
      </w:r>
      <w:r w:rsidRPr="00427872">
        <w:rPr>
          <w:rFonts w:ascii="Times New Roman" w:hAnsi="Times New Roman" w:cs="Times New Roman"/>
          <w:color w:val="262626" w:themeColor="text1" w:themeTint="D9"/>
          <w:sz w:val="24"/>
          <w:szCs w:val="24"/>
        </w:rPr>
        <w:t xml:space="preserve"> &gt;&gt;</w:t>
      </w:r>
    </w:p>
    <w:p w14:paraId="1A8C06DA"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t xml:space="preserve">Table 5 displays the results of the final logistic regression analysis modelling over-qualification. </w:t>
      </w:r>
      <w:r w:rsidRPr="00427872">
        <w:rPr>
          <w:color w:val="262626" w:themeColor="text1" w:themeTint="D9"/>
        </w:rPr>
        <w:t>The results show that the A8 migrants and the Black African and other black groups were more likely to be over-qualified across all years compared to the white British and this relationship is highly significant at the 0.001 level. For the Black Caribbean people, the coefficients are only positively significant for 2012, 2010, 2009, and 2005 at the 0.05 level. Pakistani and the Bangladeshi men and women were also more likely to be over-qualified compared to the white British people, yet this was only the case in 2011 and 2012 for men and in 2007 and 2012 for women. The coefficients for the Mixed, Indian and other categories were not significant for any years. Finally, across all years, the white EU15 category was less likely to be over-qualified than the white British population, apart from 2012 and 2008, where this relationship is significant at 0.05 level, taking into account socio-demographic and employment variables. Compared to the white British majority, Eastern and Central European migrants (i.e. from the A8 countries) were significantly more likely to be over-qualified for the occupations they hold for all the focal years (Table 5). Clearly, the A8 migrants suffered greater disadvantages overall than other minority groups in 2012, only surpassed by black people in previous years.</w:t>
      </w:r>
    </w:p>
    <w:p w14:paraId="08EFA2DA" w14:textId="77777777" w:rsidR="0034523C" w:rsidRPr="00427872" w:rsidRDefault="0034523C" w:rsidP="0034523C">
      <w:pPr>
        <w:pStyle w:val="Caption"/>
        <w:spacing w:before="100" w:beforeAutospacing="1" w:after="100" w:afterAutospacing="1" w:line="480" w:lineRule="auto"/>
        <w:ind w:firstLine="720"/>
        <w:rPr>
          <w:i w:val="0"/>
          <w:iCs w:val="0"/>
          <w:color w:val="262626" w:themeColor="text1" w:themeTint="D9"/>
        </w:rPr>
      </w:pPr>
      <w:r w:rsidRPr="00427872">
        <w:rPr>
          <w:rFonts w:ascii="Times New Roman" w:hAnsi="Times New Roman" w:cs="Times New Roman"/>
          <w:b/>
          <w:bCs/>
          <w:i w:val="0"/>
          <w:iCs w:val="0"/>
          <w:color w:val="262626" w:themeColor="text1" w:themeTint="D9"/>
          <w:sz w:val="24"/>
          <w:szCs w:val="24"/>
        </w:rPr>
        <w:t xml:space="preserve">&lt;&lt; Table 5. </w:t>
      </w:r>
      <w:r w:rsidRPr="00427872">
        <w:rPr>
          <w:rFonts w:ascii="Times New Roman" w:hAnsi="Times New Roman" w:cs="Times New Roman"/>
          <w:bCs/>
          <w:i w:val="0"/>
          <w:iCs w:val="0"/>
          <w:color w:val="262626" w:themeColor="text1" w:themeTint="D9"/>
          <w:sz w:val="24"/>
          <w:szCs w:val="24"/>
        </w:rPr>
        <w:t>Logistic regression</w:t>
      </w:r>
      <w:r w:rsidRPr="00427872">
        <w:t xml:space="preserve"> </w:t>
      </w:r>
      <w:r w:rsidRPr="00427872">
        <w:rPr>
          <w:rFonts w:ascii="Times New Roman" w:hAnsi="Times New Roman" w:cs="Times New Roman"/>
          <w:bCs/>
          <w:i w:val="0"/>
          <w:iCs w:val="0"/>
          <w:color w:val="262626" w:themeColor="text1" w:themeTint="D9"/>
          <w:sz w:val="24"/>
          <w:szCs w:val="24"/>
        </w:rPr>
        <w:t>contrasting over-qualification with educational match and under-qualification, 2005 - 2012</w:t>
      </w:r>
      <w:r w:rsidRPr="00427872">
        <w:rPr>
          <w:rFonts w:ascii="Times New Roman" w:hAnsi="Times New Roman" w:cs="Times New Roman"/>
          <w:color w:val="262626" w:themeColor="text1" w:themeTint="D9"/>
          <w:sz w:val="24"/>
          <w:szCs w:val="24"/>
        </w:rPr>
        <w:t xml:space="preserve"> &gt;&gt;</w:t>
      </w:r>
    </w:p>
    <w:p w14:paraId="6C474DE0" w14:textId="7CC2A78C"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lastRenderedPageBreak/>
        <w:t xml:space="preserve">Given the emphasis on religious differences in the literature (e.g. Johnson et al., 2010), our models also included religious affiliation as a control variable. Compared to the largest category (i.e. Christian), Muslim minority members were significantly less likely to be over-qualified in 2005, 2007 and 2008, but not in later years. The coefficients for Sikhs, Buddhists and other religions were not significant for most years, although Hindus in 2009 and 2010, Sikhs in 2005 and Buddhists in 2006 were significantly more likely to be over-qualified than Christians. Jews were the only group less likely to be over-qualified, but only in 2006-2008 and 2011-2012. Also, those with no religion were less likely to be over-qualified in 2005, 2006, 2009 and 2010. </w:t>
      </w:r>
    </w:p>
    <w:p w14:paraId="06836B90"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Our findings show that over-qualification was less likely among more mature migrants. 16-24 year olds and 25-34 year olds were more likely to be over-qualified compared to those aged 35 to 49 (Table 5). However, those aged 50 and over were less likely to be over-qualified. Further studies may help shed light on this particular pattern, which may be due to length of service or other period-specific or regulatory reasons.</w:t>
      </w:r>
    </w:p>
    <w:p w14:paraId="7AC2170D"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 xml:space="preserve">Compared to men, women were significantly less likely to be over-qualified in 2005-2006 and more likely from 2009 onwards, which is in line with the findings of Johnston and colleagues (2015: 209). Non-married people were significantly more likely to be over-qualified across all years compared to their counterparts. People with dependent children were less likely to be over-qualified across all years. Again, it has to be kept in mind that the sample includes only working age people who were employed and does not cover women who looked after children or those who were economically inactive. Holding British citizenship, overall, was not significantly associated with over-qualification. Over-qualification was significantly less likely in London, possibly because of the highly multicultural nature of the labour market (Johnston et al., 2015: 209; see also Rafferty et </w:t>
      </w:r>
      <w:r w:rsidRPr="00427872">
        <w:rPr>
          <w:color w:val="262626" w:themeColor="text1" w:themeTint="D9"/>
        </w:rPr>
        <w:lastRenderedPageBreak/>
        <w:t xml:space="preserve">al., 2013). Moreover, Scotland and Wales were where A8 migrants faced most disadvantage compared to those of their cohort in England (excluding London), despite a declining trend in this difference from 2005 to 2012. </w:t>
      </w:r>
    </w:p>
    <w:p w14:paraId="02FB4038"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 xml:space="preserve">Several employment-related variables have also been included to account for over-qualification. Over-qualification was significantly high in the public sector compared to the private sector, up until 2010 but reversed in 2011 and 2012. The Equality Act, which came into force in October 2010, was probably a driver of this shift. The change of direction of this variable might also be related to the changes in the coding of occupations in SOC2010. These findings may also suggest that people were holding on to their jobs, given the economic recession and were less likely to change for employment with better prospects. Those working in the agriculture, construction, manufacturing, transport and energy sectors were significantly more likely to be over-qualified than those in services such as distribution, hotels and restaurants. This reflects other studies, which have demonstrated that </w:t>
      </w:r>
      <w:r w:rsidRPr="00427872">
        <w:t>A8 migrants tend to settle in areas where there are labour shortages, usually doing seasonal work in the agricultural and food-processing sectors (</w:t>
      </w:r>
      <w:r w:rsidRPr="00427872">
        <w:rPr>
          <w:color w:val="262626" w:themeColor="text1" w:themeTint="D9"/>
        </w:rPr>
        <w:t>Findlay et al., 2013;</w:t>
      </w:r>
      <w:r w:rsidRPr="00427872">
        <w:t xml:space="preserve"> Pollard et al., 2008</w:t>
      </w:r>
      <w:r w:rsidRPr="00427872">
        <w:rPr>
          <w:color w:val="262626" w:themeColor="text1" w:themeTint="D9"/>
        </w:rPr>
        <w:t>).</w:t>
      </w:r>
      <w:r w:rsidRPr="00427872">
        <w:rPr>
          <w:rStyle w:val="EndnoteReference"/>
          <w:color w:val="262626" w:themeColor="text1" w:themeTint="D9"/>
        </w:rPr>
        <w:endnoteReference w:id="6"/>
      </w:r>
      <w:r w:rsidRPr="00427872">
        <w:rPr>
          <w:color w:val="262626" w:themeColor="text1" w:themeTint="D9"/>
        </w:rPr>
        <w:t xml:space="preserve"> </w:t>
      </w:r>
    </w:p>
    <w:p w14:paraId="7BDB466F"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 xml:space="preserve"> Those who were employed on a temporary contract, as opposed to a permanent one, were about 1.5 times more likely to be over-qualified for all the focal years. Working part-time, as opposed to being employed full-time, was highly significant and increased the odds of being over-qualified by 50 percent across all these years. Our findings also suggest that over time, over-qualification as a disadvantage may decline, since, measured in months, the longer the continuous employment, the less likely that it exists (odd ratios of 0.99). This is also in line with what Chiswick and Miller (2009) suggest. </w:t>
      </w:r>
    </w:p>
    <w:p w14:paraId="262A02F8" w14:textId="77777777" w:rsidR="0034523C" w:rsidRPr="00427872" w:rsidRDefault="0034523C" w:rsidP="0034523C">
      <w:pPr>
        <w:pStyle w:val="Heading2"/>
        <w:spacing w:before="100" w:beforeAutospacing="1" w:after="100" w:afterAutospacing="1" w:line="480" w:lineRule="auto"/>
        <w:ind w:firstLine="720"/>
        <w:rPr>
          <w:rFonts w:ascii="Times New Roman" w:hAnsi="Times New Roman"/>
          <w:color w:val="262626" w:themeColor="text1" w:themeTint="D9"/>
          <w:sz w:val="24"/>
          <w:szCs w:val="24"/>
        </w:rPr>
      </w:pPr>
      <w:r w:rsidRPr="00427872">
        <w:rPr>
          <w:rFonts w:ascii="Times New Roman" w:hAnsi="Times New Roman"/>
          <w:color w:val="262626" w:themeColor="text1" w:themeTint="D9"/>
          <w:sz w:val="24"/>
          <w:szCs w:val="24"/>
        </w:rPr>
        <w:lastRenderedPageBreak/>
        <w:t xml:space="preserve">Conclusions </w:t>
      </w:r>
    </w:p>
    <w:p w14:paraId="34C0AB34"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This article has shown the disadvantages in terms of the over-qualification experienced by the A8 migrants in the UK labour market relative to other ethnic groups and the white British population in the country. Controlling for demographic characteristics other than ethnicity, Eastern and Central European movers have been consistently over-qualified for the jobs they have obtained compared to the white British majority and other migrant and minority groups in the UK during the selected period from 2005 to 2012. These findings warrant further investigation into the causes of these disadvantages as well as into the possibility of discrimination by employers. Whilst it is difficult to infer from statistics, there are studies offering evidence of ethnic and religious discrimination (see Rubinstein and Brenner, 2013; Khattab and Johnston, 2013; Booth et al., 2012).</w:t>
      </w:r>
    </w:p>
    <w:p w14:paraId="5E74ABD3" w14:textId="39918C41"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The analysis presented here provides clear evidence of over-qualification being experienced by A8 migrants. This pattern is persistent over almost a decade following the accession in 2004, throughout the economic recession and even after the recovery period that started when the conditional accession to the EU labour market was lifted in 2011. Equally as revealing, perhaps, is the fact that over-qualification has been a constant feature over time and persisted over the period from 2005 until 2012, particularly for A8 migrants.</w:t>
      </w:r>
    </w:p>
    <w:p w14:paraId="3CF0B7DC" w14:textId="41B8FA09"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 xml:space="preserve">Other European migrants, who have been enjoying free movement throughout the EU for much longer, were faring better and </w:t>
      </w:r>
      <w:r w:rsidR="00EE125A">
        <w:rPr>
          <w:color w:val="262626" w:themeColor="text1" w:themeTint="D9"/>
        </w:rPr>
        <w:t xml:space="preserve">there was </w:t>
      </w:r>
      <w:r w:rsidRPr="00427872">
        <w:rPr>
          <w:color w:val="262626" w:themeColor="text1" w:themeTint="D9"/>
        </w:rPr>
        <w:t xml:space="preserve">no evidence </w:t>
      </w:r>
      <w:r w:rsidR="00EE125A">
        <w:rPr>
          <w:color w:val="262626" w:themeColor="text1" w:themeTint="D9"/>
        </w:rPr>
        <w:t xml:space="preserve">for their </w:t>
      </w:r>
      <w:r w:rsidRPr="00427872">
        <w:rPr>
          <w:color w:val="262626" w:themeColor="text1" w:themeTint="D9"/>
        </w:rPr>
        <w:t xml:space="preserve">over-qualification compared to the white British majority in any of the years analysed. In 2008 and 2012, the likelihood of over-education among those from the EU15 countries was even lower than for the white British majority. For other ethnic groups, the results reflect the relatively disadvantaged position of Black African men and women, which is consistent </w:t>
      </w:r>
      <w:r w:rsidRPr="00427872">
        <w:rPr>
          <w:color w:val="262626" w:themeColor="text1" w:themeTint="D9"/>
        </w:rPr>
        <w:lastRenderedPageBreak/>
        <w:t xml:space="preserve">across all years. An equally important finding in this study is that women overall seemingly faced more migration penalties in the labour market, for over-qualification was more prevalent among them than for men in almost all demographic categories, irrespective of ethnic or religious group. </w:t>
      </w:r>
    </w:p>
    <w:p w14:paraId="79CA5693" w14:textId="6B65438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As Chiswick and Miller (2009) suggest, migrants experience a devaluation of their human capital gained at home as they seek to establish themselves in a new country. As a limitation of the current study, the effect of human capital development and firm-specific human capital</w:t>
      </w:r>
      <w:r w:rsidR="00EE125A">
        <w:rPr>
          <w:color w:val="262626" w:themeColor="text1" w:themeTint="D9"/>
        </w:rPr>
        <w:t xml:space="preserve"> cannot be measured</w:t>
      </w:r>
      <w:r w:rsidRPr="00427872">
        <w:rPr>
          <w:color w:val="262626" w:themeColor="text1" w:themeTint="D9"/>
        </w:rPr>
        <w:t xml:space="preserve">. EU15 migrants fare better in the labour market than most other ethnic groups, which may be related to macro-level factors, as the literature suggests </w:t>
      </w:r>
      <w:r w:rsidRPr="00427872">
        <w:t>(</w:t>
      </w:r>
      <w:r w:rsidRPr="00427872">
        <w:rPr>
          <w:iCs/>
        </w:rPr>
        <w:t>Kalfa and Piracha, 2013</w:t>
      </w:r>
      <w:r w:rsidRPr="00427872">
        <w:rPr>
          <w:rFonts w:eastAsiaTheme="majorEastAsia"/>
        </w:rPr>
        <w:t>)</w:t>
      </w:r>
      <w:r w:rsidRPr="00427872">
        <w:rPr>
          <w:color w:val="262626" w:themeColor="text1" w:themeTint="D9"/>
        </w:rPr>
        <w:t xml:space="preserve">. Nevertheless, our analysis with the APS data does not allow for further interpretation. Further studies should look into the processes of integration, convergence and recognition of qualifications acquired in other countries as well as the role of proficiency in the English language and familiarity with the UK jobs market. </w:t>
      </w:r>
    </w:p>
    <w:p w14:paraId="62683591" w14:textId="77777777" w:rsidR="0034523C" w:rsidRPr="00427872"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t xml:space="preserve">As the APS is cross-sectional data, it was not possible to assess whether this consistent trend of over-qualification is due to predominantly new cohorts of A8 migrants arriving, replacing previous ones. Hence, there are only limited data to determine whether there is upward mobility for these migrants once they have overcome the initial problems of recent migration, such as lack of English language fluency, lack of familiarity with the local employment market and the non-recognition of home country qualifications. The evidence shows that A8 migrants have been subjected to migration penalties at the high-end of the labour market. Moreover, the literature suggests that over-qualification is neither exclusive to migrants (see Brynin, 2002) nor to the UK (see examples from other countries: Griesshaber and Seibel, 2015; Ortiz, 2010). </w:t>
      </w:r>
    </w:p>
    <w:p w14:paraId="52DBF8BB" w14:textId="77777777" w:rsidR="0034523C" w:rsidRPr="00714E84" w:rsidRDefault="0034523C" w:rsidP="0034523C">
      <w:pPr>
        <w:spacing w:before="100" w:beforeAutospacing="1" w:after="100" w:afterAutospacing="1" w:line="480" w:lineRule="auto"/>
        <w:ind w:firstLine="720"/>
        <w:rPr>
          <w:color w:val="262626" w:themeColor="text1" w:themeTint="D9"/>
        </w:rPr>
      </w:pPr>
      <w:r w:rsidRPr="00427872">
        <w:rPr>
          <w:color w:val="262626" w:themeColor="text1" w:themeTint="D9"/>
        </w:rPr>
        <w:lastRenderedPageBreak/>
        <w:t>These findings provide flag up to policy makers the need to investigate employment practices as a means of establishing procedures to facilitate and support labour mobility. Such studies could also help alleviate disadvantages and discrimination towards A8 migrants in the UK and across Europe, since over-qualification also signals a waste of resources and human capital (OECD, 2011). The OECD (2011), in their global skills strategy, states that migrants’ skills are underutilised, often because of the lack of recognition of foreign qualifications, and they advise that policies to challenge this are urgently required, if countries want to make full use of the human capital available to them (Tijdens and van Klaveren, 2011).</w:t>
      </w:r>
      <w:r w:rsidRPr="00714E84">
        <w:rPr>
          <w:color w:val="262626" w:themeColor="text1" w:themeTint="D9"/>
        </w:rPr>
        <w:t xml:space="preserve"> </w:t>
      </w:r>
    </w:p>
    <w:p w14:paraId="5BE1FDD7" w14:textId="77777777" w:rsidR="0034523C" w:rsidRDefault="0034523C" w:rsidP="0034523C"/>
    <w:p w14:paraId="45210A00" w14:textId="4DCFD39C" w:rsidR="00A232D5" w:rsidRPr="00714E84" w:rsidRDefault="00A232D5" w:rsidP="00F81C33">
      <w:pPr>
        <w:autoSpaceDE w:val="0"/>
        <w:autoSpaceDN w:val="0"/>
        <w:adjustRightInd w:val="0"/>
        <w:spacing w:before="100" w:beforeAutospacing="1" w:after="100" w:afterAutospacing="1" w:line="480" w:lineRule="auto"/>
        <w:ind w:firstLine="720"/>
        <w:rPr>
          <w:color w:val="262626" w:themeColor="text1" w:themeTint="D9"/>
        </w:rPr>
      </w:pPr>
    </w:p>
    <w:p w14:paraId="63FCA90F" w14:textId="77777777" w:rsidR="005A46A8" w:rsidRPr="00714E84" w:rsidRDefault="005A46A8" w:rsidP="00F81C33">
      <w:pPr>
        <w:pStyle w:val="Heading2"/>
        <w:spacing w:before="120" w:after="120" w:line="480" w:lineRule="auto"/>
        <w:jc w:val="both"/>
        <w:rPr>
          <w:rFonts w:asciiTheme="majorBidi" w:hAnsiTheme="majorBidi" w:cstheme="majorBidi"/>
          <w:color w:val="262626" w:themeColor="text1" w:themeTint="D9"/>
          <w:sz w:val="24"/>
          <w:szCs w:val="24"/>
        </w:rPr>
      </w:pPr>
      <w:r w:rsidRPr="00714E84">
        <w:rPr>
          <w:rFonts w:asciiTheme="majorBidi" w:hAnsiTheme="majorBidi" w:cstheme="majorBidi"/>
          <w:color w:val="262626" w:themeColor="text1" w:themeTint="D9"/>
          <w:sz w:val="24"/>
          <w:szCs w:val="24"/>
        </w:rPr>
        <w:t>References</w:t>
      </w:r>
    </w:p>
    <w:p w14:paraId="1DB95818" w14:textId="60F012B8" w:rsidR="00460993" w:rsidRPr="00714E84" w:rsidRDefault="00460993" w:rsidP="00F81C33">
      <w:pPr>
        <w:spacing w:line="480" w:lineRule="auto"/>
        <w:ind w:left="567" w:hanging="567"/>
        <w:rPr>
          <w:rFonts w:eastAsiaTheme="majorEastAsia"/>
        </w:rPr>
      </w:pPr>
      <w:r w:rsidRPr="00714E84">
        <w:rPr>
          <w:rFonts w:eastAsiaTheme="majorEastAsia"/>
        </w:rPr>
        <w:t xml:space="preserve">Alpin C, Shackleton JR and Walsh S (1998) Over- and </w:t>
      </w:r>
      <w:r w:rsidR="00960212" w:rsidRPr="00714E84">
        <w:rPr>
          <w:rFonts w:eastAsiaTheme="majorEastAsia"/>
        </w:rPr>
        <w:t>u</w:t>
      </w:r>
      <w:r w:rsidRPr="00714E84">
        <w:rPr>
          <w:rFonts w:eastAsiaTheme="majorEastAsia"/>
        </w:rPr>
        <w:t xml:space="preserve">ndereducation in the UK </w:t>
      </w:r>
      <w:r w:rsidR="00960212" w:rsidRPr="00714E84">
        <w:rPr>
          <w:rFonts w:eastAsiaTheme="majorEastAsia"/>
        </w:rPr>
        <w:t>g</w:t>
      </w:r>
      <w:r w:rsidRPr="00714E84">
        <w:rPr>
          <w:rFonts w:eastAsiaTheme="majorEastAsia"/>
        </w:rPr>
        <w:t xml:space="preserve">raduate </w:t>
      </w:r>
      <w:r w:rsidR="00960212" w:rsidRPr="00714E84">
        <w:rPr>
          <w:rFonts w:eastAsiaTheme="majorEastAsia"/>
        </w:rPr>
        <w:t>l</w:t>
      </w:r>
      <w:r w:rsidRPr="00714E84">
        <w:rPr>
          <w:rFonts w:eastAsiaTheme="majorEastAsia"/>
        </w:rPr>
        <w:t xml:space="preserve">abour </w:t>
      </w:r>
      <w:r w:rsidR="00960212" w:rsidRPr="00714E84">
        <w:rPr>
          <w:rFonts w:eastAsiaTheme="majorEastAsia"/>
        </w:rPr>
        <w:t>market.</w:t>
      </w:r>
      <w:r w:rsidRPr="00714E84">
        <w:rPr>
          <w:rFonts w:eastAsiaTheme="majorEastAsia"/>
        </w:rPr>
        <w:t xml:space="preserve"> </w:t>
      </w:r>
      <w:r w:rsidRPr="00714E84">
        <w:rPr>
          <w:rFonts w:eastAsiaTheme="majorEastAsia"/>
          <w:i/>
          <w:iCs/>
        </w:rPr>
        <w:t>Studies in Higher Education</w:t>
      </w:r>
      <w:r w:rsidRPr="00714E84">
        <w:rPr>
          <w:rFonts w:eastAsiaTheme="majorEastAsia"/>
        </w:rPr>
        <w:t xml:space="preserve"> 23 (1)</w:t>
      </w:r>
      <w:r w:rsidR="00960212" w:rsidRPr="00714E84">
        <w:rPr>
          <w:rFonts w:eastAsiaTheme="majorEastAsia"/>
        </w:rPr>
        <w:t>:</w:t>
      </w:r>
      <w:r w:rsidR="00BC0256" w:rsidRPr="00714E84">
        <w:rPr>
          <w:rFonts w:eastAsiaTheme="majorEastAsia"/>
        </w:rPr>
        <w:t xml:space="preserve"> 17–34.</w:t>
      </w:r>
    </w:p>
    <w:p w14:paraId="6BC9CAA4" w14:textId="7FAD3EB5" w:rsidR="00FC4884" w:rsidRPr="00714E84" w:rsidRDefault="00064776" w:rsidP="00F81C33">
      <w:pPr>
        <w:spacing w:line="480" w:lineRule="auto"/>
        <w:ind w:left="567" w:hanging="567"/>
        <w:jc w:val="both"/>
        <w:rPr>
          <w:iCs/>
          <w:color w:val="262626" w:themeColor="text1" w:themeTint="D9"/>
        </w:rPr>
      </w:pPr>
      <w:r w:rsidRPr="00714E84">
        <w:rPr>
          <w:iCs/>
          <w:color w:val="262626" w:themeColor="text1" w:themeTint="D9"/>
        </w:rPr>
        <w:t>Battu</w:t>
      </w:r>
      <w:r w:rsidR="00FC4884" w:rsidRPr="00714E84">
        <w:rPr>
          <w:iCs/>
          <w:color w:val="262626" w:themeColor="text1" w:themeTint="D9"/>
        </w:rPr>
        <w:t xml:space="preserve"> H</w:t>
      </w:r>
      <w:r w:rsidRPr="00714E84">
        <w:rPr>
          <w:iCs/>
          <w:color w:val="262626" w:themeColor="text1" w:themeTint="D9"/>
        </w:rPr>
        <w:t xml:space="preserve"> and Sloane</w:t>
      </w:r>
      <w:r w:rsidR="00FC4884" w:rsidRPr="00714E84">
        <w:rPr>
          <w:iCs/>
          <w:color w:val="262626" w:themeColor="text1" w:themeTint="D9"/>
        </w:rPr>
        <w:t xml:space="preserve"> PJ (2004) Over-education and ethnic minorities in Britain. </w:t>
      </w:r>
      <w:r w:rsidR="00FC4884" w:rsidRPr="00714E84">
        <w:rPr>
          <w:i/>
          <w:iCs/>
          <w:color w:val="262626" w:themeColor="text1" w:themeTint="D9"/>
        </w:rPr>
        <w:t>Manchester School</w:t>
      </w:r>
      <w:r w:rsidR="00FC4884" w:rsidRPr="00714E84">
        <w:rPr>
          <w:iCs/>
          <w:color w:val="262626" w:themeColor="text1" w:themeTint="D9"/>
        </w:rPr>
        <w:t xml:space="preserve"> 72</w:t>
      </w:r>
      <w:r w:rsidR="00BC0256" w:rsidRPr="00714E84">
        <w:rPr>
          <w:iCs/>
          <w:color w:val="262626" w:themeColor="text1" w:themeTint="D9"/>
        </w:rPr>
        <w:t>(</w:t>
      </w:r>
      <w:r w:rsidR="00FC4884" w:rsidRPr="00714E84">
        <w:rPr>
          <w:iCs/>
          <w:color w:val="262626" w:themeColor="text1" w:themeTint="D9"/>
        </w:rPr>
        <w:t>4</w:t>
      </w:r>
      <w:r w:rsidR="00BC0256" w:rsidRPr="00714E84">
        <w:rPr>
          <w:iCs/>
          <w:color w:val="262626" w:themeColor="text1" w:themeTint="D9"/>
        </w:rPr>
        <w:t>)</w:t>
      </w:r>
      <w:r w:rsidRPr="00714E84">
        <w:rPr>
          <w:iCs/>
          <w:color w:val="262626" w:themeColor="text1" w:themeTint="D9"/>
        </w:rPr>
        <w:t>:</w:t>
      </w:r>
      <w:r w:rsidR="00FC4884" w:rsidRPr="00714E84">
        <w:rPr>
          <w:iCs/>
          <w:color w:val="262626" w:themeColor="text1" w:themeTint="D9"/>
        </w:rPr>
        <w:t xml:space="preserve"> 535-559. </w:t>
      </w:r>
    </w:p>
    <w:p w14:paraId="376FF6C1" w14:textId="473012B1" w:rsidR="005A46A8" w:rsidRPr="00714E84" w:rsidRDefault="00064776" w:rsidP="00F81C33">
      <w:pPr>
        <w:spacing w:line="480" w:lineRule="auto"/>
        <w:ind w:left="567" w:hanging="567"/>
        <w:jc w:val="both"/>
        <w:rPr>
          <w:iCs/>
          <w:color w:val="262626" w:themeColor="text1" w:themeTint="D9"/>
        </w:rPr>
      </w:pPr>
      <w:r w:rsidRPr="00714E84">
        <w:rPr>
          <w:iCs/>
          <w:color w:val="262626" w:themeColor="text1" w:themeTint="D9"/>
        </w:rPr>
        <w:t>Becker G</w:t>
      </w:r>
      <w:r w:rsidR="005A46A8" w:rsidRPr="00714E84">
        <w:rPr>
          <w:iCs/>
          <w:color w:val="262626" w:themeColor="text1" w:themeTint="D9"/>
        </w:rPr>
        <w:t xml:space="preserve"> (1964) </w:t>
      </w:r>
      <w:r w:rsidR="005A46A8" w:rsidRPr="00714E84">
        <w:rPr>
          <w:i/>
          <w:iCs/>
          <w:color w:val="262626" w:themeColor="text1" w:themeTint="D9"/>
        </w:rPr>
        <w:t>Human Capital: A Theoretical and Empirical Analysis with Special Reference to Education</w:t>
      </w:r>
      <w:r w:rsidR="005A46A8" w:rsidRPr="00714E84">
        <w:rPr>
          <w:iCs/>
          <w:color w:val="262626" w:themeColor="text1" w:themeTint="D9"/>
        </w:rPr>
        <w:t>. New York: Columbia University Press.</w:t>
      </w:r>
    </w:p>
    <w:p w14:paraId="5D5A29A5" w14:textId="28B1E3D5" w:rsidR="005A46A8" w:rsidRPr="00714E84" w:rsidRDefault="00064776"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Blanchflower DG</w:t>
      </w:r>
      <w:r w:rsidR="005A46A8" w:rsidRPr="00714E84">
        <w:rPr>
          <w:color w:val="262626" w:themeColor="text1" w:themeTint="D9"/>
          <w:shd w:val="clear" w:color="auto" w:fill="FFFFFF"/>
        </w:rPr>
        <w:t xml:space="preserve"> </w:t>
      </w:r>
      <w:r w:rsidRPr="00714E84">
        <w:rPr>
          <w:color w:val="262626" w:themeColor="text1" w:themeTint="D9"/>
          <w:shd w:val="clear" w:color="auto" w:fill="FFFFFF"/>
        </w:rPr>
        <w:t>and</w:t>
      </w:r>
      <w:r w:rsidR="005A46A8" w:rsidRPr="00714E84">
        <w:rPr>
          <w:color w:val="262626" w:themeColor="text1" w:themeTint="D9"/>
          <w:shd w:val="clear" w:color="auto" w:fill="FFFFFF"/>
        </w:rPr>
        <w:t xml:space="preserve"> Shadforth C (2009) Fear, unemployment and migration. </w:t>
      </w:r>
      <w:r w:rsidR="005A46A8" w:rsidRPr="00714E84">
        <w:rPr>
          <w:i/>
          <w:iCs/>
          <w:color w:val="262626" w:themeColor="text1" w:themeTint="D9"/>
          <w:shd w:val="clear" w:color="auto" w:fill="FFFFFF"/>
        </w:rPr>
        <w:t>The Economic Journal</w:t>
      </w:r>
      <w:r w:rsidR="005A46A8" w:rsidRPr="00714E84">
        <w:rPr>
          <w:rStyle w:val="apple-converted-space"/>
          <w:color w:val="262626" w:themeColor="text1" w:themeTint="D9"/>
          <w:shd w:val="clear" w:color="auto" w:fill="FFFFFF"/>
        </w:rPr>
        <w:t> </w:t>
      </w:r>
      <w:r w:rsidR="005A46A8" w:rsidRPr="00714E84">
        <w:rPr>
          <w:iCs/>
          <w:color w:val="262626" w:themeColor="text1" w:themeTint="D9"/>
          <w:shd w:val="clear" w:color="auto" w:fill="FFFFFF"/>
        </w:rPr>
        <w:t>119</w:t>
      </w:r>
      <w:r w:rsidR="005A46A8" w:rsidRPr="00714E84">
        <w:rPr>
          <w:color w:val="262626" w:themeColor="text1" w:themeTint="D9"/>
          <w:shd w:val="clear" w:color="auto" w:fill="FFFFFF"/>
        </w:rPr>
        <w:t>(535)</w:t>
      </w:r>
      <w:r w:rsidRPr="00714E84">
        <w:rPr>
          <w:color w:val="262626" w:themeColor="text1" w:themeTint="D9"/>
          <w:shd w:val="clear" w:color="auto" w:fill="FFFFFF"/>
        </w:rPr>
        <w:t>:</w:t>
      </w:r>
      <w:r w:rsidR="005A46A8" w:rsidRPr="00714E84">
        <w:rPr>
          <w:color w:val="262626" w:themeColor="text1" w:themeTint="D9"/>
          <w:shd w:val="clear" w:color="auto" w:fill="FFFFFF"/>
        </w:rPr>
        <w:t xml:space="preserve"> F136-F182.</w:t>
      </w:r>
    </w:p>
    <w:p w14:paraId="7356B222" w14:textId="1961CE01" w:rsidR="00E3206A" w:rsidRPr="00714E84" w:rsidRDefault="00E3206A"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Booth, A. L., Francesconi, M., &amp; Frank, J. (2002). Temporary jobs: stepping stones or</w:t>
      </w:r>
      <w:r w:rsidR="00A16483">
        <w:rPr>
          <w:color w:val="262626" w:themeColor="text1" w:themeTint="D9"/>
          <w:shd w:val="clear" w:color="auto" w:fill="FFFFFF"/>
        </w:rPr>
        <w:t xml:space="preserve"> dead ends?</w:t>
      </w:r>
      <w:r w:rsidRPr="00714E84">
        <w:rPr>
          <w:color w:val="262626" w:themeColor="text1" w:themeTint="D9"/>
          <w:shd w:val="clear" w:color="auto" w:fill="FFFFFF"/>
        </w:rPr>
        <w:t xml:space="preserve"> </w:t>
      </w:r>
      <w:r w:rsidRPr="00714E84">
        <w:rPr>
          <w:i/>
          <w:color w:val="262626" w:themeColor="text1" w:themeTint="D9"/>
          <w:shd w:val="clear" w:color="auto" w:fill="FFFFFF"/>
        </w:rPr>
        <w:t>The Economic Journal</w:t>
      </w:r>
      <w:r w:rsidRPr="00714E84">
        <w:rPr>
          <w:color w:val="262626" w:themeColor="text1" w:themeTint="D9"/>
          <w:shd w:val="clear" w:color="auto" w:fill="FFFFFF"/>
        </w:rPr>
        <w:t>, 112(480), F189-F213.</w:t>
      </w:r>
    </w:p>
    <w:p w14:paraId="2A097135" w14:textId="61EECB47" w:rsidR="00103AE6" w:rsidRPr="00714E84" w:rsidRDefault="00064776"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lastRenderedPageBreak/>
        <w:t>Booth AL, Leigh</w:t>
      </w:r>
      <w:r w:rsidR="00103AE6" w:rsidRPr="00714E84">
        <w:rPr>
          <w:color w:val="262626" w:themeColor="text1" w:themeTint="D9"/>
          <w:shd w:val="clear" w:color="auto" w:fill="FFFFFF"/>
        </w:rPr>
        <w:t xml:space="preserve"> A</w:t>
      </w:r>
      <w:r w:rsidRPr="00714E84">
        <w:rPr>
          <w:color w:val="262626" w:themeColor="text1" w:themeTint="D9"/>
          <w:shd w:val="clear" w:color="auto" w:fill="FFFFFF"/>
        </w:rPr>
        <w:t xml:space="preserve"> and</w:t>
      </w:r>
      <w:r w:rsidR="00103AE6" w:rsidRPr="00714E84">
        <w:rPr>
          <w:color w:val="262626" w:themeColor="text1" w:themeTint="D9"/>
          <w:shd w:val="clear" w:color="auto" w:fill="FFFFFF"/>
        </w:rPr>
        <w:t xml:space="preserve"> Varganova E (2012) Does ethnic discrimination vary across minority groups? Evidence from a field experiment. </w:t>
      </w:r>
      <w:r w:rsidR="00103AE6" w:rsidRPr="00714E84">
        <w:rPr>
          <w:i/>
          <w:iCs/>
          <w:color w:val="262626" w:themeColor="text1" w:themeTint="D9"/>
          <w:shd w:val="clear" w:color="auto" w:fill="FFFFFF"/>
        </w:rPr>
        <w:t>Oxford Bulletin of Economics and Statistics</w:t>
      </w:r>
      <w:r w:rsidR="00103AE6" w:rsidRPr="00714E84">
        <w:rPr>
          <w:color w:val="262626" w:themeColor="text1" w:themeTint="D9"/>
          <w:shd w:val="clear" w:color="auto" w:fill="FFFFFF"/>
        </w:rPr>
        <w:t xml:space="preserve"> 74(4)</w:t>
      </w:r>
      <w:r w:rsidRPr="00714E84">
        <w:rPr>
          <w:color w:val="262626" w:themeColor="text1" w:themeTint="D9"/>
          <w:shd w:val="clear" w:color="auto" w:fill="FFFFFF"/>
        </w:rPr>
        <w:t>:</w:t>
      </w:r>
      <w:r w:rsidR="00103AE6" w:rsidRPr="00714E84">
        <w:rPr>
          <w:color w:val="262626" w:themeColor="text1" w:themeTint="D9"/>
          <w:shd w:val="clear" w:color="auto" w:fill="FFFFFF"/>
        </w:rPr>
        <w:t xml:space="preserve"> 547-573.</w:t>
      </w:r>
    </w:p>
    <w:p w14:paraId="02195B25" w14:textId="05CCC5C4" w:rsidR="005A46A8" w:rsidRPr="00714E84" w:rsidRDefault="00064776" w:rsidP="00F81C33">
      <w:pPr>
        <w:spacing w:line="480" w:lineRule="auto"/>
        <w:ind w:left="567" w:hanging="567"/>
        <w:jc w:val="both"/>
      </w:pPr>
      <w:r w:rsidRPr="00714E84">
        <w:t>Brynin M and Guveli A</w:t>
      </w:r>
      <w:r w:rsidR="005A46A8" w:rsidRPr="00714E84">
        <w:t xml:space="preserve"> (2012) Understanding the ethnic pay gap in Britain. </w:t>
      </w:r>
      <w:r w:rsidR="005A46A8" w:rsidRPr="00714E84">
        <w:rPr>
          <w:i/>
          <w:iCs/>
        </w:rPr>
        <w:t>Work, Employment and Society</w:t>
      </w:r>
      <w:r w:rsidR="005A46A8" w:rsidRPr="00714E84">
        <w:t xml:space="preserve"> 26(4)</w:t>
      </w:r>
      <w:r w:rsidRPr="00714E84">
        <w:t>:</w:t>
      </w:r>
      <w:r w:rsidR="005A46A8" w:rsidRPr="00714E84">
        <w:t xml:space="preserve"> 574 - 587. </w:t>
      </w:r>
    </w:p>
    <w:p w14:paraId="21CA5EC7" w14:textId="3112740F" w:rsidR="005A46A8" w:rsidRPr="00714E84" w:rsidRDefault="005A46A8"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 xml:space="preserve">Brynin M (2002) Overqualification in </w:t>
      </w:r>
      <w:r w:rsidR="00064776" w:rsidRPr="00714E84">
        <w:rPr>
          <w:color w:val="262626" w:themeColor="text1" w:themeTint="D9"/>
          <w:shd w:val="clear" w:color="auto" w:fill="FFFFFF"/>
        </w:rPr>
        <w:t>e</w:t>
      </w:r>
      <w:r w:rsidRPr="00714E84">
        <w:rPr>
          <w:color w:val="262626" w:themeColor="text1" w:themeTint="D9"/>
          <w:shd w:val="clear" w:color="auto" w:fill="FFFFFF"/>
        </w:rPr>
        <w:t xml:space="preserve">mployment, </w:t>
      </w:r>
      <w:r w:rsidRPr="00714E84">
        <w:rPr>
          <w:i/>
          <w:color w:val="262626" w:themeColor="text1" w:themeTint="D9"/>
          <w:shd w:val="clear" w:color="auto" w:fill="FFFFFF"/>
        </w:rPr>
        <w:t xml:space="preserve">Work, Employment </w:t>
      </w:r>
      <w:r w:rsidR="00960212" w:rsidRPr="00714E84">
        <w:rPr>
          <w:i/>
          <w:color w:val="262626" w:themeColor="text1" w:themeTint="D9"/>
          <w:shd w:val="clear" w:color="auto" w:fill="FFFFFF"/>
        </w:rPr>
        <w:t>and</w:t>
      </w:r>
      <w:r w:rsidRPr="00714E84">
        <w:rPr>
          <w:i/>
          <w:color w:val="262626" w:themeColor="text1" w:themeTint="D9"/>
          <w:shd w:val="clear" w:color="auto" w:fill="FFFFFF"/>
        </w:rPr>
        <w:t xml:space="preserve"> Society</w:t>
      </w:r>
      <w:r w:rsidRPr="00714E84">
        <w:rPr>
          <w:color w:val="262626" w:themeColor="text1" w:themeTint="D9"/>
          <w:shd w:val="clear" w:color="auto" w:fill="FFFFFF"/>
        </w:rPr>
        <w:t xml:space="preserve"> 16(4)</w:t>
      </w:r>
      <w:r w:rsidR="00064776" w:rsidRPr="00714E84">
        <w:rPr>
          <w:color w:val="262626" w:themeColor="text1" w:themeTint="D9"/>
          <w:shd w:val="clear" w:color="auto" w:fill="FFFFFF"/>
        </w:rPr>
        <w:t>:</w:t>
      </w:r>
      <w:r w:rsidRPr="00714E84">
        <w:rPr>
          <w:color w:val="262626" w:themeColor="text1" w:themeTint="D9"/>
          <w:shd w:val="clear" w:color="auto" w:fill="FFFFFF"/>
        </w:rPr>
        <w:t xml:space="preserve"> 637-654.</w:t>
      </w:r>
    </w:p>
    <w:p w14:paraId="5E6A61C9" w14:textId="49530BA7" w:rsidR="005A46A8" w:rsidRPr="00714E84" w:rsidRDefault="00064776" w:rsidP="00F81C33">
      <w:pPr>
        <w:spacing w:line="480" w:lineRule="auto"/>
        <w:ind w:left="567" w:hanging="567"/>
        <w:jc w:val="both"/>
        <w:rPr>
          <w:color w:val="262626" w:themeColor="text1" w:themeTint="D9"/>
          <w:shd w:val="clear" w:color="auto" w:fill="FFFFFF"/>
        </w:rPr>
      </w:pPr>
      <w:r w:rsidRPr="00714E84">
        <w:t>Chevalier A</w:t>
      </w:r>
      <w:r w:rsidR="003F480D" w:rsidRPr="00714E84">
        <w:t xml:space="preserve"> (2003) Measuring </w:t>
      </w:r>
      <w:r w:rsidRPr="00714E84">
        <w:t>o</w:t>
      </w:r>
      <w:r w:rsidR="003F480D" w:rsidRPr="00714E84">
        <w:t>ver-</w:t>
      </w:r>
      <w:r w:rsidRPr="00714E84">
        <w:t>e</w:t>
      </w:r>
      <w:r w:rsidR="003F480D" w:rsidRPr="00714E84">
        <w:t>ducation.</w:t>
      </w:r>
      <w:r w:rsidR="005A46A8" w:rsidRPr="00714E84">
        <w:t xml:space="preserve"> </w:t>
      </w:r>
      <w:r w:rsidR="005A46A8" w:rsidRPr="00714E84">
        <w:rPr>
          <w:i/>
        </w:rPr>
        <w:t>Economica</w:t>
      </w:r>
      <w:r w:rsidR="005A46A8" w:rsidRPr="00714E84">
        <w:t xml:space="preserve"> 70</w:t>
      </w:r>
      <w:r w:rsidR="00BC0256" w:rsidRPr="00714E84">
        <w:t>(279)</w:t>
      </w:r>
      <w:r w:rsidRPr="00714E84">
        <w:t>:</w:t>
      </w:r>
      <w:r w:rsidR="005A46A8" w:rsidRPr="00714E84">
        <w:t xml:space="preserve"> 509–531. </w:t>
      </w:r>
    </w:p>
    <w:p w14:paraId="32364F2F" w14:textId="658FF812" w:rsidR="00B4790B" w:rsidRPr="00714E84" w:rsidRDefault="00064776"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Chiswick BR and Miller</w:t>
      </w:r>
      <w:r w:rsidR="005A46A8" w:rsidRPr="00714E84">
        <w:rPr>
          <w:color w:val="262626" w:themeColor="text1" w:themeTint="D9"/>
          <w:shd w:val="clear" w:color="auto" w:fill="FFFFFF"/>
        </w:rPr>
        <w:t xml:space="preserve"> PW (2009) The international transferability of immigrants’ human capital. </w:t>
      </w:r>
      <w:r w:rsidR="005A46A8" w:rsidRPr="00714E84">
        <w:rPr>
          <w:i/>
          <w:color w:val="262626" w:themeColor="text1" w:themeTint="D9"/>
          <w:shd w:val="clear" w:color="auto" w:fill="FFFFFF"/>
        </w:rPr>
        <w:t>Economics of Education Review</w:t>
      </w:r>
      <w:r w:rsidR="00B4790B" w:rsidRPr="00714E84">
        <w:rPr>
          <w:color w:val="262626" w:themeColor="text1" w:themeTint="D9"/>
          <w:shd w:val="clear" w:color="auto" w:fill="FFFFFF"/>
        </w:rPr>
        <w:t xml:space="preserve"> 28(2)</w:t>
      </w:r>
      <w:r w:rsidRPr="00714E84">
        <w:rPr>
          <w:color w:val="262626" w:themeColor="text1" w:themeTint="D9"/>
          <w:shd w:val="clear" w:color="auto" w:fill="FFFFFF"/>
        </w:rPr>
        <w:t>:</w:t>
      </w:r>
      <w:r w:rsidR="00B4790B" w:rsidRPr="00714E84">
        <w:rPr>
          <w:color w:val="262626" w:themeColor="text1" w:themeTint="D9"/>
          <w:shd w:val="clear" w:color="auto" w:fill="FFFFFF"/>
        </w:rPr>
        <w:t xml:space="preserve"> 162–169.</w:t>
      </w:r>
    </w:p>
    <w:p w14:paraId="5C4411A7" w14:textId="360D96C1" w:rsidR="005A46A8" w:rsidRPr="00714E84" w:rsidRDefault="005A46A8"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Clark</w:t>
      </w:r>
      <w:r w:rsidR="00064776" w:rsidRPr="00714E84">
        <w:rPr>
          <w:color w:val="262626" w:themeColor="text1" w:themeTint="D9"/>
          <w:shd w:val="clear" w:color="auto" w:fill="FFFFFF"/>
        </w:rPr>
        <w:t xml:space="preserve"> K and</w:t>
      </w:r>
      <w:r w:rsidRPr="00714E84">
        <w:rPr>
          <w:color w:val="262626" w:themeColor="text1" w:themeTint="D9"/>
          <w:shd w:val="clear" w:color="auto" w:fill="FFFFFF"/>
        </w:rPr>
        <w:t xml:space="preserve"> Drinkwater S</w:t>
      </w:r>
      <w:r w:rsidR="00064776" w:rsidRPr="00714E84">
        <w:rPr>
          <w:color w:val="262626" w:themeColor="text1" w:themeTint="D9"/>
          <w:shd w:val="clear" w:color="auto" w:fill="FFFFFF"/>
        </w:rPr>
        <w:t xml:space="preserve"> (2008)</w:t>
      </w:r>
      <w:r w:rsidRPr="00714E84">
        <w:rPr>
          <w:color w:val="262626" w:themeColor="text1" w:themeTint="D9"/>
          <w:shd w:val="clear" w:color="auto" w:fill="FFFFFF"/>
        </w:rPr>
        <w:t xml:space="preserve"> The labour-market performance of recent migrants.</w:t>
      </w:r>
      <w:r w:rsidRPr="00714E84">
        <w:rPr>
          <w:rStyle w:val="apple-converted-space"/>
          <w:color w:val="262626" w:themeColor="text1" w:themeTint="D9"/>
          <w:shd w:val="clear" w:color="auto" w:fill="FFFFFF"/>
        </w:rPr>
        <w:t> </w:t>
      </w:r>
      <w:r w:rsidRPr="00714E84">
        <w:rPr>
          <w:i/>
          <w:iCs/>
          <w:color w:val="262626" w:themeColor="text1" w:themeTint="D9"/>
          <w:shd w:val="clear" w:color="auto" w:fill="FFFFFF"/>
        </w:rPr>
        <w:t>Oxford Review of Economic Policy</w:t>
      </w:r>
      <w:r w:rsidRPr="00714E84">
        <w:rPr>
          <w:rStyle w:val="apple-converted-space"/>
          <w:color w:val="262626" w:themeColor="text1" w:themeTint="D9"/>
          <w:shd w:val="clear" w:color="auto" w:fill="FFFFFF"/>
        </w:rPr>
        <w:t> </w:t>
      </w:r>
      <w:r w:rsidRPr="00714E84">
        <w:rPr>
          <w:iCs/>
          <w:color w:val="262626" w:themeColor="text1" w:themeTint="D9"/>
          <w:shd w:val="clear" w:color="auto" w:fill="FFFFFF"/>
        </w:rPr>
        <w:t>24</w:t>
      </w:r>
      <w:r w:rsidRPr="00714E84">
        <w:rPr>
          <w:color w:val="262626" w:themeColor="text1" w:themeTint="D9"/>
          <w:shd w:val="clear" w:color="auto" w:fill="FFFFFF"/>
        </w:rPr>
        <w:t>(3)</w:t>
      </w:r>
      <w:r w:rsidR="00064776" w:rsidRPr="00714E84">
        <w:rPr>
          <w:color w:val="262626" w:themeColor="text1" w:themeTint="D9"/>
          <w:shd w:val="clear" w:color="auto" w:fill="FFFFFF"/>
        </w:rPr>
        <w:t>:</w:t>
      </w:r>
      <w:r w:rsidRPr="00714E84">
        <w:rPr>
          <w:color w:val="262626" w:themeColor="text1" w:themeTint="D9"/>
          <w:shd w:val="clear" w:color="auto" w:fill="FFFFFF"/>
        </w:rPr>
        <w:t xml:space="preserve"> 495-516.</w:t>
      </w:r>
    </w:p>
    <w:p w14:paraId="3A660D6F" w14:textId="250A7E80" w:rsidR="005A46A8" w:rsidRPr="00714E84" w:rsidRDefault="00064776"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Cook</w:t>
      </w:r>
      <w:r w:rsidR="005A46A8" w:rsidRPr="00714E84">
        <w:rPr>
          <w:color w:val="262626" w:themeColor="text1" w:themeTint="D9"/>
          <w:shd w:val="clear" w:color="auto" w:fill="FFFFFF"/>
        </w:rPr>
        <w:t xml:space="preserve"> J</w:t>
      </w:r>
      <w:r w:rsidRPr="00714E84">
        <w:rPr>
          <w:color w:val="262626" w:themeColor="text1" w:themeTint="D9"/>
          <w:shd w:val="clear" w:color="auto" w:fill="FFFFFF"/>
        </w:rPr>
        <w:t>, Dwyer P and Waite L (2011)</w:t>
      </w:r>
      <w:r w:rsidR="005A46A8" w:rsidRPr="00714E84">
        <w:rPr>
          <w:color w:val="262626" w:themeColor="text1" w:themeTint="D9"/>
          <w:shd w:val="clear" w:color="auto" w:fill="FFFFFF"/>
        </w:rPr>
        <w:t xml:space="preserve"> The experiences of accession 8 migrants in England: motivations, work and agency.</w:t>
      </w:r>
      <w:r w:rsidR="005A46A8" w:rsidRPr="00714E84">
        <w:rPr>
          <w:rStyle w:val="apple-converted-space"/>
          <w:color w:val="262626" w:themeColor="text1" w:themeTint="D9"/>
          <w:shd w:val="clear" w:color="auto" w:fill="FFFFFF"/>
        </w:rPr>
        <w:t> </w:t>
      </w:r>
      <w:r w:rsidR="005A46A8" w:rsidRPr="00714E84">
        <w:rPr>
          <w:i/>
          <w:iCs/>
          <w:color w:val="262626" w:themeColor="text1" w:themeTint="D9"/>
          <w:shd w:val="clear" w:color="auto" w:fill="FFFFFF"/>
        </w:rPr>
        <w:t>International Migration</w:t>
      </w:r>
      <w:r w:rsidR="005A46A8" w:rsidRPr="00714E84">
        <w:rPr>
          <w:rStyle w:val="apple-converted-space"/>
          <w:color w:val="262626" w:themeColor="text1" w:themeTint="D9"/>
          <w:shd w:val="clear" w:color="auto" w:fill="FFFFFF"/>
        </w:rPr>
        <w:t> </w:t>
      </w:r>
      <w:r w:rsidR="005A46A8" w:rsidRPr="00714E84">
        <w:rPr>
          <w:iCs/>
          <w:color w:val="262626" w:themeColor="text1" w:themeTint="D9"/>
          <w:shd w:val="clear" w:color="auto" w:fill="FFFFFF"/>
        </w:rPr>
        <w:t>49</w:t>
      </w:r>
      <w:r w:rsidR="005A46A8" w:rsidRPr="00714E84">
        <w:rPr>
          <w:color w:val="262626" w:themeColor="text1" w:themeTint="D9"/>
          <w:shd w:val="clear" w:color="auto" w:fill="FFFFFF"/>
        </w:rPr>
        <w:t>(2)</w:t>
      </w:r>
      <w:r w:rsidRPr="00714E84">
        <w:rPr>
          <w:color w:val="262626" w:themeColor="text1" w:themeTint="D9"/>
          <w:shd w:val="clear" w:color="auto" w:fill="FFFFFF"/>
        </w:rPr>
        <w:t>:</w:t>
      </w:r>
      <w:r w:rsidR="005A46A8" w:rsidRPr="00714E84">
        <w:rPr>
          <w:color w:val="262626" w:themeColor="text1" w:themeTint="D9"/>
          <w:shd w:val="clear" w:color="auto" w:fill="FFFFFF"/>
        </w:rPr>
        <w:t xml:space="preserve"> 54-79.</w:t>
      </w:r>
    </w:p>
    <w:p w14:paraId="37A5B80E" w14:textId="2584AE0A" w:rsidR="005A46A8" w:rsidRPr="00714E84" w:rsidRDefault="00064776"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Drinkwater S and Robinson C</w:t>
      </w:r>
      <w:r w:rsidR="005A46A8" w:rsidRPr="00714E84">
        <w:rPr>
          <w:color w:val="262626" w:themeColor="text1" w:themeTint="D9"/>
          <w:shd w:val="clear" w:color="auto" w:fill="FFFFFF"/>
        </w:rPr>
        <w:t xml:space="preserve"> (2013) Welfare participation by immigrants in the UK.</w:t>
      </w:r>
      <w:r w:rsidR="005A46A8" w:rsidRPr="00714E84">
        <w:rPr>
          <w:rStyle w:val="apple-converted-space"/>
          <w:color w:val="262626" w:themeColor="text1" w:themeTint="D9"/>
          <w:shd w:val="clear" w:color="auto" w:fill="FFFFFF"/>
        </w:rPr>
        <w:t> </w:t>
      </w:r>
      <w:r w:rsidR="005A46A8" w:rsidRPr="00714E84">
        <w:rPr>
          <w:i/>
          <w:iCs/>
          <w:color w:val="262626" w:themeColor="text1" w:themeTint="D9"/>
          <w:shd w:val="clear" w:color="auto" w:fill="FFFFFF"/>
        </w:rPr>
        <w:t>International Journal of Manpower</w:t>
      </w:r>
      <w:r w:rsidR="005A46A8" w:rsidRPr="00714E84">
        <w:rPr>
          <w:rStyle w:val="apple-converted-space"/>
          <w:color w:val="262626" w:themeColor="text1" w:themeTint="D9"/>
          <w:shd w:val="clear" w:color="auto" w:fill="FFFFFF"/>
        </w:rPr>
        <w:t> </w:t>
      </w:r>
      <w:r w:rsidR="005A46A8" w:rsidRPr="00714E84">
        <w:rPr>
          <w:iCs/>
          <w:color w:val="262626" w:themeColor="text1" w:themeTint="D9"/>
          <w:shd w:val="clear" w:color="auto" w:fill="FFFFFF"/>
        </w:rPr>
        <w:t>34</w:t>
      </w:r>
      <w:r w:rsidR="005A46A8" w:rsidRPr="00714E84">
        <w:rPr>
          <w:color w:val="262626" w:themeColor="text1" w:themeTint="D9"/>
          <w:shd w:val="clear" w:color="auto" w:fill="FFFFFF"/>
        </w:rPr>
        <w:t>(2)</w:t>
      </w:r>
      <w:r w:rsidRPr="00714E84">
        <w:rPr>
          <w:color w:val="262626" w:themeColor="text1" w:themeTint="D9"/>
          <w:shd w:val="clear" w:color="auto" w:fill="FFFFFF"/>
        </w:rPr>
        <w:t>:</w:t>
      </w:r>
      <w:r w:rsidR="00BC0256" w:rsidRPr="00714E84">
        <w:rPr>
          <w:color w:val="262626" w:themeColor="text1" w:themeTint="D9"/>
          <w:shd w:val="clear" w:color="auto" w:fill="FFFFFF"/>
        </w:rPr>
        <w:t xml:space="preserve"> </w:t>
      </w:r>
      <w:r w:rsidR="005A46A8" w:rsidRPr="00714E84">
        <w:rPr>
          <w:color w:val="262626" w:themeColor="text1" w:themeTint="D9"/>
          <w:shd w:val="clear" w:color="auto" w:fill="FFFFFF"/>
        </w:rPr>
        <w:t>100-112.</w:t>
      </w:r>
    </w:p>
    <w:p w14:paraId="47B7AB99" w14:textId="0CD83C17" w:rsidR="005A46A8" w:rsidRPr="00714E84" w:rsidRDefault="00064776" w:rsidP="00F81C33">
      <w:pPr>
        <w:autoSpaceDE w:val="0"/>
        <w:autoSpaceDN w:val="0"/>
        <w:adjustRightInd w:val="0"/>
        <w:spacing w:line="480" w:lineRule="auto"/>
        <w:ind w:left="567" w:hanging="567"/>
        <w:jc w:val="both"/>
      </w:pPr>
      <w:r w:rsidRPr="00714E84">
        <w:t>Eade</w:t>
      </w:r>
      <w:r w:rsidR="005A46A8" w:rsidRPr="00714E84">
        <w:t xml:space="preserve"> J</w:t>
      </w:r>
      <w:r w:rsidRPr="00714E84">
        <w:t xml:space="preserve"> (2007)</w:t>
      </w:r>
      <w:r w:rsidR="005A46A8" w:rsidRPr="00714E84">
        <w:t xml:space="preserve"> </w:t>
      </w:r>
      <w:r w:rsidR="005A46A8" w:rsidRPr="00714E84">
        <w:rPr>
          <w:i/>
          <w:iCs/>
        </w:rPr>
        <w:t>Class and Ethnicity: Polish Migrant Workers in London: Full Research Report. ESRC End of Award Report, RES-000-22-1294</w:t>
      </w:r>
      <w:r w:rsidR="005A46A8" w:rsidRPr="00714E84">
        <w:t>. Swindon: ESRC</w:t>
      </w:r>
    </w:p>
    <w:p w14:paraId="6C3EF99A" w14:textId="49210788" w:rsidR="005A46A8" w:rsidRPr="00714E84" w:rsidRDefault="005A46A8" w:rsidP="00F81C33">
      <w:pPr>
        <w:spacing w:line="480" w:lineRule="auto"/>
        <w:ind w:left="567" w:hanging="567"/>
        <w:jc w:val="both"/>
        <w:rPr>
          <w:rFonts w:eastAsiaTheme="majorEastAsia"/>
        </w:rPr>
      </w:pPr>
      <w:r w:rsidRPr="00714E84">
        <w:rPr>
          <w:color w:val="231F20"/>
        </w:rPr>
        <w:t>Fife Research Coordination Grou</w:t>
      </w:r>
      <w:r w:rsidR="00064776" w:rsidRPr="00714E84">
        <w:rPr>
          <w:color w:val="231F20"/>
        </w:rPr>
        <w:t>p (2008)</w:t>
      </w:r>
      <w:r w:rsidRPr="00714E84">
        <w:rPr>
          <w:color w:val="231F20"/>
        </w:rPr>
        <w:t xml:space="preserve"> </w:t>
      </w:r>
      <w:r w:rsidRPr="00714E84">
        <w:rPr>
          <w:i/>
          <w:iCs/>
          <w:color w:val="231F20"/>
        </w:rPr>
        <w:t>Migrant Workers in Fife Survey 2007</w:t>
      </w:r>
      <w:r w:rsidRPr="00714E84">
        <w:rPr>
          <w:color w:val="231F20"/>
        </w:rPr>
        <w:t>. Available at:</w:t>
      </w:r>
      <w:r w:rsidRPr="00714E84">
        <w:rPr>
          <w:rFonts w:eastAsiaTheme="majorEastAsia"/>
        </w:rPr>
        <w:t xml:space="preserve"> </w:t>
      </w:r>
      <w:hyperlink r:id="rId8" w:history="1">
        <w:r w:rsidR="00587F18" w:rsidRPr="0001066B">
          <w:rPr>
            <w:rStyle w:val="Hyperlink"/>
          </w:rPr>
          <w:t>http://admin.1fife.org.uk/uploadfiles/publications/c64_MigrantWorkersSurveyKnowFifeFindingsV1_2.pdf</w:t>
        </w:r>
      </w:hyperlink>
      <w:r w:rsidR="00167B32" w:rsidRPr="00714E84">
        <w:rPr>
          <w:color w:val="231F20"/>
        </w:rPr>
        <w:t>.</w:t>
      </w:r>
      <w:r w:rsidR="00587F18">
        <w:rPr>
          <w:color w:val="231F20"/>
        </w:rPr>
        <w:t xml:space="preserve"> Accessed: 12/05/2011.</w:t>
      </w:r>
    </w:p>
    <w:p w14:paraId="46FA6DCC" w14:textId="1984A6C8" w:rsidR="005A46A8" w:rsidRPr="00714E84" w:rsidRDefault="005A46A8"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 xml:space="preserve">Findlay A, McCollum D, Shubin S, Apsite E </w:t>
      </w:r>
      <w:r w:rsidR="00167B32" w:rsidRPr="00714E84">
        <w:rPr>
          <w:color w:val="262626" w:themeColor="text1" w:themeTint="D9"/>
          <w:shd w:val="clear" w:color="auto" w:fill="FFFFFF"/>
        </w:rPr>
        <w:t>and</w:t>
      </w:r>
      <w:r w:rsidRPr="00714E84">
        <w:rPr>
          <w:color w:val="262626" w:themeColor="text1" w:themeTint="D9"/>
          <w:shd w:val="clear" w:color="auto" w:fill="FFFFFF"/>
        </w:rPr>
        <w:t xml:space="preserve"> Krisjane Z (2013) The role of recruitment agencies in imagining and producing the ‘good’ migrant.</w:t>
      </w:r>
      <w:r w:rsidRPr="00714E84">
        <w:rPr>
          <w:rStyle w:val="apple-converted-space"/>
          <w:color w:val="262626" w:themeColor="text1" w:themeTint="D9"/>
          <w:shd w:val="clear" w:color="auto" w:fill="FFFFFF"/>
        </w:rPr>
        <w:t> </w:t>
      </w:r>
      <w:r w:rsidRPr="00714E84">
        <w:rPr>
          <w:i/>
          <w:iCs/>
          <w:color w:val="262626" w:themeColor="text1" w:themeTint="D9"/>
          <w:shd w:val="clear" w:color="auto" w:fill="FFFFFF"/>
        </w:rPr>
        <w:t>Social &amp; Cultural Geography</w:t>
      </w:r>
      <w:r w:rsidRPr="00714E84">
        <w:rPr>
          <w:rStyle w:val="apple-converted-space"/>
          <w:color w:val="262626" w:themeColor="text1" w:themeTint="D9"/>
          <w:shd w:val="clear" w:color="auto" w:fill="FFFFFF"/>
        </w:rPr>
        <w:t> </w:t>
      </w:r>
      <w:r w:rsidRPr="00714E84">
        <w:rPr>
          <w:iCs/>
          <w:color w:val="262626" w:themeColor="text1" w:themeTint="D9"/>
          <w:shd w:val="clear" w:color="auto" w:fill="FFFFFF"/>
        </w:rPr>
        <w:t>14</w:t>
      </w:r>
      <w:r w:rsidRPr="00714E84">
        <w:rPr>
          <w:color w:val="262626" w:themeColor="text1" w:themeTint="D9"/>
          <w:shd w:val="clear" w:color="auto" w:fill="FFFFFF"/>
        </w:rPr>
        <w:t>(2)</w:t>
      </w:r>
      <w:r w:rsidR="00167B32" w:rsidRPr="00714E84">
        <w:rPr>
          <w:color w:val="262626" w:themeColor="text1" w:themeTint="D9"/>
          <w:shd w:val="clear" w:color="auto" w:fill="FFFFFF"/>
        </w:rPr>
        <w:t>:</w:t>
      </w:r>
      <w:r w:rsidRPr="00714E84">
        <w:rPr>
          <w:color w:val="262626" w:themeColor="text1" w:themeTint="D9"/>
          <w:shd w:val="clear" w:color="auto" w:fill="FFFFFF"/>
        </w:rPr>
        <w:t xml:space="preserve"> 145-167.</w:t>
      </w:r>
    </w:p>
    <w:p w14:paraId="105317D5" w14:textId="3D8A4CB5" w:rsidR="005A46A8" w:rsidRPr="00714E84" w:rsidRDefault="00167B32"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lastRenderedPageBreak/>
        <w:t>French S (2012)</w:t>
      </w:r>
      <w:r w:rsidR="005A46A8" w:rsidRPr="00714E84">
        <w:rPr>
          <w:color w:val="262626" w:themeColor="text1" w:themeTint="D9"/>
          <w:shd w:val="clear" w:color="auto" w:fill="FFFFFF"/>
        </w:rPr>
        <w:t xml:space="preserve"> Beyond ESOL? Assessing the propensity of east European migrant workers to undertake further and higher education.</w:t>
      </w:r>
      <w:r w:rsidR="005A46A8" w:rsidRPr="00714E84">
        <w:rPr>
          <w:rStyle w:val="apple-converted-space"/>
          <w:color w:val="262626" w:themeColor="text1" w:themeTint="D9"/>
          <w:shd w:val="clear" w:color="auto" w:fill="FFFFFF"/>
        </w:rPr>
        <w:t> </w:t>
      </w:r>
      <w:r w:rsidR="005A46A8" w:rsidRPr="00714E84">
        <w:rPr>
          <w:i/>
          <w:iCs/>
          <w:color w:val="262626" w:themeColor="text1" w:themeTint="D9"/>
          <w:shd w:val="clear" w:color="auto" w:fill="FFFFFF"/>
        </w:rPr>
        <w:t>Research in Post-Compulsory Education</w:t>
      </w:r>
      <w:r w:rsidR="005A46A8" w:rsidRPr="00714E84">
        <w:rPr>
          <w:rStyle w:val="apple-converted-space"/>
          <w:color w:val="262626" w:themeColor="text1" w:themeTint="D9"/>
          <w:shd w:val="clear" w:color="auto" w:fill="FFFFFF"/>
        </w:rPr>
        <w:t> </w:t>
      </w:r>
      <w:r w:rsidR="005A46A8" w:rsidRPr="00714E84">
        <w:rPr>
          <w:iCs/>
          <w:color w:val="262626" w:themeColor="text1" w:themeTint="D9"/>
          <w:shd w:val="clear" w:color="auto" w:fill="FFFFFF"/>
        </w:rPr>
        <w:t>17</w:t>
      </w:r>
      <w:r w:rsidR="005A46A8" w:rsidRPr="00714E84">
        <w:rPr>
          <w:color w:val="262626" w:themeColor="text1" w:themeTint="D9"/>
          <w:shd w:val="clear" w:color="auto" w:fill="FFFFFF"/>
        </w:rPr>
        <w:t>(1)</w:t>
      </w:r>
      <w:r w:rsidRPr="00714E84">
        <w:rPr>
          <w:color w:val="262626" w:themeColor="text1" w:themeTint="D9"/>
          <w:shd w:val="clear" w:color="auto" w:fill="FFFFFF"/>
        </w:rPr>
        <w:t>:</w:t>
      </w:r>
      <w:r w:rsidR="005A46A8" w:rsidRPr="00714E84">
        <w:rPr>
          <w:color w:val="262626" w:themeColor="text1" w:themeTint="D9"/>
          <w:shd w:val="clear" w:color="auto" w:fill="FFFFFF"/>
        </w:rPr>
        <w:t xml:space="preserve"> 125-142.</w:t>
      </w:r>
    </w:p>
    <w:p w14:paraId="6B55F253" w14:textId="07171224" w:rsidR="00521359" w:rsidRPr="00714E84" w:rsidRDefault="00167B32" w:rsidP="00F81C33">
      <w:pPr>
        <w:spacing w:line="480" w:lineRule="auto"/>
        <w:ind w:left="567" w:hanging="567"/>
        <w:jc w:val="both"/>
        <w:rPr>
          <w:color w:val="262626" w:themeColor="text1" w:themeTint="D9"/>
        </w:rPr>
      </w:pPr>
      <w:r w:rsidRPr="00714E84">
        <w:rPr>
          <w:color w:val="262626" w:themeColor="text1" w:themeTint="D9"/>
        </w:rPr>
        <w:t xml:space="preserve">Green F and </w:t>
      </w:r>
      <w:r w:rsidR="00521359" w:rsidRPr="00714E84">
        <w:rPr>
          <w:color w:val="262626" w:themeColor="text1" w:themeTint="D9"/>
        </w:rPr>
        <w:t>Zhu Y</w:t>
      </w:r>
      <w:r w:rsidRPr="00714E84">
        <w:rPr>
          <w:color w:val="262626" w:themeColor="text1" w:themeTint="D9"/>
        </w:rPr>
        <w:t xml:space="preserve"> (2010)</w:t>
      </w:r>
      <w:r w:rsidR="00521359" w:rsidRPr="00714E84">
        <w:rPr>
          <w:color w:val="262626" w:themeColor="text1" w:themeTint="D9"/>
        </w:rPr>
        <w:t xml:space="preserve"> Overqualification, job dissatisfaction, and increasing dispersion in the returns to graduate education. </w:t>
      </w:r>
      <w:r w:rsidR="00521359" w:rsidRPr="00714E84">
        <w:rPr>
          <w:i/>
          <w:iCs/>
          <w:color w:val="262626" w:themeColor="text1" w:themeTint="D9"/>
        </w:rPr>
        <w:t>Oxford Economic Papers</w:t>
      </w:r>
      <w:r w:rsidR="00521359" w:rsidRPr="00714E84">
        <w:rPr>
          <w:color w:val="262626" w:themeColor="text1" w:themeTint="D9"/>
        </w:rPr>
        <w:t xml:space="preserve"> 62(4)</w:t>
      </w:r>
      <w:r w:rsidRPr="00714E84">
        <w:rPr>
          <w:color w:val="262626" w:themeColor="text1" w:themeTint="D9"/>
        </w:rPr>
        <w:t xml:space="preserve">: </w:t>
      </w:r>
      <w:r w:rsidR="00521359" w:rsidRPr="00714E84">
        <w:rPr>
          <w:color w:val="262626" w:themeColor="text1" w:themeTint="D9"/>
        </w:rPr>
        <w:t>740-763.</w:t>
      </w:r>
    </w:p>
    <w:p w14:paraId="41969568" w14:textId="54EC4864" w:rsidR="001B4306" w:rsidRPr="00714E84" w:rsidRDefault="00167B32" w:rsidP="00F81C33">
      <w:pPr>
        <w:spacing w:line="480" w:lineRule="auto"/>
        <w:ind w:left="567" w:hanging="567"/>
        <w:jc w:val="both"/>
        <w:rPr>
          <w:color w:val="262626" w:themeColor="text1" w:themeTint="D9"/>
        </w:rPr>
      </w:pPr>
      <w:r w:rsidRPr="00714E84">
        <w:rPr>
          <w:color w:val="262626" w:themeColor="text1" w:themeTint="D9"/>
        </w:rPr>
        <w:t>Griesshaber N and Seibel V</w:t>
      </w:r>
      <w:r w:rsidR="001B4306" w:rsidRPr="00714E84">
        <w:rPr>
          <w:color w:val="262626" w:themeColor="text1" w:themeTint="D9"/>
        </w:rPr>
        <w:t xml:space="preserve"> (2015</w:t>
      </w:r>
      <w:r w:rsidRPr="00714E84">
        <w:rPr>
          <w:color w:val="262626" w:themeColor="text1" w:themeTint="D9"/>
        </w:rPr>
        <w:t>)</w:t>
      </w:r>
      <w:r w:rsidR="001B4306" w:rsidRPr="00714E84">
        <w:rPr>
          <w:color w:val="262626" w:themeColor="text1" w:themeTint="D9"/>
        </w:rPr>
        <w:t xml:space="preserve"> Over-education among Immigrants in Europe: The Value of Civic Involvement. </w:t>
      </w:r>
      <w:r w:rsidR="001B4306" w:rsidRPr="00714E84">
        <w:rPr>
          <w:i/>
          <w:color w:val="262626" w:themeColor="text1" w:themeTint="D9"/>
        </w:rPr>
        <w:t>Journal of Ethnic and Migration Studies</w:t>
      </w:r>
      <w:r w:rsidR="001B4306" w:rsidRPr="00714E84">
        <w:rPr>
          <w:color w:val="262626" w:themeColor="text1" w:themeTint="D9"/>
        </w:rPr>
        <w:t xml:space="preserve"> 41(3): 374-398. </w:t>
      </w:r>
    </w:p>
    <w:p w14:paraId="3B121F72" w14:textId="765978DE" w:rsidR="005A46A8" w:rsidRPr="00714E84" w:rsidRDefault="00167B32" w:rsidP="00F81C33">
      <w:pPr>
        <w:spacing w:line="480" w:lineRule="auto"/>
        <w:ind w:left="567" w:hanging="567"/>
        <w:jc w:val="both"/>
        <w:rPr>
          <w:color w:val="262626" w:themeColor="text1" w:themeTint="D9"/>
        </w:rPr>
      </w:pPr>
      <w:r w:rsidRPr="00714E84">
        <w:rPr>
          <w:color w:val="262626" w:themeColor="text1" w:themeTint="D9"/>
        </w:rPr>
        <w:t>Heath A</w:t>
      </w:r>
      <w:r w:rsidR="005A46A8" w:rsidRPr="00714E84">
        <w:rPr>
          <w:color w:val="262626" w:themeColor="text1" w:themeTint="D9"/>
        </w:rPr>
        <w:t xml:space="preserve"> </w:t>
      </w:r>
      <w:r w:rsidRPr="00714E84">
        <w:rPr>
          <w:color w:val="262626" w:themeColor="text1" w:themeTint="D9"/>
        </w:rPr>
        <w:t>and</w:t>
      </w:r>
      <w:r w:rsidR="005A46A8" w:rsidRPr="00714E84">
        <w:rPr>
          <w:color w:val="262626" w:themeColor="text1" w:themeTint="D9"/>
        </w:rPr>
        <w:t xml:space="preserve"> McMahon D (2005) Social mobility of ethnic minorities</w:t>
      </w:r>
      <w:r w:rsidR="0093658D" w:rsidRPr="00714E84">
        <w:rPr>
          <w:color w:val="262626" w:themeColor="text1" w:themeTint="D9"/>
        </w:rPr>
        <w:t>.</w:t>
      </w:r>
      <w:r w:rsidR="005A46A8" w:rsidRPr="00714E84">
        <w:rPr>
          <w:color w:val="262626" w:themeColor="text1" w:themeTint="D9"/>
        </w:rPr>
        <w:t xml:space="preserve"> </w:t>
      </w:r>
      <w:r w:rsidR="0093658D" w:rsidRPr="00714E84">
        <w:rPr>
          <w:color w:val="262626" w:themeColor="text1" w:themeTint="D9"/>
        </w:rPr>
        <w:t>I</w:t>
      </w:r>
      <w:r w:rsidR="005A46A8" w:rsidRPr="00714E84">
        <w:rPr>
          <w:color w:val="262626" w:themeColor="text1" w:themeTint="D9"/>
        </w:rPr>
        <w:t>n</w:t>
      </w:r>
      <w:r w:rsidR="0093658D" w:rsidRPr="00714E84">
        <w:rPr>
          <w:color w:val="262626" w:themeColor="text1" w:themeTint="D9"/>
        </w:rPr>
        <w:t>:</w:t>
      </w:r>
      <w:r w:rsidR="005A46A8" w:rsidRPr="00714E84">
        <w:rPr>
          <w:color w:val="262626" w:themeColor="text1" w:themeTint="D9"/>
        </w:rPr>
        <w:t xml:space="preserve"> Loury</w:t>
      </w:r>
      <w:r w:rsidRPr="00714E84">
        <w:rPr>
          <w:color w:val="262626" w:themeColor="text1" w:themeTint="D9"/>
        </w:rPr>
        <w:t xml:space="preserve"> GC</w:t>
      </w:r>
      <w:r w:rsidR="005A46A8" w:rsidRPr="00714E84">
        <w:rPr>
          <w:color w:val="262626" w:themeColor="text1" w:themeTint="D9"/>
        </w:rPr>
        <w:t>, Modood</w:t>
      </w:r>
      <w:r w:rsidRPr="00714E84">
        <w:rPr>
          <w:color w:val="262626" w:themeColor="text1" w:themeTint="D9"/>
        </w:rPr>
        <w:t xml:space="preserve"> N,</w:t>
      </w:r>
      <w:r w:rsidR="005A46A8" w:rsidRPr="00714E84">
        <w:rPr>
          <w:color w:val="262626" w:themeColor="text1" w:themeTint="D9"/>
        </w:rPr>
        <w:t xml:space="preserve"> Teles</w:t>
      </w:r>
      <w:r w:rsidRPr="00714E84">
        <w:rPr>
          <w:color w:val="262626" w:themeColor="text1" w:themeTint="D9"/>
        </w:rPr>
        <w:t xml:space="preserve"> SM</w:t>
      </w:r>
      <w:r w:rsidR="005A46A8" w:rsidRPr="00714E84">
        <w:rPr>
          <w:color w:val="262626" w:themeColor="text1" w:themeTint="D9"/>
        </w:rPr>
        <w:t xml:space="preserve"> (eds) </w:t>
      </w:r>
      <w:r w:rsidR="005A46A8" w:rsidRPr="00714E84">
        <w:rPr>
          <w:i/>
          <w:color w:val="262626" w:themeColor="text1" w:themeTint="D9"/>
        </w:rPr>
        <w:t>Ethnicity, Social Mobility and Public Policy</w:t>
      </w:r>
      <w:r w:rsidRPr="00714E84">
        <w:rPr>
          <w:color w:val="262626" w:themeColor="text1" w:themeTint="D9"/>
        </w:rPr>
        <w:t>.</w:t>
      </w:r>
      <w:r w:rsidR="005A46A8" w:rsidRPr="00714E84">
        <w:rPr>
          <w:color w:val="262626" w:themeColor="text1" w:themeTint="D9"/>
        </w:rPr>
        <w:t xml:space="preserve"> Cambri</w:t>
      </w:r>
      <w:r w:rsidR="00BC0256" w:rsidRPr="00714E84">
        <w:rPr>
          <w:color w:val="262626" w:themeColor="text1" w:themeTint="D9"/>
        </w:rPr>
        <w:t>dge: Cambridge University Press, 393-413.</w:t>
      </w:r>
    </w:p>
    <w:p w14:paraId="1734CAF7" w14:textId="71E9DE81" w:rsidR="00E65EE9" w:rsidRPr="00714E84" w:rsidRDefault="00E65EE9" w:rsidP="00F81C33">
      <w:pPr>
        <w:spacing w:line="480" w:lineRule="auto"/>
        <w:ind w:left="567" w:hanging="567"/>
        <w:jc w:val="both"/>
      </w:pPr>
      <w:r w:rsidRPr="00714E84">
        <w:t>Home Office (2007) Accession Monitoring Report A8 Countries, May 2004-June 2007. A</w:t>
      </w:r>
      <w:r w:rsidRPr="00714E84">
        <w:rPr>
          <w:color w:val="000000"/>
          <w:lang w:eastAsia="zh-CN"/>
        </w:rPr>
        <w:t xml:space="preserve">vailable </w:t>
      </w:r>
      <w:r w:rsidR="00167B32" w:rsidRPr="00714E84">
        <w:rPr>
          <w:color w:val="000000"/>
          <w:lang w:eastAsia="zh-CN"/>
        </w:rPr>
        <w:t>at</w:t>
      </w:r>
      <w:r w:rsidRPr="00714E84">
        <w:rPr>
          <w:color w:val="000000"/>
          <w:lang w:eastAsia="zh-CN"/>
        </w:rPr>
        <w:t xml:space="preserve">: </w:t>
      </w:r>
      <w:hyperlink r:id="rId9" w:history="1">
        <w:r w:rsidRPr="00714E84">
          <w:rPr>
            <w:rStyle w:val="Hyperlink"/>
            <w:lang w:eastAsia="zh-CN"/>
          </w:rPr>
          <w:t>http://www.newport.gov.uk/stellent/groups/public/documents/report/cont311225.pdf</w:t>
        </w:r>
      </w:hyperlink>
      <w:r w:rsidR="00167B32" w:rsidRPr="00714E84">
        <w:rPr>
          <w:rStyle w:val="Hyperlink"/>
          <w:lang w:eastAsia="zh-CN"/>
        </w:rPr>
        <w:t>.</w:t>
      </w:r>
      <w:r w:rsidRPr="00714E84">
        <w:rPr>
          <w:color w:val="000000"/>
          <w:lang w:eastAsia="zh-CN"/>
        </w:rPr>
        <w:t xml:space="preserve"> </w:t>
      </w:r>
    </w:p>
    <w:p w14:paraId="5F5B1E4D" w14:textId="3918C76A" w:rsidR="00B4790B" w:rsidRPr="00714E84" w:rsidRDefault="00B4790B" w:rsidP="00F81C33">
      <w:pPr>
        <w:spacing w:line="480" w:lineRule="auto"/>
        <w:ind w:left="567" w:hanging="567"/>
        <w:jc w:val="both"/>
      </w:pPr>
      <w:r w:rsidRPr="00714E84">
        <w:rPr>
          <w:color w:val="262626" w:themeColor="text1" w:themeTint="D9"/>
        </w:rPr>
        <w:t>Home Office</w:t>
      </w:r>
      <w:r w:rsidR="00103AE6" w:rsidRPr="00714E84">
        <w:rPr>
          <w:color w:val="262626" w:themeColor="text1" w:themeTint="D9"/>
        </w:rPr>
        <w:t xml:space="preserve"> (2016)</w:t>
      </w:r>
      <w:r w:rsidRPr="00714E84">
        <w:rPr>
          <w:color w:val="262626" w:themeColor="text1" w:themeTint="D9"/>
        </w:rPr>
        <w:t xml:space="preserve"> CCM20110 - A8 Migrant Workers: Workers Registration Scheme.</w:t>
      </w:r>
      <w:r w:rsidR="00167B32" w:rsidRPr="00714E84">
        <w:rPr>
          <w:color w:val="262626" w:themeColor="text1" w:themeTint="D9"/>
        </w:rPr>
        <w:t xml:space="preserve"> Available at:</w:t>
      </w:r>
      <w:r w:rsidRPr="00714E84">
        <w:rPr>
          <w:color w:val="262626" w:themeColor="text1" w:themeTint="D9"/>
        </w:rPr>
        <w:t xml:space="preserve"> </w:t>
      </w:r>
      <w:hyperlink r:id="rId10" w:history="1">
        <w:r w:rsidRPr="00714E84">
          <w:rPr>
            <w:rStyle w:val="Hyperlink"/>
          </w:rPr>
          <w:t>http://www.hmrc.gov.uk/manuals/ccmmanual/ccm20110.htm</w:t>
        </w:r>
      </w:hyperlink>
      <w:r w:rsidR="00167B32" w:rsidRPr="00714E84">
        <w:rPr>
          <w:color w:val="262626" w:themeColor="text1" w:themeTint="D9"/>
        </w:rPr>
        <w:t>.</w:t>
      </w:r>
    </w:p>
    <w:p w14:paraId="45A64F22" w14:textId="42481293" w:rsidR="005A46A8" w:rsidRPr="00714E84" w:rsidRDefault="00167B32" w:rsidP="00F81C33">
      <w:pPr>
        <w:spacing w:line="480" w:lineRule="auto"/>
        <w:ind w:left="567" w:hanging="567"/>
        <w:jc w:val="both"/>
        <w:rPr>
          <w:color w:val="262626" w:themeColor="text1" w:themeTint="D9"/>
        </w:rPr>
      </w:pPr>
      <w:r w:rsidRPr="00714E84">
        <w:t>Johnston</w:t>
      </w:r>
      <w:r w:rsidR="005A46A8" w:rsidRPr="00714E84">
        <w:t xml:space="preserve"> R, Khattab N </w:t>
      </w:r>
      <w:r w:rsidRPr="00714E84">
        <w:t>and Manley</w:t>
      </w:r>
      <w:r w:rsidR="005A46A8" w:rsidRPr="00714E84">
        <w:t xml:space="preserve"> DJ </w:t>
      </w:r>
      <w:r w:rsidR="003F480D" w:rsidRPr="00714E84">
        <w:t>(</w:t>
      </w:r>
      <w:r w:rsidR="005A46A8" w:rsidRPr="00714E84">
        <w:t>2015</w:t>
      </w:r>
      <w:r w:rsidR="003F480D" w:rsidRPr="00714E84">
        <w:t>)</w:t>
      </w:r>
      <w:r w:rsidR="005A46A8" w:rsidRPr="00714E84">
        <w:t xml:space="preserve"> </w:t>
      </w:r>
      <w:r w:rsidR="009A0551" w:rsidRPr="00714E84">
        <w:rPr>
          <w:rFonts w:eastAsia="PMingLiU"/>
        </w:rPr>
        <w:t xml:space="preserve">‘East versus West? </w:t>
      </w:r>
      <w:r w:rsidR="005A46A8" w:rsidRPr="00714E84">
        <w:rPr>
          <w:rFonts w:eastAsia="PMingLiU"/>
        </w:rPr>
        <w:t>Over-qualification and earnings among the UK's European migrants’</w:t>
      </w:r>
      <w:r w:rsidR="005A46A8" w:rsidRPr="00714E84">
        <w:t xml:space="preserve">. </w:t>
      </w:r>
      <w:r w:rsidR="005A46A8" w:rsidRPr="00714E84">
        <w:rPr>
          <w:i/>
          <w:iCs/>
        </w:rPr>
        <w:t>Journal of Ethnic and Migration Studies</w:t>
      </w:r>
      <w:r w:rsidR="005A46A8" w:rsidRPr="00714E84">
        <w:t xml:space="preserve"> 41(2)</w:t>
      </w:r>
      <w:r w:rsidRPr="00714E84">
        <w:t>:</w:t>
      </w:r>
      <w:r w:rsidR="005A46A8" w:rsidRPr="00714E84">
        <w:t xml:space="preserve"> 196-218</w:t>
      </w:r>
      <w:r w:rsidR="00A16483">
        <w:t>.</w:t>
      </w:r>
    </w:p>
    <w:p w14:paraId="516041FB" w14:textId="21885976" w:rsidR="00AD1C6F" w:rsidRDefault="00AD1C6F" w:rsidP="00F81C33">
      <w:pPr>
        <w:spacing w:line="480" w:lineRule="auto"/>
        <w:ind w:left="567" w:hanging="567"/>
        <w:jc w:val="both"/>
        <w:rPr>
          <w:rFonts w:eastAsiaTheme="majorEastAsia"/>
        </w:rPr>
      </w:pPr>
      <w:r w:rsidRPr="00AD1C6F">
        <w:rPr>
          <w:rFonts w:eastAsiaTheme="majorEastAsia"/>
        </w:rPr>
        <w:t>Johns</w:t>
      </w:r>
      <w:r>
        <w:rPr>
          <w:rFonts w:eastAsiaTheme="majorEastAsia"/>
        </w:rPr>
        <w:t>ton R, Sirkeci I, Khattab, N</w:t>
      </w:r>
      <w:r w:rsidRPr="00AD1C6F">
        <w:rPr>
          <w:rFonts w:eastAsiaTheme="majorEastAsia"/>
        </w:rPr>
        <w:t xml:space="preserve"> </w:t>
      </w:r>
      <w:r>
        <w:rPr>
          <w:rFonts w:eastAsiaTheme="majorEastAsia"/>
        </w:rPr>
        <w:t>and Modood</w:t>
      </w:r>
      <w:r w:rsidRPr="00AD1C6F">
        <w:rPr>
          <w:rFonts w:eastAsiaTheme="majorEastAsia"/>
        </w:rPr>
        <w:t xml:space="preserve"> T (2010) Ethno-religious categories and measuring occupational attainment in relation to Education in England and Wales: a multi-level analysis. </w:t>
      </w:r>
      <w:r w:rsidRPr="00AD1C6F">
        <w:rPr>
          <w:rFonts w:eastAsiaTheme="majorEastAsia"/>
          <w:i/>
        </w:rPr>
        <w:t>Environment and Planning A</w:t>
      </w:r>
      <w:r w:rsidRPr="00AD1C6F">
        <w:rPr>
          <w:rFonts w:eastAsiaTheme="majorEastAsia"/>
        </w:rPr>
        <w:t>, 42(3): 578-591.</w:t>
      </w:r>
    </w:p>
    <w:p w14:paraId="019A6F6D" w14:textId="74D00EC6" w:rsidR="00B4790B" w:rsidRPr="00714E84" w:rsidRDefault="00B4790B" w:rsidP="00F81C33">
      <w:pPr>
        <w:spacing w:line="480" w:lineRule="auto"/>
        <w:ind w:left="567" w:hanging="567"/>
        <w:jc w:val="both"/>
        <w:rPr>
          <w:rFonts w:eastAsiaTheme="majorEastAsia"/>
        </w:rPr>
      </w:pPr>
      <w:r w:rsidRPr="00714E84">
        <w:rPr>
          <w:rFonts w:eastAsiaTheme="majorEastAsia"/>
        </w:rPr>
        <w:t>Kalfa E</w:t>
      </w:r>
      <w:r w:rsidR="00167B32" w:rsidRPr="00714E84">
        <w:rPr>
          <w:rFonts w:eastAsiaTheme="majorEastAsia"/>
        </w:rPr>
        <w:t xml:space="preserve"> and</w:t>
      </w:r>
      <w:r w:rsidRPr="00714E84">
        <w:rPr>
          <w:rFonts w:eastAsiaTheme="majorEastAsia"/>
        </w:rPr>
        <w:t xml:space="preserve"> Piracha M (2013) Immigrants’ Educational Mismatch and the Penalty of Over-Education. </w:t>
      </w:r>
      <w:r w:rsidRPr="00714E84">
        <w:rPr>
          <w:rFonts w:eastAsiaTheme="majorEastAsia"/>
          <w:i/>
          <w:iCs/>
        </w:rPr>
        <w:t>IZA DP No. 7721</w:t>
      </w:r>
      <w:r w:rsidRPr="00714E84">
        <w:rPr>
          <w:rFonts w:eastAsiaTheme="majorEastAsia"/>
        </w:rPr>
        <w:t xml:space="preserve">. </w:t>
      </w:r>
    </w:p>
    <w:p w14:paraId="53439213" w14:textId="07186093" w:rsidR="00AD1C6F" w:rsidRDefault="00AD1C6F" w:rsidP="00F81C33">
      <w:pPr>
        <w:spacing w:line="480" w:lineRule="auto"/>
        <w:ind w:left="567" w:hanging="567"/>
        <w:jc w:val="both"/>
        <w:rPr>
          <w:color w:val="262626" w:themeColor="text1" w:themeTint="D9"/>
          <w:shd w:val="clear" w:color="auto" w:fill="FFFFFF"/>
        </w:rPr>
      </w:pPr>
      <w:r>
        <w:rPr>
          <w:color w:val="262626" w:themeColor="text1" w:themeTint="D9"/>
          <w:shd w:val="clear" w:color="auto" w:fill="FFFFFF"/>
        </w:rPr>
        <w:lastRenderedPageBreak/>
        <w:t>Khattab N, Sirkeci I, Johnston R, and Modood T</w:t>
      </w:r>
      <w:r w:rsidRPr="00AD1C6F">
        <w:rPr>
          <w:color w:val="262626" w:themeColor="text1" w:themeTint="D9"/>
          <w:shd w:val="clear" w:color="auto" w:fill="FFFFFF"/>
        </w:rPr>
        <w:t xml:space="preserve"> (2011) Ethnicity, religion, residential segregation and life chances. In: Modood T, Salt J (eds.) </w:t>
      </w:r>
      <w:r w:rsidRPr="00AD1C6F">
        <w:rPr>
          <w:i/>
          <w:color w:val="262626" w:themeColor="text1" w:themeTint="D9"/>
          <w:shd w:val="clear" w:color="auto" w:fill="FFFFFF"/>
        </w:rPr>
        <w:t>Global Migration, Ethnicity and Britishness</w:t>
      </w:r>
      <w:r w:rsidRPr="00AD1C6F">
        <w:rPr>
          <w:color w:val="262626" w:themeColor="text1" w:themeTint="D9"/>
          <w:shd w:val="clear" w:color="auto" w:fill="FFFFFF"/>
        </w:rPr>
        <w:t>. Basingstoke: Palgrave Macmillan, 153-176.</w:t>
      </w:r>
    </w:p>
    <w:p w14:paraId="5D64FCB5" w14:textId="6247B2C6" w:rsidR="005A46A8" w:rsidRPr="00714E84" w:rsidRDefault="001B4306"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 xml:space="preserve">Khattab N </w:t>
      </w:r>
      <w:r w:rsidR="00167B32" w:rsidRPr="00714E84">
        <w:rPr>
          <w:color w:val="262626" w:themeColor="text1" w:themeTint="D9"/>
          <w:shd w:val="clear" w:color="auto" w:fill="FFFFFF"/>
        </w:rPr>
        <w:t>and</w:t>
      </w:r>
      <w:r w:rsidRPr="00714E84">
        <w:rPr>
          <w:color w:val="262626" w:themeColor="text1" w:themeTint="D9"/>
          <w:shd w:val="clear" w:color="auto" w:fill="FFFFFF"/>
        </w:rPr>
        <w:t xml:space="preserve"> Johnston R</w:t>
      </w:r>
      <w:r w:rsidR="00167B32" w:rsidRPr="00714E84">
        <w:rPr>
          <w:color w:val="262626" w:themeColor="text1" w:themeTint="D9"/>
          <w:shd w:val="clear" w:color="auto" w:fill="FFFFFF"/>
        </w:rPr>
        <w:t xml:space="preserve"> (2013)</w:t>
      </w:r>
      <w:r w:rsidR="005A46A8" w:rsidRPr="00714E84">
        <w:rPr>
          <w:color w:val="262626" w:themeColor="text1" w:themeTint="D9"/>
          <w:shd w:val="clear" w:color="auto" w:fill="FFFFFF"/>
        </w:rPr>
        <w:t xml:space="preserve"> Ethnic and religious penalties in a changing British labour market from 2002 to 2010.</w:t>
      </w:r>
      <w:r w:rsidR="005A46A8" w:rsidRPr="00714E84">
        <w:rPr>
          <w:rStyle w:val="apple-converted-space"/>
          <w:color w:val="262626" w:themeColor="text1" w:themeTint="D9"/>
          <w:shd w:val="clear" w:color="auto" w:fill="FFFFFF"/>
        </w:rPr>
        <w:t> </w:t>
      </w:r>
      <w:r w:rsidR="005A46A8" w:rsidRPr="00714E84">
        <w:rPr>
          <w:i/>
          <w:iCs/>
          <w:color w:val="262626" w:themeColor="text1" w:themeTint="D9"/>
          <w:shd w:val="clear" w:color="auto" w:fill="FFFFFF"/>
        </w:rPr>
        <w:t xml:space="preserve">Environment and Planning </w:t>
      </w:r>
      <w:r w:rsidR="00A16483">
        <w:rPr>
          <w:i/>
          <w:iCs/>
          <w:color w:val="262626" w:themeColor="text1" w:themeTint="D9"/>
          <w:shd w:val="clear" w:color="auto" w:fill="FFFFFF"/>
        </w:rPr>
        <w:t>A,</w:t>
      </w:r>
      <w:r w:rsidR="005A46A8" w:rsidRPr="00714E84">
        <w:rPr>
          <w:rStyle w:val="apple-converted-space"/>
          <w:color w:val="262626" w:themeColor="text1" w:themeTint="D9"/>
          <w:shd w:val="clear" w:color="auto" w:fill="FFFFFF"/>
        </w:rPr>
        <w:t> </w:t>
      </w:r>
      <w:r w:rsidR="005A46A8" w:rsidRPr="00714E84">
        <w:rPr>
          <w:iCs/>
          <w:color w:val="262626" w:themeColor="text1" w:themeTint="D9"/>
          <w:shd w:val="clear" w:color="auto" w:fill="FFFFFF"/>
        </w:rPr>
        <w:t>45</w:t>
      </w:r>
      <w:r w:rsidR="005A46A8" w:rsidRPr="00714E84">
        <w:rPr>
          <w:color w:val="262626" w:themeColor="text1" w:themeTint="D9"/>
          <w:shd w:val="clear" w:color="auto" w:fill="FFFFFF"/>
        </w:rPr>
        <w:t>(6)</w:t>
      </w:r>
      <w:r w:rsidR="00167B32" w:rsidRPr="00714E84">
        <w:rPr>
          <w:color w:val="262626" w:themeColor="text1" w:themeTint="D9"/>
          <w:shd w:val="clear" w:color="auto" w:fill="FFFFFF"/>
        </w:rPr>
        <w:t>:</w:t>
      </w:r>
      <w:r w:rsidR="005A46A8" w:rsidRPr="00714E84">
        <w:rPr>
          <w:color w:val="262626" w:themeColor="text1" w:themeTint="D9"/>
          <w:shd w:val="clear" w:color="auto" w:fill="FFFFFF"/>
        </w:rPr>
        <w:t xml:space="preserve"> 1358-1371.</w:t>
      </w:r>
    </w:p>
    <w:p w14:paraId="2427DDCE" w14:textId="46629903" w:rsidR="00BC0256" w:rsidRPr="00714E84" w:rsidRDefault="00BC0256" w:rsidP="00F81C33">
      <w:pPr>
        <w:keepNext/>
        <w:spacing w:line="480" w:lineRule="auto"/>
        <w:ind w:left="567" w:hanging="567"/>
        <w:rPr>
          <w:color w:val="262626" w:themeColor="text1" w:themeTint="D9"/>
        </w:rPr>
      </w:pPr>
      <w:r w:rsidRPr="00714E84">
        <w:rPr>
          <w:color w:val="222222"/>
          <w:shd w:val="clear" w:color="auto" w:fill="FFFFFF"/>
        </w:rPr>
        <w:t>Kramer A, Basilio L</w:t>
      </w:r>
      <w:r w:rsidR="00167B32" w:rsidRPr="00714E84">
        <w:rPr>
          <w:color w:val="222222"/>
          <w:shd w:val="clear" w:color="auto" w:fill="FFFFFF"/>
        </w:rPr>
        <w:t xml:space="preserve"> and</w:t>
      </w:r>
      <w:r w:rsidRPr="00714E84">
        <w:rPr>
          <w:color w:val="222222"/>
          <w:shd w:val="clear" w:color="auto" w:fill="FFFFFF"/>
        </w:rPr>
        <w:t xml:space="preserve"> Bauer T K (2013</w:t>
      </w:r>
      <w:r w:rsidR="00167B32" w:rsidRPr="00714E84">
        <w:rPr>
          <w:color w:val="222222"/>
          <w:shd w:val="clear" w:color="auto" w:fill="FFFFFF"/>
        </w:rPr>
        <w:t>)</w:t>
      </w:r>
      <w:r w:rsidRPr="00714E84">
        <w:rPr>
          <w:color w:val="222222"/>
          <w:shd w:val="clear" w:color="auto" w:fill="FFFFFF"/>
        </w:rPr>
        <w:t xml:space="preserve"> Transferability of Human Capital and Immigrant Assimilation: An Analysis for Germany, Beiträge zur Jahrestagung des Vereins für Socialpolitik 2013: Wettbewerbspolitik und Regulierung in einerglobalen Wirtschaftsordnung - Session: Human Capital, No. B11-V2 Available</w:t>
      </w:r>
      <w:r w:rsidR="00064776" w:rsidRPr="00714E84">
        <w:rPr>
          <w:color w:val="222222"/>
          <w:shd w:val="clear" w:color="auto" w:fill="FFFFFF"/>
        </w:rPr>
        <w:t xml:space="preserve"> at</w:t>
      </w:r>
      <w:r w:rsidRPr="00714E84">
        <w:rPr>
          <w:color w:val="222222"/>
          <w:shd w:val="clear" w:color="auto" w:fill="FFFFFF"/>
        </w:rPr>
        <w:t>: http://hdl.handle.net/10419/79964</w:t>
      </w:r>
      <w:r w:rsidR="00064776" w:rsidRPr="00714E84">
        <w:rPr>
          <w:color w:val="222222"/>
          <w:shd w:val="clear" w:color="auto" w:fill="FFFFFF"/>
        </w:rPr>
        <w:t>.</w:t>
      </w:r>
    </w:p>
    <w:p w14:paraId="165FB7F5" w14:textId="2C74C180" w:rsidR="005A46A8" w:rsidRPr="00714E84" w:rsidRDefault="001B4306" w:rsidP="00F81C33">
      <w:pPr>
        <w:spacing w:line="480" w:lineRule="auto"/>
        <w:ind w:left="567" w:hanging="567"/>
        <w:jc w:val="both"/>
        <w:rPr>
          <w:color w:val="262626" w:themeColor="text1" w:themeTint="D9"/>
          <w:shd w:val="clear" w:color="auto" w:fill="FFFFFF"/>
        </w:rPr>
      </w:pPr>
      <w:r w:rsidRPr="00714E84">
        <w:rPr>
          <w:rStyle w:val="personname"/>
          <w:color w:val="262626" w:themeColor="text1" w:themeTint="D9"/>
          <w:shd w:val="clear" w:color="auto" w:fill="FFFFFF"/>
        </w:rPr>
        <w:t>Lindley</w:t>
      </w:r>
      <w:r w:rsidR="005A46A8" w:rsidRPr="00714E84">
        <w:rPr>
          <w:rStyle w:val="personname"/>
          <w:color w:val="262626" w:themeColor="text1" w:themeTint="D9"/>
          <w:shd w:val="clear" w:color="auto" w:fill="FFFFFF"/>
        </w:rPr>
        <w:t xml:space="preserve"> J and Lenton P</w:t>
      </w:r>
      <w:r w:rsidR="005A46A8" w:rsidRPr="00714E84">
        <w:rPr>
          <w:rStyle w:val="apple-converted-space"/>
          <w:color w:val="262626" w:themeColor="text1" w:themeTint="D9"/>
          <w:shd w:val="clear" w:color="auto" w:fill="FFFFFF"/>
        </w:rPr>
        <w:t> </w:t>
      </w:r>
      <w:r w:rsidR="005A46A8" w:rsidRPr="00714E84">
        <w:rPr>
          <w:color w:val="262626" w:themeColor="text1" w:themeTint="D9"/>
          <w:shd w:val="clear" w:color="auto" w:fill="FFFFFF"/>
        </w:rPr>
        <w:t>(2006)</w:t>
      </w:r>
      <w:r w:rsidR="005A46A8" w:rsidRPr="00714E84">
        <w:rPr>
          <w:rStyle w:val="apple-converted-space"/>
          <w:color w:val="262626" w:themeColor="text1" w:themeTint="D9"/>
          <w:shd w:val="clear" w:color="auto" w:fill="FFFFFF"/>
        </w:rPr>
        <w:t> </w:t>
      </w:r>
      <w:r w:rsidR="005A46A8" w:rsidRPr="00714E84">
        <w:rPr>
          <w:rStyle w:val="Emphasis"/>
          <w:color w:val="262626" w:themeColor="text1" w:themeTint="D9"/>
          <w:shd w:val="clear" w:color="auto" w:fill="FFFFFF"/>
        </w:rPr>
        <w:t>The Over-education of UK Immigrants: Evidence from the Labour Force Survey.</w:t>
      </w:r>
      <w:r w:rsidR="005A46A8" w:rsidRPr="00714E84">
        <w:rPr>
          <w:rStyle w:val="apple-converted-space"/>
          <w:color w:val="262626" w:themeColor="text1" w:themeTint="D9"/>
          <w:shd w:val="clear" w:color="auto" w:fill="FFFFFF"/>
        </w:rPr>
        <w:t> </w:t>
      </w:r>
      <w:r w:rsidR="005A46A8" w:rsidRPr="00714E84">
        <w:rPr>
          <w:color w:val="262626" w:themeColor="text1" w:themeTint="D9"/>
          <w:shd w:val="clear" w:color="auto" w:fill="FFFFFF"/>
        </w:rPr>
        <w:t>Working Paper. Department of Economics, University of Sheffield. SERP no: 2006001.</w:t>
      </w:r>
    </w:p>
    <w:p w14:paraId="0672332D" w14:textId="37B6F751" w:rsidR="00233C87" w:rsidRPr="00714E84" w:rsidRDefault="001B4306" w:rsidP="00F81C33">
      <w:pPr>
        <w:spacing w:line="480" w:lineRule="auto"/>
        <w:ind w:left="567" w:hanging="567"/>
        <w:rPr>
          <w:color w:val="262626" w:themeColor="text1" w:themeTint="D9"/>
        </w:rPr>
      </w:pPr>
      <w:r w:rsidRPr="00714E84">
        <w:rPr>
          <w:color w:val="262626" w:themeColor="text1" w:themeTint="D9"/>
        </w:rPr>
        <w:t>Mavromaras K</w:t>
      </w:r>
      <w:r w:rsidR="00233C87" w:rsidRPr="00714E84">
        <w:rPr>
          <w:color w:val="262626" w:themeColor="text1" w:themeTint="D9"/>
        </w:rPr>
        <w:t xml:space="preserve"> </w:t>
      </w:r>
      <w:r w:rsidRPr="00714E84">
        <w:rPr>
          <w:color w:val="262626" w:themeColor="text1" w:themeTint="D9"/>
        </w:rPr>
        <w:t>and McGuinness</w:t>
      </w:r>
      <w:r w:rsidR="00233C87" w:rsidRPr="00714E84">
        <w:rPr>
          <w:color w:val="262626" w:themeColor="text1" w:themeTint="D9"/>
        </w:rPr>
        <w:t xml:space="preserve"> S (2012) Overskilling dynamics and education pathways. </w:t>
      </w:r>
      <w:r w:rsidR="00233C87" w:rsidRPr="00714E84">
        <w:rPr>
          <w:i/>
          <w:iCs/>
          <w:color w:val="262626" w:themeColor="text1" w:themeTint="D9"/>
        </w:rPr>
        <w:t>Economics of Education Review</w:t>
      </w:r>
      <w:r w:rsidR="00233C87" w:rsidRPr="00714E84">
        <w:rPr>
          <w:color w:val="262626" w:themeColor="text1" w:themeTint="D9"/>
        </w:rPr>
        <w:t xml:space="preserve"> 31(5)</w:t>
      </w:r>
      <w:r w:rsidRPr="00714E84">
        <w:rPr>
          <w:color w:val="262626" w:themeColor="text1" w:themeTint="D9"/>
        </w:rPr>
        <w:t>:</w:t>
      </w:r>
      <w:r w:rsidR="00233C87" w:rsidRPr="00714E84">
        <w:rPr>
          <w:color w:val="262626" w:themeColor="text1" w:themeTint="D9"/>
        </w:rPr>
        <w:t xml:space="preserve"> 619-628.</w:t>
      </w:r>
    </w:p>
    <w:p w14:paraId="1A9D4060" w14:textId="49FA3182" w:rsidR="009F0BFE" w:rsidRPr="00714E84" w:rsidRDefault="005A46A8" w:rsidP="00A16483">
      <w:pPr>
        <w:spacing w:line="480" w:lineRule="auto"/>
        <w:ind w:left="567" w:hanging="567"/>
        <w:jc w:val="both"/>
        <w:rPr>
          <w:color w:val="262626" w:themeColor="text1" w:themeTint="D9"/>
        </w:rPr>
      </w:pPr>
      <w:r w:rsidRPr="00714E84">
        <w:rPr>
          <w:color w:val="262626" w:themeColor="text1" w:themeTint="D9"/>
        </w:rPr>
        <w:t xml:space="preserve">McGuinness S (2006) Overeducation in the labour market. </w:t>
      </w:r>
      <w:r w:rsidRPr="00714E84">
        <w:rPr>
          <w:i/>
          <w:iCs/>
          <w:color w:val="262626" w:themeColor="text1" w:themeTint="D9"/>
        </w:rPr>
        <w:t>Journal of Economic Surveys</w:t>
      </w:r>
      <w:r w:rsidRPr="00714E84">
        <w:rPr>
          <w:color w:val="262626" w:themeColor="text1" w:themeTint="D9"/>
        </w:rPr>
        <w:t xml:space="preserve"> 20(3)</w:t>
      </w:r>
      <w:r w:rsidR="001B4306" w:rsidRPr="00714E84">
        <w:rPr>
          <w:color w:val="262626" w:themeColor="text1" w:themeTint="D9"/>
        </w:rPr>
        <w:t>:</w:t>
      </w:r>
      <w:r w:rsidRPr="00714E84">
        <w:rPr>
          <w:color w:val="262626" w:themeColor="text1" w:themeTint="D9"/>
        </w:rPr>
        <w:t xml:space="preserve"> 337-418. </w:t>
      </w:r>
    </w:p>
    <w:p w14:paraId="391243B5" w14:textId="7591B2BA" w:rsidR="004A0576" w:rsidRPr="00714E84" w:rsidRDefault="004A0576" w:rsidP="00F81C33">
      <w:pPr>
        <w:spacing w:line="480" w:lineRule="auto"/>
        <w:ind w:left="567" w:hanging="567"/>
        <w:jc w:val="both"/>
        <w:rPr>
          <w:color w:val="262626" w:themeColor="text1" w:themeTint="D9"/>
          <w:shd w:val="clear" w:color="auto" w:fill="FFFFFF"/>
        </w:rPr>
      </w:pPr>
      <w:r w:rsidRPr="00714E84">
        <w:rPr>
          <w:color w:val="262626" w:themeColor="text1" w:themeTint="D9"/>
        </w:rPr>
        <w:t xml:space="preserve">Nielsen, C.P. (2011) Immigrant over-education: Evidence from Denmark. </w:t>
      </w:r>
      <w:r w:rsidRPr="00714E84">
        <w:rPr>
          <w:i/>
          <w:color w:val="262626" w:themeColor="text1" w:themeTint="D9"/>
        </w:rPr>
        <w:t>Journal of Population Economics</w:t>
      </w:r>
      <w:r w:rsidRPr="00714E84">
        <w:rPr>
          <w:color w:val="262626" w:themeColor="text1" w:themeTint="D9"/>
        </w:rPr>
        <w:t>, 24(2): 499-520.</w:t>
      </w:r>
    </w:p>
    <w:p w14:paraId="68989519" w14:textId="3E1BC24F" w:rsidR="005A46A8" w:rsidRPr="00714E84" w:rsidRDefault="005A46A8" w:rsidP="00F81C33">
      <w:pPr>
        <w:spacing w:line="480" w:lineRule="auto"/>
        <w:ind w:left="567" w:hanging="567"/>
        <w:jc w:val="both"/>
        <w:rPr>
          <w:color w:val="262626" w:themeColor="text1" w:themeTint="D9"/>
        </w:rPr>
      </w:pPr>
      <w:r w:rsidRPr="00714E84">
        <w:rPr>
          <w:color w:val="262626" w:themeColor="text1" w:themeTint="D9"/>
        </w:rPr>
        <w:t>OECD (20</w:t>
      </w:r>
      <w:r w:rsidR="00E745EC" w:rsidRPr="00714E84">
        <w:rPr>
          <w:color w:val="262626" w:themeColor="text1" w:themeTint="D9"/>
        </w:rPr>
        <w:t>11</w:t>
      </w:r>
      <w:r w:rsidR="00167B32" w:rsidRPr="00714E84">
        <w:rPr>
          <w:color w:val="262626" w:themeColor="text1" w:themeTint="D9"/>
        </w:rPr>
        <w:t>)</w:t>
      </w:r>
      <w:r w:rsidRPr="00714E84">
        <w:rPr>
          <w:color w:val="262626" w:themeColor="text1" w:themeTint="D9"/>
        </w:rPr>
        <w:t xml:space="preserve"> </w:t>
      </w:r>
      <w:r w:rsidR="00E745EC" w:rsidRPr="00714E84">
        <w:rPr>
          <w:i/>
          <w:iCs/>
          <w:color w:val="262626" w:themeColor="text1" w:themeTint="D9"/>
        </w:rPr>
        <w:t>Towards and OECD Skills Strategy</w:t>
      </w:r>
      <w:r w:rsidRPr="00714E84">
        <w:rPr>
          <w:color w:val="262626" w:themeColor="text1" w:themeTint="D9"/>
        </w:rPr>
        <w:t xml:space="preserve">. </w:t>
      </w:r>
      <w:r w:rsidR="00E745EC" w:rsidRPr="00714E84">
        <w:rPr>
          <w:color w:val="262626" w:themeColor="text1" w:themeTint="D9"/>
        </w:rPr>
        <w:t>Available at: https://www.oecd.org/edu/47769000.pdf.</w:t>
      </w:r>
    </w:p>
    <w:p w14:paraId="3E404E21" w14:textId="092105B2" w:rsidR="00A232D5" w:rsidRPr="00714E84" w:rsidRDefault="00652B41" w:rsidP="00F81C33">
      <w:pPr>
        <w:spacing w:line="480" w:lineRule="auto"/>
        <w:ind w:left="567" w:hanging="567"/>
        <w:jc w:val="both"/>
        <w:rPr>
          <w:color w:val="262626" w:themeColor="text1" w:themeTint="D9"/>
        </w:rPr>
      </w:pPr>
      <w:r w:rsidRPr="00714E84">
        <w:rPr>
          <w:color w:val="262626" w:themeColor="text1" w:themeTint="D9"/>
        </w:rPr>
        <w:t>ONS (</w:t>
      </w:r>
      <w:r w:rsidR="00C85E15">
        <w:rPr>
          <w:color w:val="262626" w:themeColor="text1" w:themeTint="D9"/>
        </w:rPr>
        <w:t>Office for National Statistics</w:t>
      </w:r>
      <w:r w:rsidRPr="00714E84">
        <w:rPr>
          <w:color w:val="262626" w:themeColor="text1" w:themeTint="D9"/>
        </w:rPr>
        <w:t>)</w:t>
      </w:r>
      <w:r w:rsidR="00A232D5" w:rsidRPr="00714E84">
        <w:rPr>
          <w:color w:val="262626" w:themeColor="text1" w:themeTint="D9"/>
        </w:rPr>
        <w:t xml:space="preserve"> (201</w:t>
      </w:r>
      <w:r w:rsidRPr="00714E84">
        <w:rPr>
          <w:color w:val="262626" w:themeColor="text1" w:themeTint="D9"/>
        </w:rPr>
        <w:t>3</w:t>
      </w:r>
      <w:r w:rsidR="00167B32" w:rsidRPr="00714E84">
        <w:rPr>
          <w:color w:val="262626" w:themeColor="text1" w:themeTint="D9"/>
        </w:rPr>
        <w:t>)</w:t>
      </w:r>
      <w:r w:rsidR="00A232D5" w:rsidRPr="00714E84">
        <w:rPr>
          <w:color w:val="262626" w:themeColor="text1" w:themeTint="D9"/>
        </w:rPr>
        <w:t xml:space="preserve"> </w:t>
      </w:r>
      <w:r w:rsidR="00A232D5" w:rsidRPr="00714E84">
        <w:rPr>
          <w:i/>
          <w:iCs/>
          <w:color w:val="262626" w:themeColor="text1" w:themeTint="D9"/>
        </w:rPr>
        <w:t>Annual Population Survey</w:t>
      </w:r>
      <w:r w:rsidRPr="00714E84">
        <w:rPr>
          <w:i/>
          <w:iCs/>
          <w:color w:val="262626" w:themeColor="text1" w:themeTint="D9"/>
        </w:rPr>
        <w:t>s</w:t>
      </w:r>
      <w:r w:rsidR="00A232D5" w:rsidRPr="00714E84">
        <w:rPr>
          <w:i/>
          <w:iCs/>
          <w:color w:val="262626" w:themeColor="text1" w:themeTint="D9"/>
        </w:rPr>
        <w:t>, 20</w:t>
      </w:r>
      <w:r w:rsidRPr="00714E84">
        <w:rPr>
          <w:i/>
          <w:iCs/>
          <w:color w:val="262626" w:themeColor="text1" w:themeTint="D9"/>
        </w:rPr>
        <w:t>05</w:t>
      </w:r>
      <w:r w:rsidR="00A232D5" w:rsidRPr="00714E84">
        <w:rPr>
          <w:i/>
          <w:iCs/>
          <w:color w:val="262626" w:themeColor="text1" w:themeTint="D9"/>
        </w:rPr>
        <w:t xml:space="preserve"> </w:t>
      </w:r>
      <w:r w:rsidRPr="00714E84">
        <w:rPr>
          <w:i/>
          <w:iCs/>
          <w:color w:val="262626" w:themeColor="text1" w:themeTint="D9"/>
        </w:rPr>
        <w:t>to</w:t>
      </w:r>
      <w:r w:rsidR="00A232D5" w:rsidRPr="00714E84">
        <w:rPr>
          <w:i/>
          <w:iCs/>
          <w:color w:val="262626" w:themeColor="text1" w:themeTint="D9"/>
        </w:rPr>
        <w:t xml:space="preserve"> 201</w:t>
      </w:r>
      <w:r w:rsidRPr="00714E84">
        <w:rPr>
          <w:i/>
          <w:iCs/>
          <w:color w:val="262626" w:themeColor="text1" w:themeTint="D9"/>
        </w:rPr>
        <w:t>2</w:t>
      </w:r>
      <w:r w:rsidR="00A232D5" w:rsidRPr="00714E84">
        <w:rPr>
          <w:i/>
          <w:iCs/>
          <w:color w:val="262626" w:themeColor="text1" w:themeTint="D9"/>
        </w:rPr>
        <w:t>.</w:t>
      </w:r>
      <w:r w:rsidRPr="00714E84">
        <w:rPr>
          <w:color w:val="262626" w:themeColor="text1" w:themeTint="D9"/>
        </w:rPr>
        <w:t xml:space="preserve"> </w:t>
      </w:r>
      <w:r w:rsidR="00A232D5" w:rsidRPr="00714E84">
        <w:rPr>
          <w:color w:val="262626" w:themeColor="text1" w:themeTint="D9"/>
        </w:rPr>
        <w:t>Available</w:t>
      </w:r>
      <w:r w:rsidR="00E745EC" w:rsidRPr="00714E84">
        <w:rPr>
          <w:color w:val="262626" w:themeColor="text1" w:themeTint="D9"/>
        </w:rPr>
        <w:t xml:space="preserve"> at</w:t>
      </w:r>
      <w:r w:rsidR="00A232D5" w:rsidRPr="00714E84">
        <w:rPr>
          <w:color w:val="262626" w:themeColor="text1" w:themeTint="D9"/>
        </w:rPr>
        <w:t>: https://discover.ukdataservice.ac.uk/series/?sn=200002.</w:t>
      </w:r>
    </w:p>
    <w:p w14:paraId="5D694149" w14:textId="7A3835AB" w:rsidR="005A46A8" w:rsidRPr="00714E84" w:rsidRDefault="00E745EC" w:rsidP="00F81C33">
      <w:pPr>
        <w:spacing w:line="480" w:lineRule="auto"/>
        <w:ind w:left="567" w:hanging="567"/>
        <w:jc w:val="both"/>
        <w:rPr>
          <w:color w:val="262626" w:themeColor="text1" w:themeTint="D9"/>
        </w:rPr>
      </w:pPr>
      <w:r w:rsidRPr="00714E84">
        <w:rPr>
          <w:color w:val="262626" w:themeColor="text1" w:themeTint="D9"/>
        </w:rPr>
        <w:t>Ortiz</w:t>
      </w:r>
      <w:r w:rsidR="005A46A8" w:rsidRPr="00714E84">
        <w:rPr>
          <w:color w:val="262626" w:themeColor="text1" w:themeTint="D9"/>
        </w:rPr>
        <w:t xml:space="preserve"> L</w:t>
      </w:r>
      <w:r w:rsidRPr="00714E84">
        <w:rPr>
          <w:color w:val="262626" w:themeColor="text1" w:themeTint="D9"/>
        </w:rPr>
        <w:t xml:space="preserve"> (2010)</w:t>
      </w:r>
      <w:r w:rsidR="005A46A8" w:rsidRPr="00714E84">
        <w:rPr>
          <w:color w:val="262626" w:themeColor="text1" w:themeTint="D9"/>
        </w:rPr>
        <w:t xml:space="preserve"> Not the right job, but a secure one: over-education and temporary employment in France, Italy and Spain</w:t>
      </w:r>
      <w:r w:rsidR="001B4306" w:rsidRPr="00714E84">
        <w:rPr>
          <w:color w:val="262626" w:themeColor="text1" w:themeTint="D9"/>
        </w:rPr>
        <w:t>.</w:t>
      </w:r>
      <w:r w:rsidR="005A46A8" w:rsidRPr="00714E84">
        <w:rPr>
          <w:color w:val="262626" w:themeColor="text1" w:themeTint="D9"/>
        </w:rPr>
        <w:t xml:space="preserve"> </w:t>
      </w:r>
      <w:r w:rsidR="005A46A8" w:rsidRPr="00714E84">
        <w:rPr>
          <w:i/>
          <w:color w:val="262626" w:themeColor="text1" w:themeTint="D9"/>
        </w:rPr>
        <w:t>Work, Employment &amp; Society</w:t>
      </w:r>
      <w:r w:rsidR="005A46A8" w:rsidRPr="00714E84">
        <w:rPr>
          <w:color w:val="262626" w:themeColor="text1" w:themeTint="D9"/>
        </w:rPr>
        <w:t xml:space="preserve"> 24(1)</w:t>
      </w:r>
      <w:r w:rsidR="001B4306" w:rsidRPr="00714E84">
        <w:rPr>
          <w:color w:val="262626" w:themeColor="text1" w:themeTint="D9"/>
        </w:rPr>
        <w:t>:</w:t>
      </w:r>
      <w:r w:rsidR="005A46A8" w:rsidRPr="00714E84">
        <w:rPr>
          <w:color w:val="262626" w:themeColor="text1" w:themeTint="D9"/>
        </w:rPr>
        <w:t xml:space="preserve"> 47-64.</w:t>
      </w:r>
    </w:p>
    <w:p w14:paraId="29FA706D" w14:textId="639C9608" w:rsidR="005A46A8" w:rsidRPr="00714E84" w:rsidRDefault="00E745EC" w:rsidP="00F81C33">
      <w:pPr>
        <w:spacing w:line="480" w:lineRule="auto"/>
        <w:ind w:left="567" w:hanging="567"/>
        <w:jc w:val="both"/>
        <w:rPr>
          <w:color w:val="262626" w:themeColor="text1" w:themeTint="D9"/>
        </w:rPr>
      </w:pPr>
      <w:r w:rsidRPr="00714E84">
        <w:rPr>
          <w:color w:val="262626" w:themeColor="text1" w:themeTint="D9"/>
          <w:shd w:val="clear" w:color="auto" w:fill="FFFFFF"/>
        </w:rPr>
        <w:lastRenderedPageBreak/>
        <w:t>Phillimore J</w:t>
      </w:r>
      <w:r w:rsidR="005A46A8" w:rsidRPr="00714E84">
        <w:rPr>
          <w:color w:val="262626" w:themeColor="text1" w:themeTint="D9"/>
          <w:shd w:val="clear" w:color="auto" w:fill="FFFFFF"/>
        </w:rPr>
        <w:t xml:space="preserve">, </w:t>
      </w:r>
      <w:r w:rsidRPr="00714E84">
        <w:rPr>
          <w:color w:val="262626" w:themeColor="text1" w:themeTint="D9"/>
          <w:shd w:val="clear" w:color="auto" w:fill="FFFFFF"/>
        </w:rPr>
        <w:t>and</w:t>
      </w:r>
      <w:r w:rsidR="005A46A8" w:rsidRPr="00714E84">
        <w:rPr>
          <w:color w:val="262626" w:themeColor="text1" w:themeTint="D9"/>
          <w:shd w:val="clear" w:color="auto" w:fill="FFFFFF"/>
        </w:rPr>
        <w:t xml:space="preserve"> Goodson L (2008) Making a place in the global city: The relevance of indicators of integration.</w:t>
      </w:r>
      <w:r w:rsidR="005A46A8" w:rsidRPr="00714E84">
        <w:rPr>
          <w:rStyle w:val="apple-converted-space"/>
          <w:color w:val="262626" w:themeColor="text1" w:themeTint="D9"/>
          <w:shd w:val="clear" w:color="auto" w:fill="FFFFFF"/>
        </w:rPr>
        <w:t> </w:t>
      </w:r>
      <w:r w:rsidR="005A46A8" w:rsidRPr="00714E84">
        <w:rPr>
          <w:i/>
          <w:iCs/>
          <w:color w:val="262626" w:themeColor="text1" w:themeTint="D9"/>
          <w:shd w:val="clear" w:color="auto" w:fill="FFFFFF"/>
        </w:rPr>
        <w:t>Journal of Refugee Studies</w:t>
      </w:r>
      <w:r w:rsidR="005A46A8" w:rsidRPr="00714E84">
        <w:rPr>
          <w:rStyle w:val="apple-converted-space"/>
          <w:color w:val="262626" w:themeColor="text1" w:themeTint="D9"/>
          <w:shd w:val="clear" w:color="auto" w:fill="FFFFFF"/>
        </w:rPr>
        <w:t> </w:t>
      </w:r>
      <w:r w:rsidR="005A46A8" w:rsidRPr="00714E84">
        <w:rPr>
          <w:iCs/>
          <w:color w:val="262626" w:themeColor="text1" w:themeTint="D9"/>
          <w:shd w:val="clear" w:color="auto" w:fill="FFFFFF"/>
        </w:rPr>
        <w:t>21</w:t>
      </w:r>
      <w:r w:rsidR="005A46A8" w:rsidRPr="00714E84">
        <w:rPr>
          <w:color w:val="262626" w:themeColor="text1" w:themeTint="D9"/>
          <w:shd w:val="clear" w:color="auto" w:fill="FFFFFF"/>
        </w:rPr>
        <w:t>(3)</w:t>
      </w:r>
      <w:r w:rsidRPr="00714E84">
        <w:rPr>
          <w:color w:val="262626" w:themeColor="text1" w:themeTint="D9"/>
          <w:shd w:val="clear" w:color="auto" w:fill="FFFFFF"/>
        </w:rPr>
        <w:t>:</w:t>
      </w:r>
      <w:r w:rsidR="005A46A8" w:rsidRPr="00714E84">
        <w:rPr>
          <w:color w:val="262626" w:themeColor="text1" w:themeTint="D9"/>
          <w:shd w:val="clear" w:color="auto" w:fill="FFFFFF"/>
        </w:rPr>
        <w:t xml:space="preserve"> 305-325.</w:t>
      </w:r>
    </w:p>
    <w:p w14:paraId="07B7D673" w14:textId="740F8A4E" w:rsidR="005A46A8" w:rsidRPr="00714E84" w:rsidRDefault="00E745EC"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Phung VH (2011)</w:t>
      </w:r>
      <w:r w:rsidR="005A46A8" w:rsidRPr="00714E84">
        <w:rPr>
          <w:color w:val="262626" w:themeColor="text1" w:themeTint="D9"/>
          <w:shd w:val="clear" w:color="auto" w:fill="FFFFFF"/>
        </w:rPr>
        <w:t xml:space="preserve"> Ethnicity, migration and employment disadvantage under New Labour: reviewing the evidence from the United Kingdom.</w:t>
      </w:r>
      <w:r w:rsidR="005A46A8" w:rsidRPr="00714E84">
        <w:rPr>
          <w:rStyle w:val="apple-converted-space"/>
          <w:color w:val="262626" w:themeColor="text1" w:themeTint="D9"/>
          <w:shd w:val="clear" w:color="auto" w:fill="FFFFFF"/>
        </w:rPr>
        <w:t> </w:t>
      </w:r>
      <w:r w:rsidR="005A46A8" w:rsidRPr="00714E84">
        <w:rPr>
          <w:i/>
          <w:iCs/>
          <w:color w:val="262626" w:themeColor="text1" w:themeTint="D9"/>
          <w:shd w:val="clear" w:color="auto" w:fill="FFFFFF"/>
        </w:rPr>
        <w:t>Policy Studies</w:t>
      </w:r>
      <w:r w:rsidR="005A46A8" w:rsidRPr="00714E84">
        <w:rPr>
          <w:rStyle w:val="apple-converted-space"/>
          <w:color w:val="262626" w:themeColor="text1" w:themeTint="D9"/>
          <w:shd w:val="clear" w:color="auto" w:fill="FFFFFF"/>
        </w:rPr>
        <w:t> </w:t>
      </w:r>
      <w:r w:rsidR="005A46A8" w:rsidRPr="00714E84">
        <w:rPr>
          <w:iCs/>
          <w:color w:val="262626" w:themeColor="text1" w:themeTint="D9"/>
          <w:shd w:val="clear" w:color="auto" w:fill="FFFFFF"/>
        </w:rPr>
        <w:t>32</w:t>
      </w:r>
      <w:r w:rsidR="005A46A8" w:rsidRPr="00714E84">
        <w:rPr>
          <w:color w:val="262626" w:themeColor="text1" w:themeTint="D9"/>
          <w:shd w:val="clear" w:color="auto" w:fill="FFFFFF"/>
        </w:rPr>
        <w:t>(5)</w:t>
      </w:r>
      <w:r w:rsidR="008242D4" w:rsidRPr="00714E84">
        <w:rPr>
          <w:color w:val="262626" w:themeColor="text1" w:themeTint="D9"/>
          <w:shd w:val="clear" w:color="auto" w:fill="FFFFFF"/>
        </w:rPr>
        <w:t>:</w:t>
      </w:r>
      <w:r w:rsidR="005A46A8" w:rsidRPr="00714E84">
        <w:rPr>
          <w:color w:val="262626" w:themeColor="text1" w:themeTint="D9"/>
          <w:shd w:val="clear" w:color="auto" w:fill="FFFFFF"/>
        </w:rPr>
        <w:t xml:space="preserve"> 497-513.</w:t>
      </w:r>
    </w:p>
    <w:p w14:paraId="32AAACE1" w14:textId="0B045C4B" w:rsidR="005A46A8" w:rsidRPr="00714E84" w:rsidRDefault="00E745EC"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Pollard N, Latorre</w:t>
      </w:r>
      <w:r w:rsidR="005A46A8" w:rsidRPr="00714E84">
        <w:rPr>
          <w:color w:val="262626" w:themeColor="text1" w:themeTint="D9"/>
          <w:shd w:val="clear" w:color="auto" w:fill="FFFFFF"/>
        </w:rPr>
        <w:t xml:space="preserve"> M, </w:t>
      </w:r>
      <w:r w:rsidRPr="00714E84">
        <w:rPr>
          <w:color w:val="262626" w:themeColor="text1" w:themeTint="D9"/>
          <w:shd w:val="clear" w:color="auto" w:fill="FFFFFF"/>
        </w:rPr>
        <w:t>and Sriskandarajah D (2008)</w:t>
      </w:r>
      <w:r w:rsidR="005A46A8" w:rsidRPr="00714E84">
        <w:rPr>
          <w:color w:val="262626" w:themeColor="text1" w:themeTint="D9"/>
          <w:shd w:val="clear" w:color="auto" w:fill="FFFFFF"/>
        </w:rPr>
        <w:t xml:space="preserve"> </w:t>
      </w:r>
      <w:r w:rsidR="005A46A8" w:rsidRPr="00714E84">
        <w:rPr>
          <w:i/>
          <w:iCs/>
          <w:color w:val="262626" w:themeColor="text1" w:themeTint="D9"/>
          <w:shd w:val="clear" w:color="auto" w:fill="FFFFFF"/>
        </w:rPr>
        <w:t>Floodgates or turnstiles.</w:t>
      </w:r>
      <w:r w:rsidR="005A46A8" w:rsidRPr="00714E84">
        <w:rPr>
          <w:rStyle w:val="apple-converted-space"/>
          <w:i/>
          <w:iCs/>
          <w:color w:val="262626" w:themeColor="text1" w:themeTint="D9"/>
          <w:shd w:val="clear" w:color="auto" w:fill="FFFFFF"/>
        </w:rPr>
        <w:t> </w:t>
      </w:r>
      <w:r w:rsidR="005A46A8" w:rsidRPr="00714E84">
        <w:rPr>
          <w:i/>
          <w:iCs/>
          <w:color w:val="262626" w:themeColor="text1" w:themeTint="D9"/>
          <w:shd w:val="clear" w:color="auto" w:fill="FFFFFF"/>
        </w:rPr>
        <w:t>Post-EU Enlargement Migration Flows to (and from) the UK</w:t>
      </w:r>
      <w:r w:rsidR="005A46A8" w:rsidRPr="00714E84">
        <w:rPr>
          <w:color w:val="262626" w:themeColor="text1" w:themeTint="D9"/>
          <w:shd w:val="clear" w:color="auto" w:fill="FFFFFF"/>
        </w:rPr>
        <w:t>.</w:t>
      </w:r>
      <w:r w:rsidR="009B6B71" w:rsidRPr="00714E84">
        <w:rPr>
          <w:color w:val="262626" w:themeColor="text1" w:themeTint="D9"/>
          <w:shd w:val="clear" w:color="auto" w:fill="FFFFFF"/>
        </w:rPr>
        <w:t xml:space="preserve"> Available at: http://www.ippr.org/files/images/media/files/publication/2011/05/floodgates_or_turnstiles_1637.pdf?noredirect=1.</w:t>
      </w:r>
    </w:p>
    <w:p w14:paraId="58B708EE" w14:textId="1C9F7099" w:rsidR="005A46A8" w:rsidRPr="00714E84" w:rsidRDefault="009B6B71" w:rsidP="00F81C33">
      <w:pPr>
        <w:spacing w:line="480" w:lineRule="auto"/>
        <w:ind w:left="567" w:hanging="567"/>
        <w:jc w:val="both"/>
      </w:pPr>
      <w:r w:rsidRPr="00714E84">
        <w:t>Rafferty A</w:t>
      </w:r>
      <w:r w:rsidR="005A46A8" w:rsidRPr="00714E84">
        <w:t xml:space="preserve"> (2012) Ethnic penalties in graduate level over-education, unemployment an</w:t>
      </w:r>
      <w:r w:rsidR="008242D4" w:rsidRPr="00714E84">
        <w:t>d wages: evidence from Britain.</w:t>
      </w:r>
      <w:r w:rsidR="005A46A8" w:rsidRPr="00714E84">
        <w:t xml:space="preserve"> </w:t>
      </w:r>
      <w:r w:rsidR="005A46A8" w:rsidRPr="00714E84">
        <w:rPr>
          <w:i/>
          <w:iCs/>
        </w:rPr>
        <w:t>Work Employment and Society</w:t>
      </w:r>
      <w:r w:rsidR="005A46A8" w:rsidRPr="00714E84">
        <w:t xml:space="preserve"> 26(6)</w:t>
      </w:r>
      <w:r w:rsidRPr="00714E84">
        <w:t>:</w:t>
      </w:r>
      <w:r w:rsidR="005A46A8" w:rsidRPr="00714E84">
        <w:t xml:space="preserve"> 987-1006.</w:t>
      </w:r>
    </w:p>
    <w:p w14:paraId="6D484471" w14:textId="4807868B" w:rsidR="00D714D5" w:rsidRPr="00714E84" w:rsidRDefault="00D714D5"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Rafferty A, Rees J, Se</w:t>
      </w:r>
      <w:r w:rsidR="009B6B71" w:rsidRPr="00714E84">
        <w:rPr>
          <w:color w:val="262626" w:themeColor="text1" w:themeTint="D9"/>
          <w:shd w:val="clear" w:color="auto" w:fill="FFFFFF"/>
        </w:rPr>
        <w:t>nsier M, and Harding A (2013)</w:t>
      </w:r>
      <w:r w:rsidRPr="00714E84">
        <w:rPr>
          <w:color w:val="262626" w:themeColor="text1" w:themeTint="D9"/>
          <w:shd w:val="clear" w:color="auto" w:fill="FFFFFF"/>
        </w:rPr>
        <w:t xml:space="preserve"> Growth and recession: Underemployment and the labour market in the North of England. </w:t>
      </w:r>
      <w:r w:rsidRPr="00714E84">
        <w:rPr>
          <w:i/>
          <w:iCs/>
          <w:color w:val="262626" w:themeColor="text1" w:themeTint="D9"/>
          <w:shd w:val="clear" w:color="auto" w:fill="FFFFFF"/>
        </w:rPr>
        <w:t>Applied Spatial Analysis and Policy</w:t>
      </w:r>
      <w:r w:rsidRPr="00714E84">
        <w:rPr>
          <w:color w:val="262626" w:themeColor="text1" w:themeTint="D9"/>
          <w:shd w:val="clear" w:color="auto" w:fill="FFFFFF"/>
        </w:rPr>
        <w:t xml:space="preserve"> 6(2)</w:t>
      </w:r>
      <w:r w:rsidR="009B6B71" w:rsidRPr="00714E84">
        <w:rPr>
          <w:color w:val="262626" w:themeColor="text1" w:themeTint="D9"/>
          <w:shd w:val="clear" w:color="auto" w:fill="FFFFFF"/>
        </w:rPr>
        <w:t>:</w:t>
      </w:r>
      <w:r w:rsidRPr="00714E84">
        <w:rPr>
          <w:color w:val="262626" w:themeColor="text1" w:themeTint="D9"/>
          <w:shd w:val="clear" w:color="auto" w:fill="FFFFFF"/>
        </w:rPr>
        <w:t xml:space="preserve"> 143-163.</w:t>
      </w:r>
    </w:p>
    <w:p w14:paraId="6D39B6F2" w14:textId="40A9F0FB" w:rsidR="00E632FF" w:rsidRPr="00714E84" w:rsidRDefault="009B6B71" w:rsidP="00F81C33">
      <w:pPr>
        <w:spacing w:line="480" w:lineRule="auto"/>
        <w:ind w:left="567" w:hanging="567"/>
        <w:jc w:val="both"/>
        <w:rPr>
          <w:rFonts w:eastAsiaTheme="majorEastAsia"/>
        </w:rPr>
      </w:pPr>
      <w:r w:rsidRPr="00714E84">
        <w:rPr>
          <w:rFonts w:eastAsiaTheme="majorEastAsia"/>
        </w:rPr>
        <w:t>Rubinstein Y and Brenner D (2013)</w:t>
      </w:r>
      <w:r w:rsidR="00E632FF" w:rsidRPr="00714E84">
        <w:rPr>
          <w:rFonts w:eastAsiaTheme="majorEastAsia"/>
        </w:rPr>
        <w:t xml:space="preserve"> Pride and prejudice: using ethnicsounding names and inter-ethnic marriages to identify labor market discrimination. </w:t>
      </w:r>
      <w:r w:rsidR="00E632FF" w:rsidRPr="00714E84">
        <w:rPr>
          <w:rFonts w:eastAsiaTheme="majorEastAsia"/>
          <w:i/>
          <w:iCs/>
        </w:rPr>
        <w:t>Review of Economic Studies</w:t>
      </w:r>
      <w:r w:rsidR="00E632FF" w:rsidRPr="00714E84">
        <w:rPr>
          <w:rFonts w:eastAsiaTheme="majorEastAsia"/>
        </w:rPr>
        <w:t xml:space="preserve"> 81(1)</w:t>
      </w:r>
      <w:r w:rsidRPr="00714E84">
        <w:rPr>
          <w:rFonts w:eastAsiaTheme="majorEastAsia"/>
        </w:rPr>
        <w:t>:</w:t>
      </w:r>
      <w:r w:rsidR="00E632FF" w:rsidRPr="00714E84">
        <w:rPr>
          <w:rFonts w:eastAsiaTheme="majorEastAsia"/>
        </w:rPr>
        <w:t xml:space="preserve"> 389-425.</w:t>
      </w:r>
    </w:p>
    <w:p w14:paraId="00DE8076" w14:textId="36D10046" w:rsidR="005A46A8" w:rsidRPr="00714E84" w:rsidRDefault="009B6B71" w:rsidP="00F81C33">
      <w:pPr>
        <w:spacing w:line="480" w:lineRule="auto"/>
        <w:ind w:left="567" w:hanging="567"/>
        <w:jc w:val="both"/>
        <w:rPr>
          <w:rFonts w:eastAsiaTheme="majorEastAsia"/>
        </w:rPr>
      </w:pPr>
      <w:r w:rsidRPr="00714E84">
        <w:rPr>
          <w:rFonts w:eastAsiaTheme="majorEastAsia"/>
        </w:rPr>
        <w:t>Sanroma</w:t>
      </w:r>
      <w:r w:rsidR="005A46A8" w:rsidRPr="00714E84">
        <w:rPr>
          <w:rFonts w:eastAsiaTheme="majorEastAsia"/>
        </w:rPr>
        <w:t xml:space="preserve"> E,</w:t>
      </w:r>
      <w:r w:rsidR="008242D4" w:rsidRPr="00714E84">
        <w:rPr>
          <w:rFonts w:eastAsiaTheme="majorEastAsia"/>
        </w:rPr>
        <w:t xml:space="preserve"> Ramos </w:t>
      </w:r>
      <w:r w:rsidRPr="00714E84">
        <w:rPr>
          <w:rFonts w:eastAsiaTheme="majorEastAsia"/>
        </w:rPr>
        <w:t xml:space="preserve">R </w:t>
      </w:r>
      <w:r w:rsidR="008242D4" w:rsidRPr="00714E84">
        <w:rPr>
          <w:rFonts w:eastAsiaTheme="majorEastAsia"/>
        </w:rPr>
        <w:t>and Simon</w:t>
      </w:r>
      <w:r w:rsidRPr="00714E84">
        <w:rPr>
          <w:rFonts w:eastAsiaTheme="majorEastAsia"/>
        </w:rPr>
        <w:t xml:space="preserve"> H</w:t>
      </w:r>
      <w:r w:rsidR="008242D4" w:rsidRPr="00714E84">
        <w:rPr>
          <w:rFonts w:eastAsiaTheme="majorEastAsia"/>
        </w:rPr>
        <w:t xml:space="preserve"> (2008) </w:t>
      </w:r>
      <w:r w:rsidR="005A46A8" w:rsidRPr="00714E84">
        <w:rPr>
          <w:rFonts w:eastAsiaTheme="majorEastAsia"/>
        </w:rPr>
        <w:t xml:space="preserve">The portability of human capital and immigration assimilation, </w:t>
      </w:r>
      <w:r w:rsidR="005A46A8" w:rsidRPr="00714E84">
        <w:rPr>
          <w:rFonts w:eastAsiaTheme="majorEastAsia"/>
          <w:i/>
        </w:rPr>
        <w:t>IZA Discussion Paper</w:t>
      </w:r>
      <w:r w:rsidR="005A46A8" w:rsidRPr="00714E84">
        <w:rPr>
          <w:rFonts w:eastAsiaTheme="majorEastAsia"/>
        </w:rPr>
        <w:t xml:space="preserve"> No 3649.</w:t>
      </w:r>
    </w:p>
    <w:p w14:paraId="72F2D4DA" w14:textId="44CD57AF" w:rsidR="005A46A8" w:rsidRDefault="009B6B71" w:rsidP="00F81C33">
      <w:pPr>
        <w:spacing w:line="480" w:lineRule="auto"/>
        <w:ind w:left="567" w:hanging="567"/>
        <w:jc w:val="both"/>
        <w:rPr>
          <w:iCs/>
          <w:color w:val="262626" w:themeColor="text1" w:themeTint="D9"/>
        </w:rPr>
      </w:pPr>
      <w:r w:rsidRPr="00714E84">
        <w:rPr>
          <w:iCs/>
          <w:color w:val="262626" w:themeColor="text1" w:themeTint="D9"/>
        </w:rPr>
        <w:t>Sattinger M (1993)</w:t>
      </w:r>
      <w:r w:rsidR="005A46A8" w:rsidRPr="00714E84">
        <w:rPr>
          <w:iCs/>
          <w:color w:val="262626" w:themeColor="text1" w:themeTint="D9"/>
        </w:rPr>
        <w:t xml:space="preserve"> Assignment models of the distribution of earnings. </w:t>
      </w:r>
      <w:r w:rsidR="005A46A8" w:rsidRPr="00714E84">
        <w:rPr>
          <w:i/>
          <w:iCs/>
          <w:color w:val="262626" w:themeColor="text1" w:themeTint="D9"/>
        </w:rPr>
        <w:t>Journal of Economic Literature</w:t>
      </w:r>
      <w:r w:rsidR="005A46A8" w:rsidRPr="00714E84">
        <w:rPr>
          <w:iCs/>
          <w:color w:val="262626" w:themeColor="text1" w:themeTint="D9"/>
        </w:rPr>
        <w:t xml:space="preserve"> 31</w:t>
      </w:r>
      <w:r w:rsidR="0093658D" w:rsidRPr="00714E84">
        <w:rPr>
          <w:iCs/>
          <w:color w:val="262626" w:themeColor="text1" w:themeTint="D9"/>
        </w:rPr>
        <w:t>(2)</w:t>
      </w:r>
      <w:r w:rsidRPr="00714E84">
        <w:rPr>
          <w:iCs/>
          <w:color w:val="262626" w:themeColor="text1" w:themeTint="D9"/>
        </w:rPr>
        <w:t>:</w:t>
      </w:r>
      <w:r w:rsidR="005A46A8" w:rsidRPr="00714E84">
        <w:rPr>
          <w:iCs/>
          <w:color w:val="262626" w:themeColor="text1" w:themeTint="D9"/>
        </w:rPr>
        <w:t xml:space="preserve"> 831–880.</w:t>
      </w:r>
    </w:p>
    <w:p w14:paraId="6D857524" w14:textId="5E9830AA" w:rsidR="00AD1C6F" w:rsidRPr="00714E84" w:rsidRDefault="00AD1C6F" w:rsidP="00F81C33">
      <w:pPr>
        <w:spacing w:line="480" w:lineRule="auto"/>
        <w:ind w:left="567" w:hanging="567"/>
        <w:jc w:val="both"/>
        <w:rPr>
          <w:iCs/>
          <w:color w:val="262626" w:themeColor="text1" w:themeTint="D9"/>
        </w:rPr>
      </w:pPr>
      <w:r>
        <w:rPr>
          <w:iCs/>
          <w:color w:val="262626" w:themeColor="text1" w:themeTint="D9"/>
        </w:rPr>
        <w:t>Saunders B (2015)</w:t>
      </w:r>
      <w:r w:rsidRPr="00AD1C6F">
        <w:rPr>
          <w:iCs/>
          <w:color w:val="262626" w:themeColor="text1" w:themeTint="D9"/>
        </w:rPr>
        <w:t xml:space="preserve"> </w:t>
      </w:r>
      <w:r w:rsidRPr="00AD1C6F">
        <w:rPr>
          <w:i/>
          <w:iCs/>
          <w:color w:val="262626" w:themeColor="text1" w:themeTint="D9"/>
        </w:rPr>
        <w:t>Overeducated and Over Here: Skilled EU Migrants in Britain</w:t>
      </w:r>
      <w:r w:rsidRPr="00AD1C6F">
        <w:rPr>
          <w:iCs/>
          <w:color w:val="262626" w:themeColor="text1" w:themeTint="D9"/>
        </w:rPr>
        <w:t>. London: Transnational Press London.</w:t>
      </w:r>
    </w:p>
    <w:p w14:paraId="4B5233EC" w14:textId="1D7CE626" w:rsidR="00AD1C6F" w:rsidRDefault="00AD1C6F" w:rsidP="00F81C33">
      <w:pPr>
        <w:spacing w:line="480" w:lineRule="auto"/>
        <w:ind w:left="567" w:hanging="567"/>
        <w:jc w:val="both"/>
        <w:rPr>
          <w:rFonts w:eastAsiaTheme="majorEastAsia"/>
        </w:rPr>
      </w:pPr>
      <w:r w:rsidRPr="00AD1C6F">
        <w:rPr>
          <w:rFonts w:eastAsiaTheme="majorEastAsia"/>
        </w:rPr>
        <w:t>Sirkeci I</w:t>
      </w:r>
      <w:r>
        <w:rPr>
          <w:rFonts w:eastAsiaTheme="majorEastAsia"/>
        </w:rPr>
        <w:t>, Acik</w:t>
      </w:r>
      <w:r w:rsidRPr="00AD1C6F">
        <w:rPr>
          <w:rFonts w:eastAsiaTheme="majorEastAsia"/>
        </w:rPr>
        <w:t xml:space="preserve"> N</w:t>
      </w:r>
      <w:r>
        <w:rPr>
          <w:rFonts w:eastAsiaTheme="majorEastAsia"/>
        </w:rPr>
        <w:t xml:space="preserve"> and</w:t>
      </w:r>
      <w:r w:rsidRPr="00AD1C6F">
        <w:rPr>
          <w:rFonts w:eastAsiaTheme="majorEastAsia"/>
        </w:rPr>
        <w:t xml:space="preserve"> Saunders B (2</w:t>
      </w:r>
      <w:r>
        <w:rPr>
          <w:rFonts w:eastAsiaTheme="majorEastAsia"/>
        </w:rPr>
        <w:t>014)</w:t>
      </w:r>
      <w:r w:rsidRPr="00AD1C6F">
        <w:rPr>
          <w:rFonts w:eastAsiaTheme="majorEastAsia"/>
        </w:rPr>
        <w:t xml:space="preserve"> Discriminatory labour market experiences of A8 national high skilled workers in the UK. </w:t>
      </w:r>
      <w:r w:rsidRPr="00AD1C6F">
        <w:rPr>
          <w:rFonts w:eastAsiaTheme="majorEastAsia"/>
          <w:i/>
        </w:rPr>
        <w:t>Border Crossing</w:t>
      </w:r>
      <w:r w:rsidRPr="00AD1C6F">
        <w:rPr>
          <w:rFonts w:eastAsiaTheme="majorEastAsia"/>
        </w:rPr>
        <w:t>, 4(1-2): 17-31.</w:t>
      </w:r>
    </w:p>
    <w:p w14:paraId="68DCB2EB" w14:textId="2B9ED009" w:rsidR="005A46A8" w:rsidRPr="00714E84" w:rsidRDefault="009B6B71" w:rsidP="00F81C33">
      <w:pPr>
        <w:spacing w:line="480" w:lineRule="auto"/>
        <w:ind w:left="567" w:hanging="567"/>
        <w:jc w:val="both"/>
        <w:rPr>
          <w:rFonts w:eastAsiaTheme="majorEastAsia"/>
        </w:rPr>
      </w:pPr>
      <w:r w:rsidRPr="00714E84">
        <w:rPr>
          <w:rFonts w:eastAsiaTheme="majorEastAsia"/>
        </w:rPr>
        <w:lastRenderedPageBreak/>
        <w:t>Sloane</w:t>
      </w:r>
      <w:r w:rsidR="005A46A8" w:rsidRPr="00714E84">
        <w:rPr>
          <w:rFonts w:eastAsiaTheme="majorEastAsia"/>
        </w:rPr>
        <w:t xml:space="preserve"> P, </w:t>
      </w:r>
      <w:r w:rsidRPr="00714E84">
        <w:rPr>
          <w:rFonts w:eastAsiaTheme="majorEastAsia"/>
        </w:rPr>
        <w:t>Battu H and Seaman P (1999)</w:t>
      </w:r>
      <w:r w:rsidR="005A46A8" w:rsidRPr="00714E84">
        <w:rPr>
          <w:rFonts w:eastAsiaTheme="majorEastAsia"/>
        </w:rPr>
        <w:t xml:space="preserve"> Overeducation, undereducation and the British Labour market. </w:t>
      </w:r>
      <w:r w:rsidR="005A46A8" w:rsidRPr="00714E84">
        <w:rPr>
          <w:rFonts w:eastAsiaTheme="majorEastAsia"/>
          <w:i/>
        </w:rPr>
        <w:t>Applied Economics</w:t>
      </w:r>
      <w:r w:rsidR="005A46A8" w:rsidRPr="00714E84">
        <w:rPr>
          <w:rFonts w:eastAsiaTheme="majorEastAsia"/>
        </w:rPr>
        <w:t xml:space="preserve"> 31</w:t>
      </w:r>
      <w:r w:rsidR="0093658D" w:rsidRPr="00714E84">
        <w:rPr>
          <w:rFonts w:eastAsiaTheme="majorEastAsia"/>
        </w:rPr>
        <w:t>(11)</w:t>
      </w:r>
      <w:r w:rsidRPr="00714E84">
        <w:rPr>
          <w:rFonts w:eastAsiaTheme="majorEastAsia"/>
        </w:rPr>
        <w:t>:</w:t>
      </w:r>
      <w:r w:rsidR="005A46A8" w:rsidRPr="00714E84">
        <w:rPr>
          <w:rFonts w:eastAsiaTheme="majorEastAsia"/>
        </w:rPr>
        <w:t xml:space="preserve"> 1437–1453.</w:t>
      </w:r>
    </w:p>
    <w:p w14:paraId="75C8D32F" w14:textId="797C6BEE" w:rsidR="005A46A8" w:rsidRPr="00714E84" w:rsidRDefault="005A46A8"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 xml:space="preserve">Tassinopoulos A, </w:t>
      </w:r>
      <w:r w:rsidR="009B6B71" w:rsidRPr="00714E84">
        <w:rPr>
          <w:color w:val="262626" w:themeColor="text1" w:themeTint="D9"/>
          <w:shd w:val="clear" w:color="auto" w:fill="FFFFFF"/>
        </w:rPr>
        <w:t>and</w:t>
      </w:r>
      <w:r w:rsidRPr="00714E84">
        <w:rPr>
          <w:color w:val="262626" w:themeColor="text1" w:themeTint="D9"/>
          <w:shd w:val="clear" w:color="auto" w:fill="FFFFFF"/>
        </w:rPr>
        <w:t xml:space="preserve"> Werner H (1999)</w:t>
      </w:r>
      <w:r w:rsidRPr="00714E84">
        <w:rPr>
          <w:rStyle w:val="apple-converted-space"/>
          <w:color w:val="262626" w:themeColor="text1" w:themeTint="D9"/>
          <w:shd w:val="clear" w:color="auto" w:fill="FFFFFF"/>
        </w:rPr>
        <w:t> </w:t>
      </w:r>
      <w:r w:rsidRPr="00714E84">
        <w:rPr>
          <w:color w:val="262626" w:themeColor="text1" w:themeTint="D9"/>
          <w:shd w:val="clear" w:color="auto" w:fill="FFFFFF"/>
        </w:rPr>
        <w:t xml:space="preserve">To move or not to move: migration of labour in the European Union. </w:t>
      </w:r>
      <w:r w:rsidR="009B6B71" w:rsidRPr="00714E84">
        <w:rPr>
          <w:i/>
          <w:iCs/>
          <w:color w:val="262626" w:themeColor="text1" w:themeTint="D9"/>
          <w:shd w:val="clear" w:color="auto" w:fill="FFFFFF"/>
        </w:rPr>
        <w:t>IAB Labour Market Research Topics No. 35</w:t>
      </w:r>
      <w:r w:rsidR="009B6B71" w:rsidRPr="00714E84">
        <w:rPr>
          <w:color w:val="262626" w:themeColor="text1" w:themeTint="D9"/>
          <w:shd w:val="clear" w:color="auto" w:fill="FFFFFF"/>
        </w:rPr>
        <w:t xml:space="preserve">, </w:t>
      </w:r>
      <w:r w:rsidRPr="00714E84">
        <w:rPr>
          <w:color w:val="262626" w:themeColor="text1" w:themeTint="D9"/>
          <w:shd w:val="clear" w:color="auto" w:fill="FFFFFF"/>
        </w:rPr>
        <w:t>Institut für Arbeitsmarkt-und Berufsforschung der Bundesanstalt für Arbeit.</w:t>
      </w:r>
    </w:p>
    <w:p w14:paraId="345AAEE8" w14:textId="67986F6F" w:rsidR="005A46A8" w:rsidRPr="00714E84" w:rsidRDefault="009B6B71" w:rsidP="00F81C33">
      <w:pPr>
        <w:spacing w:line="480" w:lineRule="auto"/>
        <w:ind w:left="567" w:hanging="567"/>
        <w:jc w:val="both"/>
        <w:rPr>
          <w:iCs/>
          <w:color w:val="262626" w:themeColor="text1" w:themeTint="D9"/>
        </w:rPr>
      </w:pPr>
      <w:r w:rsidRPr="00714E84">
        <w:rPr>
          <w:iCs/>
          <w:color w:val="262626" w:themeColor="text1" w:themeTint="D9"/>
        </w:rPr>
        <w:t>Thurow</w:t>
      </w:r>
      <w:r w:rsidR="005A46A8" w:rsidRPr="00714E84">
        <w:rPr>
          <w:iCs/>
          <w:color w:val="262626" w:themeColor="text1" w:themeTint="D9"/>
        </w:rPr>
        <w:t xml:space="preserve"> LC (1975) </w:t>
      </w:r>
      <w:r w:rsidR="005A46A8" w:rsidRPr="00714E84">
        <w:rPr>
          <w:i/>
          <w:color w:val="262626" w:themeColor="text1" w:themeTint="D9"/>
        </w:rPr>
        <w:t>Generating Inequality</w:t>
      </w:r>
      <w:r w:rsidR="005A46A8" w:rsidRPr="00714E84">
        <w:rPr>
          <w:iCs/>
          <w:color w:val="262626" w:themeColor="text1" w:themeTint="D9"/>
        </w:rPr>
        <w:t>. New York: Basic Books.</w:t>
      </w:r>
    </w:p>
    <w:p w14:paraId="15F4C570" w14:textId="2ABAD94E" w:rsidR="005A46A8" w:rsidRPr="00714E84" w:rsidRDefault="005A46A8"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T</w:t>
      </w:r>
      <w:r w:rsidR="009B6B71" w:rsidRPr="00714E84">
        <w:rPr>
          <w:color w:val="262626" w:themeColor="text1" w:themeTint="D9"/>
          <w:shd w:val="clear" w:color="auto" w:fill="FFFFFF"/>
        </w:rPr>
        <w:t>ijdens KG and van Klaveren M</w:t>
      </w:r>
      <w:r w:rsidR="00167B32" w:rsidRPr="00714E84">
        <w:rPr>
          <w:color w:val="262626" w:themeColor="text1" w:themeTint="D9"/>
          <w:shd w:val="clear" w:color="auto" w:fill="FFFFFF"/>
        </w:rPr>
        <w:t xml:space="preserve"> (2011)</w:t>
      </w:r>
      <w:r w:rsidRPr="00714E84">
        <w:rPr>
          <w:color w:val="262626" w:themeColor="text1" w:themeTint="D9"/>
          <w:shd w:val="clear" w:color="auto" w:fill="FFFFFF"/>
        </w:rPr>
        <w:t xml:space="preserve"> Over- and underqualiﬁction of migrant workers. Evidence from Wage Indicator survey data. </w:t>
      </w:r>
      <w:r w:rsidR="00167B32" w:rsidRPr="00714E84">
        <w:rPr>
          <w:i/>
          <w:iCs/>
          <w:color w:val="262626" w:themeColor="text1" w:themeTint="D9"/>
          <w:shd w:val="clear" w:color="auto" w:fill="FFFFFF"/>
        </w:rPr>
        <w:t>AIAS Working Paper 11-110</w:t>
      </w:r>
      <w:r w:rsidR="00167B32" w:rsidRPr="00714E84">
        <w:rPr>
          <w:color w:val="262626" w:themeColor="text1" w:themeTint="D9"/>
          <w:shd w:val="clear" w:color="auto" w:fill="FFFFFF"/>
        </w:rPr>
        <w:t xml:space="preserve">, </w:t>
      </w:r>
      <w:r w:rsidRPr="00714E84">
        <w:rPr>
          <w:color w:val="262626" w:themeColor="text1" w:themeTint="D9"/>
          <w:shd w:val="clear" w:color="auto" w:fill="FFFFFF"/>
        </w:rPr>
        <w:t>Amsterdam</w:t>
      </w:r>
      <w:r w:rsidR="008242D4" w:rsidRPr="00714E84">
        <w:rPr>
          <w:color w:val="262626" w:themeColor="text1" w:themeTint="D9"/>
          <w:shd w:val="clear" w:color="auto" w:fill="FFFFFF"/>
        </w:rPr>
        <w:t>:</w:t>
      </w:r>
      <w:r w:rsidRPr="00714E84">
        <w:rPr>
          <w:color w:val="262626" w:themeColor="text1" w:themeTint="D9"/>
          <w:shd w:val="clear" w:color="auto" w:fill="FFFFFF"/>
        </w:rPr>
        <w:t xml:space="preserve"> University o</w:t>
      </w:r>
      <w:r w:rsidR="00167B32" w:rsidRPr="00714E84">
        <w:rPr>
          <w:color w:val="262626" w:themeColor="text1" w:themeTint="D9"/>
          <w:shd w:val="clear" w:color="auto" w:fill="FFFFFF"/>
        </w:rPr>
        <w:t>f Amsterdam</w:t>
      </w:r>
      <w:r w:rsidRPr="00714E84">
        <w:rPr>
          <w:color w:val="262626" w:themeColor="text1" w:themeTint="D9"/>
          <w:shd w:val="clear" w:color="auto" w:fill="FFFFFF"/>
        </w:rPr>
        <w:t>.</w:t>
      </w:r>
    </w:p>
    <w:p w14:paraId="5AEB90E2" w14:textId="44CFD453" w:rsidR="00D8685F" w:rsidRPr="00714E84" w:rsidRDefault="00167B32" w:rsidP="00F81C33">
      <w:pPr>
        <w:spacing w:line="480" w:lineRule="auto"/>
        <w:ind w:left="567" w:hanging="567"/>
        <w:jc w:val="both"/>
        <w:rPr>
          <w:color w:val="262626" w:themeColor="text1" w:themeTint="D9"/>
          <w:shd w:val="clear" w:color="auto" w:fill="FFFFFF"/>
        </w:rPr>
      </w:pPr>
      <w:r w:rsidRPr="00714E84">
        <w:rPr>
          <w:color w:val="262626" w:themeColor="text1" w:themeTint="D9"/>
          <w:shd w:val="clear" w:color="auto" w:fill="FFFFFF"/>
        </w:rPr>
        <w:t>UNESCO (2006)</w:t>
      </w:r>
      <w:r w:rsidR="00D8685F" w:rsidRPr="00714E84">
        <w:rPr>
          <w:color w:val="262626" w:themeColor="text1" w:themeTint="D9"/>
          <w:shd w:val="clear" w:color="auto" w:fill="FFFFFF"/>
        </w:rPr>
        <w:t xml:space="preserve"> </w:t>
      </w:r>
      <w:r w:rsidR="00D8685F" w:rsidRPr="00714E84">
        <w:rPr>
          <w:i/>
          <w:iCs/>
          <w:color w:val="262626" w:themeColor="text1" w:themeTint="D9"/>
          <w:shd w:val="clear" w:color="auto" w:fill="FFFFFF"/>
        </w:rPr>
        <w:t>International Standard Classification of Education 1997</w:t>
      </w:r>
      <w:r w:rsidR="00D8685F" w:rsidRPr="00714E84">
        <w:rPr>
          <w:color w:val="262626" w:themeColor="text1" w:themeTint="D9"/>
          <w:shd w:val="clear" w:color="auto" w:fill="FFFFFF"/>
        </w:rPr>
        <w:t>. Available</w:t>
      </w:r>
      <w:r w:rsidRPr="00714E84">
        <w:rPr>
          <w:color w:val="262626" w:themeColor="text1" w:themeTint="D9"/>
          <w:shd w:val="clear" w:color="auto" w:fill="FFFFFF"/>
        </w:rPr>
        <w:t xml:space="preserve"> at</w:t>
      </w:r>
      <w:r w:rsidR="00D8685F" w:rsidRPr="00714E84">
        <w:rPr>
          <w:color w:val="262626" w:themeColor="text1" w:themeTint="D9"/>
          <w:shd w:val="clear" w:color="auto" w:fill="FFFFFF"/>
        </w:rPr>
        <w:t>: http://www.uis.unesco.org/Library/Documents/isced97-en.pdf</w:t>
      </w:r>
      <w:r w:rsidRPr="00714E84">
        <w:rPr>
          <w:color w:val="262626" w:themeColor="text1" w:themeTint="D9"/>
          <w:shd w:val="clear" w:color="auto" w:fill="FFFFFF"/>
        </w:rPr>
        <w:t>.</w:t>
      </w:r>
    </w:p>
    <w:p w14:paraId="76C910AE" w14:textId="2D182DB5" w:rsidR="005A46A8" w:rsidRPr="00222C0D" w:rsidRDefault="00222C0D" w:rsidP="00222C0D">
      <w:pPr>
        <w:spacing w:line="360" w:lineRule="auto"/>
        <w:ind w:left="567" w:hanging="567"/>
        <w:jc w:val="both"/>
        <w:rPr>
          <w:b/>
          <w:color w:val="262626" w:themeColor="text1" w:themeTint="D9"/>
          <w:shd w:val="clear" w:color="auto" w:fill="FFFFFF"/>
        </w:rPr>
      </w:pPr>
      <w:r>
        <w:rPr>
          <w:color w:val="262626" w:themeColor="text1" w:themeTint="D9"/>
          <w:shd w:val="clear" w:color="auto" w:fill="FFFFFF"/>
        </w:rPr>
        <w:br w:type="column"/>
      </w:r>
      <w:r w:rsidRPr="00222C0D">
        <w:rPr>
          <w:b/>
          <w:color w:val="262626" w:themeColor="text1" w:themeTint="D9"/>
          <w:shd w:val="clear" w:color="auto" w:fill="FFFFFF"/>
        </w:rPr>
        <w:lastRenderedPageBreak/>
        <w:t>Author Biographies</w:t>
      </w:r>
    </w:p>
    <w:p w14:paraId="1A91E00B" w14:textId="77777777" w:rsidR="007D30C9" w:rsidRDefault="007D30C9" w:rsidP="00222C0D">
      <w:pPr>
        <w:spacing w:line="360" w:lineRule="auto"/>
        <w:ind w:left="567" w:hanging="567"/>
        <w:jc w:val="both"/>
        <w:rPr>
          <w:color w:val="262626" w:themeColor="text1" w:themeTint="D9"/>
          <w:shd w:val="clear" w:color="auto" w:fill="FFFFFF"/>
        </w:rPr>
      </w:pPr>
    </w:p>
    <w:p w14:paraId="5CC7EC2C" w14:textId="77777777" w:rsidR="00222C0D" w:rsidRDefault="00222C0D" w:rsidP="00222C0D">
      <w:pPr>
        <w:spacing w:line="360" w:lineRule="auto"/>
        <w:ind w:left="567" w:hanging="567"/>
        <w:jc w:val="both"/>
        <w:rPr>
          <w:color w:val="262626" w:themeColor="text1" w:themeTint="D9"/>
          <w:shd w:val="clear" w:color="auto" w:fill="FFFFFF"/>
        </w:rPr>
      </w:pPr>
      <w:r w:rsidRPr="00222C0D">
        <w:rPr>
          <w:b/>
          <w:color w:val="262626" w:themeColor="text1" w:themeTint="D9"/>
          <w:shd w:val="clear" w:color="auto" w:fill="FFFFFF"/>
        </w:rPr>
        <w:t xml:space="preserve">Ibrahim Sirkeci </w:t>
      </w:r>
      <w:r w:rsidRPr="00222C0D">
        <w:rPr>
          <w:color w:val="262626" w:themeColor="text1" w:themeTint="D9"/>
          <w:shd w:val="clear" w:color="auto" w:fill="FFFFFF"/>
        </w:rPr>
        <w:t xml:space="preserve">is Professor of Transnational Studies </w:t>
      </w:r>
      <w:r>
        <w:rPr>
          <w:color w:val="262626" w:themeColor="text1" w:themeTint="D9"/>
          <w:shd w:val="clear" w:color="auto" w:fill="FFFFFF"/>
        </w:rPr>
        <w:t xml:space="preserve">and </w:t>
      </w:r>
      <w:r w:rsidRPr="00222C0D">
        <w:rPr>
          <w:color w:val="262626" w:themeColor="text1" w:themeTint="D9"/>
          <w:shd w:val="clear" w:color="auto" w:fill="FFFFFF"/>
        </w:rPr>
        <w:t>the Director of Regent’s Centre for Transnational Studies</w:t>
      </w:r>
      <w:r>
        <w:rPr>
          <w:color w:val="262626" w:themeColor="text1" w:themeTint="D9"/>
          <w:shd w:val="clear" w:color="auto" w:fill="FFFFFF"/>
        </w:rPr>
        <w:t xml:space="preserve"> </w:t>
      </w:r>
      <w:r w:rsidRPr="00222C0D">
        <w:rPr>
          <w:color w:val="262626" w:themeColor="text1" w:themeTint="D9"/>
          <w:shd w:val="clear" w:color="auto" w:fill="FFFFFF"/>
        </w:rPr>
        <w:t xml:space="preserve">at Regent’s University London. </w:t>
      </w:r>
      <w:r>
        <w:rPr>
          <w:color w:val="262626" w:themeColor="text1" w:themeTint="D9"/>
          <w:shd w:val="clear" w:color="auto" w:fill="FFFFFF"/>
        </w:rPr>
        <w:t xml:space="preserve">Prof Sirkeci is a graduate of </w:t>
      </w:r>
      <w:r w:rsidRPr="00222C0D">
        <w:rPr>
          <w:color w:val="262626" w:themeColor="text1" w:themeTint="D9"/>
          <w:shd w:val="clear" w:color="auto" w:fill="FFFFFF"/>
        </w:rPr>
        <w:t>the University of Sheffield</w:t>
      </w:r>
      <w:r>
        <w:rPr>
          <w:color w:val="262626" w:themeColor="text1" w:themeTint="D9"/>
          <w:shd w:val="clear" w:color="auto" w:fill="FFFFFF"/>
        </w:rPr>
        <w:t>,</w:t>
      </w:r>
      <w:r w:rsidRPr="00222C0D">
        <w:rPr>
          <w:color w:val="262626" w:themeColor="text1" w:themeTint="D9"/>
          <w:shd w:val="clear" w:color="auto" w:fill="FFFFFF"/>
        </w:rPr>
        <w:t xml:space="preserve"> </w:t>
      </w:r>
      <w:r>
        <w:rPr>
          <w:color w:val="262626" w:themeColor="text1" w:themeTint="D9"/>
          <w:shd w:val="clear" w:color="auto" w:fill="FFFFFF"/>
        </w:rPr>
        <w:t xml:space="preserve">University College London and </w:t>
      </w:r>
      <w:r w:rsidRPr="00222C0D">
        <w:rPr>
          <w:color w:val="262626" w:themeColor="text1" w:themeTint="D9"/>
          <w:shd w:val="clear" w:color="auto" w:fill="FFFFFF"/>
        </w:rPr>
        <w:t xml:space="preserve">Bilkent University. He worked at the University of Bristol prior to joining Regent’s in 2005. His research focuses on human mobility, labour markets, development, conflict. He </w:t>
      </w:r>
      <w:r>
        <w:rPr>
          <w:color w:val="262626" w:themeColor="text1" w:themeTint="D9"/>
          <w:shd w:val="clear" w:color="auto" w:fill="FFFFFF"/>
        </w:rPr>
        <w:t xml:space="preserve">is author of </w:t>
      </w:r>
      <w:r w:rsidRPr="00222C0D">
        <w:rPr>
          <w:color w:val="262626" w:themeColor="text1" w:themeTint="D9"/>
          <w:shd w:val="clear" w:color="auto" w:fill="FFFFFF"/>
        </w:rPr>
        <w:t xml:space="preserve">several books including the prize winning title “Cultures of Migration, the Global Nature of Contemporary Mobility” (University of Texas Press, 2011). He is the </w:t>
      </w:r>
      <w:r>
        <w:rPr>
          <w:color w:val="262626" w:themeColor="text1" w:themeTint="D9"/>
          <w:shd w:val="clear" w:color="auto" w:fill="FFFFFF"/>
        </w:rPr>
        <w:t xml:space="preserve">chief </w:t>
      </w:r>
      <w:r w:rsidRPr="00222C0D">
        <w:rPr>
          <w:color w:val="262626" w:themeColor="text1" w:themeTint="D9"/>
          <w:shd w:val="clear" w:color="auto" w:fill="FFFFFF"/>
        </w:rPr>
        <w:t xml:space="preserve">editor of </w:t>
      </w:r>
      <w:r w:rsidRPr="00222C0D">
        <w:rPr>
          <w:i/>
          <w:color w:val="262626" w:themeColor="text1" w:themeTint="D9"/>
          <w:shd w:val="clear" w:color="auto" w:fill="FFFFFF"/>
        </w:rPr>
        <w:t>Migration Letters</w:t>
      </w:r>
      <w:r w:rsidRPr="00222C0D">
        <w:rPr>
          <w:color w:val="262626" w:themeColor="text1" w:themeTint="D9"/>
          <w:shd w:val="clear" w:color="auto" w:fill="FFFFFF"/>
        </w:rPr>
        <w:t xml:space="preserve"> </w:t>
      </w:r>
      <w:r>
        <w:rPr>
          <w:color w:val="262626" w:themeColor="text1" w:themeTint="D9"/>
          <w:shd w:val="clear" w:color="auto" w:fill="FFFFFF"/>
        </w:rPr>
        <w:t xml:space="preserve">and </w:t>
      </w:r>
      <w:r w:rsidRPr="00222C0D">
        <w:rPr>
          <w:i/>
          <w:color w:val="262626" w:themeColor="text1" w:themeTint="D9"/>
          <w:shd w:val="clear" w:color="auto" w:fill="FFFFFF"/>
        </w:rPr>
        <w:t>Remittances Review</w:t>
      </w:r>
      <w:r>
        <w:rPr>
          <w:color w:val="262626" w:themeColor="text1" w:themeTint="D9"/>
          <w:shd w:val="clear" w:color="auto" w:fill="FFFFFF"/>
        </w:rPr>
        <w:t xml:space="preserve"> journals</w:t>
      </w:r>
      <w:r w:rsidRPr="00222C0D">
        <w:rPr>
          <w:color w:val="262626" w:themeColor="text1" w:themeTint="D9"/>
          <w:shd w:val="clear" w:color="auto" w:fill="FFFFFF"/>
        </w:rPr>
        <w:t>. Professor Sirkeci chairs the Migration Conference series</w:t>
      </w:r>
      <w:r>
        <w:rPr>
          <w:color w:val="262626" w:themeColor="text1" w:themeTint="D9"/>
          <w:shd w:val="clear" w:color="auto" w:fill="FFFFFF"/>
        </w:rPr>
        <w:t>.</w:t>
      </w:r>
    </w:p>
    <w:p w14:paraId="0AD9371C" w14:textId="7CBC4067" w:rsidR="00222C0D" w:rsidRDefault="00222C0D" w:rsidP="00222C0D">
      <w:pPr>
        <w:spacing w:line="360" w:lineRule="auto"/>
        <w:ind w:left="567" w:hanging="567"/>
        <w:jc w:val="both"/>
        <w:rPr>
          <w:b/>
          <w:color w:val="262626" w:themeColor="text1" w:themeTint="D9"/>
          <w:shd w:val="clear" w:color="auto" w:fill="FFFFFF"/>
        </w:rPr>
      </w:pPr>
      <w:r w:rsidRPr="00222C0D">
        <w:rPr>
          <w:color w:val="262626" w:themeColor="text1" w:themeTint="D9"/>
          <w:shd w:val="clear" w:color="auto" w:fill="FFFFFF"/>
        </w:rPr>
        <w:t xml:space="preserve"> </w:t>
      </w:r>
    </w:p>
    <w:p w14:paraId="3CC48509" w14:textId="48735037" w:rsidR="00222C0D" w:rsidRDefault="00222C0D" w:rsidP="00222C0D">
      <w:pPr>
        <w:spacing w:line="360" w:lineRule="auto"/>
        <w:ind w:left="567" w:hanging="567"/>
        <w:jc w:val="both"/>
        <w:rPr>
          <w:color w:val="262626" w:themeColor="text1" w:themeTint="D9"/>
          <w:shd w:val="clear" w:color="auto" w:fill="FFFFFF"/>
        </w:rPr>
      </w:pPr>
      <w:r w:rsidRPr="00222C0D">
        <w:rPr>
          <w:b/>
          <w:color w:val="262626" w:themeColor="text1" w:themeTint="D9"/>
          <w:shd w:val="clear" w:color="auto" w:fill="FFFFFF"/>
        </w:rPr>
        <w:t xml:space="preserve">Necla Acik </w:t>
      </w:r>
      <w:r w:rsidRPr="00222C0D">
        <w:rPr>
          <w:color w:val="262626" w:themeColor="text1" w:themeTint="D9"/>
          <w:shd w:val="clear" w:color="auto" w:fill="FFFFFF"/>
        </w:rPr>
        <w:t>is a Research and Teaching Fellow at the University of Manchester. Her research interests are in migration, research methods, youth and mobilisation, counter-terrorism, civic engagement, ethnicity, and Kurdish women’s movement.</w:t>
      </w:r>
    </w:p>
    <w:p w14:paraId="78E3F8AD" w14:textId="77777777" w:rsidR="00222C0D" w:rsidRDefault="00222C0D" w:rsidP="00222C0D">
      <w:pPr>
        <w:spacing w:line="360" w:lineRule="auto"/>
        <w:ind w:left="567" w:hanging="567"/>
        <w:jc w:val="both"/>
        <w:rPr>
          <w:b/>
          <w:color w:val="262626" w:themeColor="text1" w:themeTint="D9"/>
          <w:shd w:val="clear" w:color="auto" w:fill="FFFFFF"/>
        </w:rPr>
      </w:pPr>
    </w:p>
    <w:p w14:paraId="2BEB8512" w14:textId="46EE3DC5" w:rsidR="00222C0D" w:rsidRDefault="00222C0D" w:rsidP="00222C0D">
      <w:pPr>
        <w:spacing w:line="360" w:lineRule="auto"/>
        <w:ind w:left="567" w:hanging="567"/>
        <w:jc w:val="both"/>
        <w:rPr>
          <w:color w:val="262626" w:themeColor="text1" w:themeTint="D9"/>
          <w:shd w:val="clear" w:color="auto" w:fill="FFFFFF"/>
        </w:rPr>
      </w:pPr>
      <w:r w:rsidRPr="00222C0D">
        <w:rPr>
          <w:b/>
          <w:color w:val="262626" w:themeColor="text1" w:themeTint="D9"/>
          <w:shd w:val="clear" w:color="auto" w:fill="FFFFFF"/>
        </w:rPr>
        <w:t>Bradley Saunders</w:t>
      </w:r>
      <w:r w:rsidRPr="00222C0D">
        <w:rPr>
          <w:color w:val="262626" w:themeColor="text1" w:themeTint="D9"/>
          <w:shd w:val="clear" w:color="auto" w:fill="FFFFFF"/>
        </w:rPr>
        <w:t xml:space="preserve"> received his PhD from Loughborough University and currently is an Assistant Professor at Prince Mohammad bin Fahd University, KSA. He previously worked at the University of Northampton, University of Derby Online and Regent’s University London. Dr Saunders’ academic interests include international management, globalization, overeducation, EU migrant workers, self-initiated expatriates, job transitions, corporate expatriation and repatriation.</w:t>
      </w:r>
    </w:p>
    <w:p w14:paraId="64F4B806" w14:textId="77777777" w:rsidR="00222C0D" w:rsidRDefault="00222C0D" w:rsidP="00222C0D">
      <w:pPr>
        <w:spacing w:line="360" w:lineRule="auto"/>
        <w:ind w:left="567" w:hanging="567"/>
        <w:jc w:val="both"/>
        <w:rPr>
          <w:color w:val="262626" w:themeColor="text1" w:themeTint="D9"/>
          <w:shd w:val="clear" w:color="auto" w:fill="FFFFFF"/>
        </w:rPr>
      </w:pPr>
    </w:p>
    <w:p w14:paraId="055CCCE6" w14:textId="1539C985" w:rsidR="00222C0D" w:rsidRPr="00714E84" w:rsidRDefault="00222C0D" w:rsidP="00222C0D">
      <w:pPr>
        <w:spacing w:line="360" w:lineRule="auto"/>
        <w:ind w:left="567" w:hanging="567"/>
        <w:jc w:val="both"/>
        <w:rPr>
          <w:color w:val="262626" w:themeColor="text1" w:themeTint="D9"/>
          <w:shd w:val="clear" w:color="auto" w:fill="FFFFFF"/>
        </w:rPr>
      </w:pPr>
      <w:r w:rsidRPr="00222C0D">
        <w:rPr>
          <w:b/>
          <w:color w:val="262626" w:themeColor="text1" w:themeTint="D9"/>
          <w:shd w:val="clear" w:color="auto" w:fill="FFFFFF"/>
        </w:rPr>
        <w:t>Andrej Přívara</w:t>
      </w:r>
      <w:r w:rsidRPr="00222C0D">
        <w:rPr>
          <w:color w:val="262626" w:themeColor="text1" w:themeTint="D9"/>
          <w:shd w:val="clear" w:color="auto" w:fill="FFFFFF"/>
        </w:rPr>
        <w:t xml:space="preserve"> is currently Assistant Professor in the Department of Social Development and Labour, Faculty of National Economy, University of Economics in Bratislava, Slovak Republic. He has a PhD in Labour Economics. He was a postdoctoral fellow at Wirtschaftsuniversität Wien and at Sorbonne Nouvelle-Paris 3. His research interests included research projects on international migration. Andrej is also a member of PGV Network. He has authored over 50 research papers published in journals and edited volumes. Andrej speaks French, Spanish and English.</w:t>
      </w:r>
    </w:p>
    <w:p w14:paraId="694CD126" w14:textId="77777777" w:rsidR="007D30C9" w:rsidRPr="00714E84" w:rsidRDefault="007D30C9" w:rsidP="00222C0D">
      <w:pPr>
        <w:spacing w:line="360" w:lineRule="auto"/>
        <w:rPr>
          <w:rFonts w:eastAsiaTheme="majorEastAsia"/>
        </w:rPr>
      </w:pPr>
      <w:r w:rsidRPr="00714E84">
        <w:rPr>
          <w:color w:val="262626" w:themeColor="text1" w:themeTint="D9"/>
          <w:shd w:val="clear" w:color="auto" w:fill="FFFFFF"/>
        </w:rPr>
        <w:br w:type="column"/>
      </w:r>
      <w:r w:rsidRPr="00714E84">
        <w:rPr>
          <w:rFonts w:eastAsiaTheme="majorEastAsia"/>
        </w:rPr>
        <w:lastRenderedPageBreak/>
        <w:t>TABLES:</w:t>
      </w:r>
    </w:p>
    <w:p w14:paraId="43007FC3" w14:textId="4213B549" w:rsidR="007D30C9" w:rsidRPr="00714E84" w:rsidRDefault="007D30C9" w:rsidP="00583171">
      <w:pPr>
        <w:pStyle w:val="Caption"/>
        <w:spacing w:before="100" w:beforeAutospacing="1" w:after="100" w:afterAutospacing="1"/>
        <w:ind w:firstLine="720"/>
        <w:rPr>
          <w:rFonts w:ascii="Times New Roman" w:hAnsi="Times New Roman" w:cs="Times New Roman"/>
          <w:bCs/>
          <w:i w:val="0"/>
          <w:iCs w:val="0"/>
          <w:color w:val="262626" w:themeColor="text1" w:themeTint="D9"/>
          <w:sz w:val="24"/>
          <w:szCs w:val="24"/>
        </w:rPr>
      </w:pPr>
      <w:r w:rsidRPr="00714E84">
        <w:rPr>
          <w:rFonts w:ascii="Times New Roman" w:hAnsi="Times New Roman" w:cs="Times New Roman"/>
          <w:b/>
          <w:bCs/>
          <w:i w:val="0"/>
          <w:iCs w:val="0"/>
          <w:color w:val="262626" w:themeColor="text1" w:themeTint="D9"/>
          <w:sz w:val="24"/>
          <w:szCs w:val="24"/>
        </w:rPr>
        <w:t>Table 1</w:t>
      </w:r>
      <w:r w:rsidRPr="00714E84">
        <w:rPr>
          <w:rFonts w:ascii="Times New Roman" w:hAnsi="Times New Roman" w:cs="Times New Roman"/>
          <w:b/>
          <w:bCs/>
          <w:i w:val="0"/>
          <w:iCs w:val="0"/>
          <w:noProof/>
          <w:color w:val="262626" w:themeColor="text1" w:themeTint="D9"/>
          <w:sz w:val="24"/>
          <w:szCs w:val="24"/>
        </w:rPr>
        <w:t>.</w:t>
      </w:r>
      <w:r w:rsidRPr="00714E84">
        <w:rPr>
          <w:rFonts w:ascii="Times New Roman" w:hAnsi="Times New Roman" w:cs="Times New Roman"/>
          <w:b/>
          <w:bCs/>
          <w:i w:val="0"/>
          <w:iCs w:val="0"/>
          <w:color w:val="262626" w:themeColor="text1" w:themeTint="D9"/>
          <w:sz w:val="24"/>
          <w:szCs w:val="24"/>
        </w:rPr>
        <w:t xml:space="preserve"> </w:t>
      </w:r>
      <w:r w:rsidRPr="00714E84">
        <w:rPr>
          <w:rFonts w:ascii="Times New Roman" w:hAnsi="Times New Roman" w:cs="Times New Roman"/>
          <w:bCs/>
          <w:i w:val="0"/>
          <w:iCs w:val="0"/>
          <w:color w:val="262626" w:themeColor="text1" w:themeTint="D9"/>
          <w:sz w:val="24"/>
          <w:szCs w:val="24"/>
        </w:rPr>
        <w:t xml:space="preserve">Frequency of ethnic groups </w:t>
      </w:r>
      <w:r w:rsidR="00583171" w:rsidRPr="00714E84">
        <w:rPr>
          <w:rFonts w:ascii="Times New Roman" w:hAnsi="Times New Roman" w:cs="Times New Roman"/>
          <w:bCs/>
          <w:i w:val="0"/>
          <w:iCs w:val="0"/>
          <w:color w:val="262626" w:themeColor="text1" w:themeTint="D9"/>
          <w:sz w:val="24"/>
          <w:szCs w:val="24"/>
        </w:rPr>
        <w:t xml:space="preserve">in the </w:t>
      </w:r>
      <w:r w:rsidRPr="00714E84">
        <w:rPr>
          <w:rFonts w:ascii="Times New Roman" w:hAnsi="Times New Roman" w:cs="Times New Roman"/>
          <w:bCs/>
          <w:i w:val="0"/>
          <w:iCs w:val="0"/>
          <w:color w:val="262626" w:themeColor="text1" w:themeTint="D9"/>
          <w:sz w:val="24"/>
          <w:szCs w:val="24"/>
        </w:rPr>
        <w:t>APS 2005, 2008, 2012</w:t>
      </w:r>
    </w:p>
    <w:tbl>
      <w:tblPr>
        <w:tblW w:w="7823" w:type="dxa"/>
        <w:tblInd w:w="-5" w:type="dxa"/>
        <w:tblLook w:val="04A0" w:firstRow="1" w:lastRow="0" w:firstColumn="1" w:lastColumn="0" w:noHBand="0" w:noVBand="1"/>
      </w:tblPr>
      <w:tblGrid>
        <w:gridCol w:w="1560"/>
        <w:gridCol w:w="940"/>
        <w:gridCol w:w="455"/>
        <w:gridCol w:w="691"/>
        <w:gridCol w:w="940"/>
        <w:gridCol w:w="455"/>
        <w:gridCol w:w="691"/>
        <w:gridCol w:w="940"/>
        <w:gridCol w:w="455"/>
        <w:gridCol w:w="696"/>
      </w:tblGrid>
      <w:tr w:rsidR="007D30C9" w:rsidRPr="00714E84" w14:paraId="008085BF" w14:textId="77777777" w:rsidTr="006F5D32">
        <w:tc>
          <w:tcPr>
            <w:tcW w:w="1560" w:type="dxa"/>
            <w:tcBorders>
              <w:top w:val="single" w:sz="4" w:space="0" w:color="auto"/>
              <w:left w:val="single" w:sz="4" w:space="0" w:color="auto"/>
              <w:bottom w:val="nil"/>
              <w:right w:val="nil"/>
            </w:tcBorders>
            <w:shd w:val="clear" w:color="auto" w:fill="auto"/>
            <w:noWrap/>
            <w:vAlign w:val="bottom"/>
            <w:hideMark/>
          </w:tcPr>
          <w:p w14:paraId="05323755" w14:textId="77777777" w:rsidR="007D30C9" w:rsidRPr="00714E84" w:rsidRDefault="007D30C9" w:rsidP="00055BDD">
            <w:pP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 </w:t>
            </w:r>
          </w:p>
        </w:tc>
        <w:tc>
          <w:tcPr>
            <w:tcW w:w="2086" w:type="dxa"/>
            <w:gridSpan w:val="3"/>
            <w:tcBorders>
              <w:top w:val="single" w:sz="4" w:space="0" w:color="auto"/>
              <w:left w:val="single" w:sz="4" w:space="0" w:color="auto"/>
              <w:bottom w:val="nil"/>
              <w:right w:val="single" w:sz="4" w:space="0" w:color="000000"/>
            </w:tcBorders>
            <w:shd w:val="clear" w:color="auto" w:fill="auto"/>
            <w:noWrap/>
            <w:hideMark/>
          </w:tcPr>
          <w:p w14:paraId="72816309" w14:textId="626B3FC1" w:rsidR="007D30C9" w:rsidRPr="00714E84" w:rsidRDefault="007D30C9" w:rsidP="00183AE0">
            <w:pPr>
              <w:jc w:val="cente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20</w:t>
            </w:r>
            <w:r w:rsidR="00183AE0" w:rsidRPr="00714E84">
              <w:rPr>
                <w:rFonts w:asciiTheme="minorHAnsi" w:eastAsia="Times New Roman" w:hAnsiTheme="minorHAnsi" w:cstheme="minorHAnsi"/>
                <w:color w:val="000000"/>
                <w:sz w:val="22"/>
                <w:szCs w:val="22"/>
                <w:lang w:eastAsia="en-GB"/>
              </w:rPr>
              <w:t>05</w:t>
            </w:r>
          </w:p>
        </w:tc>
        <w:tc>
          <w:tcPr>
            <w:tcW w:w="2086" w:type="dxa"/>
            <w:gridSpan w:val="3"/>
            <w:tcBorders>
              <w:top w:val="single" w:sz="4" w:space="0" w:color="auto"/>
              <w:left w:val="nil"/>
              <w:bottom w:val="single" w:sz="4" w:space="0" w:color="auto"/>
              <w:right w:val="nil"/>
            </w:tcBorders>
            <w:shd w:val="clear" w:color="auto" w:fill="auto"/>
            <w:noWrap/>
            <w:hideMark/>
          </w:tcPr>
          <w:p w14:paraId="68C14215" w14:textId="77777777" w:rsidR="007D30C9" w:rsidRPr="00714E84" w:rsidRDefault="007D30C9" w:rsidP="00055BDD">
            <w:pPr>
              <w:jc w:val="cente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2008</w:t>
            </w:r>
          </w:p>
        </w:tc>
        <w:tc>
          <w:tcPr>
            <w:tcW w:w="209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9111C88" w14:textId="135BA779" w:rsidR="007D30C9" w:rsidRPr="00714E84" w:rsidRDefault="007D30C9" w:rsidP="00183AE0">
            <w:pPr>
              <w:jc w:val="cente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20</w:t>
            </w:r>
            <w:r w:rsidR="00183AE0" w:rsidRPr="00714E84">
              <w:rPr>
                <w:rFonts w:asciiTheme="minorHAnsi" w:eastAsia="Times New Roman" w:hAnsiTheme="minorHAnsi" w:cstheme="minorHAnsi"/>
                <w:color w:val="000000"/>
                <w:sz w:val="22"/>
                <w:szCs w:val="22"/>
                <w:lang w:eastAsia="en-GB"/>
              </w:rPr>
              <w:t>12</w:t>
            </w:r>
          </w:p>
        </w:tc>
      </w:tr>
      <w:tr w:rsidR="007D30C9" w:rsidRPr="00714E84" w14:paraId="1FEB7FA7" w14:textId="77777777" w:rsidTr="006F5D32">
        <w:tc>
          <w:tcPr>
            <w:tcW w:w="1560" w:type="dxa"/>
            <w:tcBorders>
              <w:top w:val="single" w:sz="4" w:space="0" w:color="auto"/>
              <w:left w:val="single" w:sz="4" w:space="0" w:color="auto"/>
              <w:bottom w:val="single" w:sz="4" w:space="0" w:color="auto"/>
              <w:right w:val="nil"/>
            </w:tcBorders>
            <w:shd w:val="clear" w:color="auto" w:fill="auto"/>
            <w:noWrap/>
            <w:vAlign w:val="bottom"/>
            <w:hideMark/>
          </w:tcPr>
          <w:p w14:paraId="5D9798EC" w14:textId="77777777" w:rsidR="007D30C9" w:rsidRPr="00714E84" w:rsidRDefault="007D30C9" w:rsidP="00055BDD">
            <w:pPr>
              <w:rPr>
                <w:rFonts w:asciiTheme="minorHAnsi" w:eastAsia="Times New Roman" w:hAnsiTheme="minorHAnsi" w:cstheme="minorHAnsi"/>
                <w:b/>
                <w:bCs/>
                <w:color w:val="000000"/>
                <w:sz w:val="22"/>
                <w:szCs w:val="22"/>
                <w:lang w:eastAsia="en-GB"/>
              </w:rPr>
            </w:pPr>
            <w:r w:rsidRPr="00714E84">
              <w:rPr>
                <w:rFonts w:asciiTheme="minorHAnsi" w:eastAsia="Times New Roman" w:hAnsiTheme="minorHAnsi" w:cstheme="minorHAnsi"/>
                <w:b/>
                <w:bCs/>
                <w:color w:val="000000"/>
                <w:sz w:val="22"/>
                <w:szCs w:val="22"/>
                <w:lang w:eastAsia="en-GB"/>
              </w:rPr>
              <w:t xml:space="preserve">Ethnic group </w:t>
            </w:r>
          </w:p>
        </w:tc>
        <w:tc>
          <w:tcPr>
            <w:tcW w:w="1395" w:type="dxa"/>
            <w:gridSpan w:val="2"/>
            <w:tcBorders>
              <w:top w:val="single" w:sz="4" w:space="0" w:color="auto"/>
              <w:left w:val="single" w:sz="4" w:space="0" w:color="auto"/>
              <w:bottom w:val="single" w:sz="4" w:space="0" w:color="auto"/>
              <w:right w:val="nil"/>
            </w:tcBorders>
            <w:shd w:val="clear" w:color="auto" w:fill="auto"/>
            <w:noWrap/>
            <w:hideMark/>
          </w:tcPr>
          <w:p w14:paraId="1BD279D8" w14:textId="77777777" w:rsidR="007D30C9" w:rsidRPr="00714E84" w:rsidRDefault="007D30C9" w:rsidP="00055BDD">
            <w:pPr>
              <w:jc w:val="cente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N</w:t>
            </w:r>
          </w:p>
        </w:tc>
        <w:tc>
          <w:tcPr>
            <w:tcW w:w="691" w:type="dxa"/>
            <w:tcBorders>
              <w:top w:val="single" w:sz="4" w:space="0" w:color="auto"/>
              <w:left w:val="nil"/>
              <w:bottom w:val="single" w:sz="4" w:space="0" w:color="auto"/>
              <w:right w:val="single" w:sz="4" w:space="0" w:color="auto"/>
            </w:tcBorders>
            <w:shd w:val="clear" w:color="auto" w:fill="auto"/>
            <w:noWrap/>
            <w:hideMark/>
          </w:tcPr>
          <w:p w14:paraId="749905D1" w14:textId="77777777" w:rsidR="007D30C9" w:rsidRPr="00714E84" w:rsidRDefault="007D30C9" w:rsidP="00055BDD">
            <w:pPr>
              <w:jc w:val="cente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w:t>
            </w:r>
          </w:p>
        </w:tc>
        <w:tc>
          <w:tcPr>
            <w:tcW w:w="1395" w:type="dxa"/>
            <w:gridSpan w:val="2"/>
            <w:tcBorders>
              <w:top w:val="nil"/>
              <w:left w:val="nil"/>
              <w:bottom w:val="single" w:sz="4" w:space="0" w:color="auto"/>
              <w:right w:val="nil"/>
            </w:tcBorders>
            <w:shd w:val="clear" w:color="auto" w:fill="auto"/>
            <w:noWrap/>
            <w:hideMark/>
          </w:tcPr>
          <w:p w14:paraId="2D812587" w14:textId="77777777" w:rsidR="007D30C9" w:rsidRPr="00714E84" w:rsidRDefault="007D30C9" w:rsidP="00055BDD">
            <w:pPr>
              <w:jc w:val="cente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N</w:t>
            </w:r>
          </w:p>
        </w:tc>
        <w:tc>
          <w:tcPr>
            <w:tcW w:w="691" w:type="dxa"/>
            <w:tcBorders>
              <w:top w:val="nil"/>
              <w:left w:val="nil"/>
              <w:bottom w:val="single" w:sz="4" w:space="0" w:color="auto"/>
              <w:right w:val="nil"/>
            </w:tcBorders>
            <w:shd w:val="clear" w:color="auto" w:fill="auto"/>
            <w:noWrap/>
            <w:hideMark/>
          </w:tcPr>
          <w:p w14:paraId="4E897699" w14:textId="77777777" w:rsidR="007D30C9" w:rsidRPr="00714E84" w:rsidRDefault="007D30C9" w:rsidP="00055BDD">
            <w:pPr>
              <w:jc w:val="cente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w:t>
            </w:r>
          </w:p>
        </w:tc>
        <w:tc>
          <w:tcPr>
            <w:tcW w:w="1395" w:type="dxa"/>
            <w:gridSpan w:val="2"/>
            <w:tcBorders>
              <w:top w:val="nil"/>
              <w:left w:val="single" w:sz="4" w:space="0" w:color="auto"/>
              <w:bottom w:val="single" w:sz="4" w:space="0" w:color="auto"/>
              <w:right w:val="nil"/>
            </w:tcBorders>
            <w:shd w:val="clear" w:color="auto" w:fill="auto"/>
            <w:noWrap/>
            <w:hideMark/>
          </w:tcPr>
          <w:p w14:paraId="0A979B29" w14:textId="77777777" w:rsidR="007D30C9" w:rsidRPr="00714E84" w:rsidRDefault="007D30C9" w:rsidP="00055BDD">
            <w:pPr>
              <w:jc w:val="cente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N</w:t>
            </w:r>
          </w:p>
        </w:tc>
        <w:tc>
          <w:tcPr>
            <w:tcW w:w="696" w:type="dxa"/>
            <w:tcBorders>
              <w:top w:val="nil"/>
              <w:left w:val="nil"/>
              <w:bottom w:val="single" w:sz="4" w:space="0" w:color="auto"/>
              <w:right w:val="single" w:sz="4" w:space="0" w:color="auto"/>
            </w:tcBorders>
            <w:shd w:val="clear" w:color="auto" w:fill="auto"/>
            <w:noWrap/>
            <w:hideMark/>
          </w:tcPr>
          <w:p w14:paraId="7528239F" w14:textId="77777777" w:rsidR="007D30C9" w:rsidRPr="00714E84" w:rsidRDefault="007D30C9" w:rsidP="00055BDD">
            <w:pPr>
              <w:jc w:val="center"/>
              <w:rPr>
                <w:rFonts w:asciiTheme="minorHAnsi" w:eastAsia="Times New Roman" w:hAnsiTheme="minorHAnsi" w:cstheme="minorHAnsi"/>
                <w:color w:val="000000"/>
                <w:sz w:val="22"/>
                <w:szCs w:val="22"/>
                <w:lang w:eastAsia="en-GB"/>
              </w:rPr>
            </w:pPr>
            <w:r w:rsidRPr="00714E84">
              <w:rPr>
                <w:rFonts w:asciiTheme="minorHAnsi" w:eastAsia="Times New Roman" w:hAnsiTheme="minorHAnsi" w:cstheme="minorHAnsi"/>
                <w:color w:val="000000"/>
                <w:sz w:val="22"/>
                <w:szCs w:val="22"/>
                <w:lang w:eastAsia="en-GB"/>
              </w:rPr>
              <w:t>%</w:t>
            </w:r>
          </w:p>
        </w:tc>
      </w:tr>
      <w:tr w:rsidR="00D05E8E" w:rsidRPr="00D05E8E" w14:paraId="011F5909" w14:textId="77777777" w:rsidTr="006F5D32">
        <w:trPr>
          <w:trHeight w:val="600"/>
        </w:trPr>
        <w:tc>
          <w:tcPr>
            <w:tcW w:w="1560" w:type="dxa"/>
            <w:tcBorders>
              <w:top w:val="nil"/>
              <w:left w:val="single" w:sz="8" w:space="0" w:color="auto"/>
              <w:bottom w:val="nil"/>
              <w:right w:val="nil"/>
            </w:tcBorders>
            <w:shd w:val="clear" w:color="auto" w:fill="auto"/>
            <w:vAlign w:val="center"/>
            <w:hideMark/>
          </w:tcPr>
          <w:p w14:paraId="78BF8387"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White British</w:t>
            </w:r>
          </w:p>
        </w:tc>
        <w:tc>
          <w:tcPr>
            <w:tcW w:w="940" w:type="dxa"/>
            <w:tcBorders>
              <w:top w:val="nil"/>
              <w:left w:val="single" w:sz="8" w:space="0" w:color="auto"/>
              <w:bottom w:val="nil"/>
              <w:right w:val="nil"/>
            </w:tcBorders>
            <w:shd w:val="clear" w:color="auto" w:fill="auto"/>
            <w:noWrap/>
            <w:vAlign w:val="center"/>
            <w:hideMark/>
          </w:tcPr>
          <w:p w14:paraId="6625BC4A"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160,689</w:t>
            </w:r>
          </w:p>
        </w:tc>
        <w:tc>
          <w:tcPr>
            <w:tcW w:w="1146" w:type="dxa"/>
            <w:gridSpan w:val="2"/>
            <w:tcBorders>
              <w:top w:val="nil"/>
              <w:left w:val="nil"/>
              <w:bottom w:val="nil"/>
              <w:right w:val="single" w:sz="8" w:space="0" w:color="auto"/>
            </w:tcBorders>
            <w:shd w:val="clear" w:color="auto" w:fill="auto"/>
            <w:noWrap/>
            <w:vAlign w:val="center"/>
            <w:hideMark/>
          </w:tcPr>
          <w:p w14:paraId="50B5529A"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90.5</w:t>
            </w:r>
          </w:p>
        </w:tc>
        <w:tc>
          <w:tcPr>
            <w:tcW w:w="940" w:type="dxa"/>
            <w:tcBorders>
              <w:top w:val="nil"/>
              <w:left w:val="nil"/>
              <w:bottom w:val="nil"/>
              <w:right w:val="nil"/>
            </w:tcBorders>
            <w:shd w:val="clear" w:color="auto" w:fill="auto"/>
            <w:noWrap/>
            <w:vAlign w:val="center"/>
            <w:hideMark/>
          </w:tcPr>
          <w:p w14:paraId="572EB11D"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153,058</w:t>
            </w:r>
          </w:p>
        </w:tc>
        <w:tc>
          <w:tcPr>
            <w:tcW w:w="1146" w:type="dxa"/>
            <w:gridSpan w:val="2"/>
            <w:tcBorders>
              <w:top w:val="nil"/>
              <w:left w:val="nil"/>
              <w:bottom w:val="nil"/>
              <w:right w:val="nil"/>
            </w:tcBorders>
            <w:shd w:val="clear" w:color="auto" w:fill="auto"/>
            <w:noWrap/>
            <w:vAlign w:val="center"/>
            <w:hideMark/>
          </w:tcPr>
          <w:p w14:paraId="354D9734"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85.4</w:t>
            </w:r>
          </w:p>
        </w:tc>
        <w:tc>
          <w:tcPr>
            <w:tcW w:w="940" w:type="dxa"/>
            <w:tcBorders>
              <w:top w:val="nil"/>
              <w:left w:val="single" w:sz="8" w:space="0" w:color="auto"/>
              <w:bottom w:val="nil"/>
              <w:right w:val="nil"/>
            </w:tcBorders>
            <w:shd w:val="clear" w:color="auto" w:fill="auto"/>
            <w:noWrap/>
            <w:vAlign w:val="center"/>
            <w:hideMark/>
          </w:tcPr>
          <w:p w14:paraId="7CAE6E6B"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91,657</w:t>
            </w:r>
          </w:p>
        </w:tc>
        <w:tc>
          <w:tcPr>
            <w:tcW w:w="1151" w:type="dxa"/>
            <w:gridSpan w:val="2"/>
            <w:tcBorders>
              <w:top w:val="nil"/>
              <w:left w:val="nil"/>
              <w:bottom w:val="nil"/>
              <w:right w:val="single" w:sz="8" w:space="0" w:color="auto"/>
            </w:tcBorders>
            <w:shd w:val="clear" w:color="auto" w:fill="auto"/>
            <w:noWrap/>
            <w:vAlign w:val="center"/>
            <w:hideMark/>
          </w:tcPr>
          <w:p w14:paraId="4ACEF87B"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86.4</w:t>
            </w:r>
          </w:p>
        </w:tc>
      </w:tr>
      <w:tr w:rsidR="00D05E8E" w:rsidRPr="00D05E8E" w14:paraId="3EB808D5" w14:textId="77777777" w:rsidTr="006F5D32">
        <w:trPr>
          <w:trHeight w:val="300"/>
        </w:trPr>
        <w:tc>
          <w:tcPr>
            <w:tcW w:w="1560" w:type="dxa"/>
            <w:tcBorders>
              <w:top w:val="nil"/>
              <w:left w:val="single" w:sz="8" w:space="0" w:color="auto"/>
              <w:bottom w:val="nil"/>
              <w:right w:val="nil"/>
            </w:tcBorders>
            <w:shd w:val="clear" w:color="auto" w:fill="auto"/>
            <w:noWrap/>
            <w:vAlign w:val="center"/>
            <w:hideMark/>
          </w:tcPr>
          <w:p w14:paraId="2AA75349"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White EU</w:t>
            </w:r>
          </w:p>
        </w:tc>
        <w:tc>
          <w:tcPr>
            <w:tcW w:w="940" w:type="dxa"/>
            <w:tcBorders>
              <w:top w:val="nil"/>
              <w:left w:val="single" w:sz="8" w:space="0" w:color="auto"/>
              <w:bottom w:val="nil"/>
              <w:right w:val="nil"/>
            </w:tcBorders>
            <w:shd w:val="clear" w:color="auto" w:fill="auto"/>
            <w:noWrap/>
            <w:vAlign w:val="center"/>
            <w:hideMark/>
          </w:tcPr>
          <w:p w14:paraId="7032E704"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1,808</w:t>
            </w:r>
          </w:p>
        </w:tc>
        <w:tc>
          <w:tcPr>
            <w:tcW w:w="1146" w:type="dxa"/>
            <w:gridSpan w:val="2"/>
            <w:tcBorders>
              <w:top w:val="nil"/>
              <w:left w:val="nil"/>
              <w:bottom w:val="nil"/>
              <w:right w:val="single" w:sz="8" w:space="0" w:color="auto"/>
            </w:tcBorders>
            <w:shd w:val="clear" w:color="auto" w:fill="auto"/>
            <w:noWrap/>
            <w:vAlign w:val="center"/>
            <w:hideMark/>
          </w:tcPr>
          <w:p w14:paraId="6BD58571"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1.0</w:t>
            </w:r>
          </w:p>
        </w:tc>
        <w:tc>
          <w:tcPr>
            <w:tcW w:w="940" w:type="dxa"/>
            <w:tcBorders>
              <w:top w:val="nil"/>
              <w:left w:val="nil"/>
              <w:bottom w:val="nil"/>
              <w:right w:val="nil"/>
            </w:tcBorders>
            <w:shd w:val="clear" w:color="auto" w:fill="auto"/>
            <w:noWrap/>
            <w:vAlign w:val="center"/>
            <w:hideMark/>
          </w:tcPr>
          <w:p w14:paraId="796D2161"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1,626</w:t>
            </w:r>
          </w:p>
        </w:tc>
        <w:tc>
          <w:tcPr>
            <w:tcW w:w="1146" w:type="dxa"/>
            <w:gridSpan w:val="2"/>
            <w:tcBorders>
              <w:top w:val="nil"/>
              <w:left w:val="nil"/>
              <w:bottom w:val="nil"/>
              <w:right w:val="nil"/>
            </w:tcBorders>
            <w:shd w:val="clear" w:color="auto" w:fill="auto"/>
            <w:noWrap/>
            <w:vAlign w:val="center"/>
            <w:hideMark/>
          </w:tcPr>
          <w:p w14:paraId="6AA684A4"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0.9</w:t>
            </w:r>
          </w:p>
        </w:tc>
        <w:tc>
          <w:tcPr>
            <w:tcW w:w="940" w:type="dxa"/>
            <w:tcBorders>
              <w:top w:val="nil"/>
              <w:left w:val="single" w:sz="8" w:space="0" w:color="auto"/>
              <w:bottom w:val="nil"/>
              <w:right w:val="nil"/>
            </w:tcBorders>
            <w:shd w:val="clear" w:color="auto" w:fill="auto"/>
            <w:noWrap/>
            <w:vAlign w:val="center"/>
            <w:hideMark/>
          </w:tcPr>
          <w:p w14:paraId="113B71E8"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1,097</w:t>
            </w:r>
          </w:p>
        </w:tc>
        <w:tc>
          <w:tcPr>
            <w:tcW w:w="1151" w:type="dxa"/>
            <w:gridSpan w:val="2"/>
            <w:tcBorders>
              <w:top w:val="nil"/>
              <w:left w:val="nil"/>
              <w:bottom w:val="nil"/>
              <w:right w:val="single" w:sz="8" w:space="0" w:color="auto"/>
            </w:tcBorders>
            <w:shd w:val="clear" w:color="auto" w:fill="auto"/>
            <w:noWrap/>
            <w:vAlign w:val="center"/>
            <w:hideMark/>
          </w:tcPr>
          <w:p w14:paraId="308D7B18"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1.0</w:t>
            </w:r>
          </w:p>
        </w:tc>
      </w:tr>
      <w:tr w:rsidR="00D05E8E" w:rsidRPr="00D05E8E" w14:paraId="50222DF2" w14:textId="77777777" w:rsidTr="006F5D32">
        <w:trPr>
          <w:trHeight w:val="300"/>
        </w:trPr>
        <w:tc>
          <w:tcPr>
            <w:tcW w:w="1560" w:type="dxa"/>
            <w:tcBorders>
              <w:top w:val="nil"/>
              <w:left w:val="single" w:sz="8" w:space="0" w:color="auto"/>
              <w:bottom w:val="nil"/>
              <w:right w:val="nil"/>
            </w:tcBorders>
            <w:shd w:val="clear" w:color="auto" w:fill="auto"/>
            <w:noWrap/>
            <w:vAlign w:val="center"/>
            <w:hideMark/>
          </w:tcPr>
          <w:p w14:paraId="3537A74D"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White A8</w:t>
            </w:r>
          </w:p>
        </w:tc>
        <w:tc>
          <w:tcPr>
            <w:tcW w:w="940" w:type="dxa"/>
            <w:tcBorders>
              <w:top w:val="nil"/>
              <w:left w:val="single" w:sz="8" w:space="0" w:color="auto"/>
              <w:bottom w:val="nil"/>
              <w:right w:val="nil"/>
            </w:tcBorders>
            <w:shd w:val="clear" w:color="auto" w:fill="auto"/>
            <w:noWrap/>
            <w:vAlign w:val="center"/>
            <w:hideMark/>
          </w:tcPr>
          <w:p w14:paraId="3319F93C"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636</w:t>
            </w:r>
          </w:p>
        </w:tc>
        <w:tc>
          <w:tcPr>
            <w:tcW w:w="1146" w:type="dxa"/>
            <w:gridSpan w:val="2"/>
            <w:tcBorders>
              <w:top w:val="nil"/>
              <w:left w:val="nil"/>
              <w:bottom w:val="nil"/>
              <w:right w:val="single" w:sz="8" w:space="0" w:color="auto"/>
            </w:tcBorders>
            <w:shd w:val="clear" w:color="auto" w:fill="auto"/>
            <w:noWrap/>
            <w:vAlign w:val="center"/>
            <w:hideMark/>
          </w:tcPr>
          <w:p w14:paraId="067B387C"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0.4</w:t>
            </w:r>
          </w:p>
        </w:tc>
        <w:tc>
          <w:tcPr>
            <w:tcW w:w="940" w:type="dxa"/>
            <w:tcBorders>
              <w:top w:val="nil"/>
              <w:left w:val="nil"/>
              <w:bottom w:val="nil"/>
              <w:right w:val="nil"/>
            </w:tcBorders>
            <w:shd w:val="clear" w:color="auto" w:fill="auto"/>
            <w:noWrap/>
            <w:vAlign w:val="center"/>
            <w:hideMark/>
          </w:tcPr>
          <w:p w14:paraId="40329DAD"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2,095</w:t>
            </w:r>
          </w:p>
        </w:tc>
        <w:tc>
          <w:tcPr>
            <w:tcW w:w="1146" w:type="dxa"/>
            <w:gridSpan w:val="2"/>
            <w:tcBorders>
              <w:top w:val="nil"/>
              <w:left w:val="nil"/>
              <w:bottom w:val="nil"/>
              <w:right w:val="nil"/>
            </w:tcBorders>
            <w:shd w:val="clear" w:color="auto" w:fill="auto"/>
            <w:noWrap/>
            <w:vAlign w:val="center"/>
            <w:hideMark/>
          </w:tcPr>
          <w:p w14:paraId="70D7CB43"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1.2</w:t>
            </w:r>
          </w:p>
        </w:tc>
        <w:tc>
          <w:tcPr>
            <w:tcW w:w="940" w:type="dxa"/>
            <w:tcBorders>
              <w:top w:val="nil"/>
              <w:left w:val="single" w:sz="8" w:space="0" w:color="auto"/>
              <w:bottom w:val="nil"/>
              <w:right w:val="nil"/>
            </w:tcBorders>
            <w:shd w:val="clear" w:color="auto" w:fill="auto"/>
            <w:noWrap/>
            <w:vAlign w:val="center"/>
            <w:hideMark/>
          </w:tcPr>
          <w:p w14:paraId="219DCC3E"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2,059</w:t>
            </w:r>
          </w:p>
        </w:tc>
        <w:tc>
          <w:tcPr>
            <w:tcW w:w="1151" w:type="dxa"/>
            <w:gridSpan w:val="2"/>
            <w:tcBorders>
              <w:top w:val="nil"/>
              <w:left w:val="nil"/>
              <w:bottom w:val="nil"/>
              <w:right w:val="single" w:sz="8" w:space="0" w:color="auto"/>
            </w:tcBorders>
            <w:shd w:val="clear" w:color="auto" w:fill="auto"/>
            <w:noWrap/>
            <w:vAlign w:val="center"/>
            <w:hideMark/>
          </w:tcPr>
          <w:p w14:paraId="3DB12696"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1.9</w:t>
            </w:r>
          </w:p>
        </w:tc>
      </w:tr>
      <w:tr w:rsidR="00D05E8E" w:rsidRPr="00D05E8E" w14:paraId="21E70DEA" w14:textId="77777777" w:rsidTr="006F5D32">
        <w:trPr>
          <w:trHeight w:val="300"/>
        </w:trPr>
        <w:tc>
          <w:tcPr>
            <w:tcW w:w="1560" w:type="dxa"/>
            <w:tcBorders>
              <w:top w:val="nil"/>
              <w:left w:val="single" w:sz="8" w:space="0" w:color="auto"/>
              <w:bottom w:val="nil"/>
              <w:right w:val="nil"/>
            </w:tcBorders>
            <w:shd w:val="clear" w:color="auto" w:fill="auto"/>
            <w:noWrap/>
            <w:vAlign w:val="center"/>
            <w:hideMark/>
          </w:tcPr>
          <w:p w14:paraId="4A497481"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Mixed</w:t>
            </w:r>
          </w:p>
        </w:tc>
        <w:tc>
          <w:tcPr>
            <w:tcW w:w="940" w:type="dxa"/>
            <w:tcBorders>
              <w:top w:val="nil"/>
              <w:left w:val="single" w:sz="8" w:space="0" w:color="auto"/>
              <w:bottom w:val="nil"/>
              <w:right w:val="nil"/>
            </w:tcBorders>
            <w:shd w:val="clear" w:color="auto" w:fill="auto"/>
            <w:noWrap/>
            <w:vAlign w:val="center"/>
            <w:hideMark/>
          </w:tcPr>
          <w:p w14:paraId="7F075FA9"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790</w:t>
            </w:r>
          </w:p>
        </w:tc>
        <w:tc>
          <w:tcPr>
            <w:tcW w:w="1146" w:type="dxa"/>
            <w:gridSpan w:val="2"/>
            <w:tcBorders>
              <w:top w:val="nil"/>
              <w:left w:val="nil"/>
              <w:bottom w:val="nil"/>
              <w:right w:val="single" w:sz="8" w:space="0" w:color="auto"/>
            </w:tcBorders>
            <w:shd w:val="clear" w:color="auto" w:fill="auto"/>
            <w:noWrap/>
            <w:vAlign w:val="center"/>
            <w:hideMark/>
          </w:tcPr>
          <w:p w14:paraId="58EDDEB0"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0.4</w:t>
            </w:r>
          </w:p>
        </w:tc>
        <w:tc>
          <w:tcPr>
            <w:tcW w:w="940" w:type="dxa"/>
            <w:tcBorders>
              <w:top w:val="nil"/>
              <w:left w:val="nil"/>
              <w:bottom w:val="nil"/>
              <w:right w:val="nil"/>
            </w:tcBorders>
            <w:shd w:val="clear" w:color="auto" w:fill="auto"/>
            <w:noWrap/>
            <w:vAlign w:val="center"/>
            <w:hideMark/>
          </w:tcPr>
          <w:p w14:paraId="3884EF5D"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1101</w:t>
            </w:r>
          </w:p>
        </w:tc>
        <w:tc>
          <w:tcPr>
            <w:tcW w:w="1146" w:type="dxa"/>
            <w:gridSpan w:val="2"/>
            <w:tcBorders>
              <w:top w:val="nil"/>
              <w:left w:val="nil"/>
              <w:bottom w:val="nil"/>
              <w:right w:val="nil"/>
            </w:tcBorders>
            <w:shd w:val="clear" w:color="auto" w:fill="auto"/>
            <w:noWrap/>
            <w:vAlign w:val="center"/>
            <w:hideMark/>
          </w:tcPr>
          <w:p w14:paraId="5EDF8C10"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0.6</w:t>
            </w:r>
          </w:p>
        </w:tc>
        <w:tc>
          <w:tcPr>
            <w:tcW w:w="940" w:type="dxa"/>
            <w:tcBorders>
              <w:top w:val="nil"/>
              <w:left w:val="single" w:sz="8" w:space="0" w:color="auto"/>
              <w:bottom w:val="nil"/>
              <w:right w:val="nil"/>
            </w:tcBorders>
            <w:shd w:val="clear" w:color="auto" w:fill="auto"/>
            <w:noWrap/>
            <w:vAlign w:val="center"/>
            <w:hideMark/>
          </w:tcPr>
          <w:p w14:paraId="410D3461"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749</w:t>
            </w:r>
          </w:p>
        </w:tc>
        <w:tc>
          <w:tcPr>
            <w:tcW w:w="1151" w:type="dxa"/>
            <w:gridSpan w:val="2"/>
            <w:tcBorders>
              <w:top w:val="nil"/>
              <w:left w:val="nil"/>
              <w:bottom w:val="nil"/>
              <w:right w:val="single" w:sz="8" w:space="0" w:color="auto"/>
            </w:tcBorders>
            <w:shd w:val="clear" w:color="auto" w:fill="auto"/>
            <w:noWrap/>
            <w:vAlign w:val="center"/>
            <w:hideMark/>
          </w:tcPr>
          <w:p w14:paraId="329F3CAA"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0.7</w:t>
            </w:r>
          </w:p>
        </w:tc>
      </w:tr>
      <w:tr w:rsidR="00D05E8E" w:rsidRPr="00D05E8E" w14:paraId="509BE35C" w14:textId="77777777" w:rsidTr="006F5D32">
        <w:trPr>
          <w:trHeight w:val="300"/>
        </w:trPr>
        <w:tc>
          <w:tcPr>
            <w:tcW w:w="1560" w:type="dxa"/>
            <w:tcBorders>
              <w:top w:val="nil"/>
              <w:left w:val="single" w:sz="8" w:space="0" w:color="auto"/>
              <w:bottom w:val="nil"/>
              <w:right w:val="nil"/>
            </w:tcBorders>
            <w:shd w:val="clear" w:color="auto" w:fill="auto"/>
            <w:noWrap/>
            <w:vAlign w:val="center"/>
            <w:hideMark/>
          </w:tcPr>
          <w:p w14:paraId="380DA0C7"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Black Caribbean</w:t>
            </w:r>
          </w:p>
        </w:tc>
        <w:tc>
          <w:tcPr>
            <w:tcW w:w="940" w:type="dxa"/>
            <w:tcBorders>
              <w:top w:val="nil"/>
              <w:left w:val="single" w:sz="8" w:space="0" w:color="auto"/>
              <w:bottom w:val="nil"/>
              <w:right w:val="nil"/>
            </w:tcBorders>
            <w:shd w:val="clear" w:color="auto" w:fill="auto"/>
            <w:noWrap/>
            <w:vAlign w:val="center"/>
            <w:hideMark/>
          </w:tcPr>
          <w:p w14:paraId="7DDDB2CE"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996</w:t>
            </w:r>
          </w:p>
        </w:tc>
        <w:tc>
          <w:tcPr>
            <w:tcW w:w="1146" w:type="dxa"/>
            <w:gridSpan w:val="2"/>
            <w:tcBorders>
              <w:top w:val="nil"/>
              <w:left w:val="nil"/>
              <w:bottom w:val="nil"/>
              <w:right w:val="single" w:sz="8" w:space="0" w:color="auto"/>
            </w:tcBorders>
            <w:shd w:val="clear" w:color="auto" w:fill="auto"/>
            <w:noWrap/>
            <w:vAlign w:val="center"/>
            <w:hideMark/>
          </w:tcPr>
          <w:p w14:paraId="3D2171BC"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0.6</w:t>
            </w:r>
          </w:p>
        </w:tc>
        <w:tc>
          <w:tcPr>
            <w:tcW w:w="940" w:type="dxa"/>
            <w:tcBorders>
              <w:top w:val="nil"/>
              <w:left w:val="nil"/>
              <w:bottom w:val="nil"/>
              <w:right w:val="nil"/>
            </w:tcBorders>
            <w:shd w:val="clear" w:color="auto" w:fill="auto"/>
            <w:noWrap/>
            <w:vAlign w:val="center"/>
            <w:hideMark/>
          </w:tcPr>
          <w:p w14:paraId="47151E86"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1453</w:t>
            </w:r>
          </w:p>
        </w:tc>
        <w:tc>
          <w:tcPr>
            <w:tcW w:w="1146" w:type="dxa"/>
            <w:gridSpan w:val="2"/>
            <w:tcBorders>
              <w:top w:val="nil"/>
              <w:left w:val="nil"/>
              <w:bottom w:val="nil"/>
              <w:right w:val="nil"/>
            </w:tcBorders>
            <w:shd w:val="clear" w:color="auto" w:fill="auto"/>
            <w:noWrap/>
            <w:vAlign w:val="center"/>
            <w:hideMark/>
          </w:tcPr>
          <w:p w14:paraId="1040E3BB"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0.8</w:t>
            </w:r>
          </w:p>
        </w:tc>
        <w:tc>
          <w:tcPr>
            <w:tcW w:w="940" w:type="dxa"/>
            <w:tcBorders>
              <w:top w:val="nil"/>
              <w:left w:val="single" w:sz="8" w:space="0" w:color="auto"/>
              <w:bottom w:val="nil"/>
              <w:right w:val="nil"/>
            </w:tcBorders>
            <w:shd w:val="clear" w:color="auto" w:fill="auto"/>
            <w:noWrap/>
            <w:vAlign w:val="center"/>
            <w:hideMark/>
          </w:tcPr>
          <w:p w14:paraId="246D49BD"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800</w:t>
            </w:r>
          </w:p>
        </w:tc>
        <w:tc>
          <w:tcPr>
            <w:tcW w:w="1151" w:type="dxa"/>
            <w:gridSpan w:val="2"/>
            <w:tcBorders>
              <w:top w:val="nil"/>
              <w:left w:val="nil"/>
              <w:bottom w:val="nil"/>
              <w:right w:val="single" w:sz="8" w:space="0" w:color="auto"/>
            </w:tcBorders>
            <w:shd w:val="clear" w:color="auto" w:fill="auto"/>
            <w:noWrap/>
            <w:vAlign w:val="center"/>
            <w:hideMark/>
          </w:tcPr>
          <w:p w14:paraId="0FB2921C"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0.8</w:t>
            </w:r>
          </w:p>
        </w:tc>
      </w:tr>
      <w:tr w:rsidR="00D05E8E" w:rsidRPr="00D05E8E" w14:paraId="04CFA52F" w14:textId="77777777" w:rsidTr="006F5D32">
        <w:trPr>
          <w:trHeight w:val="300"/>
        </w:trPr>
        <w:tc>
          <w:tcPr>
            <w:tcW w:w="1560" w:type="dxa"/>
            <w:tcBorders>
              <w:top w:val="nil"/>
              <w:left w:val="single" w:sz="8" w:space="0" w:color="auto"/>
              <w:bottom w:val="nil"/>
              <w:right w:val="nil"/>
            </w:tcBorders>
            <w:shd w:val="clear" w:color="auto" w:fill="auto"/>
            <w:noWrap/>
            <w:vAlign w:val="center"/>
            <w:hideMark/>
          </w:tcPr>
          <w:p w14:paraId="076E1A31"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Indian</w:t>
            </w:r>
          </w:p>
        </w:tc>
        <w:tc>
          <w:tcPr>
            <w:tcW w:w="940" w:type="dxa"/>
            <w:tcBorders>
              <w:top w:val="nil"/>
              <w:left w:val="single" w:sz="8" w:space="0" w:color="auto"/>
              <w:bottom w:val="nil"/>
              <w:right w:val="nil"/>
            </w:tcBorders>
            <w:shd w:val="clear" w:color="auto" w:fill="auto"/>
            <w:noWrap/>
            <w:vAlign w:val="center"/>
            <w:hideMark/>
          </w:tcPr>
          <w:p w14:paraId="25EF6E25"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2,448</w:t>
            </w:r>
          </w:p>
        </w:tc>
        <w:tc>
          <w:tcPr>
            <w:tcW w:w="1146" w:type="dxa"/>
            <w:gridSpan w:val="2"/>
            <w:tcBorders>
              <w:top w:val="nil"/>
              <w:left w:val="nil"/>
              <w:bottom w:val="nil"/>
              <w:right w:val="single" w:sz="8" w:space="0" w:color="auto"/>
            </w:tcBorders>
            <w:shd w:val="clear" w:color="auto" w:fill="auto"/>
            <w:noWrap/>
            <w:vAlign w:val="center"/>
            <w:hideMark/>
          </w:tcPr>
          <w:p w14:paraId="6D613896"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1.4</w:t>
            </w:r>
          </w:p>
        </w:tc>
        <w:tc>
          <w:tcPr>
            <w:tcW w:w="940" w:type="dxa"/>
            <w:tcBorders>
              <w:top w:val="nil"/>
              <w:left w:val="nil"/>
              <w:bottom w:val="nil"/>
              <w:right w:val="nil"/>
            </w:tcBorders>
            <w:shd w:val="clear" w:color="auto" w:fill="auto"/>
            <w:noWrap/>
            <w:vAlign w:val="center"/>
            <w:hideMark/>
          </w:tcPr>
          <w:p w14:paraId="45C4C6B5"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3,576</w:t>
            </w:r>
          </w:p>
        </w:tc>
        <w:tc>
          <w:tcPr>
            <w:tcW w:w="1146" w:type="dxa"/>
            <w:gridSpan w:val="2"/>
            <w:tcBorders>
              <w:top w:val="nil"/>
              <w:left w:val="nil"/>
              <w:bottom w:val="nil"/>
              <w:right w:val="nil"/>
            </w:tcBorders>
            <w:shd w:val="clear" w:color="auto" w:fill="auto"/>
            <w:noWrap/>
            <w:vAlign w:val="center"/>
            <w:hideMark/>
          </w:tcPr>
          <w:p w14:paraId="2907DD1B"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2.0</w:t>
            </w:r>
          </w:p>
        </w:tc>
        <w:tc>
          <w:tcPr>
            <w:tcW w:w="940" w:type="dxa"/>
            <w:tcBorders>
              <w:top w:val="nil"/>
              <w:left w:val="single" w:sz="8" w:space="0" w:color="auto"/>
              <w:bottom w:val="nil"/>
              <w:right w:val="nil"/>
            </w:tcBorders>
            <w:shd w:val="clear" w:color="auto" w:fill="auto"/>
            <w:noWrap/>
            <w:vAlign w:val="center"/>
            <w:hideMark/>
          </w:tcPr>
          <w:p w14:paraId="2DBA15FF"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2,514</w:t>
            </w:r>
          </w:p>
        </w:tc>
        <w:tc>
          <w:tcPr>
            <w:tcW w:w="1151" w:type="dxa"/>
            <w:gridSpan w:val="2"/>
            <w:tcBorders>
              <w:top w:val="nil"/>
              <w:left w:val="nil"/>
              <w:bottom w:val="nil"/>
              <w:right w:val="single" w:sz="8" w:space="0" w:color="auto"/>
            </w:tcBorders>
            <w:shd w:val="clear" w:color="auto" w:fill="auto"/>
            <w:noWrap/>
            <w:vAlign w:val="center"/>
            <w:hideMark/>
          </w:tcPr>
          <w:p w14:paraId="56EAB286"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2.4</w:t>
            </w:r>
          </w:p>
        </w:tc>
      </w:tr>
      <w:tr w:rsidR="00D05E8E" w:rsidRPr="00D05E8E" w14:paraId="53DAA75D" w14:textId="77777777" w:rsidTr="006F5D32">
        <w:trPr>
          <w:trHeight w:val="300"/>
        </w:trPr>
        <w:tc>
          <w:tcPr>
            <w:tcW w:w="1560" w:type="dxa"/>
            <w:tcBorders>
              <w:top w:val="nil"/>
              <w:left w:val="single" w:sz="8" w:space="0" w:color="auto"/>
              <w:bottom w:val="nil"/>
              <w:right w:val="nil"/>
            </w:tcBorders>
            <w:shd w:val="clear" w:color="auto" w:fill="auto"/>
            <w:noWrap/>
            <w:vAlign w:val="center"/>
            <w:hideMark/>
          </w:tcPr>
          <w:p w14:paraId="2D00C222"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Pakistani</w:t>
            </w:r>
          </w:p>
        </w:tc>
        <w:tc>
          <w:tcPr>
            <w:tcW w:w="940" w:type="dxa"/>
            <w:tcBorders>
              <w:top w:val="nil"/>
              <w:left w:val="single" w:sz="8" w:space="0" w:color="auto"/>
              <w:bottom w:val="nil"/>
              <w:right w:val="nil"/>
            </w:tcBorders>
            <w:shd w:val="clear" w:color="auto" w:fill="auto"/>
            <w:noWrap/>
            <w:vAlign w:val="center"/>
            <w:hideMark/>
          </w:tcPr>
          <w:p w14:paraId="112465D3"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927</w:t>
            </w:r>
          </w:p>
        </w:tc>
        <w:tc>
          <w:tcPr>
            <w:tcW w:w="1146" w:type="dxa"/>
            <w:gridSpan w:val="2"/>
            <w:tcBorders>
              <w:top w:val="nil"/>
              <w:left w:val="nil"/>
              <w:bottom w:val="nil"/>
              <w:right w:val="single" w:sz="8" w:space="0" w:color="auto"/>
            </w:tcBorders>
            <w:shd w:val="clear" w:color="auto" w:fill="auto"/>
            <w:noWrap/>
            <w:vAlign w:val="center"/>
            <w:hideMark/>
          </w:tcPr>
          <w:p w14:paraId="3C631077"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0.5</w:t>
            </w:r>
          </w:p>
        </w:tc>
        <w:tc>
          <w:tcPr>
            <w:tcW w:w="940" w:type="dxa"/>
            <w:tcBorders>
              <w:top w:val="nil"/>
              <w:left w:val="nil"/>
              <w:bottom w:val="nil"/>
              <w:right w:val="nil"/>
            </w:tcBorders>
            <w:shd w:val="clear" w:color="auto" w:fill="auto"/>
            <w:noWrap/>
            <w:vAlign w:val="center"/>
            <w:hideMark/>
          </w:tcPr>
          <w:p w14:paraId="3F7B83A4"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2,452</w:t>
            </w:r>
          </w:p>
        </w:tc>
        <w:tc>
          <w:tcPr>
            <w:tcW w:w="1146" w:type="dxa"/>
            <w:gridSpan w:val="2"/>
            <w:tcBorders>
              <w:top w:val="nil"/>
              <w:left w:val="nil"/>
              <w:bottom w:val="nil"/>
              <w:right w:val="nil"/>
            </w:tcBorders>
            <w:shd w:val="clear" w:color="auto" w:fill="auto"/>
            <w:noWrap/>
            <w:vAlign w:val="center"/>
            <w:hideMark/>
          </w:tcPr>
          <w:p w14:paraId="0075FF54"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1.4</w:t>
            </w:r>
          </w:p>
        </w:tc>
        <w:tc>
          <w:tcPr>
            <w:tcW w:w="940" w:type="dxa"/>
            <w:tcBorders>
              <w:top w:val="nil"/>
              <w:left w:val="single" w:sz="8" w:space="0" w:color="auto"/>
              <w:bottom w:val="nil"/>
              <w:right w:val="nil"/>
            </w:tcBorders>
            <w:shd w:val="clear" w:color="auto" w:fill="auto"/>
            <w:noWrap/>
            <w:vAlign w:val="center"/>
            <w:hideMark/>
          </w:tcPr>
          <w:p w14:paraId="49D0D756"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1,010</w:t>
            </w:r>
          </w:p>
        </w:tc>
        <w:tc>
          <w:tcPr>
            <w:tcW w:w="1151" w:type="dxa"/>
            <w:gridSpan w:val="2"/>
            <w:tcBorders>
              <w:top w:val="nil"/>
              <w:left w:val="nil"/>
              <w:bottom w:val="nil"/>
              <w:right w:val="single" w:sz="8" w:space="0" w:color="auto"/>
            </w:tcBorders>
            <w:shd w:val="clear" w:color="auto" w:fill="auto"/>
            <w:noWrap/>
            <w:vAlign w:val="center"/>
            <w:hideMark/>
          </w:tcPr>
          <w:p w14:paraId="6BE1E352"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1.0</w:t>
            </w:r>
          </w:p>
        </w:tc>
      </w:tr>
      <w:tr w:rsidR="00D05E8E" w:rsidRPr="00D05E8E" w14:paraId="56B7223B" w14:textId="77777777" w:rsidTr="006F5D32">
        <w:trPr>
          <w:trHeight w:val="300"/>
        </w:trPr>
        <w:tc>
          <w:tcPr>
            <w:tcW w:w="1560" w:type="dxa"/>
            <w:tcBorders>
              <w:top w:val="nil"/>
              <w:left w:val="single" w:sz="8" w:space="0" w:color="auto"/>
              <w:bottom w:val="nil"/>
              <w:right w:val="nil"/>
            </w:tcBorders>
            <w:shd w:val="clear" w:color="auto" w:fill="auto"/>
            <w:noWrap/>
            <w:vAlign w:val="center"/>
            <w:hideMark/>
          </w:tcPr>
          <w:p w14:paraId="06538E41"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Bangladeshi</w:t>
            </w:r>
          </w:p>
        </w:tc>
        <w:tc>
          <w:tcPr>
            <w:tcW w:w="940" w:type="dxa"/>
            <w:tcBorders>
              <w:top w:val="nil"/>
              <w:left w:val="single" w:sz="8" w:space="0" w:color="auto"/>
              <w:bottom w:val="nil"/>
              <w:right w:val="nil"/>
            </w:tcBorders>
            <w:shd w:val="clear" w:color="auto" w:fill="auto"/>
            <w:noWrap/>
            <w:vAlign w:val="center"/>
            <w:hideMark/>
          </w:tcPr>
          <w:p w14:paraId="4E850391"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299</w:t>
            </w:r>
          </w:p>
        </w:tc>
        <w:tc>
          <w:tcPr>
            <w:tcW w:w="1146" w:type="dxa"/>
            <w:gridSpan w:val="2"/>
            <w:tcBorders>
              <w:top w:val="nil"/>
              <w:left w:val="nil"/>
              <w:bottom w:val="nil"/>
              <w:right w:val="single" w:sz="8" w:space="0" w:color="auto"/>
            </w:tcBorders>
            <w:shd w:val="clear" w:color="auto" w:fill="auto"/>
            <w:noWrap/>
            <w:vAlign w:val="center"/>
            <w:hideMark/>
          </w:tcPr>
          <w:p w14:paraId="5FE6B51B"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0.2</w:t>
            </w:r>
          </w:p>
        </w:tc>
        <w:tc>
          <w:tcPr>
            <w:tcW w:w="940" w:type="dxa"/>
            <w:tcBorders>
              <w:top w:val="nil"/>
              <w:left w:val="nil"/>
              <w:bottom w:val="nil"/>
              <w:right w:val="nil"/>
            </w:tcBorders>
            <w:shd w:val="clear" w:color="auto" w:fill="auto"/>
            <w:noWrap/>
            <w:vAlign w:val="center"/>
            <w:hideMark/>
          </w:tcPr>
          <w:p w14:paraId="30BEA813"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837</w:t>
            </w:r>
          </w:p>
        </w:tc>
        <w:tc>
          <w:tcPr>
            <w:tcW w:w="1146" w:type="dxa"/>
            <w:gridSpan w:val="2"/>
            <w:tcBorders>
              <w:top w:val="nil"/>
              <w:left w:val="nil"/>
              <w:bottom w:val="nil"/>
              <w:right w:val="nil"/>
            </w:tcBorders>
            <w:shd w:val="clear" w:color="auto" w:fill="auto"/>
            <w:noWrap/>
            <w:vAlign w:val="center"/>
            <w:hideMark/>
          </w:tcPr>
          <w:p w14:paraId="1D429D86"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0.5</w:t>
            </w:r>
          </w:p>
        </w:tc>
        <w:tc>
          <w:tcPr>
            <w:tcW w:w="940" w:type="dxa"/>
            <w:tcBorders>
              <w:top w:val="nil"/>
              <w:left w:val="single" w:sz="8" w:space="0" w:color="auto"/>
              <w:bottom w:val="nil"/>
              <w:right w:val="nil"/>
            </w:tcBorders>
            <w:shd w:val="clear" w:color="auto" w:fill="auto"/>
            <w:noWrap/>
            <w:vAlign w:val="center"/>
            <w:hideMark/>
          </w:tcPr>
          <w:p w14:paraId="1FA1CF22"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398</w:t>
            </w:r>
          </w:p>
        </w:tc>
        <w:tc>
          <w:tcPr>
            <w:tcW w:w="1151" w:type="dxa"/>
            <w:gridSpan w:val="2"/>
            <w:tcBorders>
              <w:top w:val="nil"/>
              <w:left w:val="nil"/>
              <w:bottom w:val="nil"/>
              <w:right w:val="single" w:sz="8" w:space="0" w:color="auto"/>
            </w:tcBorders>
            <w:shd w:val="clear" w:color="auto" w:fill="auto"/>
            <w:noWrap/>
            <w:vAlign w:val="center"/>
            <w:hideMark/>
          </w:tcPr>
          <w:p w14:paraId="1D9420B3"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0.4</w:t>
            </w:r>
          </w:p>
        </w:tc>
      </w:tr>
      <w:tr w:rsidR="00D05E8E" w:rsidRPr="00D05E8E" w14:paraId="14E0A914" w14:textId="77777777" w:rsidTr="006F5D32">
        <w:trPr>
          <w:trHeight w:val="1200"/>
        </w:trPr>
        <w:tc>
          <w:tcPr>
            <w:tcW w:w="1560" w:type="dxa"/>
            <w:tcBorders>
              <w:top w:val="nil"/>
              <w:left w:val="single" w:sz="8" w:space="0" w:color="auto"/>
              <w:bottom w:val="nil"/>
              <w:right w:val="nil"/>
            </w:tcBorders>
            <w:shd w:val="clear" w:color="auto" w:fill="auto"/>
            <w:vAlign w:val="center"/>
            <w:hideMark/>
          </w:tcPr>
          <w:p w14:paraId="4AA91BE8"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Black African &amp; other black</w:t>
            </w:r>
          </w:p>
        </w:tc>
        <w:tc>
          <w:tcPr>
            <w:tcW w:w="940" w:type="dxa"/>
            <w:tcBorders>
              <w:top w:val="nil"/>
              <w:left w:val="single" w:sz="8" w:space="0" w:color="auto"/>
              <w:bottom w:val="nil"/>
              <w:right w:val="nil"/>
            </w:tcBorders>
            <w:shd w:val="clear" w:color="auto" w:fill="auto"/>
            <w:noWrap/>
            <w:vAlign w:val="center"/>
            <w:hideMark/>
          </w:tcPr>
          <w:p w14:paraId="54A07164"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1,070</w:t>
            </w:r>
          </w:p>
        </w:tc>
        <w:tc>
          <w:tcPr>
            <w:tcW w:w="1146" w:type="dxa"/>
            <w:gridSpan w:val="2"/>
            <w:tcBorders>
              <w:top w:val="nil"/>
              <w:left w:val="nil"/>
              <w:bottom w:val="nil"/>
              <w:right w:val="single" w:sz="8" w:space="0" w:color="auto"/>
            </w:tcBorders>
            <w:shd w:val="clear" w:color="auto" w:fill="auto"/>
            <w:noWrap/>
            <w:vAlign w:val="center"/>
            <w:hideMark/>
          </w:tcPr>
          <w:p w14:paraId="2A2AE890"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0.6</w:t>
            </w:r>
          </w:p>
        </w:tc>
        <w:tc>
          <w:tcPr>
            <w:tcW w:w="940" w:type="dxa"/>
            <w:tcBorders>
              <w:top w:val="nil"/>
              <w:left w:val="nil"/>
              <w:bottom w:val="nil"/>
              <w:right w:val="nil"/>
            </w:tcBorders>
            <w:shd w:val="clear" w:color="auto" w:fill="auto"/>
            <w:noWrap/>
            <w:vAlign w:val="center"/>
            <w:hideMark/>
          </w:tcPr>
          <w:p w14:paraId="4B28B0FB"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1,871</w:t>
            </w:r>
          </w:p>
        </w:tc>
        <w:tc>
          <w:tcPr>
            <w:tcW w:w="1146" w:type="dxa"/>
            <w:gridSpan w:val="2"/>
            <w:tcBorders>
              <w:top w:val="nil"/>
              <w:left w:val="nil"/>
              <w:bottom w:val="nil"/>
              <w:right w:val="nil"/>
            </w:tcBorders>
            <w:shd w:val="clear" w:color="auto" w:fill="auto"/>
            <w:noWrap/>
            <w:vAlign w:val="center"/>
            <w:hideMark/>
          </w:tcPr>
          <w:p w14:paraId="731A70C3"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1.0</w:t>
            </w:r>
          </w:p>
        </w:tc>
        <w:tc>
          <w:tcPr>
            <w:tcW w:w="940" w:type="dxa"/>
            <w:tcBorders>
              <w:top w:val="nil"/>
              <w:left w:val="single" w:sz="8" w:space="0" w:color="auto"/>
              <w:bottom w:val="nil"/>
              <w:right w:val="nil"/>
            </w:tcBorders>
            <w:shd w:val="clear" w:color="auto" w:fill="auto"/>
            <w:noWrap/>
            <w:vAlign w:val="center"/>
            <w:hideMark/>
          </w:tcPr>
          <w:p w14:paraId="5864D20A"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1,344</w:t>
            </w:r>
          </w:p>
        </w:tc>
        <w:tc>
          <w:tcPr>
            <w:tcW w:w="1151" w:type="dxa"/>
            <w:gridSpan w:val="2"/>
            <w:tcBorders>
              <w:top w:val="nil"/>
              <w:left w:val="nil"/>
              <w:bottom w:val="nil"/>
              <w:right w:val="single" w:sz="8" w:space="0" w:color="auto"/>
            </w:tcBorders>
            <w:shd w:val="clear" w:color="auto" w:fill="auto"/>
            <w:noWrap/>
            <w:vAlign w:val="center"/>
            <w:hideMark/>
          </w:tcPr>
          <w:p w14:paraId="2EDAA45F"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1.3</w:t>
            </w:r>
          </w:p>
        </w:tc>
      </w:tr>
      <w:tr w:rsidR="00D05E8E" w:rsidRPr="00D05E8E" w14:paraId="2030AB78" w14:textId="77777777" w:rsidTr="006F5D32">
        <w:trPr>
          <w:trHeight w:val="315"/>
        </w:trPr>
        <w:tc>
          <w:tcPr>
            <w:tcW w:w="1560" w:type="dxa"/>
            <w:tcBorders>
              <w:top w:val="nil"/>
              <w:left w:val="single" w:sz="8" w:space="0" w:color="auto"/>
              <w:bottom w:val="single" w:sz="8" w:space="0" w:color="auto"/>
              <w:right w:val="nil"/>
            </w:tcBorders>
            <w:shd w:val="clear" w:color="auto" w:fill="auto"/>
            <w:noWrap/>
            <w:vAlign w:val="center"/>
            <w:hideMark/>
          </w:tcPr>
          <w:p w14:paraId="09C33292" w14:textId="77777777" w:rsidR="00D05E8E" w:rsidRPr="00D05E8E" w:rsidRDefault="00D05E8E" w:rsidP="00D05E8E">
            <w:pPr>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Other</w:t>
            </w:r>
          </w:p>
        </w:tc>
        <w:tc>
          <w:tcPr>
            <w:tcW w:w="940" w:type="dxa"/>
            <w:tcBorders>
              <w:top w:val="nil"/>
              <w:left w:val="single" w:sz="8" w:space="0" w:color="auto"/>
              <w:bottom w:val="single" w:sz="8" w:space="0" w:color="auto"/>
              <w:right w:val="nil"/>
            </w:tcBorders>
            <w:shd w:val="clear" w:color="auto" w:fill="auto"/>
            <w:noWrap/>
            <w:vAlign w:val="center"/>
            <w:hideMark/>
          </w:tcPr>
          <w:p w14:paraId="2077B766"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7,868</w:t>
            </w:r>
          </w:p>
        </w:tc>
        <w:tc>
          <w:tcPr>
            <w:tcW w:w="1146" w:type="dxa"/>
            <w:gridSpan w:val="2"/>
            <w:tcBorders>
              <w:top w:val="nil"/>
              <w:left w:val="nil"/>
              <w:bottom w:val="single" w:sz="8" w:space="0" w:color="auto"/>
              <w:right w:val="single" w:sz="8" w:space="0" w:color="auto"/>
            </w:tcBorders>
            <w:shd w:val="clear" w:color="auto" w:fill="auto"/>
            <w:noWrap/>
            <w:vAlign w:val="center"/>
            <w:hideMark/>
          </w:tcPr>
          <w:p w14:paraId="2BC38BEA"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4.4</w:t>
            </w:r>
          </w:p>
        </w:tc>
        <w:tc>
          <w:tcPr>
            <w:tcW w:w="940" w:type="dxa"/>
            <w:tcBorders>
              <w:top w:val="nil"/>
              <w:left w:val="nil"/>
              <w:bottom w:val="single" w:sz="8" w:space="0" w:color="auto"/>
              <w:right w:val="nil"/>
            </w:tcBorders>
            <w:shd w:val="clear" w:color="auto" w:fill="auto"/>
            <w:noWrap/>
            <w:vAlign w:val="center"/>
            <w:hideMark/>
          </w:tcPr>
          <w:p w14:paraId="07DB4AE8"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11,223</w:t>
            </w:r>
          </w:p>
        </w:tc>
        <w:tc>
          <w:tcPr>
            <w:tcW w:w="1146" w:type="dxa"/>
            <w:gridSpan w:val="2"/>
            <w:tcBorders>
              <w:top w:val="nil"/>
              <w:left w:val="nil"/>
              <w:bottom w:val="single" w:sz="8" w:space="0" w:color="auto"/>
              <w:right w:val="nil"/>
            </w:tcBorders>
            <w:shd w:val="clear" w:color="auto" w:fill="auto"/>
            <w:noWrap/>
            <w:vAlign w:val="center"/>
            <w:hideMark/>
          </w:tcPr>
          <w:p w14:paraId="02D550EB"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6.3</w:t>
            </w:r>
          </w:p>
        </w:tc>
        <w:tc>
          <w:tcPr>
            <w:tcW w:w="940" w:type="dxa"/>
            <w:tcBorders>
              <w:top w:val="nil"/>
              <w:left w:val="single" w:sz="8" w:space="0" w:color="auto"/>
              <w:bottom w:val="single" w:sz="8" w:space="0" w:color="auto"/>
              <w:right w:val="nil"/>
            </w:tcBorders>
            <w:shd w:val="clear" w:color="auto" w:fill="auto"/>
            <w:noWrap/>
            <w:vAlign w:val="center"/>
            <w:hideMark/>
          </w:tcPr>
          <w:p w14:paraId="4C8E0869"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4,494</w:t>
            </w:r>
          </w:p>
        </w:tc>
        <w:tc>
          <w:tcPr>
            <w:tcW w:w="1151" w:type="dxa"/>
            <w:gridSpan w:val="2"/>
            <w:tcBorders>
              <w:top w:val="nil"/>
              <w:left w:val="nil"/>
              <w:bottom w:val="single" w:sz="8" w:space="0" w:color="auto"/>
              <w:right w:val="single" w:sz="8" w:space="0" w:color="auto"/>
            </w:tcBorders>
            <w:shd w:val="clear" w:color="auto" w:fill="auto"/>
            <w:noWrap/>
            <w:vAlign w:val="center"/>
            <w:hideMark/>
          </w:tcPr>
          <w:p w14:paraId="7FE57118" w14:textId="77777777" w:rsidR="00D05E8E" w:rsidRPr="00D05E8E" w:rsidRDefault="00D05E8E" w:rsidP="00D05E8E">
            <w:pPr>
              <w:jc w:val="right"/>
              <w:rPr>
                <w:rFonts w:ascii="Calibri" w:eastAsia="Times New Roman" w:hAnsi="Calibri"/>
                <w:color w:val="000000"/>
                <w:sz w:val="22"/>
                <w:szCs w:val="22"/>
                <w:lang w:eastAsia="en-GB"/>
              </w:rPr>
            </w:pPr>
            <w:r w:rsidRPr="00D05E8E">
              <w:rPr>
                <w:rFonts w:ascii="Calibri" w:eastAsia="Times New Roman" w:hAnsi="Calibri"/>
                <w:color w:val="000000"/>
                <w:sz w:val="22"/>
                <w:szCs w:val="22"/>
                <w:lang w:eastAsia="en-GB"/>
              </w:rPr>
              <w:t>4.2</w:t>
            </w:r>
          </w:p>
        </w:tc>
      </w:tr>
      <w:tr w:rsidR="00D05E8E" w:rsidRPr="00D05E8E" w14:paraId="519857E2" w14:textId="77777777" w:rsidTr="006F5D32">
        <w:trPr>
          <w:trHeight w:val="315"/>
        </w:trPr>
        <w:tc>
          <w:tcPr>
            <w:tcW w:w="1560" w:type="dxa"/>
            <w:tcBorders>
              <w:top w:val="nil"/>
              <w:left w:val="single" w:sz="8" w:space="0" w:color="auto"/>
              <w:bottom w:val="single" w:sz="8" w:space="0" w:color="auto"/>
              <w:right w:val="nil"/>
            </w:tcBorders>
            <w:shd w:val="clear" w:color="auto" w:fill="auto"/>
            <w:noWrap/>
            <w:vAlign w:val="center"/>
            <w:hideMark/>
          </w:tcPr>
          <w:p w14:paraId="062ED6EA" w14:textId="77777777" w:rsidR="00D05E8E" w:rsidRPr="00D05E8E" w:rsidRDefault="00D05E8E" w:rsidP="00D05E8E">
            <w:pPr>
              <w:rPr>
                <w:rFonts w:ascii="Calibri" w:eastAsia="Times New Roman" w:hAnsi="Calibri"/>
                <w:i/>
                <w:iCs/>
                <w:color w:val="000000"/>
                <w:sz w:val="22"/>
                <w:szCs w:val="22"/>
                <w:lang w:eastAsia="en-GB"/>
              </w:rPr>
            </w:pPr>
            <w:r w:rsidRPr="00D05E8E">
              <w:rPr>
                <w:rFonts w:ascii="Calibri" w:eastAsia="Times New Roman" w:hAnsi="Calibri"/>
                <w:i/>
                <w:iCs/>
                <w:color w:val="000000"/>
                <w:sz w:val="22"/>
                <w:szCs w:val="22"/>
                <w:lang w:eastAsia="en-GB"/>
              </w:rPr>
              <w:t>Total</w:t>
            </w:r>
          </w:p>
        </w:tc>
        <w:tc>
          <w:tcPr>
            <w:tcW w:w="940" w:type="dxa"/>
            <w:tcBorders>
              <w:top w:val="nil"/>
              <w:left w:val="single" w:sz="8" w:space="0" w:color="auto"/>
              <w:bottom w:val="single" w:sz="8" w:space="0" w:color="auto"/>
              <w:right w:val="nil"/>
            </w:tcBorders>
            <w:shd w:val="clear" w:color="auto" w:fill="auto"/>
            <w:noWrap/>
            <w:vAlign w:val="center"/>
            <w:hideMark/>
          </w:tcPr>
          <w:p w14:paraId="4DF78AF3" w14:textId="77777777" w:rsidR="00D05E8E" w:rsidRPr="00D05E8E" w:rsidRDefault="00D05E8E" w:rsidP="00D05E8E">
            <w:pPr>
              <w:jc w:val="right"/>
              <w:rPr>
                <w:rFonts w:ascii="Calibri" w:eastAsia="Times New Roman" w:hAnsi="Calibri"/>
                <w:i/>
                <w:iCs/>
                <w:color w:val="000000"/>
                <w:sz w:val="22"/>
                <w:szCs w:val="22"/>
                <w:lang w:eastAsia="en-GB"/>
              </w:rPr>
            </w:pPr>
            <w:r w:rsidRPr="00D05E8E">
              <w:rPr>
                <w:rFonts w:ascii="Calibri" w:eastAsia="Times New Roman" w:hAnsi="Calibri"/>
                <w:i/>
                <w:iCs/>
                <w:color w:val="000000"/>
                <w:sz w:val="22"/>
                <w:szCs w:val="22"/>
                <w:lang w:eastAsia="en-GB"/>
              </w:rPr>
              <w:t>177,531</w:t>
            </w:r>
          </w:p>
        </w:tc>
        <w:tc>
          <w:tcPr>
            <w:tcW w:w="1146" w:type="dxa"/>
            <w:gridSpan w:val="2"/>
            <w:tcBorders>
              <w:top w:val="nil"/>
              <w:left w:val="nil"/>
              <w:bottom w:val="single" w:sz="8" w:space="0" w:color="auto"/>
              <w:right w:val="single" w:sz="8" w:space="0" w:color="auto"/>
            </w:tcBorders>
            <w:shd w:val="clear" w:color="auto" w:fill="auto"/>
            <w:noWrap/>
            <w:vAlign w:val="center"/>
            <w:hideMark/>
          </w:tcPr>
          <w:p w14:paraId="2C9A721B" w14:textId="77777777" w:rsidR="00D05E8E" w:rsidRPr="00D05E8E" w:rsidRDefault="00D05E8E" w:rsidP="00D05E8E">
            <w:pPr>
              <w:jc w:val="right"/>
              <w:rPr>
                <w:rFonts w:ascii="Calibri" w:eastAsia="Times New Roman" w:hAnsi="Calibri"/>
                <w:i/>
                <w:iCs/>
                <w:color w:val="000000"/>
                <w:sz w:val="22"/>
                <w:szCs w:val="22"/>
                <w:lang w:eastAsia="en-GB"/>
              </w:rPr>
            </w:pPr>
            <w:r w:rsidRPr="00D05E8E">
              <w:rPr>
                <w:rFonts w:ascii="Calibri" w:eastAsia="Times New Roman" w:hAnsi="Calibri"/>
                <w:i/>
                <w:iCs/>
                <w:color w:val="000000"/>
                <w:sz w:val="22"/>
                <w:szCs w:val="22"/>
                <w:lang w:eastAsia="en-GB"/>
              </w:rPr>
              <w:t>100</w:t>
            </w:r>
          </w:p>
        </w:tc>
        <w:tc>
          <w:tcPr>
            <w:tcW w:w="940" w:type="dxa"/>
            <w:tcBorders>
              <w:top w:val="nil"/>
              <w:left w:val="nil"/>
              <w:bottom w:val="single" w:sz="8" w:space="0" w:color="auto"/>
              <w:right w:val="nil"/>
            </w:tcBorders>
            <w:shd w:val="clear" w:color="auto" w:fill="auto"/>
            <w:noWrap/>
            <w:vAlign w:val="center"/>
            <w:hideMark/>
          </w:tcPr>
          <w:p w14:paraId="3C1849E1" w14:textId="77777777" w:rsidR="00D05E8E" w:rsidRPr="00D05E8E" w:rsidRDefault="00D05E8E" w:rsidP="00D05E8E">
            <w:pPr>
              <w:jc w:val="right"/>
              <w:rPr>
                <w:rFonts w:ascii="Calibri" w:eastAsia="Times New Roman" w:hAnsi="Calibri"/>
                <w:i/>
                <w:iCs/>
                <w:color w:val="000000"/>
                <w:sz w:val="22"/>
                <w:szCs w:val="22"/>
                <w:lang w:eastAsia="en-GB"/>
              </w:rPr>
            </w:pPr>
            <w:r w:rsidRPr="00D05E8E">
              <w:rPr>
                <w:rFonts w:ascii="Calibri" w:eastAsia="Times New Roman" w:hAnsi="Calibri"/>
                <w:i/>
                <w:iCs/>
                <w:color w:val="000000"/>
                <w:sz w:val="22"/>
                <w:szCs w:val="22"/>
                <w:lang w:eastAsia="en-GB"/>
              </w:rPr>
              <w:t>179,292</w:t>
            </w:r>
          </w:p>
        </w:tc>
        <w:tc>
          <w:tcPr>
            <w:tcW w:w="1146" w:type="dxa"/>
            <w:gridSpan w:val="2"/>
            <w:tcBorders>
              <w:top w:val="nil"/>
              <w:left w:val="nil"/>
              <w:bottom w:val="single" w:sz="8" w:space="0" w:color="auto"/>
              <w:right w:val="nil"/>
            </w:tcBorders>
            <w:shd w:val="clear" w:color="auto" w:fill="auto"/>
            <w:noWrap/>
            <w:vAlign w:val="center"/>
            <w:hideMark/>
          </w:tcPr>
          <w:p w14:paraId="0AD70EF0" w14:textId="77777777" w:rsidR="00D05E8E" w:rsidRPr="00D05E8E" w:rsidRDefault="00D05E8E" w:rsidP="00D05E8E">
            <w:pPr>
              <w:jc w:val="right"/>
              <w:rPr>
                <w:rFonts w:ascii="Calibri" w:eastAsia="Times New Roman" w:hAnsi="Calibri"/>
                <w:i/>
                <w:iCs/>
                <w:color w:val="000000"/>
                <w:sz w:val="22"/>
                <w:szCs w:val="22"/>
                <w:lang w:eastAsia="en-GB"/>
              </w:rPr>
            </w:pPr>
            <w:r w:rsidRPr="00D05E8E">
              <w:rPr>
                <w:rFonts w:ascii="Calibri" w:eastAsia="Times New Roman" w:hAnsi="Calibri"/>
                <w:i/>
                <w:iCs/>
                <w:color w:val="000000"/>
                <w:sz w:val="22"/>
                <w:szCs w:val="22"/>
                <w:lang w:eastAsia="en-GB"/>
              </w:rPr>
              <w:t>100</w:t>
            </w:r>
          </w:p>
        </w:tc>
        <w:tc>
          <w:tcPr>
            <w:tcW w:w="940" w:type="dxa"/>
            <w:tcBorders>
              <w:top w:val="nil"/>
              <w:left w:val="single" w:sz="8" w:space="0" w:color="auto"/>
              <w:bottom w:val="single" w:sz="8" w:space="0" w:color="auto"/>
              <w:right w:val="nil"/>
            </w:tcBorders>
            <w:shd w:val="clear" w:color="auto" w:fill="auto"/>
            <w:noWrap/>
            <w:vAlign w:val="center"/>
            <w:hideMark/>
          </w:tcPr>
          <w:p w14:paraId="7764CAA0" w14:textId="77777777" w:rsidR="00D05E8E" w:rsidRPr="00D05E8E" w:rsidRDefault="00D05E8E" w:rsidP="00D05E8E">
            <w:pPr>
              <w:jc w:val="right"/>
              <w:rPr>
                <w:rFonts w:ascii="Calibri" w:eastAsia="Times New Roman" w:hAnsi="Calibri"/>
                <w:i/>
                <w:iCs/>
                <w:color w:val="000000"/>
                <w:sz w:val="22"/>
                <w:szCs w:val="22"/>
                <w:lang w:eastAsia="en-GB"/>
              </w:rPr>
            </w:pPr>
            <w:r w:rsidRPr="00D05E8E">
              <w:rPr>
                <w:rFonts w:ascii="Calibri" w:eastAsia="Times New Roman" w:hAnsi="Calibri"/>
                <w:i/>
                <w:iCs/>
                <w:color w:val="000000"/>
                <w:sz w:val="22"/>
                <w:szCs w:val="22"/>
                <w:lang w:eastAsia="en-GB"/>
              </w:rPr>
              <w:t>106,122</w:t>
            </w:r>
          </w:p>
        </w:tc>
        <w:tc>
          <w:tcPr>
            <w:tcW w:w="1151" w:type="dxa"/>
            <w:gridSpan w:val="2"/>
            <w:tcBorders>
              <w:top w:val="nil"/>
              <w:left w:val="nil"/>
              <w:bottom w:val="single" w:sz="8" w:space="0" w:color="auto"/>
              <w:right w:val="single" w:sz="8" w:space="0" w:color="auto"/>
            </w:tcBorders>
            <w:shd w:val="clear" w:color="auto" w:fill="auto"/>
            <w:noWrap/>
            <w:vAlign w:val="center"/>
            <w:hideMark/>
          </w:tcPr>
          <w:p w14:paraId="70BE5A3A" w14:textId="77777777" w:rsidR="00D05E8E" w:rsidRPr="00D05E8E" w:rsidRDefault="00D05E8E" w:rsidP="00D05E8E">
            <w:pPr>
              <w:jc w:val="right"/>
              <w:rPr>
                <w:rFonts w:ascii="Calibri" w:eastAsia="Times New Roman" w:hAnsi="Calibri"/>
                <w:i/>
                <w:iCs/>
                <w:color w:val="000000"/>
                <w:sz w:val="22"/>
                <w:szCs w:val="22"/>
                <w:lang w:eastAsia="en-GB"/>
              </w:rPr>
            </w:pPr>
            <w:r w:rsidRPr="00D05E8E">
              <w:rPr>
                <w:rFonts w:ascii="Calibri" w:eastAsia="Times New Roman" w:hAnsi="Calibri"/>
                <w:i/>
                <w:iCs/>
                <w:color w:val="000000"/>
                <w:sz w:val="22"/>
                <w:szCs w:val="22"/>
                <w:lang w:eastAsia="en-GB"/>
              </w:rPr>
              <w:t>100</w:t>
            </w:r>
          </w:p>
        </w:tc>
      </w:tr>
    </w:tbl>
    <w:p w14:paraId="5BA9DFCF" w14:textId="77777777" w:rsidR="007D30C9" w:rsidRPr="00714E84" w:rsidRDefault="007D30C9" w:rsidP="00183AE0">
      <w:pPr>
        <w:pStyle w:val="Caption"/>
        <w:spacing w:before="100" w:beforeAutospacing="1" w:after="100" w:afterAutospacing="1"/>
        <w:rPr>
          <w:bCs/>
          <w:iCs w:val="0"/>
          <w:color w:val="262626" w:themeColor="text1" w:themeTint="D9"/>
          <w:lang w:eastAsia="en-GB"/>
        </w:rPr>
      </w:pPr>
      <w:r w:rsidRPr="00714E84">
        <w:rPr>
          <w:rFonts w:ascii="Times New Roman" w:hAnsi="Times New Roman" w:cs="Times New Roman"/>
          <w:b/>
          <w:bCs/>
          <w:i w:val="0"/>
          <w:iCs w:val="0"/>
          <w:color w:val="262626" w:themeColor="text1" w:themeTint="D9"/>
          <w:sz w:val="24"/>
          <w:szCs w:val="24"/>
        </w:rPr>
        <w:t xml:space="preserve"> </w:t>
      </w:r>
      <w:bookmarkStart w:id="0" w:name="_GoBack"/>
      <w:bookmarkEnd w:id="0"/>
    </w:p>
    <w:p w14:paraId="1EFBF7EB" w14:textId="77777777" w:rsidR="007D30C9" w:rsidRPr="00714E84" w:rsidRDefault="007D30C9" w:rsidP="007D30C9">
      <w:pPr>
        <w:pStyle w:val="Caption"/>
        <w:spacing w:before="100" w:beforeAutospacing="1" w:after="100" w:afterAutospacing="1"/>
        <w:ind w:firstLine="720"/>
        <w:rPr>
          <w:color w:val="231F20"/>
        </w:rPr>
      </w:pPr>
      <w:r w:rsidRPr="00714E84">
        <w:rPr>
          <w:color w:val="231F20"/>
        </w:rPr>
        <w:t xml:space="preserve">  </w:t>
      </w:r>
    </w:p>
    <w:p w14:paraId="4362C58B" w14:textId="31656EB9" w:rsidR="007D30C9" w:rsidRPr="00714E84" w:rsidRDefault="007D30C9" w:rsidP="007D30C9">
      <w:pPr>
        <w:spacing w:before="100" w:beforeAutospacing="1" w:after="100" w:afterAutospacing="1"/>
        <w:ind w:firstLine="720"/>
      </w:pPr>
      <w:r w:rsidRPr="00714E84">
        <w:rPr>
          <w:b/>
        </w:rPr>
        <w:br w:type="column"/>
      </w:r>
      <w:r w:rsidRPr="00714E84">
        <w:rPr>
          <w:b/>
        </w:rPr>
        <w:lastRenderedPageBreak/>
        <w:t>Table 2</w:t>
      </w:r>
      <w:r w:rsidRPr="00714E84">
        <w:t>. Qualification levels by ethnicity</w:t>
      </w:r>
      <w:r w:rsidR="00F45120" w:rsidRPr="00714E84">
        <w:t xml:space="preserve"> (%)</w:t>
      </w:r>
      <w:r w:rsidRPr="00714E84">
        <w:t>, 2012</w:t>
      </w:r>
    </w:p>
    <w:tbl>
      <w:tblPr>
        <w:tblW w:w="8364"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76"/>
        <w:gridCol w:w="1277"/>
        <w:gridCol w:w="1278"/>
        <w:gridCol w:w="1277"/>
        <w:gridCol w:w="1278"/>
        <w:gridCol w:w="1278"/>
      </w:tblGrid>
      <w:tr w:rsidR="00F45120" w:rsidRPr="00714E84" w14:paraId="6CF5C000" w14:textId="77777777" w:rsidTr="00F45120">
        <w:tc>
          <w:tcPr>
            <w:tcW w:w="1976" w:type="dxa"/>
            <w:shd w:val="clear" w:color="auto" w:fill="auto"/>
            <w:noWrap/>
            <w:vAlign w:val="center"/>
            <w:hideMark/>
          </w:tcPr>
          <w:p w14:paraId="5171A3DE" w14:textId="77777777" w:rsidR="00F45120" w:rsidRPr="00714E84" w:rsidRDefault="00F45120" w:rsidP="00F45120">
            <w:pPr>
              <w:rPr>
                <w:rFonts w:ascii="Arial" w:eastAsia="Times New Roman" w:hAnsi="Arial" w:cs="Arial"/>
                <w:b/>
                <w:bCs/>
                <w:color w:val="000000"/>
                <w:sz w:val="20"/>
                <w:szCs w:val="20"/>
                <w:lang w:val="en-US" w:eastAsia="en-US"/>
              </w:rPr>
            </w:pPr>
            <w:r w:rsidRPr="00714E84">
              <w:rPr>
                <w:rFonts w:ascii="Arial" w:eastAsia="Times New Roman" w:hAnsi="Arial" w:cs="Arial"/>
                <w:b/>
                <w:bCs/>
                <w:color w:val="000000"/>
                <w:sz w:val="20"/>
                <w:szCs w:val="20"/>
                <w:lang w:eastAsia="en-US"/>
              </w:rPr>
              <w:t> </w:t>
            </w:r>
          </w:p>
        </w:tc>
        <w:tc>
          <w:tcPr>
            <w:tcW w:w="1277" w:type="dxa"/>
            <w:shd w:val="clear" w:color="auto" w:fill="auto"/>
            <w:noWrap/>
            <w:vAlign w:val="center"/>
            <w:hideMark/>
          </w:tcPr>
          <w:p w14:paraId="0FA852DE"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L4: Degree, higher education or eq.</w:t>
            </w:r>
          </w:p>
        </w:tc>
        <w:tc>
          <w:tcPr>
            <w:tcW w:w="1278" w:type="dxa"/>
            <w:shd w:val="clear" w:color="auto" w:fill="auto"/>
            <w:noWrap/>
            <w:vAlign w:val="center"/>
            <w:hideMark/>
          </w:tcPr>
          <w:p w14:paraId="477FD29C"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L3: GCE A Level or equivalent</w:t>
            </w:r>
          </w:p>
        </w:tc>
        <w:tc>
          <w:tcPr>
            <w:tcW w:w="1277" w:type="dxa"/>
            <w:shd w:val="clear" w:color="auto" w:fill="auto"/>
            <w:noWrap/>
            <w:vAlign w:val="center"/>
            <w:hideMark/>
          </w:tcPr>
          <w:p w14:paraId="0DBF7AD9" w14:textId="0C34F47F"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L2: GCSE grades A-C or equivalent, other</w:t>
            </w:r>
          </w:p>
        </w:tc>
        <w:tc>
          <w:tcPr>
            <w:tcW w:w="1278" w:type="dxa"/>
            <w:shd w:val="clear" w:color="auto" w:fill="auto"/>
            <w:noWrap/>
            <w:vAlign w:val="center"/>
            <w:hideMark/>
          </w:tcPr>
          <w:p w14:paraId="05D897F3" w14:textId="1BE33E8B"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L1: No qualification</w:t>
            </w:r>
          </w:p>
        </w:tc>
        <w:tc>
          <w:tcPr>
            <w:tcW w:w="1278" w:type="dxa"/>
            <w:shd w:val="clear" w:color="auto" w:fill="auto"/>
            <w:noWrap/>
            <w:vAlign w:val="center"/>
            <w:hideMark/>
          </w:tcPr>
          <w:p w14:paraId="6149F2D5" w14:textId="77777777" w:rsidR="00F45120" w:rsidRPr="00714E84" w:rsidRDefault="00F45120" w:rsidP="00F45120">
            <w:pPr>
              <w:jc w:val="right"/>
              <w:rPr>
                <w:rFonts w:ascii="Arial" w:eastAsia="Times New Roman" w:hAnsi="Arial" w:cs="Arial"/>
                <w:i/>
                <w:iCs/>
                <w:color w:val="000000"/>
                <w:sz w:val="20"/>
                <w:szCs w:val="20"/>
                <w:lang w:val="en-US" w:eastAsia="en-US"/>
              </w:rPr>
            </w:pPr>
            <w:r w:rsidRPr="00714E84">
              <w:rPr>
                <w:rFonts w:ascii="Arial" w:eastAsia="Times New Roman" w:hAnsi="Arial" w:cs="Arial"/>
                <w:i/>
                <w:iCs/>
                <w:color w:val="000000"/>
                <w:sz w:val="20"/>
                <w:szCs w:val="20"/>
                <w:lang w:eastAsia="en-US"/>
              </w:rPr>
              <w:t>Total N</w:t>
            </w:r>
          </w:p>
        </w:tc>
      </w:tr>
      <w:tr w:rsidR="00F45120" w:rsidRPr="00714E84" w14:paraId="6DADA996" w14:textId="77777777" w:rsidTr="00F45120">
        <w:tc>
          <w:tcPr>
            <w:tcW w:w="1976" w:type="dxa"/>
            <w:shd w:val="clear" w:color="auto" w:fill="auto"/>
            <w:vAlign w:val="center"/>
            <w:hideMark/>
          </w:tcPr>
          <w:p w14:paraId="2AD3AC0C" w14:textId="77777777"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White British</w:t>
            </w:r>
          </w:p>
        </w:tc>
        <w:tc>
          <w:tcPr>
            <w:tcW w:w="1277" w:type="dxa"/>
            <w:shd w:val="clear" w:color="auto" w:fill="auto"/>
            <w:noWrap/>
            <w:vAlign w:val="center"/>
            <w:hideMark/>
          </w:tcPr>
          <w:p w14:paraId="157C1F81"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39.7</w:t>
            </w:r>
          </w:p>
        </w:tc>
        <w:tc>
          <w:tcPr>
            <w:tcW w:w="1278" w:type="dxa"/>
            <w:shd w:val="clear" w:color="auto" w:fill="auto"/>
            <w:noWrap/>
            <w:vAlign w:val="center"/>
            <w:hideMark/>
          </w:tcPr>
          <w:p w14:paraId="55D154DB"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24.9</w:t>
            </w:r>
          </w:p>
        </w:tc>
        <w:tc>
          <w:tcPr>
            <w:tcW w:w="1277" w:type="dxa"/>
            <w:shd w:val="clear" w:color="auto" w:fill="auto"/>
            <w:noWrap/>
            <w:vAlign w:val="center"/>
            <w:hideMark/>
          </w:tcPr>
          <w:p w14:paraId="5AB129DA"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30.7</w:t>
            </w:r>
          </w:p>
        </w:tc>
        <w:tc>
          <w:tcPr>
            <w:tcW w:w="1278" w:type="dxa"/>
            <w:shd w:val="clear" w:color="auto" w:fill="auto"/>
            <w:noWrap/>
            <w:vAlign w:val="center"/>
            <w:hideMark/>
          </w:tcPr>
          <w:p w14:paraId="599F774C"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5.0</w:t>
            </w:r>
          </w:p>
        </w:tc>
        <w:tc>
          <w:tcPr>
            <w:tcW w:w="1278" w:type="dxa"/>
            <w:shd w:val="clear" w:color="auto" w:fill="auto"/>
            <w:noWrap/>
            <w:vAlign w:val="center"/>
            <w:hideMark/>
          </w:tcPr>
          <w:p w14:paraId="55B0760D"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90,292</w:t>
            </w:r>
          </w:p>
        </w:tc>
      </w:tr>
      <w:tr w:rsidR="00F45120" w:rsidRPr="00714E84" w14:paraId="416C1620" w14:textId="77777777" w:rsidTr="00F45120">
        <w:tc>
          <w:tcPr>
            <w:tcW w:w="1976" w:type="dxa"/>
            <w:shd w:val="clear" w:color="auto" w:fill="auto"/>
            <w:vAlign w:val="center"/>
            <w:hideMark/>
          </w:tcPr>
          <w:p w14:paraId="3A4FC9AB" w14:textId="77777777"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White EU</w:t>
            </w:r>
          </w:p>
        </w:tc>
        <w:tc>
          <w:tcPr>
            <w:tcW w:w="1277" w:type="dxa"/>
            <w:shd w:val="clear" w:color="auto" w:fill="auto"/>
            <w:noWrap/>
            <w:vAlign w:val="center"/>
            <w:hideMark/>
          </w:tcPr>
          <w:p w14:paraId="21F8676F"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64.9</w:t>
            </w:r>
          </w:p>
        </w:tc>
        <w:tc>
          <w:tcPr>
            <w:tcW w:w="1278" w:type="dxa"/>
            <w:shd w:val="clear" w:color="auto" w:fill="auto"/>
            <w:noWrap/>
            <w:vAlign w:val="center"/>
            <w:hideMark/>
          </w:tcPr>
          <w:p w14:paraId="51A4DDA6"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10.8</w:t>
            </w:r>
          </w:p>
        </w:tc>
        <w:tc>
          <w:tcPr>
            <w:tcW w:w="1277" w:type="dxa"/>
            <w:shd w:val="clear" w:color="auto" w:fill="auto"/>
            <w:noWrap/>
            <w:vAlign w:val="center"/>
            <w:hideMark/>
          </w:tcPr>
          <w:p w14:paraId="3CD7F85B"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17.7</w:t>
            </w:r>
          </w:p>
        </w:tc>
        <w:tc>
          <w:tcPr>
            <w:tcW w:w="1278" w:type="dxa"/>
            <w:shd w:val="clear" w:color="auto" w:fill="auto"/>
            <w:noWrap/>
            <w:vAlign w:val="center"/>
            <w:hideMark/>
          </w:tcPr>
          <w:p w14:paraId="445F86BC"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7.0</w:t>
            </w:r>
          </w:p>
        </w:tc>
        <w:tc>
          <w:tcPr>
            <w:tcW w:w="1278" w:type="dxa"/>
            <w:shd w:val="clear" w:color="auto" w:fill="auto"/>
            <w:noWrap/>
            <w:vAlign w:val="center"/>
            <w:hideMark/>
          </w:tcPr>
          <w:p w14:paraId="1FC0C5AC"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1,092</w:t>
            </w:r>
          </w:p>
        </w:tc>
      </w:tr>
      <w:tr w:rsidR="00F45120" w:rsidRPr="00714E84" w14:paraId="23C11B6D" w14:textId="77777777" w:rsidTr="00F45120">
        <w:tc>
          <w:tcPr>
            <w:tcW w:w="1976" w:type="dxa"/>
            <w:shd w:val="clear" w:color="auto" w:fill="auto"/>
            <w:vAlign w:val="center"/>
            <w:hideMark/>
          </w:tcPr>
          <w:p w14:paraId="6A999DC4" w14:textId="77777777"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White A8</w:t>
            </w:r>
          </w:p>
        </w:tc>
        <w:tc>
          <w:tcPr>
            <w:tcW w:w="1277" w:type="dxa"/>
            <w:shd w:val="clear" w:color="auto" w:fill="auto"/>
            <w:noWrap/>
            <w:vAlign w:val="center"/>
            <w:hideMark/>
          </w:tcPr>
          <w:p w14:paraId="224667BC"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32.9</w:t>
            </w:r>
          </w:p>
        </w:tc>
        <w:tc>
          <w:tcPr>
            <w:tcW w:w="1278" w:type="dxa"/>
            <w:shd w:val="clear" w:color="auto" w:fill="auto"/>
            <w:noWrap/>
            <w:vAlign w:val="center"/>
            <w:hideMark/>
          </w:tcPr>
          <w:p w14:paraId="0206509F"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12.2</w:t>
            </w:r>
          </w:p>
        </w:tc>
        <w:tc>
          <w:tcPr>
            <w:tcW w:w="1277" w:type="dxa"/>
            <w:shd w:val="clear" w:color="auto" w:fill="auto"/>
            <w:noWrap/>
            <w:vAlign w:val="center"/>
            <w:hideMark/>
          </w:tcPr>
          <w:p w14:paraId="474F9584"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45.1</w:t>
            </w:r>
          </w:p>
        </w:tc>
        <w:tc>
          <w:tcPr>
            <w:tcW w:w="1278" w:type="dxa"/>
            <w:shd w:val="clear" w:color="auto" w:fill="auto"/>
            <w:noWrap/>
            <w:vAlign w:val="center"/>
            <w:hideMark/>
          </w:tcPr>
          <w:p w14:paraId="5327B3CF"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10.0</w:t>
            </w:r>
          </w:p>
        </w:tc>
        <w:tc>
          <w:tcPr>
            <w:tcW w:w="1278" w:type="dxa"/>
            <w:shd w:val="clear" w:color="auto" w:fill="auto"/>
            <w:noWrap/>
            <w:vAlign w:val="center"/>
            <w:hideMark/>
          </w:tcPr>
          <w:p w14:paraId="3529E849"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2,043</w:t>
            </w:r>
          </w:p>
        </w:tc>
      </w:tr>
      <w:tr w:rsidR="00F45120" w:rsidRPr="00714E84" w14:paraId="41D9CEA6" w14:textId="77777777" w:rsidTr="00F45120">
        <w:tc>
          <w:tcPr>
            <w:tcW w:w="1976" w:type="dxa"/>
            <w:shd w:val="clear" w:color="auto" w:fill="auto"/>
            <w:vAlign w:val="center"/>
            <w:hideMark/>
          </w:tcPr>
          <w:p w14:paraId="4245F572" w14:textId="77777777"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Mixed</w:t>
            </w:r>
          </w:p>
        </w:tc>
        <w:tc>
          <w:tcPr>
            <w:tcW w:w="1277" w:type="dxa"/>
            <w:shd w:val="clear" w:color="auto" w:fill="auto"/>
            <w:noWrap/>
            <w:vAlign w:val="center"/>
            <w:hideMark/>
          </w:tcPr>
          <w:p w14:paraId="10E5EFE2"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53.8</w:t>
            </w:r>
          </w:p>
        </w:tc>
        <w:tc>
          <w:tcPr>
            <w:tcW w:w="1278" w:type="dxa"/>
            <w:shd w:val="clear" w:color="auto" w:fill="auto"/>
            <w:noWrap/>
            <w:vAlign w:val="center"/>
            <w:hideMark/>
          </w:tcPr>
          <w:p w14:paraId="60305FEE"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19.8</w:t>
            </w:r>
          </w:p>
        </w:tc>
        <w:tc>
          <w:tcPr>
            <w:tcW w:w="1277" w:type="dxa"/>
            <w:shd w:val="clear" w:color="auto" w:fill="auto"/>
            <w:noWrap/>
            <w:vAlign w:val="center"/>
            <w:hideMark/>
          </w:tcPr>
          <w:p w14:paraId="3ADD1B75"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23.3</w:t>
            </w:r>
          </w:p>
        </w:tc>
        <w:tc>
          <w:tcPr>
            <w:tcW w:w="1278" w:type="dxa"/>
            <w:shd w:val="clear" w:color="auto" w:fill="auto"/>
            <w:noWrap/>
            <w:vAlign w:val="center"/>
            <w:hideMark/>
          </w:tcPr>
          <w:p w14:paraId="4F7323DB"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3.0</w:t>
            </w:r>
          </w:p>
        </w:tc>
        <w:tc>
          <w:tcPr>
            <w:tcW w:w="1278" w:type="dxa"/>
            <w:shd w:val="clear" w:color="auto" w:fill="auto"/>
            <w:noWrap/>
            <w:vAlign w:val="center"/>
            <w:hideMark/>
          </w:tcPr>
          <w:p w14:paraId="0F3365EC"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741</w:t>
            </w:r>
          </w:p>
        </w:tc>
      </w:tr>
      <w:tr w:rsidR="00F45120" w:rsidRPr="00714E84" w14:paraId="4F2C50F6" w14:textId="77777777" w:rsidTr="00F45120">
        <w:tc>
          <w:tcPr>
            <w:tcW w:w="1976" w:type="dxa"/>
            <w:shd w:val="clear" w:color="auto" w:fill="auto"/>
            <w:vAlign w:val="center"/>
            <w:hideMark/>
          </w:tcPr>
          <w:p w14:paraId="5BD98DD2" w14:textId="77777777"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Black Caribbean</w:t>
            </w:r>
          </w:p>
        </w:tc>
        <w:tc>
          <w:tcPr>
            <w:tcW w:w="1277" w:type="dxa"/>
            <w:shd w:val="clear" w:color="auto" w:fill="auto"/>
            <w:noWrap/>
            <w:vAlign w:val="center"/>
            <w:hideMark/>
          </w:tcPr>
          <w:p w14:paraId="4422911F"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38.9</w:t>
            </w:r>
          </w:p>
        </w:tc>
        <w:tc>
          <w:tcPr>
            <w:tcW w:w="1278" w:type="dxa"/>
            <w:shd w:val="clear" w:color="auto" w:fill="auto"/>
            <w:noWrap/>
            <w:vAlign w:val="center"/>
            <w:hideMark/>
          </w:tcPr>
          <w:p w14:paraId="7D263850"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23.4</w:t>
            </w:r>
          </w:p>
        </w:tc>
        <w:tc>
          <w:tcPr>
            <w:tcW w:w="1277" w:type="dxa"/>
            <w:shd w:val="clear" w:color="auto" w:fill="auto"/>
            <w:noWrap/>
            <w:vAlign w:val="center"/>
            <w:hideMark/>
          </w:tcPr>
          <w:p w14:paraId="3E4B3E0A"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33.2</w:t>
            </w:r>
          </w:p>
        </w:tc>
        <w:tc>
          <w:tcPr>
            <w:tcW w:w="1278" w:type="dxa"/>
            <w:shd w:val="clear" w:color="auto" w:fill="auto"/>
            <w:noWrap/>
            <w:vAlign w:val="center"/>
            <w:hideMark/>
          </w:tcPr>
          <w:p w14:paraId="6797CB8A"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5.0</w:t>
            </w:r>
          </w:p>
        </w:tc>
        <w:tc>
          <w:tcPr>
            <w:tcW w:w="1278" w:type="dxa"/>
            <w:shd w:val="clear" w:color="auto" w:fill="auto"/>
            <w:noWrap/>
            <w:vAlign w:val="center"/>
            <w:hideMark/>
          </w:tcPr>
          <w:p w14:paraId="45685908"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786</w:t>
            </w:r>
          </w:p>
        </w:tc>
      </w:tr>
      <w:tr w:rsidR="00F45120" w:rsidRPr="00714E84" w14:paraId="5D73FBDE" w14:textId="77777777" w:rsidTr="00F45120">
        <w:tc>
          <w:tcPr>
            <w:tcW w:w="1976" w:type="dxa"/>
            <w:shd w:val="clear" w:color="auto" w:fill="auto"/>
            <w:vAlign w:val="center"/>
            <w:hideMark/>
          </w:tcPr>
          <w:p w14:paraId="722ACB06" w14:textId="77777777"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Indian</w:t>
            </w:r>
          </w:p>
        </w:tc>
        <w:tc>
          <w:tcPr>
            <w:tcW w:w="1277" w:type="dxa"/>
            <w:shd w:val="clear" w:color="auto" w:fill="auto"/>
            <w:noWrap/>
            <w:vAlign w:val="center"/>
            <w:hideMark/>
          </w:tcPr>
          <w:p w14:paraId="6EBBA754"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61.6</w:t>
            </w:r>
          </w:p>
        </w:tc>
        <w:tc>
          <w:tcPr>
            <w:tcW w:w="1278" w:type="dxa"/>
            <w:shd w:val="clear" w:color="auto" w:fill="auto"/>
            <w:noWrap/>
            <w:vAlign w:val="center"/>
            <w:hideMark/>
          </w:tcPr>
          <w:p w14:paraId="300F2EFD"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11.1</w:t>
            </w:r>
          </w:p>
        </w:tc>
        <w:tc>
          <w:tcPr>
            <w:tcW w:w="1277" w:type="dxa"/>
            <w:shd w:val="clear" w:color="auto" w:fill="auto"/>
            <w:noWrap/>
            <w:vAlign w:val="center"/>
            <w:hideMark/>
          </w:tcPr>
          <w:p w14:paraId="518A61EC"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21.6</w:t>
            </w:r>
          </w:p>
        </w:tc>
        <w:tc>
          <w:tcPr>
            <w:tcW w:w="1278" w:type="dxa"/>
            <w:shd w:val="clear" w:color="auto" w:fill="auto"/>
            <w:noWrap/>
            <w:vAlign w:val="center"/>
            <w:hideMark/>
          </w:tcPr>
          <w:p w14:paraId="44DB758C"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6.0</w:t>
            </w:r>
          </w:p>
        </w:tc>
        <w:tc>
          <w:tcPr>
            <w:tcW w:w="1278" w:type="dxa"/>
            <w:shd w:val="clear" w:color="auto" w:fill="auto"/>
            <w:noWrap/>
            <w:vAlign w:val="center"/>
            <w:hideMark/>
          </w:tcPr>
          <w:p w14:paraId="32395B65"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2,490</w:t>
            </w:r>
          </w:p>
        </w:tc>
      </w:tr>
      <w:tr w:rsidR="00F45120" w:rsidRPr="00714E84" w14:paraId="1BAA62EF" w14:textId="77777777" w:rsidTr="00F45120">
        <w:tc>
          <w:tcPr>
            <w:tcW w:w="1976" w:type="dxa"/>
            <w:shd w:val="clear" w:color="auto" w:fill="auto"/>
            <w:vAlign w:val="center"/>
            <w:hideMark/>
          </w:tcPr>
          <w:p w14:paraId="45926D1B" w14:textId="77777777"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Pakistani</w:t>
            </w:r>
          </w:p>
        </w:tc>
        <w:tc>
          <w:tcPr>
            <w:tcW w:w="1277" w:type="dxa"/>
            <w:shd w:val="clear" w:color="auto" w:fill="auto"/>
            <w:noWrap/>
            <w:vAlign w:val="center"/>
            <w:hideMark/>
          </w:tcPr>
          <w:p w14:paraId="1D708F82"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48.8</w:t>
            </w:r>
          </w:p>
        </w:tc>
        <w:tc>
          <w:tcPr>
            <w:tcW w:w="1278" w:type="dxa"/>
            <w:shd w:val="clear" w:color="auto" w:fill="auto"/>
            <w:noWrap/>
            <w:vAlign w:val="center"/>
            <w:hideMark/>
          </w:tcPr>
          <w:p w14:paraId="023E3AE2"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15.4</w:t>
            </w:r>
          </w:p>
        </w:tc>
        <w:tc>
          <w:tcPr>
            <w:tcW w:w="1277" w:type="dxa"/>
            <w:shd w:val="clear" w:color="auto" w:fill="auto"/>
            <w:noWrap/>
            <w:vAlign w:val="center"/>
            <w:hideMark/>
          </w:tcPr>
          <w:p w14:paraId="28659C9C"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24.8</w:t>
            </w:r>
          </w:p>
        </w:tc>
        <w:tc>
          <w:tcPr>
            <w:tcW w:w="1278" w:type="dxa"/>
            <w:shd w:val="clear" w:color="auto" w:fill="auto"/>
            <w:noWrap/>
            <w:vAlign w:val="center"/>
            <w:hideMark/>
          </w:tcPr>
          <w:p w14:paraId="5D35E277"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11.0</w:t>
            </w:r>
          </w:p>
        </w:tc>
        <w:tc>
          <w:tcPr>
            <w:tcW w:w="1278" w:type="dxa"/>
            <w:shd w:val="clear" w:color="auto" w:fill="auto"/>
            <w:noWrap/>
            <w:vAlign w:val="center"/>
            <w:hideMark/>
          </w:tcPr>
          <w:p w14:paraId="773DDF3F"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991</w:t>
            </w:r>
          </w:p>
        </w:tc>
      </w:tr>
      <w:tr w:rsidR="00F45120" w:rsidRPr="00714E84" w14:paraId="51A44BF3" w14:textId="77777777" w:rsidTr="00F45120">
        <w:tc>
          <w:tcPr>
            <w:tcW w:w="1976" w:type="dxa"/>
            <w:shd w:val="clear" w:color="auto" w:fill="auto"/>
            <w:vAlign w:val="center"/>
            <w:hideMark/>
          </w:tcPr>
          <w:p w14:paraId="72A225CA" w14:textId="74F001A1"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Bangladeshi</w:t>
            </w:r>
          </w:p>
        </w:tc>
        <w:tc>
          <w:tcPr>
            <w:tcW w:w="1277" w:type="dxa"/>
            <w:shd w:val="clear" w:color="auto" w:fill="auto"/>
            <w:noWrap/>
            <w:vAlign w:val="center"/>
            <w:hideMark/>
          </w:tcPr>
          <w:p w14:paraId="5190B4B6"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43.4</w:t>
            </w:r>
          </w:p>
        </w:tc>
        <w:tc>
          <w:tcPr>
            <w:tcW w:w="1278" w:type="dxa"/>
            <w:shd w:val="clear" w:color="auto" w:fill="auto"/>
            <w:noWrap/>
            <w:vAlign w:val="center"/>
            <w:hideMark/>
          </w:tcPr>
          <w:p w14:paraId="37718D8C"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14.9</w:t>
            </w:r>
          </w:p>
        </w:tc>
        <w:tc>
          <w:tcPr>
            <w:tcW w:w="1277" w:type="dxa"/>
            <w:shd w:val="clear" w:color="auto" w:fill="auto"/>
            <w:noWrap/>
            <w:vAlign w:val="center"/>
            <w:hideMark/>
          </w:tcPr>
          <w:p w14:paraId="1A500F20"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32.4</w:t>
            </w:r>
          </w:p>
        </w:tc>
        <w:tc>
          <w:tcPr>
            <w:tcW w:w="1278" w:type="dxa"/>
            <w:shd w:val="clear" w:color="auto" w:fill="auto"/>
            <w:noWrap/>
            <w:vAlign w:val="center"/>
            <w:hideMark/>
          </w:tcPr>
          <w:p w14:paraId="0C60FB3F"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9.3</w:t>
            </w:r>
          </w:p>
        </w:tc>
        <w:tc>
          <w:tcPr>
            <w:tcW w:w="1278" w:type="dxa"/>
            <w:shd w:val="clear" w:color="auto" w:fill="auto"/>
            <w:noWrap/>
            <w:vAlign w:val="center"/>
            <w:hideMark/>
          </w:tcPr>
          <w:p w14:paraId="7F935156"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392</w:t>
            </w:r>
          </w:p>
        </w:tc>
      </w:tr>
      <w:tr w:rsidR="00F45120" w:rsidRPr="00714E84" w14:paraId="1FA62D87" w14:textId="77777777" w:rsidTr="00F45120">
        <w:tc>
          <w:tcPr>
            <w:tcW w:w="1976" w:type="dxa"/>
            <w:shd w:val="clear" w:color="auto" w:fill="auto"/>
            <w:vAlign w:val="center"/>
            <w:hideMark/>
          </w:tcPr>
          <w:p w14:paraId="27027EEC" w14:textId="1176FB5B"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 xml:space="preserve">Black African &amp; other </w:t>
            </w:r>
            <w:r w:rsidR="00643F56" w:rsidRPr="00714E84">
              <w:rPr>
                <w:rFonts w:ascii="Arial" w:eastAsia="Times New Roman" w:hAnsi="Arial" w:cs="Arial"/>
                <w:color w:val="000000"/>
                <w:sz w:val="20"/>
                <w:szCs w:val="20"/>
                <w:lang w:eastAsia="en-US"/>
              </w:rPr>
              <w:t>b</w:t>
            </w:r>
            <w:r w:rsidRPr="00714E84">
              <w:rPr>
                <w:rFonts w:ascii="Arial" w:eastAsia="Times New Roman" w:hAnsi="Arial" w:cs="Arial"/>
                <w:color w:val="000000"/>
                <w:sz w:val="20"/>
                <w:szCs w:val="20"/>
                <w:lang w:eastAsia="en-US"/>
              </w:rPr>
              <w:t>lacks</w:t>
            </w:r>
          </w:p>
        </w:tc>
        <w:tc>
          <w:tcPr>
            <w:tcW w:w="1277" w:type="dxa"/>
            <w:shd w:val="clear" w:color="auto" w:fill="auto"/>
            <w:noWrap/>
            <w:vAlign w:val="center"/>
            <w:hideMark/>
          </w:tcPr>
          <w:p w14:paraId="25CBEED0"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59.2</w:t>
            </w:r>
          </w:p>
        </w:tc>
        <w:tc>
          <w:tcPr>
            <w:tcW w:w="1278" w:type="dxa"/>
            <w:shd w:val="clear" w:color="auto" w:fill="auto"/>
            <w:noWrap/>
            <w:vAlign w:val="center"/>
            <w:hideMark/>
          </w:tcPr>
          <w:p w14:paraId="1B957B8E"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12.9</w:t>
            </w:r>
          </w:p>
        </w:tc>
        <w:tc>
          <w:tcPr>
            <w:tcW w:w="1277" w:type="dxa"/>
            <w:shd w:val="clear" w:color="auto" w:fill="auto"/>
            <w:noWrap/>
            <w:vAlign w:val="center"/>
            <w:hideMark/>
          </w:tcPr>
          <w:p w14:paraId="50B1AFD5"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22.3</w:t>
            </w:r>
          </w:p>
        </w:tc>
        <w:tc>
          <w:tcPr>
            <w:tcW w:w="1278" w:type="dxa"/>
            <w:shd w:val="clear" w:color="auto" w:fill="auto"/>
            <w:noWrap/>
            <w:vAlign w:val="center"/>
            <w:hideMark/>
          </w:tcPr>
          <w:p w14:paraId="4BB34F87"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5.5</w:t>
            </w:r>
          </w:p>
        </w:tc>
        <w:tc>
          <w:tcPr>
            <w:tcW w:w="1278" w:type="dxa"/>
            <w:shd w:val="clear" w:color="auto" w:fill="auto"/>
            <w:noWrap/>
            <w:vAlign w:val="center"/>
            <w:hideMark/>
          </w:tcPr>
          <w:p w14:paraId="38FEBD05"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1,328</w:t>
            </w:r>
          </w:p>
        </w:tc>
      </w:tr>
      <w:tr w:rsidR="00F45120" w:rsidRPr="00714E84" w14:paraId="547F6118" w14:textId="77777777" w:rsidTr="00F45120">
        <w:tc>
          <w:tcPr>
            <w:tcW w:w="1976" w:type="dxa"/>
            <w:shd w:val="clear" w:color="auto" w:fill="auto"/>
            <w:vAlign w:val="center"/>
            <w:hideMark/>
          </w:tcPr>
          <w:p w14:paraId="452D5D2C" w14:textId="77777777"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Other</w:t>
            </w:r>
          </w:p>
        </w:tc>
        <w:tc>
          <w:tcPr>
            <w:tcW w:w="1277" w:type="dxa"/>
            <w:shd w:val="clear" w:color="auto" w:fill="auto"/>
            <w:noWrap/>
            <w:vAlign w:val="center"/>
            <w:hideMark/>
          </w:tcPr>
          <w:p w14:paraId="785C459C"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61.4</w:t>
            </w:r>
          </w:p>
        </w:tc>
        <w:tc>
          <w:tcPr>
            <w:tcW w:w="1278" w:type="dxa"/>
            <w:shd w:val="clear" w:color="auto" w:fill="auto"/>
            <w:noWrap/>
            <w:vAlign w:val="center"/>
            <w:hideMark/>
          </w:tcPr>
          <w:p w14:paraId="06E76FB5"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10.2</w:t>
            </w:r>
          </w:p>
        </w:tc>
        <w:tc>
          <w:tcPr>
            <w:tcW w:w="1277" w:type="dxa"/>
            <w:shd w:val="clear" w:color="auto" w:fill="auto"/>
            <w:noWrap/>
            <w:vAlign w:val="center"/>
            <w:hideMark/>
          </w:tcPr>
          <w:p w14:paraId="77B513F2"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22.0</w:t>
            </w:r>
          </w:p>
        </w:tc>
        <w:tc>
          <w:tcPr>
            <w:tcW w:w="1278" w:type="dxa"/>
            <w:shd w:val="clear" w:color="auto" w:fill="auto"/>
            <w:noWrap/>
            <w:vAlign w:val="center"/>
            <w:hideMark/>
          </w:tcPr>
          <w:p w14:paraId="78CB16A8"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6.4</w:t>
            </w:r>
          </w:p>
        </w:tc>
        <w:tc>
          <w:tcPr>
            <w:tcW w:w="1278" w:type="dxa"/>
            <w:shd w:val="clear" w:color="auto" w:fill="auto"/>
            <w:noWrap/>
            <w:vAlign w:val="center"/>
            <w:hideMark/>
          </w:tcPr>
          <w:p w14:paraId="22313307"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4,468</w:t>
            </w:r>
          </w:p>
        </w:tc>
      </w:tr>
      <w:tr w:rsidR="00F45120" w:rsidRPr="00714E84" w14:paraId="681A9D0E" w14:textId="77777777" w:rsidTr="00F45120">
        <w:tc>
          <w:tcPr>
            <w:tcW w:w="1976" w:type="dxa"/>
            <w:shd w:val="clear" w:color="auto" w:fill="auto"/>
            <w:vAlign w:val="center"/>
            <w:hideMark/>
          </w:tcPr>
          <w:p w14:paraId="35BCAF7C" w14:textId="77777777" w:rsidR="00F45120" w:rsidRPr="00714E84" w:rsidRDefault="00F45120" w:rsidP="00F45120">
            <w:pP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Column Total</w:t>
            </w:r>
          </w:p>
        </w:tc>
        <w:tc>
          <w:tcPr>
            <w:tcW w:w="1277" w:type="dxa"/>
            <w:shd w:val="clear" w:color="auto" w:fill="auto"/>
            <w:noWrap/>
            <w:vAlign w:val="center"/>
            <w:hideMark/>
          </w:tcPr>
          <w:p w14:paraId="22A4F2C1"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42.1</w:t>
            </w:r>
          </w:p>
        </w:tc>
        <w:tc>
          <w:tcPr>
            <w:tcW w:w="1278" w:type="dxa"/>
            <w:shd w:val="clear" w:color="auto" w:fill="auto"/>
            <w:noWrap/>
            <w:vAlign w:val="center"/>
            <w:hideMark/>
          </w:tcPr>
          <w:p w14:paraId="2D018D43"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23.0</w:t>
            </w:r>
          </w:p>
        </w:tc>
        <w:tc>
          <w:tcPr>
            <w:tcW w:w="1277" w:type="dxa"/>
            <w:shd w:val="clear" w:color="auto" w:fill="auto"/>
            <w:noWrap/>
            <w:vAlign w:val="center"/>
            <w:hideMark/>
          </w:tcPr>
          <w:p w14:paraId="2F951131"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29.9</w:t>
            </w:r>
          </w:p>
        </w:tc>
        <w:tc>
          <w:tcPr>
            <w:tcW w:w="1278" w:type="dxa"/>
            <w:shd w:val="clear" w:color="auto" w:fill="auto"/>
            <w:noWrap/>
            <w:vAlign w:val="center"/>
            <w:hideMark/>
          </w:tcPr>
          <w:p w14:paraId="04C15414" w14:textId="77777777" w:rsidR="00F45120" w:rsidRPr="00714E84" w:rsidRDefault="00F45120" w:rsidP="00F45120">
            <w:pPr>
              <w:jc w:val="center"/>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5.0</w:t>
            </w:r>
          </w:p>
        </w:tc>
        <w:tc>
          <w:tcPr>
            <w:tcW w:w="1278" w:type="dxa"/>
            <w:shd w:val="clear" w:color="auto" w:fill="auto"/>
            <w:noWrap/>
            <w:vAlign w:val="center"/>
            <w:hideMark/>
          </w:tcPr>
          <w:p w14:paraId="07C33D7D" w14:textId="77777777" w:rsidR="00F45120" w:rsidRPr="00714E84" w:rsidRDefault="00F45120" w:rsidP="00F45120">
            <w:pPr>
              <w:jc w:val="right"/>
              <w:rPr>
                <w:rFonts w:ascii="Arial" w:eastAsia="Times New Roman" w:hAnsi="Arial" w:cs="Arial"/>
                <w:color w:val="000000"/>
                <w:sz w:val="20"/>
                <w:szCs w:val="20"/>
                <w:lang w:val="en-US" w:eastAsia="en-US"/>
              </w:rPr>
            </w:pPr>
            <w:r w:rsidRPr="00714E84">
              <w:rPr>
                <w:rFonts w:ascii="Arial" w:eastAsia="Times New Roman" w:hAnsi="Arial" w:cs="Arial"/>
                <w:color w:val="000000"/>
                <w:sz w:val="20"/>
                <w:szCs w:val="20"/>
                <w:lang w:eastAsia="en-US"/>
              </w:rPr>
              <w:t>104,623</w:t>
            </w:r>
          </w:p>
        </w:tc>
      </w:tr>
    </w:tbl>
    <w:p w14:paraId="6D0C08B5" w14:textId="77777777" w:rsidR="007D30C9" w:rsidRPr="00714E84" w:rsidRDefault="007D30C9" w:rsidP="007D30C9">
      <w:pPr>
        <w:spacing w:before="100" w:beforeAutospacing="1" w:after="100" w:afterAutospacing="1"/>
        <w:ind w:firstLine="720"/>
        <w:rPr>
          <w:bCs/>
          <w:i/>
          <w:iCs/>
          <w:color w:val="262626" w:themeColor="text1" w:themeTint="D9"/>
          <w:sz w:val="20"/>
          <w:szCs w:val="20"/>
          <w:lang w:eastAsia="en-GB"/>
        </w:rPr>
      </w:pPr>
      <w:r w:rsidRPr="00714E84">
        <w:rPr>
          <w:bCs/>
          <w:i/>
          <w:iCs/>
          <w:color w:val="262626" w:themeColor="text1" w:themeTint="D9"/>
          <w:sz w:val="20"/>
          <w:szCs w:val="20"/>
          <w:lang w:eastAsia="en-GB"/>
        </w:rPr>
        <w:t>Notes: Percentages are weighted with actual sample size for each sub-group.</w:t>
      </w:r>
    </w:p>
    <w:p w14:paraId="01B6FBF9" w14:textId="1C958A8F" w:rsidR="007D30C9" w:rsidRPr="00714E84" w:rsidRDefault="007D30C9" w:rsidP="007D30C9">
      <w:pPr>
        <w:spacing w:before="100" w:beforeAutospacing="1" w:after="100" w:afterAutospacing="1"/>
        <w:ind w:firstLine="720"/>
      </w:pPr>
      <w:r w:rsidRPr="00714E84">
        <w:rPr>
          <w:b/>
        </w:rPr>
        <w:br w:type="column"/>
      </w:r>
      <w:r w:rsidRPr="00714E84">
        <w:rPr>
          <w:b/>
        </w:rPr>
        <w:lastRenderedPageBreak/>
        <w:t>Table 3</w:t>
      </w:r>
      <w:r w:rsidRPr="00714E84">
        <w:t>. Occupational</w:t>
      </w:r>
      <w:r w:rsidR="00F45120" w:rsidRPr="00714E84">
        <w:t xml:space="preserve"> skill</w:t>
      </w:r>
      <w:r w:rsidRPr="00714E84">
        <w:t xml:space="preserve"> levels for </w:t>
      </w:r>
      <w:r w:rsidR="00037078" w:rsidRPr="00714E84">
        <w:t>white</w:t>
      </w:r>
      <w:r w:rsidRPr="00714E84">
        <w:t xml:space="preserve"> British, A8 </w:t>
      </w:r>
      <w:r w:rsidR="00183AE0" w:rsidRPr="00714E84">
        <w:t>migrant</w:t>
      </w:r>
      <w:r w:rsidRPr="00714E84">
        <w:t xml:space="preserve">s, and </w:t>
      </w:r>
      <w:r w:rsidR="00183AE0" w:rsidRPr="00714E84">
        <w:t xml:space="preserve">other </w:t>
      </w:r>
      <w:r w:rsidRPr="00714E84">
        <w:t>groups, 2005-2012</w:t>
      </w:r>
    </w:p>
    <w:tbl>
      <w:tblPr>
        <w:tblW w:w="0" w:type="auto"/>
        <w:tblLayout w:type="fixed"/>
        <w:tblLook w:val="04A0" w:firstRow="1" w:lastRow="0" w:firstColumn="1" w:lastColumn="0" w:noHBand="0" w:noVBand="1"/>
      </w:tblPr>
      <w:tblGrid>
        <w:gridCol w:w="1418"/>
        <w:gridCol w:w="918"/>
        <w:gridCol w:w="919"/>
        <w:gridCol w:w="918"/>
        <w:gridCol w:w="919"/>
        <w:gridCol w:w="918"/>
        <w:gridCol w:w="919"/>
        <w:gridCol w:w="918"/>
        <w:gridCol w:w="919"/>
      </w:tblGrid>
      <w:tr w:rsidR="007D30C9" w:rsidRPr="00714E84" w14:paraId="135CC1F5" w14:textId="77777777" w:rsidTr="00464021">
        <w:tc>
          <w:tcPr>
            <w:tcW w:w="1418" w:type="dxa"/>
            <w:tcBorders>
              <w:top w:val="single" w:sz="4" w:space="0" w:color="auto"/>
              <w:left w:val="nil"/>
              <w:bottom w:val="single" w:sz="4" w:space="0" w:color="auto"/>
              <w:right w:val="nil"/>
            </w:tcBorders>
            <w:shd w:val="clear" w:color="auto" w:fill="auto"/>
            <w:noWrap/>
            <w:vAlign w:val="bottom"/>
            <w:hideMark/>
          </w:tcPr>
          <w:p w14:paraId="63ED2871" w14:textId="77777777" w:rsidR="007D30C9" w:rsidRPr="00714E84" w:rsidRDefault="007D30C9" w:rsidP="00055BDD">
            <w:pPr>
              <w:rPr>
                <w:rFonts w:asciiTheme="minorHAnsi" w:eastAsia="Times New Roman" w:hAnsiTheme="minorHAnsi" w:cstheme="minorHAnsi"/>
                <w:sz w:val="20"/>
                <w:szCs w:val="22"/>
                <w:lang w:eastAsia="en-GB"/>
              </w:rPr>
            </w:pPr>
          </w:p>
        </w:tc>
        <w:tc>
          <w:tcPr>
            <w:tcW w:w="918" w:type="dxa"/>
            <w:tcBorders>
              <w:top w:val="single" w:sz="4" w:space="0" w:color="auto"/>
              <w:left w:val="nil"/>
              <w:bottom w:val="single" w:sz="4" w:space="0" w:color="auto"/>
              <w:right w:val="nil"/>
            </w:tcBorders>
            <w:shd w:val="clear" w:color="auto" w:fill="auto"/>
            <w:noWrap/>
            <w:hideMark/>
          </w:tcPr>
          <w:p w14:paraId="1C355E9B" w14:textId="723207AA" w:rsidR="007D30C9" w:rsidRPr="00714E84" w:rsidRDefault="007D30C9"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20</w:t>
            </w:r>
            <w:r w:rsidR="00C474DC" w:rsidRPr="00714E84">
              <w:rPr>
                <w:rFonts w:asciiTheme="minorHAnsi" w:eastAsia="Times New Roman" w:hAnsiTheme="minorHAnsi" w:cstheme="minorHAnsi"/>
                <w:i/>
                <w:iCs/>
                <w:color w:val="000000"/>
                <w:sz w:val="20"/>
                <w:szCs w:val="22"/>
                <w:lang w:eastAsia="en-GB"/>
              </w:rPr>
              <w:t>05</w:t>
            </w:r>
          </w:p>
        </w:tc>
        <w:tc>
          <w:tcPr>
            <w:tcW w:w="919" w:type="dxa"/>
            <w:tcBorders>
              <w:top w:val="single" w:sz="4" w:space="0" w:color="auto"/>
              <w:left w:val="nil"/>
              <w:bottom w:val="single" w:sz="4" w:space="0" w:color="auto"/>
              <w:right w:val="nil"/>
            </w:tcBorders>
            <w:shd w:val="clear" w:color="auto" w:fill="auto"/>
            <w:noWrap/>
            <w:hideMark/>
          </w:tcPr>
          <w:p w14:paraId="467B2BD6" w14:textId="4000AE68" w:rsidR="007D30C9" w:rsidRPr="00714E84" w:rsidRDefault="007D30C9"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20</w:t>
            </w:r>
            <w:r w:rsidR="00C474DC" w:rsidRPr="00714E84">
              <w:rPr>
                <w:rFonts w:asciiTheme="minorHAnsi" w:eastAsia="Times New Roman" w:hAnsiTheme="minorHAnsi" w:cstheme="minorHAnsi"/>
                <w:i/>
                <w:iCs/>
                <w:color w:val="000000"/>
                <w:sz w:val="20"/>
                <w:szCs w:val="22"/>
                <w:lang w:eastAsia="en-GB"/>
              </w:rPr>
              <w:t>06</w:t>
            </w:r>
          </w:p>
        </w:tc>
        <w:tc>
          <w:tcPr>
            <w:tcW w:w="918" w:type="dxa"/>
            <w:tcBorders>
              <w:top w:val="single" w:sz="4" w:space="0" w:color="auto"/>
              <w:left w:val="nil"/>
              <w:bottom w:val="single" w:sz="4" w:space="0" w:color="auto"/>
              <w:right w:val="nil"/>
            </w:tcBorders>
            <w:shd w:val="clear" w:color="auto" w:fill="auto"/>
            <w:noWrap/>
            <w:hideMark/>
          </w:tcPr>
          <w:p w14:paraId="7E4D8E2D" w14:textId="0A0C5987" w:rsidR="007D30C9" w:rsidRPr="00714E84" w:rsidRDefault="007D30C9"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20</w:t>
            </w:r>
            <w:r w:rsidR="00C474DC" w:rsidRPr="00714E84">
              <w:rPr>
                <w:rFonts w:asciiTheme="minorHAnsi" w:eastAsia="Times New Roman" w:hAnsiTheme="minorHAnsi" w:cstheme="minorHAnsi"/>
                <w:i/>
                <w:iCs/>
                <w:color w:val="000000"/>
                <w:sz w:val="20"/>
                <w:szCs w:val="22"/>
                <w:lang w:eastAsia="en-GB"/>
              </w:rPr>
              <w:t>07</w:t>
            </w:r>
          </w:p>
        </w:tc>
        <w:tc>
          <w:tcPr>
            <w:tcW w:w="919" w:type="dxa"/>
            <w:tcBorders>
              <w:top w:val="single" w:sz="4" w:space="0" w:color="auto"/>
              <w:left w:val="nil"/>
              <w:bottom w:val="single" w:sz="4" w:space="0" w:color="auto"/>
              <w:right w:val="nil"/>
            </w:tcBorders>
            <w:shd w:val="clear" w:color="auto" w:fill="auto"/>
            <w:noWrap/>
            <w:hideMark/>
          </w:tcPr>
          <w:p w14:paraId="00544199" w14:textId="5BDD44BB" w:rsidR="007D30C9" w:rsidRPr="00714E84" w:rsidRDefault="007D30C9" w:rsidP="00183AE0">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200</w:t>
            </w:r>
            <w:r w:rsidR="00183AE0" w:rsidRPr="00714E84">
              <w:rPr>
                <w:rFonts w:asciiTheme="minorHAnsi" w:eastAsia="Times New Roman" w:hAnsiTheme="minorHAnsi" w:cstheme="minorHAnsi"/>
                <w:i/>
                <w:iCs/>
                <w:color w:val="000000"/>
                <w:sz w:val="20"/>
                <w:szCs w:val="22"/>
                <w:lang w:eastAsia="en-GB"/>
              </w:rPr>
              <w:t>8</w:t>
            </w:r>
          </w:p>
        </w:tc>
        <w:tc>
          <w:tcPr>
            <w:tcW w:w="918" w:type="dxa"/>
            <w:tcBorders>
              <w:top w:val="single" w:sz="4" w:space="0" w:color="auto"/>
              <w:left w:val="nil"/>
              <w:bottom w:val="single" w:sz="4" w:space="0" w:color="auto"/>
              <w:right w:val="nil"/>
            </w:tcBorders>
            <w:shd w:val="clear" w:color="auto" w:fill="auto"/>
            <w:noWrap/>
            <w:hideMark/>
          </w:tcPr>
          <w:p w14:paraId="3B6537C4" w14:textId="46051ACF" w:rsidR="007D30C9" w:rsidRPr="00714E84" w:rsidRDefault="007D30C9" w:rsidP="00183AE0">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200</w:t>
            </w:r>
            <w:r w:rsidR="00183AE0" w:rsidRPr="00714E84">
              <w:rPr>
                <w:rFonts w:asciiTheme="minorHAnsi" w:eastAsia="Times New Roman" w:hAnsiTheme="minorHAnsi" w:cstheme="minorHAnsi"/>
                <w:i/>
                <w:iCs/>
                <w:color w:val="000000"/>
                <w:sz w:val="20"/>
                <w:szCs w:val="22"/>
                <w:lang w:eastAsia="en-GB"/>
              </w:rPr>
              <w:t>9</w:t>
            </w:r>
          </w:p>
        </w:tc>
        <w:tc>
          <w:tcPr>
            <w:tcW w:w="919" w:type="dxa"/>
            <w:tcBorders>
              <w:top w:val="single" w:sz="4" w:space="0" w:color="auto"/>
              <w:left w:val="nil"/>
              <w:bottom w:val="single" w:sz="4" w:space="0" w:color="auto"/>
              <w:right w:val="nil"/>
            </w:tcBorders>
            <w:shd w:val="clear" w:color="auto" w:fill="auto"/>
            <w:noWrap/>
            <w:hideMark/>
          </w:tcPr>
          <w:p w14:paraId="351921FD" w14:textId="2B590BEC" w:rsidR="007D30C9" w:rsidRPr="00714E84" w:rsidRDefault="007D30C9"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20</w:t>
            </w:r>
            <w:r w:rsidR="00C474DC" w:rsidRPr="00714E84">
              <w:rPr>
                <w:rFonts w:asciiTheme="minorHAnsi" w:eastAsia="Times New Roman" w:hAnsiTheme="minorHAnsi" w:cstheme="minorHAnsi"/>
                <w:i/>
                <w:iCs/>
                <w:color w:val="000000"/>
                <w:sz w:val="20"/>
                <w:szCs w:val="22"/>
                <w:lang w:eastAsia="en-GB"/>
              </w:rPr>
              <w:t>10</w:t>
            </w:r>
          </w:p>
        </w:tc>
        <w:tc>
          <w:tcPr>
            <w:tcW w:w="918" w:type="dxa"/>
            <w:tcBorders>
              <w:top w:val="single" w:sz="4" w:space="0" w:color="auto"/>
              <w:left w:val="nil"/>
              <w:bottom w:val="single" w:sz="4" w:space="0" w:color="auto"/>
              <w:right w:val="nil"/>
            </w:tcBorders>
            <w:shd w:val="clear" w:color="auto" w:fill="auto"/>
            <w:noWrap/>
            <w:hideMark/>
          </w:tcPr>
          <w:p w14:paraId="2039A939" w14:textId="07E0719C" w:rsidR="007D30C9" w:rsidRPr="00714E84" w:rsidRDefault="007D30C9"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20</w:t>
            </w:r>
            <w:r w:rsidR="00C474DC" w:rsidRPr="00714E84">
              <w:rPr>
                <w:rFonts w:asciiTheme="minorHAnsi" w:eastAsia="Times New Roman" w:hAnsiTheme="minorHAnsi" w:cstheme="minorHAnsi"/>
                <w:i/>
                <w:iCs/>
                <w:color w:val="000000"/>
                <w:sz w:val="20"/>
                <w:szCs w:val="22"/>
                <w:lang w:eastAsia="en-GB"/>
              </w:rPr>
              <w:t>11</w:t>
            </w:r>
          </w:p>
        </w:tc>
        <w:tc>
          <w:tcPr>
            <w:tcW w:w="919" w:type="dxa"/>
            <w:tcBorders>
              <w:top w:val="single" w:sz="4" w:space="0" w:color="auto"/>
              <w:left w:val="nil"/>
              <w:bottom w:val="single" w:sz="4" w:space="0" w:color="auto"/>
              <w:right w:val="nil"/>
            </w:tcBorders>
            <w:shd w:val="clear" w:color="auto" w:fill="auto"/>
            <w:noWrap/>
            <w:hideMark/>
          </w:tcPr>
          <w:p w14:paraId="5F1DC007" w14:textId="50B205CD" w:rsidR="007D30C9" w:rsidRPr="00714E84" w:rsidRDefault="007D30C9"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20</w:t>
            </w:r>
            <w:r w:rsidR="00C474DC" w:rsidRPr="00714E84">
              <w:rPr>
                <w:rFonts w:asciiTheme="minorHAnsi" w:eastAsia="Times New Roman" w:hAnsiTheme="minorHAnsi" w:cstheme="minorHAnsi"/>
                <w:i/>
                <w:iCs/>
                <w:color w:val="000000"/>
                <w:sz w:val="20"/>
                <w:szCs w:val="22"/>
                <w:lang w:eastAsia="en-GB"/>
              </w:rPr>
              <w:t>12</w:t>
            </w:r>
          </w:p>
        </w:tc>
      </w:tr>
      <w:tr w:rsidR="007D30C9" w:rsidRPr="00714E84" w14:paraId="4434BDA5" w14:textId="77777777" w:rsidTr="00464021">
        <w:tc>
          <w:tcPr>
            <w:tcW w:w="1418" w:type="dxa"/>
            <w:tcBorders>
              <w:top w:val="single" w:sz="4" w:space="0" w:color="auto"/>
              <w:left w:val="nil"/>
              <w:bottom w:val="single" w:sz="4" w:space="0" w:color="auto"/>
              <w:right w:val="nil"/>
            </w:tcBorders>
            <w:shd w:val="clear" w:color="auto" w:fill="auto"/>
            <w:hideMark/>
          </w:tcPr>
          <w:p w14:paraId="68899FAE" w14:textId="77777777" w:rsidR="007D30C9" w:rsidRPr="00714E84" w:rsidRDefault="007D30C9" w:rsidP="00055BDD">
            <w:pPr>
              <w:rPr>
                <w:rFonts w:asciiTheme="minorHAnsi" w:eastAsia="Times New Roman" w:hAnsiTheme="minorHAnsi" w:cstheme="minorHAnsi"/>
                <w:b/>
                <w:bCs/>
                <w:color w:val="000000"/>
                <w:sz w:val="20"/>
                <w:szCs w:val="22"/>
                <w:lang w:eastAsia="en-GB"/>
              </w:rPr>
            </w:pPr>
            <w:r w:rsidRPr="00714E84">
              <w:rPr>
                <w:rFonts w:asciiTheme="minorHAnsi" w:eastAsia="Times New Roman" w:hAnsiTheme="minorHAnsi" w:cstheme="minorHAnsi"/>
                <w:b/>
                <w:bCs/>
                <w:color w:val="000000"/>
                <w:sz w:val="20"/>
                <w:szCs w:val="22"/>
                <w:lang w:eastAsia="en-GB"/>
              </w:rPr>
              <w:t>White British</w:t>
            </w:r>
          </w:p>
        </w:tc>
        <w:tc>
          <w:tcPr>
            <w:tcW w:w="918" w:type="dxa"/>
            <w:tcBorders>
              <w:top w:val="single" w:sz="4" w:space="0" w:color="auto"/>
              <w:left w:val="nil"/>
              <w:bottom w:val="single" w:sz="4" w:space="0" w:color="auto"/>
              <w:right w:val="nil"/>
            </w:tcBorders>
            <w:shd w:val="clear" w:color="auto" w:fill="auto"/>
            <w:noWrap/>
            <w:vAlign w:val="bottom"/>
            <w:hideMark/>
          </w:tcPr>
          <w:p w14:paraId="02BFC196" w14:textId="77777777" w:rsidR="007D30C9" w:rsidRPr="00714E84" w:rsidRDefault="007D30C9" w:rsidP="00055BDD">
            <w:pPr>
              <w:rPr>
                <w:rFonts w:asciiTheme="minorHAnsi" w:eastAsia="Times New Roman" w:hAnsiTheme="minorHAnsi" w:cstheme="minorHAnsi"/>
                <w:b/>
                <w:bCs/>
                <w:color w:val="000000"/>
                <w:sz w:val="20"/>
                <w:szCs w:val="22"/>
                <w:lang w:eastAsia="en-GB"/>
              </w:rPr>
            </w:pPr>
          </w:p>
        </w:tc>
        <w:tc>
          <w:tcPr>
            <w:tcW w:w="919" w:type="dxa"/>
            <w:tcBorders>
              <w:top w:val="single" w:sz="4" w:space="0" w:color="auto"/>
              <w:left w:val="nil"/>
              <w:bottom w:val="single" w:sz="4" w:space="0" w:color="auto"/>
              <w:right w:val="nil"/>
            </w:tcBorders>
            <w:shd w:val="clear" w:color="auto" w:fill="auto"/>
            <w:noWrap/>
            <w:vAlign w:val="bottom"/>
            <w:hideMark/>
          </w:tcPr>
          <w:p w14:paraId="11725623" w14:textId="77777777" w:rsidR="007D30C9" w:rsidRPr="00714E84" w:rsidRDefault="007D30C9" w:rsidP="00055BDD">
            <w:pPr>
              <w:rPr>
                <w:rFonts w:asciiTheme="minorHAnsi" w:eastAsia="Times New Roman" w:hAnsiTheme="minorHAnsi" w:cstheme="minorHAnsi"/>
                <w:sz w:val="20"/>
                <w:szCs w:val="22"/>
                <w:lang w:eastAsia="en-GB"/>
              </w:rPr>
            </w:pPr>
          </w:p>
        </w:tc>
        <w:tc>
          <w:tcPr>
            <w:tcW w:w="918" w:type="dxa"/>
            <w:tcBorders>
              <w:top w:val="single" w:sz="4" w:space="0" w:color="auto"/>
              <w:left w:val="nil"/>
              <w:bottom w:val="single" w:sz="4" w:space="0" w:color="auto"/>
              <w:right w:val="nil"/>
            </w:tcBorders>
            <w:shd w:val="clear" w:color="auto" w:fill="auto"/>
            <w:noWrap/>
            <w:vAlign w:val="bottom"/>
            <w:hideMark/>
          </w:tcPr>
          <w:p w14:paraId="6A5F2A7F" w14:textId="77777777" w:rsidR="007D30C9" w:rsidRPr="00714E84" w:rsidRDefault="007D30C9" w:rsidP="00055BDD">
            <w:pPr>
              <w:rPr>
                <w:rFonts w:asciiTheme="minorHAnsi" w:eastAsia="Times New Roman" w:hAnsiTheme="minorHAnsi" w:cstheme="minorHAnsi"/>
                <w:sz w:val="20"/>
                <w:szCs w:val="22"/>
                <w:lang w:eastAsia="en-GB"/>
              </w:rPr>
            </w:pPr>
          </w:p>
        </w:tc>
        <w:tc>
          <w:tcPr>
            <w:tcW w:w="919" w:type="dxa"/>
            <w:tcBorders>
              <w:top w:val="single" w:sz="4" w:space="0" w:color="auto"/>
              <w:left w:val="nil"/>
              <w:bottom w:val="single" w:sz="4" w:space="0" w:color="auto"/>
              <w:right w:val="nil"/>
            </w:tcBorders>
            <w:shd w:val="clear" w:color="auto" w:fill="auto"/>
            <w:noWrap/>
            <w:vAlign w:val="bottom"/>
            <w:hideMark/>
          </w:tcPr>
          <w:p w14:paraId="5FEE3A4E" w14:textId="77777777" w:rsidR="007D30C9" w:rsidRPr="00714E84" w:rsidRDefault="007D30C9" w:rsidP="00055BDD">
            <w:pPr>
              <w:rPr>
                <w:rFonts w:asciiTheme="minorHAnsi" w:eastAsia="Times New Roman" w:hAnsiTheme="minorHAnsi" w:cstheme="minorHAnsi"/>
                <w:sz w:val="20"/>
                <w:szCs w:val="22"/>
                <w:lang w:eastAsia="en-GB"/>
              </w:rPr>
            </w:pPr>
          </w:p>
        </w:tc>
        <w:tc>
          <w:tcPr>
            <w:tcW w:w="918" w:type="dxa"/>
            <w:tcBorders>
              <w:top w:val="single" w:sz="4" w:space="0" w:color="auto"/>
              <w:left w:val="nil"/>
              <w:bottom w:val="single" w:sz="4" w:space="0" w:color="auto"/>
              <w:right w:val="nil"/>
            </w:tcBorders>
            <w:shd w:val="clear" w:color="auto" w:fill="auto"/>
            <w:noWrap/>
            <w:vAlign w:val="bottom"/>
            <w:hideMark/>
          </w:tcPr>
          <w:p w14:paraId="513F98F4" w14:textId="77777777" w:rsidR="007D30C9" w:rsidRPr="00714E84" w:rsidRDefault="007D30C9" w:rsidP="00055BDD">
            <w:pPr>
              <w:rPr>
                <w:rFonts w:asciiTheme="minorHAnsi" w:eastAsia="Times New Roman" w:hAnsiTheme="minorHAnsi" w:cstheme="minorHAnsi"/>
                <w:sz w:val="20"/>
                <w:szCs w:val="22"/>
                <w:lang w:eastAsia="en-GB"/>
              </w:rPr>
            </w:pPr>
          </w:p>
        </w:tc>
        <w:tc>
          <w:tcPr>
            <w:tcW w:w="919" w:type="dxa"/>
            <w:tcBorders>
              <w:top w:val="single" w:sz="4" w:space="0" w:color="auto"/>
              <w:left w:val="nil"/>
              <w:bottom w:val="single" w:sz="4" w:space="0" w:color="auto"/>
              <w:right w:val="nil"/>
            </w:tcBorders>
            <w:shd w:val="clear" w:color="auto" w:fill="auto"/>
            <w:noWrap/>
            <w:vAlign w:val="bottom"/>
            <w:hideMark/>
          </w:tcPr>
          <w:p w14:paraId="0FDBA195" w14:textId="77777777" w:rsidR="007D30C9" w:rsidRPr="00714E84" w:rsidRDefault="007D30C9" w:rsidP="00055BDD">
            <w:pPr>
              <w:rPr>
                <w:rFonts w:asciiTheme="minorHAnsi" w:eastAsia="Times New Roman" w:hAnsiTheme="minorHAnsi" w:cstheme="minorHAnsi"/>
                <w:sz w:val="20"/>
                <w:szCs w:val="22"/>
                <w:lang w:eastAsia="en-GB"/>
              </w:rPr>
            </w:pPr>
          </w:p>
        </w:tc>
        <w:tc>
          <w:tcPr>
            <w:tcW w:w="918" w:type="dxa"/>
            <w:tcBorders>
              <w:top w:val="single" w:sz="4" w:space="0" w:color="auto"/>
              <w:left w:val="nil"/>
              <w:bottom w:val="single" w:sz="4" w:space="0" w:color="auto"/>
              <w:right w:val="nil"/>
            </w:tcBorders>
            <w:shd w:val="clear" w:color="auto" w:fill="auto"/>
            <w:noWrap/>
            <w:vAlign w:val="bottom"/>
            <w:hideMark/>
          </w:tcPr>
          <w:p w14:paraId="77D29BE7" w14:textId="77777777" w:rsidR="007D30C9" w:rsidRPr="00714E84" w:rsidRDefault="007D30C9" w:rsidP="00055BDD">
            <w:pPr>
              <w:rPr>
                <w:rFonts w:asciiTheme="minorHAnsi" w:eastAsia="Times New Roman" w:hAnsiTheme="minorHAnsi" w:cstheme="minorHAnsi"/>
                <w:sz w:val="20"/>
                <w:szCs w:val="22"/>
                <w:lang w:eastAsia="en-GB"/>
              </w:rPr>
            </w:pPr>
          </w:p>
        </w:tc>
        <w:tc>
          <w:tcPr>
            <w:tcW w:w="919" w:type="dxa"/>
            <w:tcBorders>
              <w:top w:val="single" w:sz="4" w:space="0" w:color="auto"/>
              <w:left w:val="nil"/>
              <w:bottom w:val="single" w:sz="4" w:space="0" w:color="auto"/>
              <w:right w:val="nil"/>
            </w:tcBorders>
            <w:shd w:val="clear" w:color="auto" w:fill="auto"/>
            <w:noWrap/>
            <w:vAlign w:val="bottom"/>
            <w:hideMark/>
          </w:tcPr>
          <w:p w14:paraId="65B3F7C2" w14:textId="77777777" w:rsidR="007D30C9" w:rsidRPr="00714E84" w:rsidRDefault="007D30C9" w:rsidP="00055BDD">
            <w:pPr>
              <w:rPr>
                <w:rFonts w:asciiTheme="minorHAnsi" w:eastAsia="Times New Roman" w:hAnsiTheme="minorHAnsi" w:cstheme="minorHAnsi"/>
                <w:sz w:val="20"/>
                <w:szCs w:val="22"/>
                <w:lang w:eastAsia="en-GB"/>
              </w:rPr>
            </w:pPr>
          </w:p>
        </w:tc>
      </w:tr>
      <w:tr w:rsidR="00C474DC" w:rsidRPr="00714E84" w14:paraId="31EB69E4" w14:textId="77777777" w:rsidTr="00C474DC">
        <w:tc>
          <w:tcPr>
            <w:tcW w:w="1418" w:type="dxa"/>
            <w:tcBorders>
              <w:top w:val="single" w:sz="4" w:space="0" w:color="auto"/>
              <w:left w:val="nil"/>
              <w:bottom w:val="nil"/>
              <w:right w:val="nil"/>
            </w:tcBorders>
            <w:shd w:val="clear" w:color="auto" w:fill="auto"/>
            <w:noWrap/>
            <w:hideMark/>
          </w:tcPr>
          <w:p w14:paraId="365C398F"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 xml:space="preserve">Level 1: </w:t>
            </w:r>
          </w:p>
        </w:tc>
        <w:tc>
          <w:tcPr>
            <w:tcW w:w="918" w:type="dxa"/>
            <w:tcBorders>
              <w:top w:val="single" w:sz="4" w:space="0" w:color="auto"/>
              <w:left w:val="nil"/>
              <w:bottom w:val="nil"/>
              <w:right w:val="nil"/>
            </w:tcBorders>
            <w:shd w:val="clear" w:color="auto" w:fill="auto"/>
            <w:noWrap/>
            <w:vAlign w:val="bottom"/>
          </w:tcPr>
          <w:p w14:paraId="0B18FBE5" w14:textId="1AFA27B4"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10.7</w:t>
            </w:r>
          </w:p>
        </w:tc>
        <w:tc>
          <w:tcPr>
            <w:tcW w:w="919" w:type="dxa"/>
            <w:tcBorders>
              <w:top w:val="single" w:sz="4" w:space="0" w:color="auto"/>
              <w:left w:val="nil"/>
              <w:bottom w:val="nil"/>
              <w:right w:val="nil"/>
            </w:tcBorders>
            <w:shd w:val="clear" w:color="auto" w:fill="auto"/>
            <w:noWrap/>
            <w:vAlign w:val="bottom"/>
          </w:tcPr>
          <w:p w14:paraId="5884249B" w14:textId="00329BFE"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10.63</w:t>
            </w:r>
          </w:p>
        </w:tc>
        <w:tc>
          <w:tcPr>
            <w:tcW w:w="918" w:type="dxa"/>
            <w:tcBorders>
              <w:top w:val="single" w:sz="4" w:space="0" w:color="auto"/>
              <w:left w:val="nil"/>
              <w:bottom w:val="nil"/>
              <w:right w:val="nil"/>
            </w:tcBorders>
            <w:shd w:val="clear" w:color="auto" w:fill="auto"/>
            <w:noWrap/>
            <w:vAlign w:val="bottom"/>
          </w:tcPr>
          <w:p w14:paraId="607D32C9" w14:textId="2CFABE6C"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10.51</w:t>
            </w:r>
          </w:p>
        </w:tc>
        <w:tc>
          <w:tcPr>
            <w:tcW w:w="919" w:type="dxa"/>
            <w:tcBorders>
              <w:top w:val="single" w:sz="4" w:space="0" w:color="auto"/>
              <w:left w:val="nil"/>
              <w:bottom w:val="nil"/>
              <w:right w:val="nil"/>
            </w:tcBorders>
            <w:shd w:val="clear" w:color="auto" w:fill="auto"/>
            <w:noWrap/>
            <w:vAlign w:val="bottom"/>
          </w:tcPr>
          <w:p w14:paraId="3E12391D" w14:textId="27329EA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9.66</w:t>
            </w:r>
          </w:p>
        </w:tc>
        <w:tc>
          <w:tcPr>
            <w:tcW w:w="918" w:type="dxa"/>
            <w:tcBorders>
              <w:top w:val="single" w:sz="4" w:space="0" w:color="auto"/>
              <w:left w:val="nil"/>
              <w:bottom w:val="nil"/>
              <w:right w:val="nil"/>
            </w:tcBorders>
            <w:shd w:val="clear" w:color="auto" w:fill="auto"/>
            <w:noWrap/>
            <w:vAlign w:val="bottom"/>
          </w:tcPr>
          <w:p w14:paraId="5C25DD2F" w14:textId="583AD55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9.57</w:t>
            </w:r>
          </w:p>
        </w:tc>
        <w:tc>
          <w:tcPr>
            <w:tcW w:w="919" w:type="dxa"/>
            <w:tcBorders>
              <w:top w:val="single" w:sz="4" w:space="0" w:color="auto"/>
              <w:left w:val="nil"/>
              <w:bottom w:val="nil"/>
              <w:right w:val="nil"/>
            </w:tcBorders>
            <w:shd w:val="clear" w:color="auto" w:fill="auto"/>
            <w:noWrap/>
            <w:vAlign w:val="bottom"/>
          </w:tcPr>
          <w:p w14:paraId="33A33123" w14:textId="30A34DEB"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9.43</w:t>
            </w:r>
          </w:p>
        </w:tc>
        <w:tc>
          <w:tcPr>
            <w:tcW w:w="918" w:type="dxa"/>
            <w:tcBorders>
              <w:top w:val="single" w:sz="4" w:space="0" w:color="auto"/>
              <w:left w:val="nil"/>
              <w:bottom w:val="nil"/>
              <w:right w:val="nil"/>
            </w:tcBorders>
            <w:shd w:val="clear" w:color="auto" w:fill="auto"/>
            <w:noWrap/>
            <w:vAlign w:val="bottom"/>
          </w:tcPr>
          <w:p w14:paraId="16A0D61F" w14:textId="26A123D8"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9.92</w:t>
            </w:r>
          </w:p>
        </w:tc>
        <w:tc>
          <w:tcPr>
            <w:tcW w:w="919" w:type="dxa"/>
            <w:tcBorders>
              <w:top w:val="single" w:sz="4" w:space="0" w:color="auto"/>
              <w:left w:val="nil"/>
              <w:bottom w:val="nil"/>
              <w:right w:val="nil"/>
            </w:tcBorders>
            <w:shd w:val="clear" w:color="auto" w:fill="auto"/>
            <w:noWrap/>
            <w:vAlign w:val="bottom"/>
          </w:tcPr>
          <w:p w14:paraId="334324E6" w14:textId="018E350E"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9.65</w:t>
            </w:r>
          </w:p>
        </w:tc>
      </w:tr>
      <w:tr w:rsidR="00C474DC" w:rsidRPr="00714E84" w14:paraId="6EFD9BA5" w14:textId="77777777" w:rsidTr="00C474DC">
        <w:tc>
          <w:tcPr>
            <w:tcW w:w="1418" w:type="dxa"/>
            <w:tcBorders>
              <w:top w:val="nil"/>
              <w:left w:val="nil"/>
              <w:bottom w:val="nil"/>
              <w:right w:val="nil"/>
            </w:tcBorders>
            <w:shd w:val="clear" w:color="auto" w:fill="auto"/>
            <w:noWrap/>
            <w:hideMark/>
          </w:tcPr>
          <w:p w14:paraId="2F4A1D9B"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 xml:space="preserve">Level 2: </w:t>
            </w:r>
          </w:p>
        </w:tc>
        <w:tc>
          <w:tcPr>
            <w:tcW w:w="918" w:type="dxa"/>
            <w:tcBorders>
              <w:top w:val="nil"/>
              <w:left w:val="nil"/>
              <w:bottom w:val="nil"/>
              <w:right w:val="nil"/>
            </w:tcBorders>
            <w:shd w:val="clear" w:color="auto" w:fill="auto"/>
            <w:noWrap/>
            <w:vAlign w:val="bottom"/>
          </w:tcPr>
          <w:p w14:paraId="495E8B9D" w14:textId="09D1ED26"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46.54</w:t>
            </w:r>
          </w:p>
        </w:tc>
        <w:tc>
          <w:tcPr>
            <w:tcW w:w="919" w:type="dxa"/>
            <w:tcBorders>
              <w:top w:val="nil"/>
              <w:left w:val="nil"/>
              <w:bottom w:val="nil"/>
              <w:right w:val="nil"/>
            </w:tcBorders>
            <w:shd w:val="clear" w:color="auto" w:fill="auto"/>
            <w:noWrap/>
            <w:vAlign w:val="bottom"/>
          </w:tcPr>
          <w:p w14:paraId="4B1EEABD" w14:textId="30970FE7"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45.56</w:t>
            </w:r>
          </w:p>
        </w:tc>
        <w:tc>
          <w:tcPr>
            <w:tcW w:w="918" w:type="dxa"/>
            <w:tcBorders>
              <w:top w:val="nil"/>
              <w:left w:val="nil"/>
              <w:bottom w:val="nil"/>
              <w:right w:val="nil"/>
            </w:tcBorders>
            <w:shd w:val="clear" w:color="auto" w:fill="auto"/>
            <w:noWrap/>
            <w:vAlign w:val="bottom"/>
          </w:tcPr>
          <w:p w14:paraId="7C20334B" w14:textId="2A6812E5"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45.07</w:t>
            </w:r>
          </w:p>
        </w:tc>
        <w:tc>
          <w:tcPr>
            <w:tcW w:w="919" w:type="dxa"/>
            <w:tcBorders>
              <w:top w:val="nil"/>
              <w:left w:val="nil"/>
              <w:bottom w:val="nil"/>
              <w:right w:val="nil"/>
            </w:tcBorders>
            <w:shd w:val="clear" w:color="auto" w:fill="auto"/>
            <w:noWrap/>
            <w:vAlign w:val="bottom"/>
          </w:tcPr>
          <w:p w14:paraId="7A5CADE4" w14:textId="5BFD988D"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45.23</w:t>
            </w:r>
          </w:p>
        </w:tc>
        <w:tc>
          <w:tcPr>
            <w:tcW w:w="918" w:type="dxa"/>
            <w:tcBorders>
              <w:top w:val="nil"/>
              <w:left w:val="nil"/>
              <w:bottom w:val="nil"/>
              <w:right w:val="nil"/>
            </w:tcBorders>
            <w:shd w:val="clear" w:color="auto" w:fill="auto"/>
            <w:noWrap/>
            <w:vAlign w:val="bottom"/>
          </w:tcPr>
          <w:p w14:paraId="50880887" w14:textId="6417C52B"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44.53</w:t>
            </w:r>
          </w:p>
        </w:tc>
        <w:tc>
          <w:tcPr>
            <w:tcW w:w="919" w:type="dxa"/>
            <w:tcBorders>
              <w:top w:val="nil"/>
              <w:left w:val="nil"/>
              <w:bottom w:val="nil"/>
              <w:right w:val="nil"/>
            </w:tcBorders>
            <w:shd w:val="clear" w:color="auto" w:fill="auto"/>
            <w:noWrap/>
            <w:vAlign w:val="bottom"/>
          </w:tcPr>
          <w:p w14:paraId="0DBBF0E6" w14:textId="03F10F29"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44.2</w:t>
            </w:r>
          </w:p>
        </w:tc>
        <w:tc>
          <w:tcPr>
            <w:tcW w:w="918" w:type="dxa"/>
            <w:tcBorders>
              <w:top w:val="nil"/>
              <w:left w:val="nil"/>
              <w:bottom w:val="nil"/>
              <w:right w:val="nil"/>
            </w:tcBorders>
            <w:shd w:val="clear" w:color="auto" w:fill="auto"/>
            <w:noWrap/>
            <w:vAlign w:val="bottom"/>
          </w:tcPr>
          <w:p w14:paraId="7E155076" w14:textId="0EE8D83C"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45.26</w:t>
            </w:r>
          </w:p>
        </w:tc>
        <w:tc>
          <w:tcPr>
            <w:tcW w:w="919" w:type="dxa"/>
            <w:tcBorders>
              <w:top w:val="nil"/>
              <w:left w:val="nil"/>
              <w:bottom w:val="nil"/>
              <w:right w:val="nil"/>
            </w:tcBorders>
            <w:shd w:val="clear" w:color="auto" w:fill="auto"/>
            <w:noWrap/>
            <w:vAlign w:val="bottom"/>
          </w:tcPr>
          <w:p w14:paraId="12BCC5D1" w14:textId="47960DC9"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44.97</w:t>
            </w:r>
          </w:p>
        </w:tc>
      </w:tr>
      <w:tr w:rsidR="00C474DC" w:rsidRPr="00714E84" w14:paraId="1B2BCA2B" w14:textId="77777777" w:rsidTr="00C474DC">
        <w:tc>
          <w:tcPr>
            <w:tcW w:w="1418" w:type="dxa"/>
            <w:tcBorders>
              <w:top w:val="nil"/>
              <w:left w:val="nil"/>
              <w:bottom w:val="nil"/>
              <w:right w:val="nil"/>
            </w:tcBorders>
            <w:shd w:val="clear" w:color="auto" w:fill="auto"/>
            <w:noWrap/>
            <w:hideMark/>
          </w:tcPr>
          <w:p w14:paraId="1248F60A"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 xml:space="preserve">Level 3: </w:t>
            </w:r>
          </w:p>
        </w:tc>
        <w:tc>
          <w:tcPr>
            <w:tcW w:w="918" w:type="dxa"/>
            <w:tcBorders>
              <w:top w:val="nil"/>
              <w:left w:val="nil"/>
              <w:bottom w:val="nil"/>
              <w:right w:val="nil"/>
            </w:tcBorders>
            <w:shd w:val="clear" w:color="auto" w:fill="auto"/>
            <w:noWrap/>
            <w:vAlign w:val="bottom"/>
          </w:tcPr>
          <w:p w14:paraId="1413A318" w14:textId="55838C97"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14.55</w:t>
            </w:r>
          </w:p>
        </w:tc>
        <w:tc>
          <w:tcPr>
            <w:tcW w:w="919" w:type="dxa"/>
            <w:tcBorders>
              <w:top w:val="nil"/>
              <w:left w:val="nil"/>
              <w:bottom w:val="nil"/>
              <w:right w:val="nil"/>
            </w:tcBorders>
            <w:shd w:val="clear" w:color="auto" w:fill="auto"/>
            <w:noWrap/>
            <w:vAlign w:val="bottom"/>
          </w:tcPr>
          <w:p w14:paraId="506491CE" w14:textId="2E49E657"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14.89</w:t>
            </w:r>
          </w:p>
        </w:tc>
        <w:tc>
          <w:tcPr>
            <w:tcW w:w="918" w:type="dxa"/>
            <w:tcBorders>
              <w:top w:val="nil"/>
              <w:left w:val="nil"/>
              <w:bottom w:val="nil"/>
              <w:right w:val="nil"/>
            </w:tcBorders>
            <w:shd w:val="clear" w:color="auto" w:fill="auto"/>
            <w:noWrap/>
            <w:vAlign w:val="bottom"/>
          </w:tcPr>
          <w:p w14:paraId="3D3A6D9E" w14:textId="75A9B6F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15.04</w:t>
            </w:r>
          </w:p>
        </w:tc>
        <w:tc>
          <w:tcPr>
            <w:tcW w:w="919" w:type="dxa"/>
            <w:tcBorders>
              <w:top w:val="nil"/>
              <w:left w:val="nil"/>
              <w:bottom w:val="nil"/>
              <w:right w:val="nil"/>
            </w:tcBorders>
            <w:shd w:val="clear" w:color="auto" w:fill="auto"/>
            <w:noWrap/>
            <w:vAlign w:val="bottom"/>
          </w:tcPr>
          <w:p w14:paraId="058C21D1" w14:textId="2AD24D4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15.17</w:t>
            </w:r>
          </w:p>
        </w:tc>
        <w:tc>
          <w:tcPr>
            <w:tcW w:w="918" w:type="dxa"/>
            <w:tcBorders>
              <w:top w:val="nil"/>
              <w:left w:val="nil"/>
              <w:bottom w:val="nil"/>
              <w:right w:val="nil"/>
            </w:tcBorders>
            <w:shd w:val="clear" w:color="auto" w:fill="auto"/>
            <w:noWrap/>
            <w:vAlign w:val="bottom"/>
          </w:tcPr>
          <w:p w14:paraId="6BF9F31D" w14:textId="7EF3FCE7"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15.39</w:t>
            </w:r>
          </w:p>
        </w:tc>
        <w:tc>
          <w:tcPr>
            <w:tcW w:w="919" w:type="dxa"/>
            <w:tcBorders>
              <w:top w:val="nil"/>
              <w:left w:val="nil"/>
              <w:bottom w:val="nil"/>
              <w:right w:val="nil"/>
            </w:tcBorders>
            <w:shd w:val="clear" w:color="auto" w:fill="auto"/>
            <w:noWrap/>
            <w:vAlign w:val="bottom"/>
          </w:tcPr>
          <w:p w14:paraId="6EF09578" w14:textId="51DF42C1"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15.35</w:t>
            </w:r>
          </w:p>
        </w:tc>
        <w:tc>
          <w:tcPr>
            <w:tcW w:w="918" w:type="dxa"/>
            <w:tcBorders>
              <w:top w:val="nil"/>
              <w:left w:val="nil"/>
              <w:bottom w:val="nil"/>
              <w:right w:val="nil"/>
            </w:tcBorders>
            <w:shd w:val="clear" w:color="auto" w:fill="auto"/>
            <w:noWrap/>
            <w:vAlign w:val="bottom"/>
          </w:tcPr>
          <w:p w14:paraId="1EA31934" w14:textId="15BC2335"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14.71</w:t>
            </w:r>
          </w:p>
        </w:tc>
        <w:tc>
          <w:tcPr>
            <w:tcW w:w="919" w:type="dxa"/>
            <w:tcBorders>
              <w:top w:val="nil"/>
              <w:left w:val="nil"/>
              <w:bottom w:val="nil"/>
              <w:right w:val="nil"/>
            </w:tcBorders>
            <w:shd w:val="clear" w:color="auto" w:fill="auto"/>
            <w:noWrap/>
            <w:vAlign w:val="bottom"/>
          </w:tcPr>
          <w:p w14:paraId="720A9610" w14:textId="629BBE99"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15.06</w:t>
            </w:r>
          </w:p>
        </w:tc>
      </w:tr>
      <w:tr w:rsidR="00C474DC" w:rsidRPr="00714E84" w14:paraId="79B87385" w14:textId="77777777" w:rsidTr="00C474DC">
        <w:tc>
          <w:tcPr>
            <w:tcW w:w="1418" w:type="dxa"/>
            <w:tcBorders>
              <w:top w:val="nil"/>
              <w:left w:val="nil"/>
              <w:bottom w:val="nil"/>
              <w:right w:val="nil"/>
            </w:tcBorders>
            <w:shd w:val="clear" w:color="auto" w:fill="auto"/>
            <w:noWrap/>
            <w:hideMark/>
          </w:tcPr>
          <w:p w14:paraId="79F78BE4"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Level 4:</w:t>
            </w:r>
          </w:p>
        </w:tc>
        <w:tc>
          <w:tcPr>
            <w:tcW w:w="918" w:type="dxa"/>
            <w:tcBorders>
              <w:top w:val="nil"/>
              <w:left w:val="nil"/>
              <w:bottom w:val="nil"/>
              <w:right w:val="nil"/>
            </w:tcBorders>
            <w:shd w:val="clear" w:color="auto" w:fill="auto"/>
            <w:noWrap/>
            <w:vAlign w:val="bottom"/>
          </w:tcPr>
          <w:p w14:paraId="28BE937B" w14:textId="32B56921"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28.21</w:t>
            </w:r>
          </w:p>
        </w:tc>
        <w:tc>
          <w:tcPr>
            <w:tcW w:w="919" w:type="dxa"/>
            <w:tcBorders>
              <w:top w:val="nil"/>
              <w:left w:val="nil"/>
              <w:bottom w:val="nil"/>
              <w:right w:val="nil"/>
            </w:tcBorders>
            <w:shd w:val="clear" w:color="auto" w:fill="auto"/>
            <w:noWrap/>
            <w:vAlign w:val="bottom"/>
          </w:tcPr>
          <w:p w14:paraId="322C8DA8" w14:textId="64165C2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28.91</w:t>
            </w:r>
          </w:p>
        </w:tc>
        <w:tc>
          <w:tcPr>
            <w:tcW w:w="918" w:type="dxa"/>
            <w:tcBorders>
              <w:top w:val="nil"/>
              <w:left w:val="nil"/>
              <w:bottom w:val="nil"/>
              <w:right w:val="nil"/>
            </w:tcBorders>
            <w:shd w:val="clear" w:color="auto" w:fill="auto"/>
            <w:noWrap/>
            <w:vAlign w:val="bottom"/>
          </w:tcPr>
          <w:p w14:paraId="724333CE" w14:textId="0ADD8238"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29.39</w:t>
            </w:r>
          </w:p>
        </w:tc>
        <w:tc>
          <w:tcPr>
            <w:tcW w:w="919" w:type="dxa"/>
            <w:tcBorders>
              <w:top w:val="nil"/>
              <w:left w:val="nil"/>
              <w:bottom w:val="nil"/>
              <w:right w:val="nil"/>
            </w:tcBorders>
            <w:shd w:val="clear" w:color="auto" w:fill="auto"/>
            <w:noWrap/>
            <w:vAlign w:val="bottom"/>
          </w:tcPr>
          <w:p w14:paraId="17275482" w14:textId="60EBD138"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29.94</w:t>
            </w:r>
          </w:p>
        </w:tc>
        <w:tc>
          <w:tcPr>
            <w:tcW w:w="918" w:type="dxa"/>
            <w:tcBorders>
              <w:top w:val="nil"/>
              <w:left w:val="nil"/>
              <w:bottom w:val="nil"/>
              <w:right w:val="nil"/>
            </w:tcBorders>
            <w:shd w:val="clear" w:color="auto" w:fill="auto"/>
            <w:noWrap/>
            <w:vAlign w:val="bottom"/>
          </w:tcPr>
          <w:p w14:paraId="5AE1BDA4" w14:textId="713A148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30.5</w:t>
            </w:r>
          </w:p>
        </w:tc>
        <w:tc>
          <w:tcPr>
            <w:tcW w:w="919" w:type="dxa"/>
            <w:tcBorders>
              <w:top w:val="nil"/>
              <w:left w:val="nil"/>
              <w:bottom w:val="nil"/>
              <w:right w:val="nil"/>
            </w:tcBorders>
            <w:shd w:val="clear" w:color="auto" w:fill="auto"/>
            <w:noWrap/>
            <w:vAlign w:val="bottom"/>
          </w:tcPr>
          <w:p w14:paraId="2135222F" w14:textId="7D10BC0D"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31.02</w:t>
            </w:r>
          </w:p>
        </w:tc>
        <w:tc>
          <w:tcPr>
            <w:tcW w:w="918" w:type="dxa"/>
            <w:tcBorders>
              <w:top w:val="nil"/>
              <w:left w:val="nil"/>
              <w:bottom w:val="nil"/>
              <w:right w:val="nil"/>
            </w:tcBorders>
            <w:shd w:val="clear" w:color="auto" w:fill="auto"/>
            <w:noWrap/>
            <w:vAlign w:val="bottom"/>
          </w:tcPr>
          <w:p w14:paraId="0E6D243E" w14:textId="6D9F5E93"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30.1</w:t>
            </w:r>
          </w:p>
        </w:tc>
        <w:tc>
          <w:tcPr>
            <w:tcW w:w="919" w:type="dxa"/>
            <w:tcBorders>
              <w:top w:val="nil"/>
              <w:left w:val="nil"/>
              <w:bottom w:val="nil"/>
              <w:right w:val="nil"/>
            </w:tcBorders>
            <w:shd w:val="clear" w:color="auto" w:fill="auto"/>
            <w:noWrap/>
            <w:vAlign w:val="bottom"/>
          </w:tcPr>
          <w:p w14:paraId="0C1416B9" w14:textId="0BEBCC13"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30.31</w:t>
            </w:r>
          </w:p>
        </w:tc>
      </w:tr>
      <w:tr w:rsidR="00C474DC" w:rsidRPr="00714E84" w14:paraId="24F6EB8B" w14:textId="77777777" w:rsidTr="00C474DC">
        <w:tc>
          <w:tcPr>
            <w:tcW w:w="1418" w:type="dxa"/>
            <w:tcBorders>
              <w:top w:val="nil"/>
              <w:left w:val="nil"/>
              <w:bottom w:val="nil"/>
              <w:right w:val="nil"/>
            </w:tcBorders>
            <w:shd w:val="clear" w:color="auto" w:fill="auto"/>
            <w:noWrap/>
            <w:vAlign w:val="bottom"/>
            <w:hideMark/>
          </w:tcPr>
          <w:p w14:paraId="3434BDFD" w14:textId="77777777" w:rsidR="00C474DC" w:rsidRPr="00714E84" w:rsidRDefault="00C474DC" w:rsidP="00C474DC">
            <w:pPr>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color w:val="000000"/>
                <w:sz w:val="20"/>
                <w:szCs w:val="22"/>
                <w:lang w:eastAsia="en-GB"/>
              </w:rPr>
              <w:t>Sub-total N</w:t>
            </w:r>
          </w:p>
        </w:tc>
        <w:tc>
          <w:tcPr>
            <w:tcW w:w="918" w:type="dxa"/>
            <w:tcBorders>
              <w:top w:val="nil"/>
              <w:left w:val="nil"/>
              <w:bottom w:val="nil"/>
              <w:right w:val="nil"/>
            </w:tcBorders>
            <w:shd w:val="clear" w:color="auto" w:fill="auto"/>
            <w:noWrap/>
            <w:vAlign w:val="bottom"/>
          </w:tcPr>
          <w:p w14:paraId="6669525F" w14:textId="748EDC85"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160,516</w:t>
            </w:r>
          </w:p>
        </w:tc>
        <w:tc>
          <w:tcPr>
            <w:tcW w:w="919" w:type="dxa"/>
            <w:tcBorders>
              <w:top w:val="nil"/>
              <w:left w:val="nil"/>
              <w:bottom w:val="nil"/>
              <w:right w:val="nil"/>
            </w:tcBorders>
            <w:shd w:val="clear" w:color="auto" w:fill="auto"/>
            <w:noWrap/>
            <w:vAlign w:val="bottom"/>
          </w:tcPr>
          <w:p w14:paraId="718A00F1" w14:textId="48DA98D0"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111,562</w:t>
            </w:r>
          </w:p>
        </w:tc>
        <w:tc>
          <w:tcPr>
            <w:tcW w:w="918" w:type="dxa"/>
            <w:tcBorders>
              <w:top w:val="nil"/>
              <w:left w:val="nil"/>
              <w:bottom w:val="nil"/>
              <w:right w:val="nil"/>
            </w:tcBorders>
            <w:shd w:val="clear" w:color="auto" w:fill="auto"/>
            <w:noWrap/>
            <w:vAlign w:val="bottom"/>
          </w:tcPr>
          <w:p w14:paraId="5653161C" w14:textId="6ED9594F"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107,993</w:t>
            </w:r>
          </w:p>
        </w:tc>
        <w:tc>
          <w:tcPr>
            <w:tcW w:w="919" w:type="dxa"/>
            <w:tcBorders>
              <w:top w:val="nil"/>
              <w:left w:val="nil"/>
              <w:bottom w:val="nil"/>
              <w:right w:val="nil"/>
            </w:tcBorders>
            <w:shd w:val="clear" w:color="auto" w:fill="auto"/>
            <w:noWrap/>
            <w:vAlign w:val="bottom"/>
          </w:tcPr>
          <w:p w14:paraId="4C84140D" w14:textId="51C63A2B"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118,886</w:t>
            </w:r>
          </w:p>
        </w:tc>
        <w:tc>
          <w:tcPr>
            <w:tcW w:w="918" w:type="dxa"/>
            <w:tcBorders>
              <w:top w:val="nil"/>
              <w:left w:val="nil"/>
              <w:bottom w:val="nil"/>
              <w:right w:val="nil"/>
            </w:tcBorders>
            <w:shd w:val="clear" w:color="auto" w:fill="auto"/>
            <w:noWrap/>
            <w:vAlign w:val="bottom"/>
          </w:tcPr>
          <w:p w14:paraId="02021570" w14:textId="5C32DE41"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110,768</w:t>
            </w:r>
          </w:p>
        </w:tc>
        <w:tc>
          <w:tcPr>
            <w:tcW w:w="919" w:type="dxa"/>
            <w:tcBorders>
              <w:top w:val="nil"/>
              <w:left w:val="nil"/>
              <w:bottom w:val="nil"/>
              <w:right w:val="nil"/>
            </w:tcBorders>
            <w:shd w:val="clear" w:color="auto" w:fill="auto"/>
            <w:noWrap/>
            <w:vAlign w:val="bottom"/>
          </w:tcPr>
          <w:p w14:paraId="24FD0D95" w14:textId="060B4C0B"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108,733</w:t>
            </w:r>
          </w:p>
        </w:tc>
        <w:tc>
          <w:tcPr>
            <w:tcW w:w="918" w:type="dxa"/>
            <w:tcBorders>
              <w:top w:val="nil"/>
              <w:left w:val="nil"/>
              <w:bottom w:val="nil"/>
              <w:right w:val="nil"/>
            </w:tcBorders>
            <w:shd w:val="clear" w:color="auto" w:fill="auto"/>
            <w:noWrap/>
            <w:vAlign w:val="bottom"/>
          </w:tcPr>
          <w:p w14:paraId="1AFEC0D6" w14:textId="15FC21B2"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67,691</w:t>
            </w:r>
          </w:p>
        </w:tc>
        <w:tc>
          <w:tcPr>
            <w:tcW w:w="919" w:type="dxa"/>
            <w:tcBorders>
              <w:top w:val="nil"/>
              <w:left w:val="nil"/>
              <w:bottom w:val="nil"/>
              <w:right w:val="nil"/>
            </w:tcBorders>
            <w:shd w:val="clear" w:color="auto" w:fill="auto"/>
            <w:noWrap/>
            <w:vAlign w:val="bottom"/>
          </w:tcPr>
          <w:p w14:paraId="3A388299" w14:textId="7000BC3B"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91,561</w:t>
            </w:r>
          </w:p>
        </w:tc>
      </w:tr>
      <w:tr w:rsidR="00C474DC" w:rsidRPr="00714E84" w14:paraId="0CF23520" w14:textId="77777777" w:rsidTr="00C474DC">
        <w:tc>
          <w:tcPr>
            <w:tcW w:w="1418" w:type="dxa"/>
            <w:tcBorders>
              <w:top w:val="nil"/>
              <w:left w:val="nil"/>
              <w:right w:val="nil"/>
            </w:tcBorders>
            <w:shd w:val="clear" w:color="auto" w:fill="auto"/>
            <w:noWrap/>
            <w:hideMark/>
          </w:tcPr>
          <w:p w14:paraId="2FB703AC" w14:textId="77777777" w:rsidR="00C474DC" w:rsidRPr="00714E84" w:rsidRDefault="00C474DC" w:rsidP="00C474DC">
            <w:pPr>
              <w:jc w:val="right"/>
              <w:rPr>
                <w:rFonts w:asciiTheme="minorHAnsi" w:eastAsia="Times New Roman" w:hAnsiTheme="minorHAnsi" w:cstheme="minorHAnsi"/>
                <w:i/>
                <w:iCs/>
                <w:color w:val="000000"/>
                <w:sz w:val="20"/>
                <w:szCs w:val="22"/>
                <w:lang w:eastAsia="en-GB"/>
              </w:rPr>
            </w:pPr>
          </w:p>
        </w:tc>
        <w:tc>
          <w:tcPr>
            <w:tcW w:w="918" w:type="dxa"/>
            <w:tcBorders>
              <w:top w:val="nil"/>
              <w:left w:val="nil"/>
              <w:right w:val="nil"/>
            </w:tcBorders>
            <w:shd w:val="clear" w:color="auto" w:fill="auto"/>
            <w:noWrap/>
            <w:vAlign w:val="bottom"/>
          </w:tcPr>
          <w:p w14:paraId="1B149E9A"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right w:val="nil"/>
            </w:tcBorders>
            <w:shd w:val="clear" w:color="auto" w:fill="auto"/>
            <w:noWrap/>
            <w:vAlign w:val="bottom"/>
          </w:tcPr>
          <w:p w14:paraId="01152782"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right w:val="nil"/>
            </w:tcBorders>
            <w:shd w:val="clear" w:color="auto" w:fill="auto"/>
            <w:noWrap/>
            <w:vAlign w:val="bottom"/>
          </w:tcPr>
          <w:p w14:paraId="23994420"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right w:val="nil"/>
            </w:tcBorders>
            <w:shd w:val="clear" w:color="auto" w:fill="auto"/>
            <w:noWrap/>
            <w:vAlign w:val="bottom"/>
          </w:tcPr>
          <w:p w14:paraId="49D7454F"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right w:val="nil"/>
            </w:tcBorders>
            <w:shd w:val="clear" w:color="auto" w:fill="auto"/>
            <w:noWrap/>
          </w:tcPr>
          <w:p w14:paraId="628ACA31"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right w:val="nil"/>
            </w:tcBorders>
            <w:shd w:val="clear" w:color="auto" w:fill="auto"/>
            <w:noWrap/>
          </w:tcPr>
          <w:p w14:paraId="017B9DE9"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right w:val="nil"/>
            </w:tcBorders>
            <w:shd w:val="clear" w:color="auto" w:fill="auto"/>
            <w:noWrap/>
          </w:tcPr>
          <w:p w14:paraId="7E659A87"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right w:val="nil"/>
            </w:tcBorders>
            <w:shd w:val="clear" w:color="auto" w:fill="auto"/>
            <w:noWrap/>
          </w:tcPr>
          <w:p w14:paraId="1AE637AA" w14:textId="77777777" w:rsidR="00C474DC" w:rsidRPr="00714E84" w:rsidRDefault="00C474DC" w:rsidP="00C474DC">
            <w:pPr>
              <w:rPr>
                <w:rFonts w:asciiTheme="minorHAnsi" w:eastAsia="Times New Roman" w:hAnsiTheme="minorHAnsi" w:cstheme="minorHAnsi"/>
                <w:sz w:val="20"/>
                <w:szCs w:val="22"/>
                <w:lang w:eastAsia="en-GB"/>
              </w:rPr>
            </w:pPr>
          </w:p>
        </w:tc>
      </w:tr>
      <w:tr w:rsidR="00C474DC" w:rsidRPr="00714E84" w14:paraId="6EACCF68" w14:textId="77777777" w:rsidTr="00C474DC">
        <w:tc>
          <w:tcPr>
            <w:tcW w:w="1418" w:type="dxa"/>
            <w:tcBorders>
              <w:top w:val="nil"/>
              <w:left w:val="nil"/>
              <w:bottom w:val="single" w:sz="4" w:space="0" w:color="auto"/>
              <w:right w:val="nil"/>
            </w:tcBorders>
            <w:shd w:val="clear" w:color="auto" w:fill="auto"/>
            <w:hideMark/>
          </w:tcPr>
          <w:p w14:paraId="42ECC13A" w14:textId="77777777" w:rsidR="00C474DC" w:rsidRPr="00714E84" w:rsidRDefault="00C474DC" w:rsidP="00C474DC">
            <w:pPr>
              <w:rPr>
                <w:rFonts w:asciiTheme="minorHAnsi" w:eastAsia="Times New Roman" w:hAnsiTheme="minorHAnsi" w:cstheme="minorHAnsi"/>
                <w:b/>
                <w:bCs/>
                <w:color w:val="000000"/>
                <w:sz w:val="20"/>
                <w:szCs w:val="22"/>
                <w:lang w:eastAsia="en-GB"/>
              </w:rPr>
            </w:pPr>
            <w:r w:rsidRPr="00714E84">
              <w:rPr>
                <w:rFonts w:asciiTheme="minorHAnsi" w:eastAsia="Times New Roman" w:hAnsiTheme="minorHAnsi" w:cstheme="minorHAnsi"/>
                <w:b/>
                <w:bCs/>
                <w:color w:val="000000"/>
                <w:sz w:val="20"/>
                <w:szCs w:val="22"/>
                <w:lang w:eastAsia="en-GB"/>
              </w:rPr>
              <w:t>White A8</w:t>
            </w:r>
          </w:p>
        </w:tc>
        <w:tc>
          <w:tcPr>
            <w:tcW w:w="918" w:type="dxa"/>
            <w:tcBorders>
              <w:top w:val="nil"/>
              <w:left w:val="nil"/>
              <w:bottom w:val="single" w:sz="4" w:space="0" w:color="auto"/>
              <w:right w:val="nil"/>
            </w:tcBorders>
            <w:shd w:val="clear" w:color="auto" w:fill="auto"/>
            <w:noWrap/>
          </w:tcPr>
          <w:p w14:paraId="0FBD952E" w14:textId="77777777" w:rsidR="00C474DC" w:rsidRPr="00714E84" w:rsidRDefault="00C474DC" w:rsidP="00C474DC">
            <w:pPr>
              <w:rPr>
                <w:rFonts w:asciiTheme="minorHAnsi" w:eastAsia="Times New Roman" w:hAnsiTheme="minorHAnsi" w:cstheme="minorHAnsi"/>
                <w:b/>
                <w:bCs/>
                <w:color w:val="000000"/>
                <w:sz w:val="20"/>
                <w:szCs w:val="22"/>
                <w:lang w:eastAsia="en-GB"/>
              </w:rPr>
            </w:pPr>
          </w:p>
        </w:tc>
        <w:tc>
          <w:tcPr>
            <w:tcW w:w="919" w:type="dxa"/>
            <w:tcBorders>
              <w:top w:val="nil"/>
              <w:left w:val="nil"/>
              <w:bottom w:val="single" w:sz="4" w:space="0" w:color="auto"/>
              <w:right w:val="nil"/>
            </w:tcBorders>
            <w:shd w:val="clear" w:color="auto" w:fill="auto"/>
            <w:noWrap/>
          </w:tcPr>
          <w:p w14:paraId="7710C7A5"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bottom w:val="single" w:sz="4" w:space="0" w:color="auto"/>
              <w:right w:val="nil"/>
            </w:tcBorders>
            <w:shd w:val="clear" w:color="auto" w:fill="auto"/>
            <w:noWrap/>
          </w:tcPr>
          <w:p w14:paraId="59C7FF26"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bottom w:val="single" w:sz="4" w:space="0" w:color="auto"/>
              <w:right w:val="nil"/>
            </w:tcBorders>
            <w:shd w:val="clear" w:color="auto" w:fill="auto"/>
            <w:noWrap/>
          </w:tcPr>
          <w:p w14:paraId="68943888"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bottom w:val="single" w:sz="4" w:space="0" w:color="auto"/>
              <w:right w:val="nil"/>
            </w:tcBorders>
            <w:shd w:val="clear" w:color="auto" w:fill="auto"/>
            <w:noWrap/>
          </w:tcPr>
          <w:p w14:paraId="1949B08B"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bottom w:val="single" w:sz="4" w:space="0" w:color="auto"/>
              <w:right w:val="nil"/>
            </w:tcBorders>
            <w:shd w:val="clear" w:color="auto" w:fill="auto"/>
            <w:noWrap/>
          </w:tcPr>
          <w:p w14:paraId="3B0696FE"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bottom w:val="single" w:sz="4" w:space="0" w:color="auto"/>
              <w:right w:val="nil"/>
            </w:tcBorders>
            <w:shd w:val="clear" w:color="auto" w:fill="auto"/>
            <w:noWrap/>
          </w:tcPr>
          <w:p w14:paraId="06DB6797"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bottom w:val="single" w:sz="4" w:space="0" w:color="auto"/>
              <w:right w:val="nil"/>
            </w:tcBorders>
            <w:shd w:val="clear" w:color="auto" w:fill="auto"/>
            <w:noWrap/>
          </w:tcPr>
          <w:p w14:paraId="2A21D31D" w14:textId="77777777" w:rsidR="00C474DC" w:rsidRPr="00714E84" w:rsidRDefault="00C474DC" w:rsidP="00C474DC">
            <w:pPr>
              <w:rPr>
                <w:rFonts w:asciiTheme="minorHAnsi" w:eastAsia="Times New Roman" w:hAnsiTheme="minorHAnsi" w:cstheme="minorHAnsi"/>
                <w:sz w:val="20"/>
                <w:szCs w:val="22"/>
                <w:lang w:eastAsia="en-GB"/>
              </w:rPr>
            </w:pPr>
          </w:p>
        </w:tc>
      </w:tr>
      <w:tr w:rsidR="00C474DC" w:rsidRPr="00714E84" w14:paraId="78E45201" w14:textId="77777777" w:rsidTr="00C474DC">
        <w:tc>
          <w:tcPr>
            <w:tcW w:w="1418" w:type="dxa"/>
            <w:tcBorders>
              <w:top w:val="single" w:sz="4" w:space="0" w:color="auto"/>
              <w:left w:val="nil"/>
              <w:bottom w:val="nil"/>
              <w:right w:val="nil"/>
            </w:tcBorders>
            <w:shd w:val="clear" w:color="auto" w:fill="auto"/>
            <w:noWrap/>
            <w:hideMark/>
          </w:tcPr>
          <w:p w14:paraId="769DBABF"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 xml:space="preserve">Level 1: </w:t>
            </w:r>
          </w:p>
        </w:tc>
        <w:tc>
          <w:tcPr>
            <w:tcW w:w="918" w:type="dxa"/>
            <w:tcBorders>
              <w:top w:val="single" w:sz="4" w:space="0" w:color="auto"/>
              <w:left w:val="nil"/>
              <w:bottom w:val="nil"/>
              <w:right w:val="nil"/>
            </w:tcBorders>
            <w:shd w:val="clear" w:color="auto" w:fill="auto"/>
            <w:noWrap/>
            <w:vAlign w:val="bottom"/>
          </w:tcPr>
          <w:p w14:paraId="1C1215DE" w14:textId="27AEC9BD"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39.61</w:t>
            </w:r>
          </w:p>
        </w:tc>
        <w:tc>
          <w:tcPr>
            <w:tcW w:w="919" w:type="dxa"/>
            <w:tcBorders>
              <w:top w:val="single" w:sz="4" w:space="0" w:color="auto"/>
              <w:left w:val="nil"/>
              <w:bottom w:val="nil"/>
              <w:right w:val="nil"/>
            </w:tcBorders>
            <w:shd w:val="clear" w:color="auto" w:fill="auto"/>
            <w:noWrap/>
            <w:vAlign w:val="bottom"/>
          </w:tcPr>
          <w:p w14:paraId="7CDDAF73" w14:textId="05255070"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44.48</w:t>
            </w:r>
          </w:p>
        </w:tc>
        <w:tc>
          <w:tcPr>
            <w:tcW w:w="918" w:type="dxa"/>
            <w:tcBorders>
              <w:top w:val="single" w:sz="4" w:space="0" w:color="auto"/>
              <w:left w:val="nil"/>
              <w:bottom w:val="nil"/>
              <w:right w:val="nil"/>
            </w:tcBorders>
            <w:shd w:val="clear" w:color="auto" w:fill="auto"/>
            <w:noWrap/>
            <w:vAlign w:val="bottom"/>
          </w:tcPr>
          <w:p w14:paraId="5FA0CBC2" w14:textId="23442A08"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41.49</w:t>
            </w:r>
          </w:p>
        </w:tc>
        <w:tc>
          <w:tcPr>
            <w:tcW w:w="919" w:type="dxa"/>
            <w:tcBorders>
              <w:top w:val="single" w:sz="4" w:space="0" w:color="auto"/>
              <w:left w:val="nil"/>
              <w:bottom w:val="nil"/>
              <w:right w:val="nil"/>
            </w:tcBorders>
            <w:shd w:val="clear" w:color="auto" w:fill="auto"/>
            <w:noWrap/>
            <w:vAlign w:val="bottom"/>
          </w:tcPr>
          <w:p w14:paraId="36B5AA6B" w14:textId="3CB261E2"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34.48</w:t>
            </w:r>
          </w:p>
        </w:tc>
        <w:tc>
          <w:tcPr>
            <w:tcW w:w="918" w:type="dxa"/>
            <w:tcBorders>
              <w:top w:val="single" w:sz="4" w:space="0" w:color="auto"/>
              <w:left w:val="nil"/>
              <w:bottom w:val="nil"/>
              <w:right w:val="nil"/>
            </w:tcBorders>
            <w:shd w:val="clear" w:color="auto" w:fill="auto"/>
            <w:noWrap/>
            <w:vAlign w:val="bottom"/>
          </w:tcPr>
          <w:p w14:paraId="725795A6" w14:textId="268541A6"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36.32</w:t>
            </w:r>
          </w:p>
        </w:tc>
        <w:tc>
          <w:tcPr>
            <w:tcW w:w="919" w:type="dxa"/>
            <w:tcBorders>
              <w:top w:val="single" w:sz="4" w:space="0" w:color="auto"/>
              <w:left w:val="nil"/>
              <w:bottom w:val="nil"/>
              <w:right w:val="nil"/>
            </w:tcBorders>
            <w:shd w:val="clear" w:color="auto" w:fill="auto"/>
            <w:noWrap/>
            <w:vAlign w:val="bottom"/>
          </w:tcPr>
          <w:p w14:paraId="2514E5C9" w14:textId="7A70E549"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37.26</w:t>
            </w:r>
          </w:p>
        </w:tc>
        <w:tc>
          <w:tcPr>
            <w:tcW w:w="918" w:type="dxa"/>
            <w:tcBorders>
              <w:top w:val="single" w:sz="4" w:space="0" w:color="auto"/>
              <w:left w:val="nil"/>
              <w:bottom w:val="nil"/>
              <w:right w:val="nil"/>
            </w:tcBorders>
            <w:shd w:val="clear" w:color="auto" w:fill="auto"/>
            <w:noWrap/>
            <w:vAlign w:val="bottom"/>
          </w:tcPr>
          <w:p w14:paraId="2DC019D3" w14:textId="04A5598C"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36.25</w:t>
            </w:r>
          </w:p>
        </w:tc>
        <w:tc>
          <w:tcPr>
            <w:tcW w:w="919" w:type="dxa"/>
            <w:tcBorders>
              <w:top w:val="single" w:sz="4" w:space="0" w:color="auto"/>
              <w:left w:val="nil"/>
              <w:bottom w:val="nil"/>
              <w:right w:val="nil"/>
            </w:tcBorders>
            <w:shd w:val="clear" w:color="auto" w:fill="auto"/>
            <w:noWrap/>
            <w:vAlign w:val="bottom"/>
          </w:tcPr>
          <w:p w14:paraId="3DAB8A45" w14:textId="674220A3"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37.6</w:t>
            </w:r>
          </w:p>
        </w:tc>
      </w:tr>
      <w:tr w:rsidR="00C474DC" w:rsidRPr="00714E84" w14:paraId="190D2384" w14:textId="77777777" w:rsidTr="00C474DC">
        <w:tc>
          <w:tcPr>
            <w:tcW w:w="1418" w:type="dxa"/>
            <w:tcBorders>
              <w:top w:val="nil"/>
              <w:left w:val="nil"/>
              <w:bottom w:val="nil"/>
              <w:right w:val="nil"/>
            </w:tcBorders>
            <w:shd w:val="clear" w:color="auto" w:fill="auto"/>
            <w:noWrap/>
            <w:hideMark/>
          </w:tcPr>
          <w:p w14:paraId="6A2AE181"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 xml:space="preserve">Level 2: </w:t>
            </w:r>
          </w:p>
        </w:tc>
        <w:tc>
          <w:tcPr>
            <w:tcW w:w="918" w:type="dxa"/>
            <w:tcBorders>
              <w:top w:val="nil"/>
              <w:left w:val="nil"/>
              <w:bottom w:val="nil"/>
              <w:right w:val="nil"/>
            </w:tcBorders>
            <w:shd w:val="clear" w:color="auto" w:fill="auto"/>
            <w:noWrap/>
            <w:vAlign w:val="bottom"/>
          </w:tcPr>
          <w:p w14:paraId="0A19F67F" w14:textId="777E0F07"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50.27</w:t>
            </w:r>
          </w:p>
        </w:tc>
        <w:tc>
          <w:tcPr>
            <w:tcW w:w="919" w:type="dxa"/>
            <w:tcBorders>
              <w:top w:val="nil"/>
              <w:left w:val="nil"/>
              <w:bottom w:val="nil"/>
              <w:right w:val="nil"/>
            </w:tcBorders>
            <w:shd w:val="clear" w:color="auto" w:fill="auto"/>
            <w:noWrap/>
            <w:vAlign w:val="bottom"/>
          </w:tcPr>
          <w:p w14:paraId="21121771" w14:textId="038B893F"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47.33</w:t>
            </w:r>
          </w:p>
        </w:tc>
        <w:tc>
          <w:tcPr>
            <w:tcW w:w="918" w:type="dxa"/>
            <w:tcBorders>
              <w:top w:val="nil"/>
              <w:left w:val="nil"/>
              <w:bottom w:val="nil"/>
              <w:right w:val="nil"/>
            </w:tcBorders>
            <w:shd w:val="clear" w:color="auto" w:fill="auto"/>
            <w:noWrap/>
            <w:vAlign w:val="bottom"/>
          </w:tcPr>
          <w:p w14:paraId="4E1A1175" w14:textId="090D31F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48.35</w:t>
            </w:r>
          </w:p>
        </w:tc>
        <w:tc>
          <w:tcPr>
            <w:tcW w:w="919" w:type="dxa"/>
            <w:tcBorders>
              <w:top w:val="nil"/>
              <w:left w:val="nil"/>
              <w:bottom w:val="nil"/>
              <w:right w:val="nil"/>
            </w:tcBorders>
            <w:shd w:val="clear" w:color="auto" w:fill="auto"/>
            <w:noWrap/>
            <w:vAlign w:val="bottom"/>
          </w:tcPr>
          <w:p w14:paraId="591C9350" w14:textId="2261E1E9"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54.48</w:t>
            </w:r>
          </w:p>
        </w:tc>
        <w:tc>
          <w:tcPr>
            <w:tcW w:w="918" w:type="dxa"/>
            <w:tcBorders>
              <w:top w:val="nil"/>
              <w:left w:val="nil"/>
              <w:bottom w:val="nil"/>
              <w:right w:val="nil"/>
            </w:tcBorders>
            <w:shd w:val="clear" w:color="auto" w:fill="auto"/>
            <w:noWrap/>
            <w:vAlign w:val="bottom"/>
          </w:tcPr>
          <w:p w14:paraId="384C4DCA" w14:textId="61345592"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51.07</w:t>
            </w:r>
          </w:p>
        </w:tc>
        <w:tc>
          <w:tcPr>
            <w:tcW w:w="919" w:type="dxa"/>
            <w:tcBorders>
              <w:top w:val="nil"/>
              <w:left w:val="nil"/>
              <w:bottom w:val="nil"/>
              <w:right w:val="nil"/>
            </w:tcBorders>
            <w:shd w:val="clear" w:color="auto" w:fill="auto"/>
            <w:noWrap/>
            <w:vAlign w:val="bottom"/>
          </w:tcPr>
          <w:p w14:paraId="6250FD2C" w14:textId="58191090"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49.61</w:t>
            </w:r>
          </w:p>
        </w:tc>
        <w:tc>
          <w:tcPr>
            <w:tcW w:w="918" w:type="dxa"/>
            <w:tcBorders>
              <w:top w:val="nil"/>
              <w:left w:val="nil"/>
              <w:bottom w:val="nil"/>
              <w:right w:val="nil"/>
            </w:tcBorders>
            <w:shd w:val="clear" w:color="auto" w:fill="auto"/>
            <w:noWrap/>
            <w:vAlign w:val="bottom"/>
          </w:tcPr>
          <w:p w14:paraId="580D6310" w14:textId="566905F5"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51.59</w:t>
            </w:r>
          </w:p>
        </w:tc>
        <w:tc>
          <w:tcPr>
            <w:tcW w:w="919" w:type="dxa"/>
            <w:tcBorders>
              <w:top w:val="nil"/>
              <w:left w:val="nil"/>
              <w:bottom w:val="nil"/>
              <w:right w:val="nil"/>
            </w:tcBorders>
            <w:shd w:val="clear" w:color="auto" w:fill="auto"/>
            <w:noWrap/>
            <w:vAlign w:val="bottom"/>
          </w:tcPr>
          <w:p w14:paraId="149E541A" w14:textId="6EEAFB22"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48.38</w:t>
            </w:r>
          </w:p>
        </w:tc>
      </w:tr>
      <w:tr w:rsidR="00C474DC" w:rsidRPr="00714E84" w14:paraId="6F3EDB2D" w14:textId="77777777" w:rsidTr="00C474DC">
        <w:tc>
          <w:tcPr>
            <w:tcW w:w="1418" w:type="dxa"/>
            <w:tcBorders>
              <w:top w:val="nil"/>
              <w:left w:val="nil"/>
              <w:bottom w:val="nil"/>
              <w:right w:val="nil"/>
            </w:tcBorders>
            <w:shd w:val="clear" w:color="auto" w:fill="auto"/>
            <w:noWrap/>
            <w:hideMark/>
          </w:tcPr>
          <w:p w14:paraId="28185007"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 xml:space="preserve">Level 3: </w:t>
            </w:r>
          </w:p>
        </w:tc>
        <w:tc>
          <w:tcPr>
            <w:tcW w:w="918" w:type="dxa"/>
            <w:tcBorders>
              <w:top w:val="nil"/>
              <w:left w:val="nil"/>
              <w:bottom w:val="nil"/>
              <w:right w:val="nil"/>
            </w:tcBorders>
            <w:shd w:val="clear" w:color="auto" w:fill="auto"/>
            <w:noWrap/>
            <w:vAlign w:val="bottom"/>
          </w:tcPr>
          <w:p w14:paraId="47C2E48D" w14:textId="3A1388A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4.66</w:t>
            </w:r>
          </w:p>
        </w:tc>
        <w:tc>
          <w:tcPr>
            <w:tcW w:w="919" w:type="dxa"/>
            <w:tcBorders>
              <w:top w:val="nil"/>
              <w:left w:val="nil"/>
              <w:bottom w:val="nil"/>
              <w:right w:val="nil"/>
            </w:tcBorders>
            <w:shd w:val="clear" w:color="auto" w:fill="auto"/>
            <w:noWrap/>
            <w:vAlign w:val="bottom"/>
          </w:tcPr>
          <w:p w14:paraId="1AC6BE0E" w14:textId="1B1CDDF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2.94</w:t>
            </w:r>
          </w:p>
        </w:tc>
        <w:tc>
          <w:tcPr>
            <w:tcW w:w="918" w:type="dxa"/>
            <w:tcBorders>
              <w:top w:val="nil"/>
              <w:left w:val="nil"/>
              <w:bottom w:val="nil"/>
              <w:right w:val="nil"/>
            </w:tcBorders>
            <w:shd w:val="clear" w:color="auto" w:fill="auto"/>
            <w:noWrap/>
            <w:vAlign w:val="bottom"/>
          </w:tcPr>
          <w:p w14:paraId="5575E7D7" w14:textId="5A42F8B8"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4.08</w:t>
            </w:r>
          </w:p>
        </w:tc>
        <w:tc>
          <w:tcPr>
            <w:tcW w:w="919" w:type="dxa"/>
            <w:tcBorders>
              <w:top w:val="nil"/>
              <w:left w:val="nil"/>
              <w:bottom w:val="nil"/>
              <w:right w:val="nil"/>
            </w:tcBorders>
            <w:shd w:val="clear" w:color="auto" w:fill="auto"/>
            <w:noWrap/>
            <w:vAlign w:val="bottom"/>
          </w:tcPr>
          <w:p w14:paraId="274C0B42" w14:textId="20247413"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4.47</w:t>
            </w:r>
          </w:p>
        </w:tc>
        <w:tc>
          <w:tcPr>
            <w:tcW w:w="918" w:type="dxa"/>
            <w:tcBorders>
              <w:top w:val="nil"/>
              <w:left w:val="nil"/>
              <w:bottom w:val="nil"/>
              <w:right w:val="nil"/>
            </w:tcBorders>
            <w:shd w:val="clear" w:color="auto" w:fill="auto"/>
            <w:noWrap/>
            <w:vAlign w:val="bottom"/>
          </w:tcPr>
          <w:p w14:paraId="2B58A8E3" w14:textId="2FC39AD5"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4.63</w:t>
            </w:r>
          </w:p>
        </w:tc>
        <w:tc>
          <w:tcPr>
            <w:tcW w:w="919" w:type="dxa"/>
            <w:tcBorders>
              <w:top w:val="nil"/>
              <w:left w:val="nil"/>
              <w:bottom w:val="nil"/>
              <w:right w:val="nil"/>
            </w:tcBorders>
            <w:shd w:val="clear" w:color="auto" w:fill="auto"/>
            <w:noWrap/>
            <w:vAlign w:val="bottom"/>
          </w:tcPr>
          <w:p w14:paraId="0353D201" w14:textId="549D45A5"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4.02</w:t>
            </w:r>
          </w:p>
        </w:tc>
        <w:tc>
          <w:tcPr>
            <w:tcW w:w="918" w:type="dxa"/>
            <w:tcBorders>
              <w:top w:val="nil"/>
              <w:left w:val="nil"/>
              <w:bottom w:val="nil"/>
              <w:right w:val="nil"/>
            </w:tcBorders>
            <w:shd w:val="clear" w:color="auto" w:fill="auto"/>
            <w:noWrap/>
            <w:vAlign w:val="bottom"/>
          </w:tcPr>
          <w:p w14:paraId="41AC130E" w14:textId="16166764"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4.74</w:t>
            </w:r>
          </w:p>
        </w:tc>
        <w:tc>
          <w:tcPr>
            <w:tcW w:w="919" w:type="dxa"/>
            <w:tcBorders>
              <w:top w:val="nil"/>
              <w:left w:val="nil"/>
              <w:bottom w:val="nil"/>
              <w:right w:val="nil"/>
            </w:tcBorders>
            <w:shd w:val="clear" w:color="auto" w:fill="auto"/>
            <w:noWrap/>
            <w:vAlign w:val="bottom"/>
          </w:tcPr>
          <w:p w14:paraId="0163DDC1" w14:textId="47B13319"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6.04</w:t>
            </w:r>
          </w:p>
        </w:tc>
      </w:tr>
      <w:tr w:rsidR="00C474DC" w:rsidRPr="00714E84" w14:paraId="702EA90D" w14:textId="77777777" w:rsidTr="00C474DC">
        <w:tc>
          <w:tcPr>
            <w:tcW w:w="1418" w:type="dxa"/>
            <w:tcBorders>
              <w:top w:val="nil"/>
              <w:left w:val="nil"/>
              <w:bottom w:val="nil"/>
              <w:right w:val="nil"/>
            </w:tcBorders>
            <w:shd w:val="clear" w:color="auto" w:fill="auto"/>
            <w:noWrap/>
            <w:hideMark/>
          </w:tcPr>
          <w:p w14:paraId="596B31AD"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Level 4:</w:t>
            </w:r>
          </w:p>
        </w:tc>
        <w:tc>
          <w:tcPr>
            <w:tcW w:w="918" w:type="dxa"/>
            <w:tcBorders>
              <w:top w:val="nil"/>
              <w:left w:val="nil"/>
              <w:bottom w:val="nil"/>
              <w:right w:val="nil"/>
            </w:tcBorders>
            <w:shd w:val="clear" w:color="auto" w:fill="auto"/>
            <w:noWrap/>
            <w:vAlign w:val="bottom"/>
          </w:tcPr>
          <w:p w14:paraId="005DA79F" w14:textId="1A6EA4D2"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5.46</w:t>
            </w:r>
          </w:p>
        </w:tc>
        <w:tc>
          <w:tcPr>
            <w:tcW w:w="919" w:type="dxa"/>
            <w:tcBorders>
              <w:top w:val="nil"/>
              <w:left w:val="nil"/>
              <w:bottom w:val="nil"/>
              <w:right w:val="nil"/>
            </w:tcBorders>
            <w:shd w:val="clear" w:color="auto" w:fill="auto"/>
            <w:noWrap/>
            <w:vAlign w:val="bottom"/>
          </w:tcPr>
          <w:p w14:paraId="23F43636" w14:textId="3D7C7A1D"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5.25</w:t>
            </w:r>
          </w:p>
        </w:tc>
        <w:tc>
          <w:tcPr>
            <w:tcW w:w="918" w:type="dxa"/>
            <w:tcBorders>
              <w:top w:val="nil"/>
              <w:left w:val="nil"/>
              <w:bottom w:val="nil"/>
              <w:right w:val="nil"/>
            </w:tcBorders>
            <w:shd w:val="clear" w:color="auto" w:fill="auto"/>
            <w:noWrap/>
            <w:vAlign w:val="bottom"/>
          </w:tcPr>
          <w:p w14:paraId="6AD078FA" w14:textId="564C8DD3"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6.08</w:t>
            </w:r>
          </w:p>
        </w:tc>
        <w:tc>
          <w:tcPr>
            <w:tcW w:w="919" w:type="dxa"/>
            <w:tcBorders>
              <w:top w:val="nil"/>
              <w:left w:val="nil"/>
              <w:bottom w:val="nil"/>
              <w:right w:val="nil"/>
            </w:tcBorders>
            <w:shd w:val="clear" w:color="auto" w:fill="auto"/>
            <w:noWrap/>
            <w:vAlign w:val="bottom"/>
          </w:tcPr>
          <w:p w14:paraId="5ABE025C" w14:textId="3185BADF"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6.57</w:t>
            </w:r>
          </w:p>
        </w:tc>
        <w:tc>
          <w:tcPr>
            <w:tcW w:w="918" w:type="dxa"/>
            <w:tcBorders>
              <w:top w:val="nil"/>
              <w:left w:val="nil"/>
              <w:bottom w:val="nil"/>
              <w:right w:val="nil"/>
            </w:tcBorders>
            <w:shd w:val="clear" w:color="auto" w:fill="auto"/>
            <w:noWrap/>
            <w:vAlign w:val="bottom"/>
          </w:tcPr>
          <w:p w14:paraId="466D60DB" w14:textId="7E179A38"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7.98</w:t>
            </w:r>
          </w:p>
        </w:tc>
        <w:tc>
          <w:tcPr>
            <w:tcW w:w="919" w:type="dxa"/>
            <w:tcBorders>
              <w:top w:val="nil"/>
              <w:left w:val="nil"/>
              <w:bottom w:val="nil"/>
              <w:right w:val="nil"/>
            </w:tcBorders>
            <w:shd w:val="clear" w:color="auto" w:fill="auto"/>
            <w:noWrap/>
            <w:vAlign w:val="bottom"/>
          </w:tcPr>
          <w:p w14:paraId="6D299ECD" w14:textId="3085A2E9"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9.11</w:t>
            </w:r>
          </w:p>
        </w:tc>
        <w:tc>
          <w:tcPr>
            <w:tcW w:w="918" w:type="dxa"/>
            <w:tcBorders>
              <w:top w:val="nil"/>
              <w:left w:val="nil"/>
              <w:bottom w:val="nil"/>
              <w:right w:val="nil"/>
            </w:tcBorders>
            <w:shd w:val="clear" w:color="auto" w:fill="auto"/>
            <w:noWrap/>
            <w:vAlign w:val="bottom"/>
          </w:tcPr>
          <w:p w14:paraId="70BE183A" w14:textId="74892391"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7.41</w:t>
            </w:r>
          </w:p>
        </w:tc>
        <w:tc>
          <w:tcPr>
            <w:tcW w:w="919" w:type="dxa"/>
            <w:tcBorders>
              <w:top w:val="nil"/>
              <w:left w:val="nil"/>
              <w:bottom w:val="nil"/>
              <w:right w:val="nil"/>
            </w:tcBorders>
            <w:shd w:val="clear" w:color="auto" w:fill="auto"/>
            <w:noWrap/>
            <w:vAlign w:val="bottom"/>
          </w:tcPr>
          <w:p w14:paraId="47B46FB7" w14:textId="740227B6"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7.98</w:t>
            </w:r>
          </w:p>
        </w:tc>
      </w:tr>
      <w:tr w:rsidR="00C474DC" w:rsidRPr="00714E84" w14:paraId="46A4DA8A" w14:textId="77777777" w:rsidTr="00C474DC">
        <w:tc>
          <w:tcPr>
            <w:tcW w:w="1418" w:type="dxa"/>
            <w:tcBorders>
              <w:top w:val="nil"/>
              <w:left w:val="nil"/>
              <w:bottom w:val="nil"/>
              <w:right w:val="nil"/>
            </w:tcBorders>
            <w:shd w:val="clear" w:color="auto" w:fill="auto"/>
            <w:noWrap/>
            <w:vAlign w:val="bottom"/>
            <w:hideMark/>
          </w:tcPr>
          <w:p w14:paraId="4918554D" w14:textId="77777777" w:rsidR="00C474DC" w:rsidRPr="00714E84" w:rsidRDefault="00C474DC" w:rsidP="00C474DC">
            <w:pPr>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color w:val="000000"/>
                <w:sz w:val="20"/>
                <w:szCs w:val="22"/>
                <w:lang w:eastAsia="en-GB"/>
              </w:rPr>
              <w:t>Sub-total N</w:t>
            </w:r>
          </w:p>
        </w:tc>
        <w:tc>
          <w:tcPr>
            <w:tcW w:w="918" w:type="dxa"/>
            <w:tcBorders>
              <w:top w:val="nil"/>
              <w:left w:val="nil"/>
              <w:bottom w:val="nil"/>
              <w:right w:val="nil"/>
            </w:tcBorders>
            <w:shd w:val="clear" w:color="auto" w:fill="auto"/>
            <w:noWrap/>
            <w:vAlign w:val="bottom"/>
          </w:tcPr>
          <w:p w14:paraId="458D554C" w14:textId="21B5D592"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635</w:t>
            </w:r>
          </w:p>
        </w:tc>
        <w:tc>
          <w:tcPr>
            <w:tcW w:w="919" w:type="dxa"/>
            <w:tcBorders>
              <w:top w:val="nil"/>
              <w:left w:val="nil"/>
              <w:bottom w:val="nil"/>
              <w:right w:val="nil"/>
            </w:tcBorders>
            <w:shd w:val="clear" w:color="auto" w:fill="auto"/>
            <w:noWrap/>
            <w:vAlign w:val="bottom"/>
          </w:tcPr>
          <w:p w14:paraId="5A0E14C8" w14:textId="6B659083"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903</w:t>
            </w:r>
          </w:p>
        </w:tc>
        <w:tc>
          <w:tcPr>
            <w:tcW w:w="918" w:type="dxa"/>
            <w:tcBorders>
              <w:top w:val="nil"/>
              <w:left w:val="nil"/>
              <w:bottom w:val="nil"/>
              <w:right w:val="nil"/>
            </w:tcBorders>
            <w:shd w:val="clear" w:color="auto" w:fill="auto"/>
            <w:noWrap/>
            <w:vAlign w:val="bottom"/>
          </w:tcPr>
          <w:p w14:paraId="69402421" w14:textId="51E9AF78"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1,394</w:t>
            </w:r>
          </w:p>
        </w:tc>
        <w:tc>
          <w:tcPr>
            <w:tcW w:w="919" w:type="dxa"/>
            <w:tcBorders>
              <w:top w:val="nil"/>
              <w:left w:val="nil"/>
              <w:bottom w:val="nil"/>
              <w:right w:val="nil"/>
            </w:tcBorders>
            <w:shd w:val="clear" w:color="auto" w:fill="auto"/>
            <w:noWrap/>
            <w:vAlign w:val="bottom"/>
          </w:tcPr>
          <w:p w14:paraId="5CB70045" w14:textId="725EB8CD"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1,754</w:t>
            </w:r>
          </w:p>
        </w:tc>
        <w:tc>
          <w:tcPr>
            <w:tcW w:w="918" w:type="dxa"/>
            <w:tcBorders>
              <w:top w:val="nil"/>
              <w:left w:val="nil"/>
              <w:bottom w:val="nil"/>
              <w:right w:val="nil"/>
            </w:tcBorders>
            <w:shd w:val="clear" w:color="auto" w:fill="auto"/>
            <w:noWrap/>
            <w:vAlign w:val="bottom"/>
          </w:tcPr>
          <w:p w14:paraId="739241B0" w14:textId="6A844310"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1,749</w:t>
            </w:r>
          </w:p>
        </w:tc>
        <w:tc>
          <w:tcPr>
            <w:tcW w:w="919" w:type="dxa"/>
            <w:tcBorders>
              <w:top w:val="nil"/>
              <w:left w:val="nil"/>
              <w:bottom w:val="nil"/>
              <w:right w:val="nil"/>
            </w:tcBorders>
            <w:shd w:val="clear" w:color="auto" w:fill="auto"/>
            <w:noWrap/>
            <w:vAlign w:val="bottom"/>
          </w:tcPr>
          <w:p w14:paraId="4CEEE8FC" w14:textId="11C78190"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1,995</w:t>
            </w:r>
          </w:p>
        </w:tc>
        <w:tc>
          <w:tcPr>
            <w:tcW w:w="918" w:type="dxa"/>
            <w:tcBorders>
              <w:top w:val="nil"/>
              <w:left w:val="nil"/>
              <w:bottom w:val="nil"/>
              <w:right w:val="nil"/>
            </w:tcBorders>
            <w:shd w:val="clear" w:color="auto" w:fill="auto"/>
            <w:noWrap/>
            <w:vAlign w:val="bottom"/>
          </w:tcPr>
          <w:p w14:paraId="046CE2B1" w14:textId="4C267360"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1,669</w:t>
            </w:r>
          </w:p>
        </w:tc>
        <w:tc>
          <w:tcPr>
            <w:tcW w:w="919" w:type="dxa"/>
            <w:tcBorders>
              <w:top w:val="nil"/>
              <w:left w:val="nil"/>
              <w:bottom w:val="nil"/>
              <w:right w:val="nil"/>
            </w:tcBorders>
            <w:shd w:val="clear" w:color="auto" w:fill="auto"/>
            <w:noWrap/>
            <w:vAlign w:val="bottom"/>
          </w:tcPr>
          <w:p w14:paraId="60415D4A" w14:textId="11BA64F6"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2,051</w:t>
            </w:r>
          </w:p>
        </w:tc>
      </w:tr>
      <w:tr w:rsidR="00C474DC" w:rsidRPr="00714E84" w14:paraId="49305B68" w14:textId="77777777" w:rsidTr="00C474DC">
        <w:tc>
          <w:tcPr>
            <w:tcW w:w="1418" w:type="dxa"/>
            <w:tcBorders>
              <w:top w:val="nil"/>
              <w:left w:val="nil"/>
              <w:right w:val="nil"/>
            </w:tcBorders>
            <w:shd w:val="clear" w:color="auto" w:fill="auto"/>
            <w:noWrap/>
            <w:vAlign w:val="bottom"/>
            <w:hideMark/>
          </w:tcPr>
          <w:p w14:paraId="3D60C73C" w14:textId="77777777" w:rsidR="00C474DC" w:rsidRPr="00714E84" w:rsidRDefault="00C474DC" w:rsidP="00C474DC">
            <w:pPr>
              <w:jc w:val="right"/>
              <w:rPr>
                <w:rFonts w:asciiTheme="minorHAnsi" w:eastAsia="Times New Roman" w:hAnsiTheme="minorHAnsi" w:cstheme="minorHAnsi"/>
                <w:i/>
                <w:iCs/>
                <w:color w:val="000000"/>
                <w:sz w:val="20"/>
                <w:szCs w:val="22"/>
                <w:lang w:eastAsia="en-GB"/>
              </w:rPr>
            </w:pPr>
          </w:p>
        </w:tc>
        <w:tc>
          <w:tcPr>
            <w:tcW w:w="918" w:type="dxa"/>
            <w:tcBorders>
              <w:top w:val="nil"/>
              <w:left w:val="nil"/>
              <w:right w:val="nil"/>
            </w:tcBorders>
            <w:shd w:val="clear" w:color="auto" w:fill="auto"/>
            <w:noWrap/>
            <w:vAlign w:val="bottom"/>
          </w:tcPr>
          <w:p w14:paraId="44C8203D"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right w:val="nil"/>
            </w:tcBorders>
            <w:shd w:val="clear" w:color="auto" w:fill="auto"/>
            <w:noWrap/>
            <w:vAlign w:val="bottom"/>
          </w:tcPr>
          <w:p w14:paraId="4C899D06"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right w:val="nil"/>
            </w:tcBorders>
            <w:shd w:val="clear" w:color="auto" w:fill="auto"/>
            <w:noWrap/>
            <w:vAlign w:val="bottom"/>
          </w:tcPr>
          <w:p w14:paraId="5659D95A"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right w:val="nil"/>
            </w:tcBorders>
            <w:shd w:val="clear" w:color="auto" w:fill="auto"/>
            <w:noWrap/>
            <w:vAlign w:val="bottom"/>
          </w:tcPr>
          <w:p w14:paraId="4FF43A4B"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right w:val="nil"/>
            </w:tcBorders>
            <w:shd w:val="clear" w:color="auto" w:fill="auto"/>
            <w:noWrap/>
            <w:vAlign w:val="bottom"/>
          </w:tcPr>
          <w:p w14:paraId="676D3EF6"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right w:val="nil"/>
            </w:tcBorders>
            <w:shd w:val="clear" w:color="auto" w:fill="auto"/>
            <w:noWrap/>
            <w:vAlign w:val="bottom"/>
          </w:tcPr>
          <w:p w14:paraId="65155CE6"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right w:val="nil"/>
            </w:tcBorders>
            <w:shd w:val="clear" w:color="auto" w:fill="auto"/>
            <w:noWrap/>
            <w:vAlign w:val="bottom"/>
          </w:tcPr>
          <w:p w14:paraId="7F99D538"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right w:val="nil"/>
            </w:tcBorders>
            <w:shd w:val="clear" w:color="auto" w:fill="auto"/>
            <w:noWrap/>
            <w:vAlign w:val="bottom"/>
          </w:tcPr>
          <w:p w14:paraId="4B95B43D" w14:textId="77777777" w:rsidR="00C474DC" w:rsidRPr="00714E84" w:rsidRDefault="00C474DC" w:rsidP="00C474DC">
            <w:pPr>
              <w:rPr>
                <w:rFonts w:asciiTheme="minorHAnsi" w:eastAsia="Times New Roman" w:hAnsiTheme="minorHAnsi" w:cstheme="minorHAnsi"/>
                <w:sz w:val="20"/>
                <w:szCs w:val="22"/>
                <w:lang w:eastAsia="en-GB"/>
              </w:rPr>
            </w:pPr>
          </w:p>
        </w:tc>
      </w:tr>
      <w:tr w:rsidR="00C474DC" w:rsidRPr="00714E84" w14:paraId="04DDC43F" w14:textId="77777777" w:rsidTr="00C474DC">
        <w:tc>
          <w:tcPr>
            <w:tcW w:w="1418" w:type="dxa"/>
            <w:tcBorders>
              <w:top w:val="nil"/>
              <w:left w:val="nil"/>
              <w:bottom w:val="single" w:sz="4" w:space="0" w:color="auto"/>
              <w:right w:val="nil"/>
            </w:tcBorders>
            <w:shd w:val="clear" w:color="auto" w:fill="auto"/>
            <w:noWrap/>
            <w:hideMark/>
          </w:tcPr>
          <w:p w14:paraId="5F2F770D" w14:textId="0020F5ED" w:rsidR="00C474DC" w:rsidRPr="00714E84" w:rsidRDefault="00C474DC" w:rsidP="00C474DC">
            <w:pPr>
              <w:rPr>
                <w:rFonts w:asciiTheme="minorHAnsi" w:eastAsia="Times New Roman" w:hAnsiTheme="minorHAnsi" w:cstheme="minorHAnsi"/>
                <w:b/>
                <w:bCs/>
                <w:iCs/>
                <w:color w:val="000000"/>
                <w:sz w:val="20"/>
                <w:szCs w:val="22"/>
                <w:lang w:eastAsia="en-GB"/>
              </w:rPr>
            </w:pPr>
            <w:r w:rsidRPr="00714E84">
              <w:rPr>
                <w:rFonts w:asciiTheme="minorHAnsi" w:eastAsia="Times New Roman" w:hAnsiTheme="minorHAnsi" w:cstheme="minorHAnsi"/>
                <w:b/>
                <w:bCs/>
                <w:iCs/>
                <w:color w:val="000000"/>
                <w:sz w:val="20"/>
                <w:szCs w:val="22"/>
                <w:lang w:eastAsia="en-GB"/>
              </w:rPr>
              <w:t>All other groups</w:t>
            </w:r>
          </w:p>
        </w:tc>
        <w:tc>
          <w:tcPr>
            <w:tcW w:w="918" w:type="dxa"/>
            <w:tcBorders>
              <w:top w:val="nil"/>
              <w:left w:val="nil"/>
              <w:bottom w:val="single" w:sz="4" w:space="0" w:color="auto"/>
              <w:right w:val="nil"/>
            </w:tcBorders>
            <w:shd w:val="clear" w:color="auto" w:fill="auto"/>
            <w:noWrap/>
            <w:vAlign w:val="bottom"/>
          </w:tcPr>
          <w:p w14:paraId="3AF7187F" w14:textId="77777777" w:rsidR="00C474DC" w:rsidRPr="00714E84" w:rsidRDefault="00C474DC" w:rsidP="00C474DC">
            <w:pPr>
              <w:rPr>
                <w:rFonts w:asciiTheme="minorHAnsi" w:eastAsia="Times New Roman" w:hAnsiTheme="minorHAnsi" w:cstheme="minorHAnsi"/>
                <w:b/>
                <w:bCs/>
                <w:iCs/>
                <w:color w:val="000000"/>
                <w:sz w:val="20"/>
                <w:szCs w:val="22"/>
                <w:lang w:eastAsia="en-GB"/>
              </w:rPr>
            </w:pPr>
          </w:p>
        </w:tc>
        <w:tc>
          <w:tcPr>
            <w:tcW w:w="919" w:type="dxa"/>
            <w:tcBorders>
              <w:top w:val="nil"/>
              <w:left w:val="nil"/>
              <w:bottom w:val="single" w:sz="4" w:space="0" w:color="auto"/>
              <w:right w:val="nil"/>
            </w:tcBorders>
            <w:shd w:val="clear" w:color="auto" w:fill="auto"/>
            <w:noWrap/>
            <w:vAlign w:val="bottom"/>
          </w:tcPr>
          <w:p w14:paraId="347393C2"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bottom w:val="single" w:sz="4" w:space="0" w:color="auto"/>
              <w:right w:val="nil"/>
            </w:tcBorders>
            <w:shd w:val="clear" w:color="auto" w:fill="auto"/>
            <w:noWrap/>
            <w:vAlign w:val="bottom"/>
          </w:tcPr>
          <w:p w14:paraId="50F8483A"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bottom w:val="single" w:sz="4" w:space="0" w:color="auto"/>
              <w:right w:val="nil"/>
            </w:tcBorders>
            <w:shd w:val="clear" w:color="auto" w:fill="auto"/>
            <w:noWrap/>
            <w:vAlign w:val="bottom"/>
          </w:tcPr>
          <w:p w14:paraId="5FF7AF3C"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bottom w:val="single" w:sz="4" w:space="0" w:color="auto"/>
              <w:right w:val="nil"/>
            </w:tcBorders>
            <w:shd w:val="clear" w:color="auto" w:fill="auto"/>
            <w:noWrap/>
            <w:vAlign w:val="bottom"/>
          </w:tcPr>
          <w:p w14:paraId="3C0A8CA7"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bottom w:val="single" w:sz="4" w:space="0" w:color="auto"/>
              <w:right w:val="nil"/>
            </w:tcBorders>
            <w:shd w:val="clear" w:color="auto" w:fill="auto"/>
            <w:noWrap/>
            <w:vAlign w:val="bottom"/>
          </w:tcPr>
          <w:p w14:paraId="7BC2C62B" w14:textId="77777777" w:rsidR="00C474DC" w:rsidRPr="00714E84" w:rsidRDefault="00C474DC" w:rsidP="00C474DC">
            <w:pPr>
              <w:rPr>
                <w:rFonts w:asciiTheme="minorHAnsi" w:eastAsia="Times New Roman" w:hAnsiTheme="minorHAnsi" w:cstheme="minorHAnsi"/>
                <w:sz w:val="20"/>
                <w:szCs w:val="22"/>
                <w:lang w:eastAsia="en-GB"/>
              </w:rPr>
            </w:pPr>
          </w:p>
        </w:tc>
        <w:tc>
          <w:tcPr>
            <w:tcW w:w="918" w:type="dxa"/>
            <w:tcBorders>
              <w:top w:val="nil"/>
              <w:left w:val="nil"/>
              <w:bottom w:val="single" w:sz="4" w:space="0" w:color="auto"/>
              <w:right w:val="nil"/>
            </w:tcBorders>
            <w:shd w:val="clear" w:color="auto" w:fill="auto"/>
            <w:noWrap/>
            <w:vAlign w:val="bottom"/>
          </w:tcPr>
          <w:p w14:paraId="7A396836" w14:textId="77777777" w:rsidR="00C474DC" w:rsidRPr="00714E84" w:rsidRDefault="00C474DC" w:rsidP="00C474DC">
            <w:pPr>
              <w:rPr>
                <w:rFonts w:asciiTheme="minorHAnsi" w:eastAsia="Times New Roman" w:hAnsiTheme="minorHAnsi" w:cstheme="minorHAnsi"/>
                <w:sz w:val="20"/>
                <w:szCs w:val="22"/>
                <w:lang w:eastAsia="en-GB"/>
              </w:rPr>
            </w:pPr>
          </w:p>
        </w:tc>
        <w:tc>
          <w:tcPr>
            <w:tcW w:w="919" w:type="dxa"/>
            <w:tcBorders>
              <w:top w:val="nil"/>
              <w:left w:val="nil"/>
              <w:bottom w:val="single" w:sz="4" w:space="0" w:color="auto"/>
              <w:right w:val="nil"/>
            </w:tcBorders>
            <w:shd w:val="clear" w:color="auto" w:fill="auto"/>
            <w:noWrap/>
            <w:vAlign w:val="bottom"/>
          </w:tcPr>
          <w:p w14:paraId="075FE4EB" w14:textId="77777777" w:rsidR="00C474DC" w:rsidRPr="00714E84" w:rsidRDefault="00C474DC" w:rsidP="00C474DC">
            <w:pPr>
              <w:rPr>
                <w:rFonts w:asciiTheme="minorHAnsi" w:eastAsia="Times New Roman" w:hAnsiTheme="minorHAnsi" w:cstheme="minorHAnsi"/>
                <w:sz w:val="20"/>
                <w:szCs w:val="22"/>
                <w:lang w:eastAsia="en-GB"/>
              </w:rPr>
            </w:pPr>
          </w:p>
        </w:tc>
      </w:tr>
      <w:tr w:rsidR="00C474DC" w:rsidRPr="00714E84" w14:paraId="20A9D190" w14:textId="77777777" w:rsidTr="00C474DC">
        <w:tc>
          <w:tcPr>
            <w:tcW w:w="1418" w:type="dxa"/>
            <w:tcBorders>
              <w:top w:val="single" w:sz="4" w:space="0" w:color="auto"/>
              <w:left w:val="nil"/>
              <w:bottom w:val="nil"/>
              <w:right w:val="nil"/>
            </w:tcBorders>
            <w:shd w:val="clear" w:color="auto" w:fill="auto"/>
            <w:noWrap/>
            <w:hideMark/>
          </w:tcPr>
          <w:p w14:paraId="4ABE5331"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 xml:space="preserve">Level 1: </w:t>
            </w:r>
          </w:p>
        </w:tc>
        <w:tc>
          <w:tcPr>
            <w:tcW w:w="918" w:type="dxa"/>
            <w:tcBorders>
              <w:top w:val="single" w:sz="4" w:space="0" w:color="auto"/>
              <w:left w:val="nil"/>
              <w:bottom w:val="nil"/>
              <w:right w:val="nil"/>
            </w:tcBorders>
            <w:shd w:val="clear" w:color="auto" w:fill="auto"/>
            <w:noWrap/>
            <w:vAlign w:val="bottom"/>
          </w:tcPr>
          <w:p w14:paraId="028A6262" w14:textId="57CF0E3D"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13.34</w:t>
            </w:r>
          </w:p>
        </w:tc>
        <w:tc>
          <w:tcPr>
            <w:tcW w:w="919" w:type="dxa"/>
            <w:tcBorders>
              <w:top w:val="single" w:sz="4" w:space="0" w:color="auto"/>
              <w:left w:val="nil"/>
              <w:bottom w:val="nil"/>
              <w:right w:val="nil"/>
            </w:tcBorders>
            <w:shd w:val="clear" w:color="auto" w:fill="auto"/>
            <w:noWrap/>
            <w:vAlign w:val="bottom"/>
          </w:tcPr>
          <w:p w14:paraId="11ED0C71" w14:textId="3265D399"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13.62</w:t>
            </w:r>
          </w:p>
        </w:tc>
        <w:tc>
          <w:tcPr>
            <w:tcW w:w="918" w:type="dxa"/>
            <w:tcBorders>
              <w:top w:val="single" w:sz="4" w:space="0" w:color="auto"/>
              <w:left w:val="nil"/>
              <w:bottom w:val="nil"/>
              <w:right w:val="nil"/>
            </w:tcBorders>
            <w:shd w:val="clear" w:color="auto" w:fill="auto"/>
            <w:noWrap/>
            <w:vAlign w:val="bottom"/>
          </w:tcPr>
          <w:p w14:paraId="4E02FF6D" w14:textId="0CFD63F1"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13.23</w:t>
            </w:r>
          </w:p>
        </w:tc>
        <w:tc>
          <w:tcPr>
            <w:tcW w:w="919" w:type="dxa"/>
            <w:tcBorders>
              <w:top w:val="single" w:sz="4" w:space="0" w:color="auto"/>
              <w:left w:val="nil"/>
              <w:bottom w:val="nil"/>
              <w:right w:val="nil"/>
            </w:tcBorders>
            <w:shd w:val="clear" w:color="auto" w:fill="auto"/>
            <w:noWrap/>
            <w:vAlign w:val="bottom"/>
          </w:tcPr>
          <w:p w14:paraId="640DE82A" w14:textId="36E48EB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12.94</w:t>
            </w:r>
          </w:p>
        </w:tc>
        <w:tc>
          <w:tcPr>
            <w:tcW w:w="918" w:type="dxa"/>
            <w:tcBorders>
              <w:top w:val="single" w:sz="4" w:space="0" w:color="auto"/>
              <w:left w:val="nil"/>
              <w:bottom w:val="nil"/>
              <w:right w:val="nil"/>
            </w:tcBorders>
            <w:shd w:val="clear" w:color="auto" w:fill="auto"/>
            <w:noWrap/>
            <w:vAlign w:val="bottom"/>
          </w:tcPr>
          <w:p w14:paraId="04907EDC" w14:textId="6F0DAC3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12.55</w:t>
            </w:r>
          </w:p>
        </w:tc>
        <w:tc>
          <w:tcPr>
            <w:tcW w:w="919" w:type="dxa"/>
            <w:tcBorders>
              <w:top w:val="single" w:sz="4" w:space="0" w:color="auto"/>
              <w:left w:val="nil"/>
              <w:bottom w:val="nil"/>
              <w:right w:val="nil"/>
            </w:tcBorders>
            <w:shd w:val="clear" w:color="auto" w:fill="auto"/>
            <w:noWrap/>
            <w:vAlign w:val="bottom"/>
          </w:tcPr>
          <w:p w14:paraId="365F6B1B" w14:textId="2DC23EA4"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12.30</w:t>
            </w:r>
          </w:p>
        </w:tc>
        <w:tc>
          <w:tcPr>
            <w:tcW w:w="918" w:type="dxa"/>
            <w:tcBorders>
              <w:top w:val="single" w:sz="4" w:space="0" w:color="auto"/>
              <w:left w:val="nil"/>
              <w:bottom w:val="nil"/>
              <w:right w:val="nil"/>
            </w:tcBorders>
            <w:shd w:val="clear" w:color="auto" w:fill="auto"/>
            <w:noWrap/>
            <w:vAlign w:val="bottom"/>
          </w:tcPr>
          <w:p w14:paraId="059CB298" w14:textId="7A2513E5"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13.11</w:t>
            </w:r>
          </w:p>
        </w:tc>
        <w:tc>
          <w:tcPr>
            <w:tcW w:w="919" w:type="dxa"/>
            <w:tcBorders>
              <w:top w:val="single" w:sz="4" w:space="0" w:color="auto"/>
              <w:left w:val="nil"/>
              <w:bottom w:val="nil"/>
              <w:right w:val="nil"/>
            </w:tcBorders>
            <w:shd w:val="clear" w:color="auto" w:fill="auto"/>
            <w:noWrap/>
            <w:vAlign w:val="bottom"/>
          </w:tcPr>
          <w:p w14:paraId="677C2524" w14:textId="36BFDDF3"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12.70</w:t>
            </w:r>
          </w:p>
        </w:tc>
      </w:tr>
      <w:tr w:rsidR="00C474DC" w:rsidRPr="00714E84" w14:paraId="5BBE2B89" w14:textId="77777777" w:rsidTr="00C474DC">
        <w:tc>
          <w:tcPr>
            <w:tcW w:w="1418" w:type="dxa"/>
            <w:tcBorders>
              <w:top w:val="nil"/>
              <w:left w:val="nil"/>
              <w:bottom w:val="nil"/>
              <w:right w:val="nil"/>
            </w:tcBorders>
            <w:shd w:val="clear" w:color="auto" w:fill="auto"/>
            <w:noWrap/>
            <w:hideMark/>
          </w:tcPr>
          <w:p w14:paraId="2DD941FA"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 xml:space="preserve">Level 2: </w:t>
            </w:r>
          </w:p>
        </w:tc>
        <w:tc>
          <w:tcPr>
            <w:tcW w:w="918" w:type="dxa"/>
            <w:tcBorders>
              <w:top w:val="nil"/>
              <w:left w:val="nil"/>
              <w:bottom w:val="nil"/>
              <w:right w:val="nil"/>
            </w:tcBorders>
            <w:shd w:val="clear" w:color="auto" w:fill="auto"/>
            <w:noWrap/>
            <w:vAlign w:val="bottom"/>
          </w:tcPr>
          <w:p w14:paraId="02C4E44C" w14:textId="3D622FF3"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44.09</w:t>
            </w:r>
          </w:p>
        </w:tc>
        <w:tc>
          <w:tcPr>
            <w:tcW w:w="919" w:type="dxa"/>
            <w:tcBorders>
              <w:top w:val="nil"/>
              <w:left w:val="nil"/>
              <w:bottom w:val="nil"/>
              <w:right w:val="nil"/>
            </w:tcBorders>
            <w:shd w:val="clear" w:color="auto" w:fill="auto"/>
            <w:noWrap/>
            <w:vAlign w:val="bottom"/>
          </w:tcPr>
          <w:p w14:paraId="5676EE3B" w14:textId="07735E8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45.47</w:t>
            </w:r>
          </w:p>
        </w:tc>
        <w:tc>
          <w:tcPr>
            <w:tcW w:w="918" w:type="dxa"/>
            <w:tcBorders>
              <w:top w:val="nil"/>
              <w:left w:val="nil"/>
              <w:bottom w:val="nil"/>
              <w:right w:val="nil"/>
            </w:tcBorders>
            <w:shd w:val="clear" w:color="auto" w:fill="auto"/>
            <w:noWrap/>
            <w:vAlign w:val="bottom"/>
          </w:tcPr>
          <w:p w14:paraId="2B9E373C" w14:textId="6FEFC3C1"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43.36</w:t>
            </w:r>
          </w:p>
        </w:tc>
        <w:tc>
          <w:tcPr>
            <w:tcW w:w="919" w:type="dxa"/>
            <w:tcBorders>
              <w:top w:val="nil"/>
              <w:left w:val="nil"/>
              <w:bottom w:val="nil"/>
              <w:right w:val="nil"/>
            </w:tcBorders>
            <w:shd w:val="clear" w:color="auto" w:fill="auto"/>
            <w:noWrap/>
            <w:vAlign w:val="bottom"/>
          </w:tcPr>
          <w:p w14:paraId="6FB9D58E" w14:textId="794451F4"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42.85</w:t>
            </w:r>
          </w:p>
        </w:tc>
        <w:tc>
          <w:tcPr>
            <w:tcW w:w="918" w:type="dxa"/>
            <w:tcBorders>
              <w:top w:val="nil"/>
              <w:left w:val="nil"/>
              <w:bottom w:val="nil"/>
              <w:right w:val="nil"/>
            </w:tcBorders>
            <w:shd w:val="clear" w:color="auto" w:fill="auto"/>
            <w:noWrap/>
            <w:vAlign w:val="bottom"/>
          </w:tcPr>
          <w:p w14:paraId="4742A3D8" w14:textId="7A953117"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42.06</w:t>
            </w:r>
          </w:p>
        </w:tc>
        <w:tc>
          <w:tcPr>
            <w:tcW w:w="919" w:type="dxa"/>
            <w:tcBorders>
              <w:top w:val="nil"/>
              <w:left w:val="nil"/>
              <w:bottom w:val="nil"/>
              <w:right w:val="nil"/>
            </w:tcBorders>
            <w:shd w:val="clear" w:color="auto" w:fill="auto"/>
            <w:noWrap/>
            <w:vAlign w:val="bottom"/>
          </w:tcPr>
          <w:p w14:paraId="629467AA" w14:textId="0FE9DE71"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41.05</w:t>
            </w:r>
          </w:p>
        </w:tc>
        <w:tc>
          <w:tcPr>
            <w:tcW w:w="918" w:type="dxa"/>
            <w:tcBorders>
              <w:top w:val="nil"/>
              <w:left w:val="nil"/>
              <w:bottom w:val="nil"/>
              <w:right w:val="nil"/>
            </w:tcBorders>
            <w:shd w:val="clear" w:color="auto" w:fill="auto"/>
            <w:noWrap/>
            <w:vAlign w:val="bottom"/>
          </w:tcPr>
          <w:p w14:paraId="7259C88F" w14:textId="7B793937"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41.62</w:t>
            </w:r>
          </w:p>
        </w:tc>
        <w:tc>
          <w:tcPr>
            <w:tcW w:w="919" w:type="dxa"/>
            <w:tcBorders>
              <w:top w:val="nil"/>
              <w:left w:val="nil"/>
              <w:bottom w:val="nil"/>
              <w:right w:val="nil"/>
            </w:tcBorders>
            <w:shd w:val="clear" w:color="auto" w:fill="auto"/>
            <w:noWrap/>
            <w:vAlign w:val="bottom"/>
          </w:tcPr>
          <w:p w14:paraId="7970140D" w14:textId="79B29009"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42.65</w:t>
            </w:r>
          </w:p>
        </w:tc>
      </w:tr>
      <w:tr w:rsidR="00C474DC" w:rsidRPr="00714E84" w14:paraId="6BF95C9C" w14:textId="77777777" w:rsidTr="00C474DC">
        <w:tc>
          <w:tcPr>
            <w:tcW w:w="1418" w:type="dxa"/>
            <w:tcBorders>
              <w:top w:val="nil"/>
              <w:left w:val="nil"/>
              <w:bottom w:val="nil"/>
              <w:right w:val="nil"/>
            </w:tcBorders>
            <w:shd w:val="clear" w:color="auto" w:fill="auto"/>
            <w:noWrap/>
            <w:hideMark/>
          </w:tcPr>
          <w:p w14:paraId="29990781"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 xml:space="preserve">Level 3: </w:t>
            </w:r>
          </w:p>
        </w:tc>
        <w:tc>
          <w:tcPr>
            <w:tcW w:w="918" w:type="dxa"/>
            <w:tcBorders>
              <w:top w:val="nil"/>
              <w:left w:val="nil"/>
              <w:bottom w:val="nil"/>
              <w:right w:val="nil"/>
            </w:tcBorders>
            <w:shd w:val="clear" w:color="auto" w:fill="auto"/>
            <w:noWrap/>
            <w:vAlign w:val="bottom"/>
          </w:tcPr>
          <w:p w14:paraId="6EC1A671" w14:textId="7AD6456E"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15.63</w:t>
            </w:r>
          </w:p>
        </w:tc>
        <w:tc>
          <w:tcPr>
            <w:tcW w:w="919" w:type="dxa"/>
            <w:tcBorders>
              <w:top w:val="nil"/>
              <w:left w:val="nil"/>
              <w:bottom w:val="nil"/>
              <w:right w:val="nil"/>
            </w:tcBorders>
            <w:shd w:val="clear" w:color="auto" w:fill="auto"/>
            <w:noWrap/>
            <w:vAlign w:val="bottom"/>
          </w:tcPr>
          <w:p w14:paraId="161B414D" w14:textId="6FFE9252"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14.33</w:t>
            </w:r>
          </w:p>
        </w:tc>
        <w:tc>
          <w:tcPr>
            <w:tcW w:w="918" w:type="dxa"/>
            <w:tcBorders>
              <w:top w:val="nil"/>
              <w:left w:val="nil"/>
              <w:bottom w:val="nil"/>
              <w:right w:val="nil"/>
            </w:tcBorders>
            <w:shd w:val="clear" w:color="auto" w:fill="auto"/>
            <w:noWrap/>
            <w:vAlign w:val="bottom"/>
          </w:tcPr>
          <w:p w14:paraId="2EA4F161" w14:textId="5C35AD96"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15.07</w:t>
            </w:r>
          </w:p>
        </w:tc>
        <w:tc>
          <w:tcPr>
            <w:tcW w:w="919" w:type="dxa"/>
            <w:tcBorders>
              <w:top w:val="nil"/>
              <w:left w:val="nil"/>
              <w:bottom w:val="nil"/>
              <w:right w:val="nil"/>
            </w:tcBorders>
            <w:shd w:val="clear" w:color="auto" w:fill="auto"/>
            <w:noWrap/>
            <w:vAlign w:val="bottom"/>
          </w:tcPr>
          <w:p w14:paraId="08CCD7E1" w14:textId="4D08FC6B"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14.25</w:t>
            </w:r>
          </w:p>
        </w:tc>
        <w:tc>
          <w:tcPr>
            <w:tcW w:w="918" w:type="dxa"/>
            <w:tcBorders>
              <w:top w:val="nil"/>
              <w:left w:val="nil"/>
              <w:bottom w:val="nil"/>
              <w:right w:val="nil"/>
            </w:tcBorders>
            <w:shd w:val="clear" w:color="auto" w:fill="auto"/>
            <w:noWrap/>
            <w:vAlign w:val="bottom"/>
          </w:tcPr>
          <w:p w14:paraId="35828AB6" w14:textId="488941A8"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14.36</w:t>
            </w:r>
          </w:p>
        </w:tc>
        <w:tc>
          <w:tcPr>
            <w:tcW w:w="919" w:type="dxa"/>
            <w:tcBorders>
              <w:top w:val="nil"/>
              <w:left w:val="nil"/>
              <w:bottom w:val="nil"/>
              <w:right w:val="nil"/>
            </w:tcBorders>
            <w:shd w:val="clear" w:color="auto" w:fill="auto"/>
            <w:noWrap/>
            <w:vAlign w:val="bottom"/>
          </w:tcPr>
          <w:p w14:paraId="6C1035E4" w14:textId="1A0745C2"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15.48</w:t>
            </w:r>
          </w:p>
        </w:tc>
        <w:tc>
          <w:tcPr>
            <w:tcW w:w="918" w:type="dxa"/>
            <w:tcBorders>
              <w:top w:val="nil"/>
              <w:left w:val="nil"/>
              <w:bottom w:val="nil"/>
              <w:right w:val="nil"/>
            </w:tcBorders>
            <w:shd w:val="clear" w:color="auto" w:fill="auto"/>
            <w:noWrap/>
            <w:vAlign w:val="bottom"/>
          </w:tcPr>
          <w:p w14:paraId="44F05A7F" w14:textId="7494EB16"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13.92</w:t>
            </w:r>
          </w:p>
        </w:tc>
        <w:tc>
          <w:tcPr>
            <w:tcW w:w="919" w:type="dxa"/>
            <w:tcBorders>
              <w:top w:val="nil"/>
              <w:left w:val="nil"/>
              <w:bottom w:val="nil"/>
              <w:right w:val="nil"/>
            </w:tcBorders>
            <w:shd w:val="clear" w:color="auto" w:fill="auto"/>
            <w:noWrap/>
            <w:vAlign w:val="bottom"/>
          </w:tcPr>
          <w:p w14:paraId="53CC9EEA" w14:textId="524CA487"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13.67</w:t>
            </w:r>
          </w:p>
        </w:tc>
      </w:tr>
      <w:tr w:rsidR="00C474DC" w:rsidRPr="00714E84" w14:paraId="1055EA9B" w14:textId="77777777" w:rsidTr="00C474DC">
        <w:tc>
          <w:tcPr>
            <w:tcW w:w="1418" w:type="dxa"/>
            <w:tcBorders>
              <w:top w:val="nil"/>
              <w:left w:val="nil"/>
              <w:bottom w:val="nil"/>
              <w:right w:val="nil"/>
            </w:tcBorders>
            <w:shd w:val="clear" w:color="auto" w:fill="auto"/>
            <w:noWrap/>
            <w:hideMark/>
          </w:tcPr>
          <w:p w14:paraId="5862B233"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Level 4:</w:t>
            </w:r>
          </w:p>
        </w:tc>
        <w:tc>
          <w:tcPr>
            <w:tcW w:w="918" w:type="dxa"/>
            <w:tcBorders>
              <w:top w:val="nil"/>
              <w:left w:val="nil"/>
              <w:bottom w:val="nil"/>
              <w:right w:val="nil"/>
            </w:tcBorders>
            <w:shd w:val="clear" w:color="auto" w:fill="auto"/>
            <w:noWrap/>
            <w:vAlign w:val="bottom"/>
          </w:tcPr>
          <w:p w14:paraId="5D5B2D29" w14:textId="09328A18"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26.94</w:t>
            </w:r>
          </w:p>
        </w:tc>
        <w:tc>
          <w:tcPr>
            <w:tcW w:w="919" w:type="dxa"/>
            <w:tcBorders>
              <w:top w:val="nil"/>
              <w:left w:val="nil"/>
              <w:bottom w:val="nil"/>
              <w:right w:val="nil"/>
            </w:tcBorders>
            <w:shd w:val="clear" w:color="auto" w:fill="auto"/>
            <w:noWrap/>
            <w:vAlign w:val="bottom"/>
          </w:tcPr>
          <w:p w14:paraId="0DE0678C" w14:textId="14404ADA"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26.58</w:t>
            </w:r>
          </w:p>
        </w:tc>
        <w:tc>
          <w:tcPr>
            <w:tcW w:w="918" w:type="dxa"/>
            <w:tcBorders>
              <w:top w:val="nil"/>
              <w:left w:val="nil"/>
              <w:bottom w:val="nil"/>
              <w:right w:val="nil"/>
            </w:tcBorders>
            <w:shd w:val="clear" w:color="auto" w:fill="auto"/>
            <w:noWrap/>
            <w:vAlign w:val="bottom"/>
          </w:tcPr>
          <w:p w14:paraId="74F11DAE" w14:textId="125131AE"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28.34</w:t>
            </w:r>
          </w:p>
        </w:tc>
        <w:tc>
          <w:tcPr>
            <w:tcW w:w="919" w:type="dxa"/>
            <w:tcBorders>
              <w:top w:val="nil"/>
              <w:left w:val="nil"/>
              <w:bottom w:val="nil"/>
              <w:right w:val="nil"/>
            </w:tcBorders>
            <w:shd w:val="clear" w:color="auto" w:fill="auto"/>
            <w:noWrap/>
            <w:vAlign w:val="bottom"/>
          </w:tcPr>
          <w:p w14:paraId="610C8269" w14:textId="6CC87B98"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29.96</w:t>
            </w:r>
          </w:p>
        </w:tc>
        <w:tc>
          <w:tcPr>
            <w:tcW w:w="918" w:type="dxa"/>
            <w:tcBorders>
              <w:top w:val="nil"/>
              <w:left w:val="nil"/>
              <w:bottom w:val="nil"/>
              <w:right w:val="nil"/>
            </w:tcBorders>
            <w:shd w:val="clear" w:color="auto" w:fill="auto"/>
            <w:noWrap/>
            <w:vAlign w:val="bottom"/>
          </w:tcPr>
          <w:p w14:paraId="37F3ED0E" w14:textId="54A89F13"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31.02</w:t>
            </w:r>
          </w:p>
        </w:tc>
        <w:tc>
          <w:tcPr>
            <w:tcW w:w="919" w:type="dxa"/>
            <w:tcBorders>
              <w:top w:val="nil"/>
              <w:left w:val="nil"/>
              <w:bottom w:val="nil"/>
              <w:right w:val="nil"/>
            </w:tcBorders>
            <w:shd w:val="clear" w:color="auto" w:fill="auto"/>
            <w:noWrap/>
            <w:vAlign w:val="bottom"/>
          </w:tcPr>
          <w:p w14:paraId="23DA160B" w14:textId="240BD980"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31.17</w:t>
            </w:r>
          </w:p>
        </w:tc>
        <w:tc>
          <w:tcPr>
            <w:tcW w:w="918" w:type="dxa"/>
            <w:tcBorders>
              <w:top w:val="nil"/>
              <w:left w:val="nil"/>
              <w:bottom w:val="nil"/>
              <w:right w:val="nil"/>
            </w:tcBorders>
            <w:shd w:val="clear" w:color="auto" w:fill="auto"/>
            <w:noWrap/>
            <w:vAlign w:val="bottom"/>
          </w:tcPr>
          <w:p w14:paraId="008C6351" w14:textId="100BB1CB"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31.35</w:t>
            </w:r>
          </w:p>
        </w:tc>
        <w:tc>
          <w:tcPr>
            <w:tcW w:w="919" w:type="dxa"/>
            <w:tcBorders>
              <w:top w:val="nil"/>
              <w:left w:val="nil"/>
              <w:bottom w:val="nil"/>
              <w:right w:val="nil"/>
            </w:tcBorders>
            <w:shd w:val="clear" w:color="auto" w:fill="auto"/>
            <w:noWrap/>
            <w:vAlign w:val="bottom"/>
          </w:tcPr>
          <w:p w14:paraId="24CABA33" w14:textId="6150A13D" w:rsidR="00C474DC" w:rsidRPr="00714E84" w:rsidRDefault="00C474DC" w:rsidP="00C474DC">
            <w:pPr>
              <w:jc w:val="right"/>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30.98</w:t>
            </w:r>
          </w:p>
        </w:tc>
      </w:tr>
      <w:tr w:rsidR="00C474DC" w:rsidRPr="00714E84" w14:paraId="5AB47E66" w14:textId="77777777" w:rsidTr="00C474DC">
        <w:tc>
          <w:tcPr>
            <w:tcW w:w="1418" w:type="dxa"/>
            <w:tcBorders>
              <w:top w:val="nil"/>
              <w:left w:val="nil"/>
              <w:bottom w:val="single" w:sz="4" w:space="0" w:color="auto"/>
              <w:right w:val="nil"/>
            </w:tcBorders>
            <w:shd w:val="clear" w:color="auto" w:fill="auto"/>
            <w:noWrap/>
            <w:vAlign w:val="bottom"/>
            <w:hideMark/>
          </w:tcPr>
          <w:p w14:paraId="4B160480" w14:textId="77777777" w:rsidR="00C474DC" w:rsidRPr="00714E84" w:rsidRDefault="00C474DC" w:rsidP="00C474DC">
            <w:pPr>
              <w:rPr>
                <w:rFonts w:asciiTheme="minorHAnsi" w:eastAsia="Times New Roman" w:hAnsiTheme="minorHAnsi" w:cstheme="minorHAnsi"/>
                <w:i/>
                <w:color w:val="000000"/>
                <w:sz w:val="20"/>
                <w:szCs w:val="22"/>
                <w:lang w:eastAsia="en-GB"/>
              </w:rPr>
            </w:pPr>
            <w:r w:rsidRPr="00714E84">
              <w:rPr>
                <w:rFonts w:asciiTheme="minorHAnsi" w:eastAsia="Times New Roman" w:hAnsiTheme="minorHAnsi" w:cstheme="minorHAnsi"/>
                <w:i/>
                <w:color w:val="000000"/>
                <w:sz w:val="20"/>
                <w:szCs w:val="22"/>
                <w:lang w:eastAsia="en-GB"/>
              </w:rPr>
              <w:t>Sub-total N</w:t>
            </w:r>
          </w:p>
        </w:tc>
        <w:tc>
          <w:tcPr>
            <w:tcW w:w="918" w:type="dxa"/>
            <w:tcBorders>
              <w:top w:val="nil"/>
              <w:left w:val="nil"/>
              <w:bottom w:val="single" w:sz="4" w:space="0" w:color="auto"/>
              <w:right w:val="nil"/>
            </w:tcBorders>
            <w:shd w:val="clear" w:color="auto" w:fill="auto"/>
            <w:noWrap/>
            <w:vAlign w:val="bottom"/>
          </w:tcPr>
          <w:p w14:paraId="26B78FEF" w14:textId="72E87B61"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16,171</w:t>
            </w:r>
          </w:p>
        </w:tc>
        <w:tc>
          <w:tcPr>
            <w:tcW w:w="919" w:type="dxa"/>
            <w:tcBorders>
              <w:top w:val="nil"/>
              <w:left w:val="nil"/>
              <w:bottom w:val="single" w:sz="4" w:space="0" w:color="auto"/>
              <w:right w:val="nil"/>
            </w:tcBorders>
            <w:shd w:val="clear" w:color="auto" w:fill="auto"/>
            <w:noWrap/>
            <w:vAlign w:val="bottom"/>
          </w:tcPr>
          <w:p w14:paraId="6B19957E" w14:textId="018458CD"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14,046</w:t>
            </w:r>
          </w:p>
        </w:tc>
        <w:tc>
          <w:tcPr>
            <w:tcW w:w="918" w:type="dxa"/>
            <w:tcBorders>
              <w:top w:val="nil"/>
              <w:left w:val="nil"/>
              <w:bottom w:val="single" w:sz="4" w:space="0" w:color="auto"/>
              <w:right w:val="nil"/>
            </w:tcBorders>
            <w:shd w:val="clear" w:color="auto" w:fill="auto"/>
            <w:noWrap/>
            <w:vAlign w:val="bottom"/>
          </w:tcPr>
          <w:p w14:paraId="4F890287" w14:textId="4FEBA00D"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14,164</w:t>
            </w:r>
          </w:p>
        </w:tc>
        <w:tc>
          <w:tcPr>
            <w:tcW w:w="919" w:type="dxa"/>
            <w:tcBorders>
              <w:top w:val="nil"/>
              <w:left w:val="nil"/>
              <w:bottom w:val="single" w:sz="4" w:space="0" w:color="auto"/>
              <w:right w:val="nil"/>
            </w:tcBorders>
            <w:shd w:val="clear" w:color="auto" w:fill="auto"/>
            <w:noWrap/>
            <w:vAlign w:val="bottom"/>
          </w:tcPr>
          <w:p w14:paraId="5632C358" w14:textId="623A778B"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16,859</w:t>
            </w:r>
          </w:p>
        </w:tc>
        <w:tc>
          <w:tcPr>
            <w:tcW w:w="918" w:type="dxa"/>
            <w:tcBorders>
              <w:top w:val="nil"/>
              <w:left w:val="nil"/>
              <w:bottom w:val="single" w:sz="4" w:space="0" w:color="auto"/>
              <w:right w:val="nil"/>
            </w:tcBorders>
            <w:shd w:val="clear" w:color="auto" w:fill="auto"/>
            <w:noWrap/>
            <w:vAlign w:val="bottom"/>
          </w:tcPr>
          <w:p w14:paraId="747CD9B0" w14:textId="63EB7BF5"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15,994</w:t>
            </w:r>
          </w:p>
        </w:tc>
        <w:tc>
          <w:tcPr>
            <w:tcW w:w="919" w:type="dxa"/>
            <w:tcBorders>
              <w:top w:val="nil"/>
              <w:left w:val="nil"/>
              <w:bottom w:val="single" w:sz="4" w:space="0" w:color="auto"/>
              <w:right w:val="nil"/>
            </w:tcBorders>
            <w:shd w:val="clear" w:color="auto" w:fill="auto"/>
            <w:noWrap/>
            <w:vAlign w:val="bottom"/>
          </w:tcPr>
          <w:p w14:paraId="74B82327" w14:textId="75A3DBEA"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15,928</w:t>
            </w:r>
          </w:p>
        </w:tc>
        <w:tc>
          <w:tcPr>
            <w:tcW w:w="918" w:type="dxa"/>
            <w:tcBorders>
              <w:top w:val="nil"/>
              <w:left w:val="nil"/>
              <w:bottom w:val="single" w:sz="4" w:space="0" w:color="auto"/>
              <w:right w:val="nil"/>
            </w:tcBorders>
            <w:shd w:val="clear" w:color="auto" w:fill="auto"/>
            <w:noWrap/>
            <w:vAlign w:val="bottom"/>
          </w:tcPr>
          <w:p w14:paraId="572996DD" w14:textId="2BB06388"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8,928</w:t>
            </w:r>
          </w:p>
        </w:tc>
        <w:tc>
          <w:tcPr>
            <w:tcW w:w="919" w:type="dxa"/>
            <w:tcBorders>
              <w:top w:val="nil"/>
              <w:left w:val="nil"/>
              <w:bottom w:val="single" w:sz="4" w:space="0" w:color="auto"/>
              <w:right w:val="nil"/>
            </w:tcBorders>
            <w:shd w:val="clear" w:color="auto" w:fill="auto"/>
            <w:noWrap/>
            <w:vAlign w:val="bottom"/>
          </w:tcPr>
          <w:p w14:paraId="718D7453" w14:textId="6D4684F6"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12,374</w:t>
            </w:r>
          </w:p>
        </w:tc>
      </w:tr>
      <w:tr w:rsidR="00C474DC" w:rsidRPr="00714E84" w14:paraId="06813F51" w14:textId="77777777" w:rsidTr="0097149E">
        <w:tc>
          <w:tcPr>
            <w:tcW w:w="1418" w:type="dxa"/>
            <w:tcBorders>
              <w:top w:val="single" w:sz="4" w:space="0" w:color="auto"/>
              <w:left w:val="nil"/>
              <w:bottom w:val="single" w:sz="4" w:space="0" w:color="auto"/>
              <w:right w:val="nil"/>
            </w:tcBorders>
            <w:shd w:val="clear" w:color="auto" w:fill="auto"/>
            <w:noWrap/>
            <w:vAlign w:val="bottom"/>
          </w:tcPr>
          <w:p w14:paraId="5961FEC6" w14:textId="77777777" w:rsidR="00C474DC" w:rsidRPr="00714E84" w:rsidRDefault="00C474DC" w:rsidP="00C474DC">
            <w:pPr>
              <w:rPr>
                <w:rFonts w:asciiTheme="minorHAnsi" w:eastAsia="Times New Roman" w:hAnsiTheme="minorHAnsi" w:cstheme="minorHAnsi"/>
                <w:color w:val="000000"/>
                <w:sz w:val="20"/>
                <w:szCs w:val="22"/>
                <w:lang w:eastAsia="en-GB"/>
              </w:rPr>
            </w:pPr>
            <w:r w:rsidRPr="00714E84">
              <w:rPr>
                <w:rFonts w:asciiTheme="minorHAnsi" w:eastAsia="Times New Roman" w:hAnsiTheme="minorHAnsi" w:cstheme="minorHAnsi"/>
                <w:color w:val="000000"/>
                <w:sz w:val="20"/>
                <w:szCs w:val="22"/>
                <w:lang w:eastAsia="en-GB"/>
              </w:rPr>
              <w:t>Total N</w:t>
            </w:r>
          </w:p>
        </w:tc>
        <w:tc>
          <w:tcPr>
            <w:tcW w:w="918" w:type="dxa"/>
            <w:tcBorders>
              <w:top w:val="single" w:sz="4" w:space="0" w:color="auto"/>
              <w:left w:val="nil"/>
              <w:bottom w:val="single" w:sz="4" w:space="0" w:color="auto"/>
              <w:right w:val="nil"/>
            </w:tcBorders>
            <w:shd w:val="clear" w:color="auto" w:fill="auto"/>
            <w:noWrap/>
            <w:vAlign w:val="bottom"/>
          </w:tcPr>
          <w:p w14:paraId="1F77C51A" w14:textId="5BD22F13"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177,322</w:t>
            </w:r>
          </w:p>
        </w:tc>
        <w:tc>
          <w:tcPr>
            <w:tcW w:w="919" w:type="dxa"/>
            <w:tcBorders>
              <w:top w:val="single" w:sz="4" w:space="0" w:color="auto"/>
              <w:left w:val="nil"/>
              <w:bottom w:val="single" w:sz="4" w:space="0" w:color="auto"/>
              <w:right w:val="nil"/>
            </w:tcBorders>
            <w:shd w:val="clear" w:color="auto" w:fill="auto"/>
            <w:noWrap/>
            <w:vAlign w:val="bottom"/>
          </w:tcPr>
          <w:p w14:paraId="50D141BF" w14:textId="4D4F6E83"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126,511</w:t>
            </w:r>
          </w:p>
        </w:tc>
        <w:tc>
          <w:tcPr>
            <w:tcW w:w="918" w:type="dxa"/>
            <w:tcBorders>
              <w:top w:val="single" w:sz="4" w:space="0" w:color="auto"/>
              <w:left w:val="nil"/>
              <w:bottom w:val="single" w:sz="4" w:space="0" w:color="auto"/>
              <w:right w:val="nil"/>
            </w:tcBorders>
            <w:shd w:val="clear" w:color="auto" w:fill="auto"/>
            <w:noWrap/>
            <w:vAlign w:val="bottom"/>
          </w:tcPr>
          <w:p w14:paraId="06D42B49" w14:textId="1D67E346"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123,551</w:t>
            </w:r>
          </w:p>
        </w:tc>
        <w:tc>
          <w:tcPr>
            <w:tcW w:w="919" w:type="dxa"/>
            <w:tcBorders>
              <w:top w:val="single" w:sz="4" w:space="0" w:color="auto"/>
              <w:left w:val="nil"/>
              <w:bottom w:val="single" w:sz="4" w:space="0" w:color="auto"/>
              <w:right w:val="nil"/>
            </w:tcBorders>
            <w:shd w:val="clear" w:color="auto" w:fill="auto"/>
            <w:noWrap/>
            <w:vAlign w:val="bottom"/>
          </w:tcPr>
          <w:p w14:paraId="148D3C68" w14:textId="7808FD1D"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137,499</w:t>
            </w:r>
          </w:p>
        </w:tc>
        <w:tc>
          <w:tcPr>
            <w:tcW w:w="918" w:type="dxa"/>
            <w:tcBorders>
              <w:top w:val="single" w:sz="4" w:space="0" w:color="auto"/>
              <w:left w:val="nil"/>
              <w:bottom w:val="single" w:sz="4" w:space="0" w:color="auto"/>
              <w:right w:val="nil"/>
            </w:tcBorders>
            <w:shd w:val="clear" w:color="auto" w:fill="auto"/>
            <w:noWrap/>
            <w:vAlign w:val="bottom"/>
          </w:tcPr>
          <w:p w14:paraId="09530DB1" w14:textId="5BFF60F6"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128,511</w:t>
            </w:r>
          </w:p>
        </w:tc>
        <w:tc>
          <w:tcPr>
            <w:tcW w:w="919" w:type="dxa"/>
            <w:tcBorders>
              <w:top w:val="single" w:sz="4" w:space="0" w:color="auto"/>
              <w:left w:val="nil"/>
              <w:bottom w:val="single" w:sz="4" w:space="0" w:color="auto"/>
              <w:right w:val="nil"/>
            </w:tcBorders>
            <w:shd w:val="clear" w:color="auto" w:fill="auto"/>
            <w:noWrap/>
            <w:vAlign w:val="bottom"/>
          </w:tcPr>
          <w:p w14:paraId="524103B6" w14:textId="2A3886BC"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126,656</w:t>
            </w:r>
          </w:p>
        </w:tc>
        <w:tc>
          <w:tcPr>
            <w:tcW w:w="918" w:type="dxa"/>
            <w:tcBorders>
              <w:top w:val="single" w:sz="4" w:space="0" w:color="auto"/>
              <w:left w:val="nil"/>
              <w:bottom w:val="single" w:sz="4" w:space="0" w:color="auto"/>
              <w:right w:val="nil"/>
            </w:tcBorders>
            <w:shd w:val="clear" w:color="auto" w:fill="auto"/>
            <w:noWrap/>
            <w:vAlign w:val="bottom"/>
          </w:tcPr>
          <w:p w14:paraId="233830BD" w14:textId="28E72762"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78,288</w:t>
            </w:r>
          </w:p>
        </w:tc>
        <w:tc>
          <w:tcPr>
            <w:tcW w:w="919" w:type="dxa"/>
            <w:tcBorders>
              <w:top w:val="single" w:sz="4" w:space="0" w:color="auto"/>
              <w:left w:val="nil"/>
              <w:bottom w:val="single" w:sz="4" w:space="0" w:color="auto"/>
              <w:right w:val="nil"/>
            </w:tcBorders>
            <w:shd w:val="clear" w:color="auto" w:fill="auto"/>
            <w:noWrap/>
            <w:vAlign w:val="bottom"/>
          </w:tcPr>
          <w:p w14:paraId="3DB29169" w14:textId="4567CF79" w:rsidR="00C474DC" w:rsidRPr="00714E84" w:rsidRDefault="00C474DC" w:rsidP="00C474DC">
            <w:pPr>
              <w:jc w:val="right"/>
              <w:rPr>
                <w:rFonts w:asciiTheme="minorHAnsi" w:eastAsia="Times New Roman" w:hAnsiTheme="minorHAnsi" w:cstheme="minorHAnsi"/>
                <w:i/>
                <w:iCs/>
                <w:color w:val="000000"/>
                <w:sz w:val="20"/>
                <w:szCs w:val="22"/>
                <w:lang w:eastAsia="en-GB"/>
              </w:rPr>
            </w:pPr>
            <w:r w:rsidRPr="00714E84">
              <w:rPr>
                <w:rFonts w:asciiTheme="minorHAnsi" w:eastAsia="Times New Roman" w:hAnsiTheme="minorHAnsi" w:cstheme="minorHAnsi"/>
                <w:i/>
                <w:iCs/>
                <w:color w:val="000000"/>
                <w:sz w:val="20"/>
                <w:szCs w:val="22"/>
                <w:lang w:eastAsia="en-GB"/>
              </w:rPr>
              <w:t>105,986</w:t>
            </w:r>
          </w:p>
        </w:tc>
      </w:tr>
    </w:tbl>
    <w:p w14:paraId="2766B58F" w14:textId="77777777" w:rsidR="007D30C9" w:rsidRPr="00714E84" w:rsidRDefault="007D30C9" w:rsidP="007D30C9">
      <w:pPr>
        <w:rPr>
          <w:sz w:val="20"/>
          <w:szCs w:val="20"/>
        </w:rPr>
      </w:pPr>
    </w:p>
    <w:p w14:paraId="2A4FEC18" w14:textId="79B9C3ED" w:rsidR="007D30C9" w:rsidRPr="00714E84" w:rsidRDefault="007D30C9" w:rsidP="007D30C9">
      <w:pPr>
        <w:rPr>
          <w:rFonts w:asciiTheme="minorHAnsi" w:hAnsiTheme="minorHAnsi" w:cstheme="minorHAnsi"/>
          <w:sz w:val="18"/>
          <w:szCs w:val="18"/>
        </w:rPr>
      </w:pPr>
      <w:r w:rsidRPr="00714E84">
        <w:rPr>
          <w:rFonts w:asciiTheme="minorHAnsi" w:hAnsiTheme="minorHAnsi" w:cstheme="minorHAnsi"/>
          <w:sz w:val="18"/>
          <w:szCs w:val="18"/>
        </w:rPr>
        <w:t>Notes: Weighted row percentages. Level 1: Elementary Occupation, Level 2:  Administrative and secretarial, skilled trades occupations, personal service occupations, sales and customer service occupation</w:t>
      </w:r>
      <w:r w:rsidR="00665552">
        <w:rPr>
          <w:rFonts w:asciiTheme="minorHAnsi" w:hAnsiTheme="minorHAnsi" w:cstheme="minorHAnsi"/>
          <w:sz w:val="18"/>
          <w:szCs w:val="18"/>
        </w:rPr>
        <w:t>s</w:t>
      </w:r>
      <w:r w:rsidRPr="00714E84">
        <w:rPr>
          <w:rFonts w:asciiTheme="minorHAnsi" w:hAnsiTheme="minorHAnsi" w:cstheme="minorHAnsi"/>
          <w:sz w:val="18"/>
          <w:szCs w:val="18"/>
        </w:rPr>
        <w:t xml:space="preserve">, process, plant and machine operatives, Level 3: </w:t>
      </w:r>
      <w:r w:rsidRPr="00714E84">
        <w:rPr>
          <w:rFonts w:asciiTheme="minorHAnsi" w:eastAsia="Times New Roman" w:hAnsiTheme="minorHAnsi" w:cstheme="minorHAnsi"/>
          <w:color w:val="000000"/>
          <w:sz w:val="18"/>
          <w:szCs w:val="18"/>
          <w:lang w:eastAsia="en-GB"/>
        </w:rPr>
        <w:t>Associate professional and technical occupations</w:t>
      </w:r>
      <w:r w:rsidRPr="00714E84">
        <w:rPr>
          <w:rFonts w:asciiTheme="minorHAnsi" w:hAnsiTheme="minorHAnsi" w:cstheme="minorHAnsi"/>
          <w:sz w:val="18"/>
          <w:szCs w:val="18"/>
        </w:rPr>
        <w:t>, Level 4:</w:t>
      </w:r>
      <w:r w:rsidRPr="00714E84">
        <w:rPr>
          <w:rFonts w:asciiTheme="minorHAnsi" w:eastAsia="Times New Roman" w:hAnsiTheme="minorHAnsi" w:cstheme="minorHAnsi"/>
          <w:color w:val="000000"/>
          <w:sz w:val="18"/>
          <w:szCs w:val="18"/>
          <w:lang w:eastAsia="en-GB"/>
        </w:rPr>
        <w:t xml:space="preserve"> Managers, senior officials and professional occupations</w:t>
      </w:r>
      <w:r w:rsidRPr="00714E84">
        <w:rPr>
          <w:rFonts w:asciiTheme="minorHAnsi" w:hAnsiTheme="minorHAnsi" w:cstheme="minorHAnsi"/>
          <w:sz w:val="18"/>
          <w:szCs w:val="18"/>
        </w:rPr>
        <w:t>.</w:t>
      </w:r>
    </w:p>
    <w:p w14:paraId="57211096" w14:textId="16ABA1F2" w:rsidR="007D30C9" w:rsidRPr="00714E84" w:rsidRDefault="00823C3D" w:rsidP="00823C3D">
      <w:pPr>
        <w:rPr>
          <w:bCs/>
          <w:color w:val="262626" w:themeColor="text1" w:themeTint="D9"/>
        </w:rPr>
      </w:pPr>
      <w:r w:rsidRPr="00714E84">
        <w:rPr>
          <w:sz w:val="20"/>
          <w:szCs w:val="20"/>
        </w:rPr>
        <w:br w:type="column"/>
      </w:r>
      <w:r w:rsidRPr="00714E84">
        <w:rPr>
          <w:b/>
          <w:bCs/>
          <w:color w:val="262626" w:themeColor="text1" w:themeTint="D9"/>
        </w:rPr>
        <w:lastRenderedPageBreak/>
        <w:t xml:space="preserve">Table 4. </w:t>
      </w:r>
      <w:r w:rsidRPr="00714E84">
        <w:rPr>
          <w:color w:val="262626" w:themeColor="text1" w:themeTint="D9"/>
        </w:rPr>
        <w:t>Over-qualified by gender and demographic and employment characteristics,</w:t>
      </w:r>
      <w:r w:rsidRPr="00714E84">
        <w:rPr>
          <w:bCs/>
          <w:color w:val="262626" w:themeColor="text1" w:themeTint="D9"/>
        </w:rPr>
        <w:t xml:space="preserve"> 2012</w:t>
      </w:r>
    </w:p>
    <w:tbl>
      <w:tblPr>
        <w:tblW w:w="87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280"/>
        <w:gridCol w:w="831"/>
        <w:gridCol w:w="856"/>
        <w:gridCol w:w="844"/>
        <w:gridCol w:w="993"/>
        <w:gridCol w:w="992"/>
      </w:tblGrid>
      <w:tr w:rsidR="00537D4E" w:rsidRPr="00714E84" w14:paraId="12109D33" w14:textId="77777777" w:rsidTr="00537D4E">
        <w:tc>
          <w:tcPr>
            <w:tcW w:w="998" w:type="dxa"/>
          </w:tcPr>
          <w:p w14:paraId="03E265DF" w14:textId="77777777" w:rsidR="00537D4E" w:rsidRPr="00714E84" w:rsidRDefault="00537D4E" w:rsidP="00823C3D">
            <w:pPr>
              <w:rPr>
                <w:rFonts w:ascii="Calibri" w:eastAsia="Times New Roman" w:hAnsi="Calibri" w:cs="Calibri"/>
                <w:color w:val="000000"/>
                <w:sz w:val="20"/>
                <w:szCs w:val="20"/>
                <w:lang w:val="en-US" w:eastAsia="en-US"/>
              </w:rPr>
            </w:pPr>
          </w:p>
        </w:tc>
        <w:tc>
          <w:tcPr>
            <w:tcW w:w="3280" w:type="dxa"/>
            <w:shd w:val="clear" w:color="auto" w:fill="auto"/>
          </w:tcPr>
          <w:p w14:paraId="78BBFB10" w14:textId="6D5C2AC9" w:rsidR="00537D4E" w:rsidRPr="001B4F51" w:rsidRDefault="00537D4E" w:rsidP="00823C3D">
            <w:pPr>
              <w:rPr>
                <w:rFonts w:ascii="Calibri" w:eastAsia="Times New Roman" w:hAnsi="Calibri" w:cs="Calibri"/>
                <w:color w:val="000000"/>
                <w:sz w:val="20"/>
                <w:szCs w:val="20"/>
                <w:lang w:val="en-US" w:eastAsia="en-US"/>
              </w:rPr>
            </w:pPr>
          </w:p>
        </w:tc>
        <w:tc>
          <w:tcPr>
            <w:tcW w:w="2531" w:type="dxa"/>
            <w:gridSpan w:val="3"/>
            <w:shd w:val="clear" w:color="auto" w:fill="auto"/>
            <w:noWrap/>
            <w:vAlign w:val="bottom"/>
          </w:tcPr>
          <w:p w14:paraId="66BFEAF5" w14:textId="045CE6C5" w:rsidR="00537D4E" w:rsidRPr="00714E84" w:rsidRDefault="00537D4E" w:rsidP="00C474DC">
            <w:pPr>
              <w:jc w:val="center"/>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 over-qualified within category (weighted)</w:t>
            </w:r>
          </w:p>
        </w:tc>
        <w:tc>
          <w:tcPr>
            <w:tcW w:w="1985" w:type="dxa"/>
            <w:gridSpan w:val="2"/>
            <w:shd w:val="clear" w:color="auto" w:fill="auto"/>
            <w:noWrap/>
            <w:vAlign w:val="bottom"/>
          </w:tcPr>
          <w:p w14:paraId="4D355527" w14:textId="7B0DB727" w:rsidR="00537D4E" w:rsidRPr="00714E84" w:rsidRDefault="00537D4E" w:rsidP="00C474DC">
            <w:pPr>
              <w:jc w:val="center"/>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 over-qualified</w:t>
            </w:r>
          </w:p>
        </w:tc>
      </w:tr>
      <w:tr w:rsidR="00537D4E" w:rsidRPr="00714E84" w14:paraId="108EB3C8" w14:textId="77777777" w:rsidTr="00537D4E">
        <w:tc>
          <w:tcPr>
            <w:tcW w:w="998" w:type="dxa"/>
          </w:tcPr>
          <w:p w14:paraId="5FF17CB8"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tcPr>
          <w:p w14:paraId="15DB2C6C" w14:textId="1F6AD170"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val="en-US" w:eastAsia="en-US"/>
              </w:rPr>
              <w:t>Categories</w:t>
            </w:r>
          </w:p>
        </w:tc>
        <w:tc>
          <w:tcPr>
            <w:tcW w:w="831" w:type="dxa"/>
            <w:shd w:val="clear" w:color="auto" w:fill="auto"/>
            <w:noWrap/>
            <w:vAlign w:val="bottom"/>
          </w:tcPr>
          <w:p w14:paraId="1443EB4D" w14:textId="7691F8F3" w:rsidR="00537D4E" w:rsidRPr="00714E84" w:rsidRDefault="00537D4E" w:rsidP="00537D4E">
            <w:pPr>
              <w:jc w:val="center"/>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Female</w:t>
            </w:r>
          </w:p>
        </w:tc>
        <w:tc>
          <w:tcPr>
            <w:tcW w:w="856" w:type="dxa"/>
            <w:shd w:val="clear" w:color="auto" w:fill="auto"/>
            <w:noWrap/>
            <w:vAlign w:val="bottom"/>
          </w:tcPr>
          <w:p w14:paraId="0CA6A811" w14:textId="59087FEE" w:rsidR="00537D4E" w:rsidRPr="00714E84" w:rsidRDefault="00537D4E" w:rsidP="00537D4E">
            <w:pPr>
              <w:jc w:val="center"/>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Male</w:t>
            </w:r>
          </w:p>
        </w:tc>
        <w:tc>
          <w:tcPr>
            <w:tcW w:w="844" w:type="dxa"/>
            <w:shd w:val="clear" w:color="auto" w:fill="auto"/>
            <w:noWrap/>
            <w:vAlign w:val="bottom"/>
          </w:tcPr>
          <w:p w14:paraId="708A4567" w14:textId="3620BED4" w:rsidR="00537D4E" w:rsidRPr="00714E84" w:rsidRDefault="00537D4E" w:rsidP="00537D4E">
            <w:pPr>
              <w:jc w:val="center"/>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Total</w:t>
            </w:r>
          </w:p>
        </w:tc>
        <w:tc>
          <w:tcPr>
            <w:tcW w:w="993" w:type="dxa"/>
            <w:shd w:val="clear" w:color="auto" w:fill="auto"/>
            <w:noWrap/>
            <w:vAlign w:val="bottom"/>
          </w:tcPr>
          <w:p w14:paraId="03956739" w14:textId="21459E0A" w:rsidR="00537D4E" w:rsidRPr="00714E84" w:rsidRDefault="00537D4E" w:rsidP="00537D4E">
            <w:pPr>
              <w:jc w:val="center"/>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 in total</w:t>
            </w:r>
          </w:p>
        </w:tc>
        <w:tc>
          <w:tcPr>
            <w:tcW w:w="992" w:type="dxa"/>
            <w:shd w:val="clear" w:color="auto" w:fill="auto"/>
            <w:noWrap/>
            <w:vAlign w:val="bottom"/>
          </w:tcPr>
          <w:p w14:paraId="15A5B147" w14:textId="06CCA301" w:rsidR="00537D4E" w:rsidRPr="00714E84" w:rsidRDefault="00537D4E" w:rsidP="00537D4E">
            <w:pPr>
              <w:jc w:val="center"/>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 in A8</w:t>
            </w:r>
          </w:p>
        </w:tc>
      </w:tr>
      <w:tr w:rsidR="00537D4E" w:rsidRPr="00714E84" w14:paraId="25FDB81D" w14:textId="77777777" w:rsidTr="00537D4E">
        <w:tc>
          <w:tcPr>
            <w:tcW w:w="998" w:type="dxa"/>
          </w:tcPr>
          <w:p w14:paraId="1B241651"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226B73D0" w14:textId="4E4A802D"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Married</w:t>
            </w:r>
          </w:p>
        </w:tc>
        <w:tc>
          <w:tcPr>
            <w:tcW w:w="831" w:type="dxa"/>
            <w:shd w:val="clear" w:color="auto" w:fill="auto"/>
            <w:noWrap/>
            <w:vAlign w:val="bottom"/>
            <w:hideMark/>
          </w:tcPr>
          <w:p w14:paraId="0F46B494" w14:textId="3725B30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39.5</w:t>
            </w:r>
          </w:p>
        </w:tc>
        <w:tc>
          <w:tcPr>
            <w:tcW w:w="856" w:type="dxa"/>
            <w:shd w:val="clear" w:color="auto" w:fill="auto"/>
            <w:noWrap/>
            <w:vAlign w:val="bottom"/>
            <w:hideMark/>
          </w:tcPr>
          <w:p w14:paraId="268A4638" w14:textId="3C527AF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35.1</w:t>
            </w:r>
          </w:p>
        </w:tc>
        <w:tc>
          <w:tcPr>
            <w:tcW w:w="844" w:type="dxa"/>
            <w:shd w:val="clear" w:color="auto" w:fill="auto"/>
            <w:noWrap/>
            <w:vAlign w:val="bottom"/>
            <w:hideMark/>
          </w:tcPr>
          <w:p w14:paraId="21B48B84" w14:textId="434565D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37.1</w:t>
            </w:r>
          </w:p>
        </w:tc>
        <w:tc>
          <w:tcPr>
            <w:tcW w:w="993" w:type="dxa"/>
            <w:shd w:val="clear" w:color="auto" w:fill="auto"/>
            <w:noWrap/>
            <w:vAlign w:val="bottom"/>
            <w:hideMark/>
          </w:tcPr>
          <w:p w14:paraId="26591122" w14:textId="58610E2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68.4</w:t>
            </w:r>
          </w:p>
        </w:tc>
        <w:tc>
          <w:tcPr>
            <w:tcW w:w="992" w:type="dxa"/>
            <w:shd w:val="clear" w:color="auto" w:fill="auto"/>
            <w:noWrap/>
            <w:vAlign w:val="bottom"/>
            <w:hideMark/>
          </w:tcPr>
          <w:p w14:paraId="41F31872" w14:textId="1E698DB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72.6</w:t>
            </w:r>
          </w:p>
        </w:tc>
      </w:tr>
      <w:tr w:rsidR="00537D4E" w:rsidRPr="00714E84" w14:paraId="40A2F070" w14:textId="77777777" w:rsidTr="00537D4E">
        <w:tc>
          <w:tcPr>
            <w:tcW w:w="998" w:type="dxa"/>
          </w:tcPr>
          <w:p w14:paraId="01F6A34D"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118CFD31" w14:textId="5278DE57"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Not-married</w:t>
            </w:r>
          </w:p>
        </w:tc>
        <w:tc>
          <w:tcPr>
            <w:tcW w:w="831" w:type="dxa"/>
            <w:shd w:val="clear" w:color="auto" w:fill="auto"/>
            <w:noWrap/>
            <w:vAlign w:val="bottom"/>
            <w:hideMark/>
          </w:tcPr>
          <w:p w14:paraId="68D9ED4E" w14:textId="526F911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46.2</w:t>
            </w:r>
          </w:p>
        </w:tc>
        <w:tc>
          <w:tcPr>
            <w:tcW w:w="856" w:type="dxa"/>
            <w:shd w:val="clear" w:color="auto" w:fill="auto"/>
            <w:noWrap/>
            <w:vAlign w:val="bottom"/>
            <w:hideMark/>
          </w:tcPr>
          <w:p w14:paraId="0B71C57F" w14:textId="1D1EA5E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47.0</w:t>
            </w:r>
          </w:p>
        </w:tc>
        <w:tc>
          <w:tcPr>
            <w:tcW w:w="844" w:type="dxa"/>
            <w:shd w:val="clear" w:color="auto" w:fill="auto"/>
            <w:noWrap/>
            <w:vAlign w:val="bottom"/>
            <w:hideMark/>
          </w:tcPr>
          <w:p w14:paraId="26B24BCA" w14:textId="3BCF7AB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46.6</w:t>
            </w:r>
          </w:p>
        </w:tc>
        <w:tc>
          <w:tcPr>
            <w:tcW w:w="993" w:type="dxa"/>
            <w:shd w:val="clear" w:color="auto" w:fill="auto"/>
            <w:noWrap/>
            <w:vAlign w:val="bottom"/>
            <w:hideMark/>
          </w:tcPr>
          <w:p w14:paraId="21125622" w14:textId="21A48D1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31.6</w:t>
            </w:r>
          </w:p>
        </w:tc>
        <w:tc>
          <w:tcPr>
            <w:tcW w:w="992" w:type="dxa"/>
            <w:shd w:val="clear" w:color="auto" w:fill="auto"/>
            <w:noWrap/>
            <w:vAlign w:val="bottom"/>
            <w:hideMark/>
          </w:tcPr>
          <w:p w14:paraId="577F1058" w14:textId="40C64CF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27.4</w:t>
            </w:r>
          </w:p>
        </w:tc>
      </w:tr>
      <w:tr w:rsidR="00537D4E" w:rsidRPr="00714E84" w14:paraId="785FF575" w14:textId="77777777" w:rsidTr="00537D4E">
        <w:tc>
          <w:tcPr>
            <w:tcW w:w="998" w:type="dxa"/>
          </w:tcPr>
          <w:p w14:paraId="46D255AA"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45EEC4D1" w14:textId="6DE35F77"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No dependent children</w:t>
            </w:r>
          </w:p>
        </w:tc>
        <w:tc>
          <w:tcPr>
            <w:tcW w:w="831" w:type="dxa"/>
            <w:shd w:val="clear" w:color="auto" w:fill="auto"/>
            <w:noWrap/>
            <w:vAlign w:val="bottom"/>
            <w:hideMark/>
          </w:tcPr>
          <w:p w14:paraId="74014E61" w14:textId="1283080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41.0</w:t>
            </w:r>
          </w:p>
        </w:tc>
        <w:tc>
          <w:tcPr>
            <w:tcW w:w="856" w:type="dxa"/>
            <w:shd w:val="clear" w:color="auto" w:fill="auto"/>
            <w:noWrap/>
            <w:vAlign w:val="bottom"/>
            <w:hideMark/>
          </w:tcPr>
          <w:p w14:paraId="7128D1E0" w14:textId="47D8CBA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40.9</w:t>
            </w:r>
          </w:p>
        </w:tc>
        <w:tc>
          <w:tcPr>
            <w:tcW w:w="844" w:type="dxa"/>
            <w:shd w:val="clear" w:color="auto" w:fill="auto"/>
            <w:noWrap/>
            <w:vAlign w:val="bottom"/>
            <w:hideMark/>
          </w:tcPr>
          <w:p w14:paraId="46087B48" w14:textId="6309222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40.9</w:t>
            </w:r>
          </w:p>
        </w:tc>
        <w:tc>
          <w:tcPr>
            <w:tcW w:w="993" w:type="dxa"/>
            <w:shd w:val="clear" w:color="auto" w:fill="auto"/>
            <w:noWrap/>
            <w:vAlign w:val="bottom"/>
            <w:hideMark/>
          </w:tcPr>
          <w:p w14:paraId="4E6E4B34" w14:textId="7070084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60.6</w:t>
            </w:r>
          </w:p>
        </w:tc>
        <w:tc>
          <w:tcPr>
            <w:tcW w:w="992" w:type="dxa"/>
            <w:shd w:val="clear" w:color="auto" w:fill="auto"/>
            <w:noWrap/>
            <w:vAlign w:val="bottom"/>
            <w:hideMark/>
          </w:tcPr>
          <w:p w14:paraId="7847DFC1" w14:textId="14F9C0D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49.4</w:t>
            </w:r>
          </w:p>
        </w:tc>
      </w:tr>
      <w:tr w:rsidR="00537D4E" w:rsidRPr="00714E84" w14:paraId="44A934CE" w14:textId="77777777" w:rsidTr="00537D4E">
        <w:tc>
          <w:tcPr>
            <w:tcW w:w="998" w:type="dxa"/>
          </w:tcPr>
          <w:p w14:paraId="755EF93D"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14587D92" w14:textId="0E2D27DD"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One or more dependent children</w:t>
            </w:r>
          </w:p>
        </w:tc>
        <w:tc>
          <w:tcPr>
            <w:tcW w:w="831" w:type="dxa"/>
            <w:shd w:val="clear" w:color="auto" w:fill="auto"/>
            <w:noWrap/>
            <w:vAlign w:val="bottom"/>
            <w:hideMark/>
          </w:tcPr>
          <w:p w14:paraId="21D60B74" w14:textId="4C68C5E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42.7</w:t>
            </w:r>
          </w:p>
        </w:tc>
        <w:tc>
          <w:tcPr>
            <w:tcW w:w="856" w:type="dxa"/>
            <w:shd w:val="clear" w:color="auto" w:fill="auto"/>
            <w:noWrap/>
            <w:vAlign w:val="bottom"/>
            <w:hideMark/>
          </w:tcPr>
          <w:p w14:paraId="2B822A92" w14:textId="6A7D5D8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35.1</w:t>
            </w:r>
          </w:p>
        </w:tc>
        <w:tc>
          <w:tcPr>
            <w:tcW w:w="844" w:type="dxa"/>
            <w:shd w:val="clear" w:color="auto" w:fill="auto"/>
            <w:noWrap/>
            <w:vAlign w:val="bottom"/>
            <w:hideMark/>
          </w:tcPr>
          <w:p w14:paraId="3BA7FD2E" w14:textId="6678D9E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38.9</w:t>
            </w:r>
          </w:p>
        </w:tc>
        <w:tc>
          <w:tcPr>
            <w:tcW w:w="993" w:type="dxa"/>
            <w:shd w:val="clear" w:color="auto" w:fill="auto"/>
            <w:noWrap/>
            <w:vAlign w:val="bottom"/>
            <w:hideMark/>
          </w:tcPr>
          <w:p w14:paraId="36A894E5" w14:textId="454B798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39.4</w:t>
            </w:r>
          </w:p>
        </w:tc>
        <w:tc>
          <w:tcPr>
            <w:tcW w:w="992" w:type="dxa"/>
            <w:shd w:val="clear" w:color="auto" w:fill="auto"/>
            <w:noWrap/>
            <w:vAlign w:val="bottom"/>
            <w:hideMark/>
          </w:tcPr>
          <w:p w14:paraId="7C64DE18" w14:textId="7B824CB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50.6</w:t>
            </w:r>
          </w:p>
        </w:tc>
      </w:tr>
      <w:tr w:rsidR="00537D4E" w:rsidRPr="00714E84" w14:paraId="6220D107" w14:textId="77777777" w:rsidTr="00537D4E">
        <w:tc>
          <w:tcPr>
            <w:tcW w:w="998" w:type="dxa"/>
            <w:vMerge w:val="restart"/>
            <w:textDirection w:val="btLr"/>
            <w:vAlign w:val="center"/>
          </w:tcPr>
          <w:p w14:paraId="2331FE72" w14:textId="6BCD79A8" w:rsidR="00537D4E" w:rsidRPr="00714E84" w:rsidRDefault="00537D4E" w:rsidP="00537D4E">
            <w:pPr>
              <w:ind w:left="113" w:right="113"/>
              <w:jc w:val="center"/>
              <w:rPr>
                <w:rFonts w:ascii="Calibri" w:eastAsia="Times New Roman" w:hAnsi="Calibri" w:cs="Calibri"/>
                <w:color w:val="000000"/>
                <w:sz w:val="20"/>
                <w:szCs w:val="20"/>
                <w:lang w:val="en-US" w:eastAsia="en-US"/>
              </w:rPr>
            </w:pPr>
            <w:r w:rsidRPr="00714E84">
              <w:rPr>
                <w:rFonts w:ascii="Calibri" w:eastAsia="Times New Roman" w:hAnsi="Calibri" w:cs="Calibri"/>
                <w:b/>
                <w:bCs/>
                <w:color w:val="000000"/>
                <w:sz w:val="20"/>
                <w:szCs w:val="20"/>
                <w:lang w:eastAsia="en-US"/>
              </w:rPr>
              <w:t>Ethnic group</w:t>
            </w:r>
          </w:p>
        </w:tc>
        <w:tc>
          <w:tcPr>
            <w:tcW w:w="3280" w:type="dxa"/>
            <w:shd w:val="clear" w:color="auto" w:fill="auto"/>
            <w:noWrap/>
            <w:vAlign w:val="center"/>
            <w:hideMark/>
          </w:tcPr>
          <w:p w14:paraId="04A14825" w14:textId="3439A9C0"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val="en-US" w:eastAsia="en-US"/>
              </w:rPr>
              <w:t>White British</w:t>
            </w:r>
          </w:p>
        </w:tc>
        <w:tc>
          <w:tcPr>
            <w:tcW w:w="831" w:type="dxa"/>
            <w:shd w:val="clear" w:color="auto" w:fill="auto"/>
            <w:noWrap/>
            <w:vAlign w:val="bottom"/>
            <w:hideMark/>
          </w:tcPr>
          <w:p w14:paraId="3A5959BB" w14:textId="50C6016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40.5</w:t>
            </w:r>
          </w:p>
        </w:tc>
        <w:tc>
          <w:tcPr>
            <w:tcW w:w="856" w:type="dxa"/>
            <w:shd w:val="clear" w:color="auto" w:fill="auto"/>
            <w:noWrap/>
            <w:vAlign w:val="bottom"/>
            <w:hideMark/>
          </w:tcPr>
          <w:p w14:paraId="10D42DCF" w14:textId="57311FF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38.0</w:t>
            </w:r>
          </w:p>
        </w:tc>
        <w:tc>
          <w:tcPr>
            <w:tcW w:w="844" w:type="dxa"/>
            <w:shd w:val="clear" w:color="auto" w:fill="auto"/>
            <w:noWrap/>
            <w:vAlign w:val="bottom"/>
            <w:hideMark/>
          </w:tcPr>
          <w:p w14:paraId="36EE0DA1" w14:textId="12A331A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39.2</w:t>
            </w:r>
          </w:p>
        </w:tc>
        <w:tc>
          <w:tcPr>
            <w:tcW w:w="993" w:type="dxa"/>
            <w:shd w:val="clear" w:color="auto" w:fill="auto"/>
            <w:noWrap/>
            <w:vAlign w:val="bottom"/>
            <w:hideMark/>
          </w:tcPr>
          <w:p w14:paraId="658DB280" w14:textId="19B38F2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83.8</w:t>
            </w:r>
          </w:p>
        </w:tc>
        <w:tc>
          <w:tcPr>
            <w:tcW w:w="992" w:type="dxa"/>
            <w:shd w:val="clear" w:color="auto" w:fill="auto"/>
            <w:noWrap/>
            <w:vAlign w:val="bottom"/>
            <w:hideMark/>
          </w:tcPr>
          <w:p w14:paraId="0805D09D" w14:textId="77777777" w:rsidR="00537D4E" w:rsidRPr="00714E84" w:rsidRDefault="00537D4E" w:rsidP="00537D4E">
            <w:pPr>
              <w:jc w:val="right"/>
              <w:rPr>
                <w:rFonts w:ascii="Calibri" w:eastAsia="Times New Roman" w:hAnsi="Calibri" w:cs="Calibri"/>
                <w:color w:val="000000"/>
                <w:sz w:val="20"/>
                <w:szCs w:val="20"/>
                <w:lang w:val="en-US" w:eastAsia="en-US"/>
              </w:rPr>
            </w:pPr>
          </w:p>
        </w:tc>
      </w:tr>
      <w:tr w:rsidR="00537D4E" w:rsidRPr="00714E84" w14:paraId="43F2FB76" w14:textId="77777777" w:rsidTr="00537D4E">
        <w:tc>
          <w:tcPr>
            <w:tcW w:w="998" w:type="dxa"/>
            <w:vMerge/>
            <w:vAlign w:val="center"/>
          </w:tcPr>
          <w:p w14:paraId="7298B765"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1FFFEA03" w14:textId="4FFB3122"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White EU</w:t>
            </w:r>
          </w:p>
        </w:tc>
        <w:tc>
          <w:tcPr>
            <w:tcW w:w="831" w:type="dxa"/>
            <w:shd w:val="clear" w:color="auto" w:fill="auto"/>
            <w:noWrap/>
            <w:vAlign w:val="bottom"/>
            <w:hideMark/>
          </w:tcPr>
          <w:p w14:paraId="37C14138" w14:textId="1886D42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38.3</w:t>
            </w:r>
          </w:p>
        </w:tc>
        <w:tc>
          <w:tcPr>
            <w:tcW w:w="856" w:type="dxa"/>
            <w:shd w:val="clear" w:color="auto" w:fill="auto"/>
            <w:noWrap/>
            <w:vAlign w:val="bottom"/>
            <w:hideMark/>
          </w:tcPr>
          <w:p w14:paraId="0BEFC9CE" w14:textId="0786D7D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35.7</w:t>
            </w:r>
          </w:p>
        </w:tc>
        <w:tc>
          <w:tcPr>
            <w:tcW w:w="844" w:type="dxa"/>
            <w:shd w:val="clear" w:color="auto" w:fill="auto"/>
            <w:noWrap/>
            <w:vAlign w:val="bottom"/>
            <w:hideMark/>
          </w:tcPr>
          <w:p w14:paraId="091D89C1" w14:textId="5B12C82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37.0</w:t>
            </w:r>
          </w:p>
        </w:tc>
        <w:tc>
          <w:tcPr>
            <w:tcW w:w="993" w:type="dxa"/>
            <w:shd w:val="clear" w:color="auto" w:fill="auto"/>
            <w:noWrap/>
            <w:vAlign w:val="bottom"/>
            <w:hideMark/>
          </w:tcPr>
          <w:p w14:paraId="4D3A6124" w14:textId="7A95DF8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1.3</w:t>
            </w:r>
          </w:p>
        </w:tc>
        <w:tc>
          <w:tcPr>
            <w:tcW w:w="992" w:type="dxa"/>
            <w:shd w:val="clear" w:color="auto" w:fill="auto"/>
            <w:noWrap/>
            <w:vAlign w:val="bottom"/>
            <w:hideMark/>
          </w:tcPr>
          <w:p w14:paraId="53AD8C7A" w14:textId="77777777" w:rsidR="00537D4E" w:rsidRPr="00714E84" w:rsidRDefault="00537D4E" w:rsidP="00537D4E">
            <w:pPr>
              <w:jc w:val="right"/>
              <w:rPr>
                <w:rFonts w:ascii="Calibri" w:eastAsia="Times New Roman" w:hAnsi="Calibri" w:cs="Calibri"/>
                <w:color w:val="000000"/>
                <w:sz w:val="20"/>
                <w:szCs w:val="20"/>
                <w:lang w:val="en-US" w:eastAsia="en-US"/>
              </w:rPr>
            </w:pPr>
          </w:p>
        </w:tc>
      </w:tr>
      <w:tr w:rsidR="00537D4E" w:rsidRPr="00714E84" w14:paraId="453B7997" w14:textId="77777777" w:rsidTr="00537D4E">
        <w:tc>
          <w:tcPr>
            <w:tcW w:w="998" w:type="dxa"/>
            <w:vMerge/>
            <w:vAlign w:val="center"/>
          </w:tcPr>
          <w:p w14:paraId="62DDD2DE"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5BA5C139" w14:textId="67C099EC"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White A8</w:t>
            </w:r>
          </w:p>
        </w:tc>
        <w:tc>
          <w:tcPr>
            <w:tcW w:w="831" w:type="dxa"/>
            <w:shd w:val="clear" w:color="auto" w:fill="auto"/>
            <w:noWrap/>
            <w:vAlign w:val="bottom"/>
            <w:hideMark/>
          </w:tcPr>
          <w:p w14:paraId="00F27C01" w14:textId="62AD29F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64.3</w:t>
            </w:r>
          </w:p>
        </w:tc>
        <w:tc>
          <w:tcPr>
            <w:tcW w:w="856" w:type="dxa"/>
            <w:shd w:val="clear" w:color="auto" w:fill="auto"/>
            <w:noWrap/>
            <w:vAlign w:val="bottom"/>
            <w:hideMark/>
          </w:tcPr>
          <w:p w14:paraId="718BF319" w14:textId="282ECB9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51.5</w:t>
            </w:r>
          </w:p>
        </w:tc>
        <w:tc>
          <w:tcPr>
            <w:tcW w:w="844" w:type="dxa"/>
            <w:shd w:val="clear" w:color="auto" w:fill="auto"/>
            <w:noWrap/>
            <w:vAlign w:val="bottom"/>
            <w:hideMark/>
          </w:tcPr>
          <w:p w14:paraId="20FA03E4" w14:textId="2645D6F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57.8</w:t>
            </w:r>
          </w:p>
        </w:tc>
        <w:tc>
          <w:tcPr>
            <w:tcW w:w="993" w:type="dxa"/>
            <w:shd w:val="clear" w:color="auto" w:fill="auto"/>
            <w:noWrap/>
            <w:vAlign w:val="bottom"/>
            <w:hideMark/>
          </w:tcPr>
          <w:p w14:paraId="3273FFF2" w14:textId="6054C3E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2.3</w:t>
            </w:r>
          </w:p>
        </w:tc>
        <w:tc>
          <w:tcPr>
            <w:tcW w:w="992" w:type="dxa"/>
            <w:shd w:val="clear" w:color="auto" w:fill="auto"/>
            <w:noWrap/>
            <w:vAlign w:val="bottom"/>
            <w:hideMark/>
          </w:tcPr>
          <w:p w14:paraId="272EB0A5" w14:textId="2EEB7C2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100.0</w:t>
            </w:r>
          </w:p>
        </w:tc>
      </w:tr>
      <w:tr w:rsidR="00537D4E" w:rsidRPr="00714E84" w14:paraId="5F6F4129" w14:textId="77777777" w:rsidTr="00537D4E">
        <w:tc>
          <w:tcPr>
            <w:tcW w:w="998" w:type="dxa"/>
            <w:vMerge/>
            <w:vAlign w:val="center"/>
          </w:tcPr>
          <w:p w14:paraId="65CA721B"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15B472EB" w14:textId="72EF6A35"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Mixed</w:t>
            </w:r>
          </w:p>
        </w:tc>
        <w:tc>
          <w:tcPr>
            <w:tcW w:w="831" w:type="dxa"/>
            <w:shd w:val="clear" w:color="auto" w:fill="auto"/>
            <w:noWrap/>
            <w:vAlign w:val="bottom"/>
            <w:hideMark/>
          </w:tcPr>
          <w:p w14:paraId="46A96BC6" w14:textId="1B0605B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44.5</w:t>
            </w:r>
          </w:p>
        </w:tc>
        <w:tc>
          <w:tcPr>
            <w:tcW w:w="856" w:type="dxa"/>
            <w:shd w:val="clear" w:color="auto" w:fill="auto"/>
            <w:noWrap/>
            <w:vAlign w:val="bottom"/>
            <w:hideMark/>
          </w:tcPr>
          <w:p w14:paraId="6C9872EE" w14:textId="5114E28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40.2</w:t>
            </w:r>
          </w:p>
        </w:tc>
        <w:tc>
          <w:tcPr>
            <w:tcW w:w="844" w:type="dxa"/>
            <w:shd w:val="clear" w:color="auto" w:fill="auto"/>
            <w:noWrap/>
            <w:vAlign w:val="bottom"/>
            <w:hideMark/>
          </w:tcPr>
          <w:p w14:paraId="2F7DF2CC" w14:textId="2943AB6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42.3</w:t>
            </w:r>
          </w:p>
        </w:tc>
        <w:tc>
          <w:tcPr>
            <w:tcW w:w="993" w:type="dxa"/>
            <w:shd w:val="clear" w:color="auto" w:fill="auto"/>
            <w:noWrap/>
            <w:vAlign w:val="bottom"/>
            <w:hideMark/>
          </w:tcPr>
          <w:p w14:paraId="0DD849F7" w14:textId="2413CED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0.9</w:t>
            </w:r>
          </w:p>
        </w:tc>
        <w:tc>
          <w:tcPr>
            <w:tcW w:w="992" w:type="dxa"/>
            <w:shd w:val="clear" w:color="auto" w:fill="auto"/>
            <w:noWrap/>
            <w:vAlign w:val="bottom"/>
            <w:hideMark/>
          </w:tcPr>
          <w:p w14:paraId="3D9A31A4" w14:textId="77777777" w:rsidR="00537D4E" w:rsidRPr="00714E84" w:rsidRDefault="00537D4E" w:rsidP="00537D4E">
            <w:pPr>
              <w:jc w:val="right"/>
              <w:rPr>
                <w:rFonts w:ascii="Calibri" w:eastAsia="Times New Roman" w:hAnsi="Calibri" w:cs="Calibri"/>
                <w:color w:val="000000"/>
                <w:sz w:val="20"/>
                <w:szCs w:val="20"/>
                <w:lang w:val="en-US" w:eastAsia="en-US"/>
              </w:rPr>
            </w:pPr>
          </w:p>
        </w:tc>
      </w:tr>
      <w:tr w:rsidR="00537D4E" w:rsidRPr="00714E84" w14:paraId="2B603228" w14:textId="77777777" w:rsidTr="00537D4E">
        <w:tc>
          <w:tcPr>
            <w:tcW w:w="998" w:type="dxa"/>
            <w:vMerge/>
            <w:vAlign w:val="center"/>
          </w:tcPr>
          <w:p w14:paraId="65610293"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4A23A0E7" w14:textId="22886395"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Black Caribbean</w:t>
            </w:r>
          </w:p>
        </w:tc>
        <w:tc>
          <w:tcPr>
            <w:tcW w:w="831" w:type="dxa"/>
            <w:shd w:val="clear" w:color="auto" w:fill="auto"/>
            <w:noWrap/>
            <w:vAlign w:val="bottom"/>
            <w:hideMark/>
          </w:tcPr>
          <w:p w14:paraId="53E0A40B" w14:textId="26F2AC9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43.1</w:t>
            </w:r>
          </w:p>
        </w:tc>
        <w:tc>
          <w:tcPr>
            <w:tcW w:w="856" w:type="dxa"/>
            <w:shd w:val="clear" w:color="auto" w:fill="auto"/>
            <w:noWrap/>
            <w:vAlign w:val="bottom"/>
            <w:hideMark/>
          </w:tcPr>
          <w:p w14:paraId="6C0229F0" w14:textId="46D4670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41.6</w:t>
            </w:r>
          </w:p>
        </w:tc>
        <w:tc>
          <w:tcPr>
            <w:tcW w:w="844" w:type="dxa"/>
            <w:shd w:val="clear" w:color="auto" w:fill="auto"/>
            <w:noWrap/>
            <w:vAlign w:val="bottom"/>
            <w:hideMark/>
          </w:tcPr>
          <w:p w14:paraId="2A0FC444" w14:textId="5D80BA7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42.4</w:t>
            </w:r>
          </w:p>
        </w:tc>
        <w:tc>
          <w:tcPr>
            <w:tcW w:w="993" w:type="dxa"/>
            <w:shd w:val="clear" w:color="auto" w:fill="auto"/>
            <w:noWrap/>
            <w:vAlign w:val="bottom"/>
            <w:hideMark/>
          </w:tcPr>
          <w:p w14:paraId="39E923B8" w14:textId="2E7EB2B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0.9</w:t>
            </w:r>
          </w:p>
        </w:tc>
        <w:tc>
          <w:tcPr>
            <w:tcW w:w="992" w:type="dxa"/>
            <w:shd w:val="clear" w:color="auto" w:fill="auto"/>
            <w:noWrap/>
            <w:vAlign w:val="bottom"/>
            <w:hideMark/>
          </w:tcPr>
          <w:p w14:paraId="400C1A78" w14:textId="77777777" w:rsidR="00537D4E" w:rsidRPr="00714E84" w:rsidRDefault="00537D4E" w:rsidP="00537D4E">
            <w:pPr>
              <w:jc w:val="right"/>
              <w:rPr>
                <w:rFonts w:ascii="Calibri" w:eastAsia="Times New Roman" w:hAnsi="Calibri" w:cs="Calibri"/>
                <w:color w:val="000000"/>
                <w:sz w:val="20"/>
                <w:szCs w:val="20"/>
                <w:lang w:val="en-US" w:eastAsia="en-US"/>
              </w:rPr>
            </w:pPr>
          </w:p>
        </w:tc>
      </w:tr>
      <w:tr w:rsidR="00537D4E" w:rsidRPr="00714E84" w14:paraId="58033417" w14:textId="77777777" w:rsidTr="00537D4E">
        <w:tc>
          <w:tcPr>
            <w:tcW w:w="998" w:type="dxa"/>
            <w:vMerge/>
            <w:vAlign w:val="center"/>
          </w:tcPr>
          <w:p w14:paraId="5C2DCFC7"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2470E3BA" w14:textId="55ACAB20"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Indian</w:t>
            </w:r>
          </w:p>
        </w:tc>
        <w:tc>
          <w:tcPr>
            <w:tcW w:w="831" w:type="dxa"/>
            <w:shd w:val="clear" w:color="auto" w:fill="auto"/>
            <w:noWrap/>
            <w:vAlign w:val="bottom"/>
            <w:hideMark/>
          </w:tcPr>
          <w:p w14:paraId="19DD1D15" w14:textId="4D9BBD0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42.2</w:t>
            </w:r>
          </w:p>
        </w:tc>
        <w:tc>
          <w:tcPr>
            <w:tcW w:w="856" w:type="dxa"/>
            <w:shd w:val="clear" w:color="auto" w:fill="auto"/>
            <w:noWrap/>
            <w:vAlign w:val="bottom"/>
            <w:hideMark/>
          </w:tcPr>
          <w:p w14:paraId="52B15F2E" w14:textId="6AAF6A2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37.6</w:t>
            </w:r>
          </w:p>
        </w:tc>
        <w:tc>
          <w:tcPr>
            <w:tcW w:w="844" w:type="dxa"/>
            <w:shd w:val="clear" w:color="auto" w:fill="auto"/>
            <w:noWrap/>
            <w:vAlign w:val="bottom"/>
            <w:hideMark/>
          </w:tcPr>
          <w:p w14:paraId="799D5C85" w14:textId="6687D48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39.6</w:t>
            </w:r>
          </w:p>
        </w:tc>
        <w:tc>
          <w:tcPr>
            <w:tcW w:w="993" w:type="dxa"/>
            <w:shd w:val="clear" w:color="auto" w:fill="auto"/>
            <w:noWrap/>
            <w:vAlign w:val="bottom"/>
            <w:hideMark/>
          </w:tcPr>
          <w:p w14:paraId="24F36157" w14:textId="03F1E72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2.6</w:t>
            </w:r>
          </w:p>
        </w:tc>
        <w:tc>
          <w:tcPr>
            <w:tcW w:w="992" w:type="dxa"/>
            <w:shd w:val="clear" w:color="auto" w:fill="auto"/>
            <w:noWrap/>
            <w:vAlign w:val="bottom"/>
            <w:hideMark/>
          </w:tcPr>
          <w:p w14:paraId="27EA065F" w14:textId="77777777" w:rsidR="00537D4E" w:rsidRPr="00714E84" w:rsidRDefault="00537D4E" w:rsidP="00537D4E">
            <w:pPr>
              <w:jc w:val="right"/>
              <w:rPr>
                <w:rFonts w:ascii="Calibri" w:eastAsia="Times New Roman" w:hAnsi="Calibri" w:cs="Calibri"/>
                <w:color w:val="000000"/>
                <w:sz w:val="20"/>
                <w:szCs w:val="20"/>
                <w:lang w:val="en-US" w:eastAsia="en-US"/>
              </w:rPr>
            </w:pPr>
          </w:p>
        </w:tc>
      </w:tr>
      <w:tr w:rsidR="00537D4E" w:rsidRPr="00714E84" w14:paraId="0B02FA7B" w14:textId="77777777" w:rsidTr="00537D4E">
        <w:tc>
          <w:tcPr>
            <w:tcW w:w="998" w:type="dxa"/>
            <w:vMerge/>
            <w:vAlign w:val="center"/>
          </w:tcPr>
          <w:p w14:paraId="73211ECB"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0DF23E6F" w14:textId="6488E75F"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Pakistani</w:t>
            </w:r>
          </w:p>
        </w:tc>
        <w:tc>
          <w:tcPr>
            <w:tcW w:w="831" w:type="dxa"/>
            <w:shd w:val="clear" w:color="auto" w:fill="auto"/>
            <w:noWrap/>
            <w:vAlign w:val="bottom"/>
            <w:hideMark/>
          </w:tcPr>
          <w:p w14:paraId="2151E744" w14:textId="723DE3B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53.9</w:t>
            </w:r>
          </w:p>
        </w:tc>
        <w:tc>
          <w:tcPr>
            <w:tcW w:w="856" w:type="dxa"/>
            <w:shd w:val="clear" w:color="auto" w:fill="auto"/>
            <w:noWrap/>
            <w:vAlign w:val="bottom"/>
            <w:hideMark/>
          </w:tcPr>
          <w:p w14:paraId="5E21E55B" w14:textId="4B56AD5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43.3</w:t>
            </w:r>
          </w:p>
        </w:tc>
        <w:tc>
          <w:tcPr>
            <w:tcW w:w="844" w:type="dxa"/>
            <w:shd w:val="clear" w:color="auto" w:fill="auto"/>
            <w:noWrap/>
            <w:vAlign w:val="bottom"/>
            <w:hideMark/>
          </w:tcPr>
          <w:p w14:paraId="5568C31A" w14:textId="5743C66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46.9</w:t>
            </w:r>
          </w:p>
        </w:tc>
        <w:tc>
          <w:tcPr>
            <w:tcW w:w="993" w:type="dxa"/>
            <w:shd w:val="clear" w:color="auto" w:fill="auto"/>
            <w:noWrap/>
            <w:vAlign w:val="bottom"/>
            <w:hideMark/>
          </w:tcPr>
          <w:p w14:paraId="2F119DA1" w14:textId="5E1E5BC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1.1</w:t>
            </w:r>
          </w:p>
        </w:tc>
        <w:tc>
          <w:tcPr>
            <w:tcW w:w="992" w:type="dxa"/>
            <w:shd w:val="clear" w:color="auto" w:fill="auto"/>
            <w:noWrap/>
            <w:vAlign w:val="bottom"/>
            <w:hideMark/>
          </w:tcPr>
          <w:p w14:paraId="51D8F384" w14:textId="77777777" w:rsidR="00537D4E" w:rsidRPr="00714E84" w:rsidRDefault="00537D4E" w:rsidP="00537D4E">
            <w:pPr>
              <w:jc w:val="right"/>
              <w:rPr>
                <w:rFonts w:ascii="Calibri" w:eastAsia="Times New Roman" w:hAnsi="Calibri" w:cs="Calibri"/>
                <w:color w:val="000000"/>
                <w:sz w:val="20"/>
                <w:szCs w:val="20"/>
                <w:lang w:val="en-US" w:eastAsia="en-US"/>
              </w:rPr>
            </w:pPr>
          </w:p>
        </w:tc>
      </w:tr>
      <w:tr w:rsidR="00537D4E" w:rsidRPr="00714E84" w14:paraId="41FD14A7" w14:textId="77777777" w:rsidTr="00537D4E">
        <w:tc>
          <w:tcPr>
            <w:tcW w:w="998" w:type="dxa"/>
            <w:vMerge/>
            <w:vAlign w:val="center"/>
          </w:tcPr>
          <w:p w14:paraId="26FC9DA5"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0C4FE6E7" w14:textId="58A7588A"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Bangladeshi</w:t>
            </w:r>
          </w:p>
        </w:tc>
        <w:tc>
          <w:tcPr>
            <w:tcW w:w="831" w:type="dxa"/>
            <w:shd w:val="clear" w:color="auto" w:fill="auto"/>
            <w:noWrap/>
            <w:vAlign w:val="bottom"/>
            <w:hideMark/>
          </w:tcPr>
          <w:p w14:paraId="7059D174" w14:textId="4DB44B7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59.8</w:t>
            </w:r>
          </w:p>
        </w:tc>
        <w:tc>
          <w:tcPr>
            <w:tcW w:w="856" w:type="dxa"/>
            <w:shd w:val="clear" w:color="auto" w:fill="auto"/>
            <w:noWrap/>
            <w:vAlign w:val="bottom"/>
            <w:hideMark/>
          </w:tcPr>
          <w:p w14:paraId="40C54F6B" w14:textId="18BF1FF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46.9</w:t>
            </w:r>
          </w:p>
        </w:tc>
        <w:tc>
          <w:tcPr>
            <w:tcW w:w="844" w:type="dxa"/>
            <w:shd w:val="clear" w:color="auto" w:fill="auto"/>
            <w:noWrap/>
            <w:vAlign w:val="bottom"/>
            <w:hideMark/>
          </w:tcPr>
          <w:p w14:paraId="6C849482" w14:textId="77393DF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50.7</w:t>
            </w:r>
          </w:p>
        </w:tc>
        <w:tc>
          <w:tcPr>
            <w:tcW w:w="993" w:type="dxa"/>
            <w:shd w:val="clear" w:color="auto" w:fill="auto"/>
            <w:noWrap/>
            <w:vAlign w:val="bottom"/>
            <w:hideMark/>
          </w:tcPr>
          <w:p w14:paraId="35423ADC" w14:textId="6A0BD9C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0.5</w:t>
            </w:r>
          </w:p>
        </w:tc>
        <w:tc>
          <w:tcPr>
            <w:tcW w:w="992" w:type="dxa"/>
            <w:shd w:val="clear" w:color="auto" w:fill="auto"/>
            <w:noWrap/>
            <w:vAlign w:val="bottom"/>
            <w:hideMark/>
          </w:tcPr>
          <w:p w14:paraId="48D8D8AC" w14:textId="77777777" w:rsidR="00537D4E" w:rsidRPr="00714E84" w:rsidRDefault="00537D4E" w:rsidP="00537D4E">
            <w:pPr>
              <w:jc w:val="right"/>
              <w:rPr>
                <w:rFonts w:ascii="Calibri" w:eastAsia="Times New Roman" w:hAnsi="Calibri" w:cs="Calibri"/>
                <w:color w:val="000000"/>
                <w:sz w:val="20"/>
                <w:szCs w:val="20"/>
                <w:lang w:val="en-US" w:eastAsia="en-US"/>
              </w:rPr>
            </w:pPr>
          </w:p>
        </w:tc>
      </w:tr>
      <w:tr w:rsidR="00537D4E" w:rsidRPr="00714E84" w14:paraId="74B4AFFB" w14:textId="77777777" w:rsidTr="00537D4E">
        <w:tc>
          <w:tcPr>
            <w:tcW w:w="998" w:type="dxa"/>
            <w:vMerge/>
            <w:vAlign w:val="center"/>
          </w:tcPr>
          <w:p w14:paraId="4942A915"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250E202A" w14:textId="5575411D"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 xml:space="preserve">Black African and </w:t>
            </w:r>
            <w:r w:rsidR="00643F56" w:rsidRPr="001B4F51">
              <w:rPr>
                <w:rFonts w:ascii="Calibri" w:eastAsia="Times New Roman" w:hAnsi="Calibri" w:cs="Calibri"/>
                <w:color w:val="000000"/>
                <w:sz w:val="20"/>
                <w:szCs w:val="20"/>
                <w:lang w:eastAsia="en-US"/>
              </w:rPr>
              <w:t>o</w:t>
            </w:r>
            <w:r w:rsidRPr="001B4F51">
              <w:rPr>
                <w:rFonts w:ascii="Calibri" w:eastAsia="Times New Roman" w:hAnsi="Calibri" w:cs="Calibri"/>
                <w:color w:val="000000"/>
                <w:sz w:val="20"/>
                <w:szCs w:val="20"/>
                <w:lang w:eastAsia="en-US"/>
              </w:rPr>
              <w:t xml:space="preserve">ther </w:t>
            </w:r>
            <w:r w:rsidR="00643F56" w:rsidRPr="001B4F51">
              <w:rPr>
                <w:rFonts w:ascii="Calibri" w:eastAsia="Times New Roman" w:hAnsi="Calibri" w:cs="Calibri"/>
                <w:color w:val="000000"/>
                <w:sz w:val="20"/>
                <w:szCs w:val="20"/>
                <w:lang w:eastAsia="en-US"/>
              </w:rPr>
              <w:t>b</w:t>
            </w:r>
            <w:r w:rsidRPr="001B4F51">
              <w:rPr>
                <w:rFonts w:ascii="Calibri" w:eastAsia="Times New Roman" w:hAnsi="Calibri" w:cs="Calibri"/>
                <w:color w:val="000000"/>
                <w:sz w:val="20"/>
                <w:szCs w:val="20"/>
                <w:lang w:eastAsia="en-US"/>
              </w:rPr>
              <w:t>lack</w:t>
            </w:r>
          </w:p>
        </w:tc>
        <w:tc>
          <w:tcPr>
            <w:tcW w:w="831" w:type="dxa"/>
            <w:shd w:val="clear" w:color="auto" w:fill="auto"/>
            <w:noWrap/>
            <w:vAlign w:val="bottom"/>
            <w:hideMark/>
          </w:tcPr>
          <w:p w14:paraId="29F4A867" w14:textId="63AF144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48.8</w:t>
            </w:r>
          </w:p>
        </w:tc>
        <w:tc>
          <w:tcPr>
            <w:tcW w:w="856" w:type="dxa"/>
            <w:shd w:val="clear" w:color="auto" w:fill="auto"/>
            <w:noWrap/>
            <w:vAlign w:val="bottom"/>
            <w:hideMark/>
          </w:tcPr>
          <w:p w14:paraId="29ED334A" w14:textId="4EAA490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52.8</w:t>
            </w:r>
          </w:p>
        </w:tc>
        <w:tc>
          <w:tcPr>
            <w:tcW w:w="844" w:type="dxa"/>
            <w:shd w:val="clear" w:color="auto" w:fill="auto"/>
            <w:noWrap/>
            <w:vAlign w:val="bottom"/>
            <w:hideMark/>
          </w:tcPr>
          <w:p w14:paraId="0BD55662" w14:textId="75C06BD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50.8</w:t>
            </w:r>
          </w:p>
        </w:tc>
        <w:tc>
          <w:tcPr>
            <w:tcW w:w="993" w:type="dxa"/>
            <w:shd w:val="clear" w:color="auto" w:fill="auto"/>
            <w:noWrap/>
            <w:vAlign w:val="bottom"/>
            <w:hideMark/>
          </w:tcPr>
          <w:p w14:paraId="125F9F6F" w14:textId="71F59F7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1.5</w:t>
            </w:r>
          </w:p>
        </w:tc>
        <w:tc>
          <w:tcPr>
            <w:tcW w:w="992" w:type="dxa"/>
            <w:shd w:val="clear" w:color="auto" w:fill="auto"/>
            <w:noWrap/>
            <w:vAlign w:val="bottom"/>
            <w:hideMark/>
          </w:tcPr>
          <w:p w14:paraId="797410C8" w14:textId="77777777" w:rsidR="00537D4E" w:rsidRPr="00714E84" w:rsidRDefault="00537D4E" w:rsidP="00537D4E">
            <w:pPr>
              <w:jc w:val="right"/>
              <w:rPr>
                <w:rFonts w:ascii="Calibri" w:eastAsia="Times New Roman" w:hAnsi="Calibri" w:cs="Calibri"/>
                <w:color w:val="000000"/>
                <w:sz w:val="20"/>
                <w:szCs w:val="20"/>
                <w:lang w:val="en-US" w:eastAsia="en-US"/>
              </w:rPr>
            </w:pPr>
          </w:p>
        </w:tc>
      </w:tr>
      <w:tr w:rsidR="00537D4E" w:rsidRPr="00714E84" w14:paraId="4BE74C0B" w14:textId="77777777" w:rsidTr="00537D4E">
        <w:tc>
          <w:tcPr>
            <w:tcW w:w="998" w:type="dxa"/>
            <w:vMerge/>
            <w:vAlign w:val="center"/>
          </w:tcPr>
          <w:p w14:paraId="20631E1C"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52D01C9B" w14:textId="1D5D53C3"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Other</w:t>
            </w:r>
          </w:p>
        </w:tc>
        <w:tc>
          <w:tcPr>
            <w:tcW w:w="831" w:type="dxa"/>
            <w:shd w:val="clear" w:color="auto" w:fill="auto"/>
            <w:noWrap/>
            <w:vAlign w:val="bottom"/>
            <w:hideMark/>
          </w:tcPr>
          <w:p w14:paraId="14E639DB" w14:textId="76F4B22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46.6</w:t>
            </w:r>
          </w:p>
        </w:tc>
        <w:tc>
          <w:tcPr>
            <w:tcW w:w="856" w:type="dxa"/>
            <w:shd w:val="clear" w:color="auto" w:fill="auto"/>
            <w:noWrap/>
            <w:vAlign w:val="bottom"/>
            <w:hideMark/>
          </w:tcPr>
          <w:p w14:paraId="5F464E57" w14:textId="2463C5C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38.6</w:t>
            </w:r>
          </w:p>
        </w:tc>
        <w:tc>
          <w:tcPr>
            <w:tcW w:w="844" w:type="dxa"/>
            <w:shd w:val="clear" w:color="auto" w:fill="auto"/>
            <w:noWrap/>
            <w:vAlign w:val="bottom"/>
            <w:hideMark/>
          </w:tcPr>
          <w:p w14:paraId="273839E5" w14:textId="22A853D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42.3</w:t>
            </w:r>
          </w:p>
        </w:tc>
        <w:tc>
          <w:tcPr>
            <w:tcW w:w="993" w:type="dxa"/>
            <w:shd w:val="clear" w:color="auto" w:fill="auto"/>
            <w:noWrap/>
            <w:vAlign w:val="bottom"/>
            <w:hideMark/>
          </w:tcPr>
          <w:p w14:paraId="3311DB50" w14:textId="2EA631E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5.2</w:t>
            </w:r>
          </w:p>
        </w:tc>
        <w:tc>
          <w:tcPr>
            <w:tcW w:w="992" w:type="dxa"/>
            <w:shd w:val="clear" w:color="auto" w:fill="auto"/>
            <w:noWrap/>
            <w:vAlign w:val="bottom"/>
            <w:hideMark/>
          </w:tcPr>
          <w:p w14:paraId="4F174CBA" w14:textId="77777777" w:rsidR="00537D4E" w:rsidRPr="00714E84" w:rsidRDefault="00537D4E" w:rsidP="00537D4E">
            <w:pPr>
              <w:jc w:val="right"/>
              <w:rPr>
                <w:rFonts w:ascii="Calibri" w:eastAsia="Times New Roman" w:hAnsi="Calibri" w:cs="Calibri"/>
                <w:color w:val="000000"/>
                <w:sz w:val="20"/>
                <w:szCs w:val="20"/>
                <w:lang w:val="en-US" w:eastAsia="en-US"/>
              </w:rPr>
            </w:pPr>
          </w:p>
        </w:tc>
      </w:tr>
      <w:tr w:rsidR="00537D4E" w:rsidRPr="00714E84" w14:paraId="75FC06EF" w14:textId="77777777" w:rsidTr="00537D4E">
        <w:tc>
          <w:tcPr>
            <w:tcW w:w="998" w:type="dxa"/>
            <w:vMerge w:val="restart"/>
            <w:textDirection w:val="btLr"/>
            <w:vAlign w:val="center"/>
          </w:tcPr>
          <w:p w14:paraId="5315CFF6" w14:textId="2189632C" w:rsidR="00537D4E" w:rsidRPr="00714E84" w:rsidRDefault="00537D4E" w:rsidP="00537D4E">
            <w:pPr>
              <w:ind w:left="113" w:right="113"/>
              <w:jc w:val="center"/>
              <w:rPr>
                <w:rFonts w:ascii="Calibri" w:eastAsia="Times New Roman" w:hAnsi="Calibri" w:cs="Calibri"/>
                <w:color w:val="000000"/>
                <w:sz w:val="20"/>
                <w:szCs w:val="20"/>
                <w:lang w:val="en-US" w:eastAsia="en-US"/>
              </w:rPr>
            </w:pPr>
            <w:r w:rsidRPr="00714E84">
              <w:rPr>
                <w:rFonts w:ascii="Calibri" w:eastAsia="Times New Roman" w:hAnsi="Calibri" w:cs="Calibri"/>
                <w:b/>
                <w:bCs/>
                <w:color w:val="000000"/>
                <w:sz w:val="20"/>
                <w:szCs w:val="20"/>
                <w:lang w:eastAsia="en-US"/>
              </w:rPr>
              <w:t>Religion</w:t>
            </w:r>
          </w:p>
        </w:tc>
        <w:tc>
          <w:tcPr>
            <w:tcW w:w="3280" w:type="dxa"/>
            <w:shd w:val="clear" w:color="auto" w:fill="auto"/>
            <w:noWrap/>
            <w:vAlign w:val="center"/>
            <w:hideMark/>
          </w:tcPr>
          <w:p w14:paraId="5DBCDECE" w14:textId="71E40161"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val="en-US" w:eastAsia="en-US"/>
              </w:rPr>
              <w:t>Christian</w:t>
            </w:r>
          </w:p>
        </w:tc>
        <w:tc>
          <w:tcPr>
            <w:tcW w:w="831" w:type="dxa"/>
            <w:shd w:val="clear" w:color="auto" w:fill="auto"/>
            <w:noWrap/>
            <w:vAlign w:val="bottom"/>
            <w:hideMark/>
          </w:tcPr>
          <w:p w14:paraId="31BC6964" w14:textId="38D65FD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40.3</w:t>
            </w:r>
          </w:p>
        </w:tc>
        <w:tc>
          <w:tcPr>
            <w:tcW w:w="856" w:type="dxa"/>
            <w:shd w:val="clear" w:color="auto" w:fill="auto"/>
            <w:noWrap/>
            <w:vAlign w:val="bottom"/>
            <w:hideMark/>
          </w:tcPr>
          <w:p w14:paraId="2423F207" w14:textId="13276F8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38.6</w:t>
            </w:r>
          </w:p>
        </w:tc>
        <w:tc>
          <w:tcPr>
            <w:tcW w:w="844" w:type="dxa"/>
            <w:shd w:val="clear" w:color="auto" w:fill="auto"/>
            <w:noWrap/>
            <w:vAlign w:val="bottom"/>
            <w:hideMark/>
          </w:tcPr>
          <w:p w14:paraId="1208C213" w14:textId="6AEF7A1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39.5</w:t>
            </w:r>
          </w:p>
        </w:tc>
        <w:tc>
          <w:tcPr>
            <w:tcW w:w="993" w:type="dxa"/>
            <w:shd w:val="clear" w:color="auto" w:fill="auto"/>
            <w:noWrap/>
            <w:vAlign w:val="bottom"/>
            <w:hideMark/>
          </w:tcPr>
          <w:p w14:paraId="750A09F9" w14:textId="002CC17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59.2</w:t>
            </w:r>
          </w:p>
        </w:tc>
        <w:tc>
          <w:tcPr>
            <w:tcW w:w="992" w:type="dxa"/>
            <w:shd w:val="clear" w:color="auto" w:fill="auto"/>
            <w:noWrap/>
            <w:vAlign w:val="bottom"/>
            <w:hideMark/>
          </w:tcPr>
          <w:p w14:paraId="1D2D82B4" w14:textId="5005DF4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87.1</w:t>
            </w:r>
          </w:p>
        </w:tc>
      </w:tr>
      <w:tr w:rsidR="00537D4E" w:rsidRPr="00714E84" w14:paraId="4FDA4098" w14:textId="77777777" w:rsidTr="00537D4E">
        <w:tc>
          <w:tcPr>
            <w:tcW w:w="998" w:type="dxa"/>
            <w:vMerge/>
            <w:vAlign w:val="center"/>
          </w:tcPr>
          <w:p w14:paraId="25F5B145"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60A2ECF8" w14:textId="06D7F599"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Muslim</w:t>
            </w:r>
          </w:p>
        </w:tc>
        <w:tc>
          <w:tcPr>
            <w:tcW w:w="831" w:type="dxa"/>
            <w:shd w:val="clear" w:color="auto" w:fill="auto"/>
            <w:noWrap/>
            <w:vAlign w:val="bottom"/>
            <w:hideMark/>
          </w:tcPr>
          <w:p w14:paraId="6569C088" w14:textId="0C5438E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50.4</w:t>
            </w:r>
          </w:p>
        </w:tc>
        <w:tc>
          <w:tcPr>
            <w:tcW w:w="856" w:type="dxa"/>
            <w:shd w:val="clear" w:color="auto" w:fill="auto"/>
            <w:noWrap/>
            <w:vAlign w:val="bottom"/>
            <w:hideMark/>
          </w:tcPr>
          <w:p w14:paraId="250C0477" w14:textId="161708E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42.3</w:t>
            </w:r>
          </w:p>
        </w:tc>
        <w:tc>
          <w:tcPr>
            <w:tcW w:w="844" w:type="dxa"/>
            <w:shd w:val="clear" w:color="auto" w:fill="auto"/>
            <w:noWrap/>
            <w:vAlign w:val="bottom"/>
            <w:hideMark/>
          </w:tcPr>
          <w:p w14:paraId="591401A6" w14:textId="0CBD2E6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45.0</w:t>
            </w:r>
          </w:p>
        </w:tc>
        <w:tc>
          <w:tcPr>
            <w:tcW w:w="993" w:type="dxa"/>
            <w:shd w:val="clear" w:color="auto" w:fill="auto"/>
            <w:noWrap/>
            <w:vAlign w:val="bottom"/>
            <w:hideMark/>
          </w:tcPr>
          <w:p w14:paraId="6F9034E3" w14:textId="50A91C6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2.7</w:t>
            </w:r>
          </w:p>
        </w:tc>
        <w:tc>
          <w:tcPr>
            <w:tcW w:w="992" w:type="dxa"/>
            <w:shd w:val="clear" w:color="auto" w:fill="auto"/>
            <w:noWrap/>
            <w:vAlign w:val="bottom"/>
            <w:hideMark/>
          </w:tcPr>
          <w:p w14:paraId="0A49E4C6" w14:textId="02B2604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0.2</w:t>
            </w:r>
          </w:p>
        </w:tc>
      </w:tr>
      <w:tr w:rsidR="00537D4E" w:rsidRPr="00714E84" w14:paraId="27FE8DA8" w14:textId="77777777" w:rsidTr="00537D4E">
        <w:tc>
          <w:tcPr>
            <w:tcW w:w="998" w:type="dxa"/>
            <w:vMerge/>
            <w:vAlign w:val="center"/>
          </w:tcPr>
          <w:p w14:paraId="225CD575"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02ECD7B2" w14:textId="5D9E70DE"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Hindu</w:t>
            </w:r>
          </w:p>
        </w:tc>
        <w:tc>
          <w:tcPr>
            <w:tcW w:w="831" w:type="dxa"/>
            <w:shd w:val="clear" w:color="auto" w:fill="auto"/>
            <w:noWrap/>
            <w:vAlign w:val="bottom"/>
            <w:hideMark/>
          </w:tcPr>
          <w:p w14:paraId="531B7E49" w14:textId="102334C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46.3</w:t>
            </w:r>
          </w:p>
        </w:tc>
        <w:tc>
          <w:tcPr>
            <w:tcW w:w="856" w:type="dxa"/>
            <w:shd w:val="clear" w:color="auto" w:fill="auto"/>
            <w:noWrap/>
            <w:vAlign w:val="bottom"/>
            <w:hideMark/>
          </w:tcPr>
          <w:p w14:paraId="60C8A052" w14:textId="31AC21E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36.2</w:t>
            </w:r>
          </w:p>
        </w:tc>
        <w:tc>
          <w:tcPr>
            <w:tcW w:w="844" w:type="dxa"/>
            <w:shd w:val="clear" w:color="auto" w:fill="auto"/>
            <w:noWrap/>
            <w:vAlign w:val="bottom"/>
            <w:hideMark/>
          </w:tcPr>
          <w:p w14:paraId="0BBB468E" w14:textId="339DEF4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40.2</w:t>
            </w:r>
          </w:p>
        </w:tc>
        <w:tc>
          <w:tcPr>
            <w:tcW w:w="993" w:type="dxa"/>
            <w:shd w:val="clear" w:color="auto" w:fill="auto"/>
            <w:noWrap/>
            <w:vAlign w:val="bottom"/>
            <w:hideMark/>
          </w:tcPr>
          <w:p w14:paraId="2A8E641E" w14:textId="4CF0D4B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1.6</w:t>
            </w:r>
          </w:p>
        </w:tc>
        <w:tc>
          <w:tcPr>
            <w:tcW w:w="992" w:type="dxa"/>
            <w:shd w:val="clear" w:color="auto" w:fill="auto"/>
            <w:noWrap/>
            <w:vAlign w:val="bottom"/>
            <w:hideMark/>
          </w:tcPr>
          <w:p w14:paraId="33A3A505" w14:textId="4E1CBE6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0.0</w:t>
            </w:r>
          </w:p>
        </w:tc>
      </w:tr>
      <w:tr w:rsidR="00537D4E" w:rsidRPr="00714E84" w14:paraId="2BAF41A2" w14:textId="77777777" w:rsidTr="00537D4E">
        <w:tc>
          <w:tcPr>
            <w:tcW w:w="998" w:type="dxa"/>
            <w:vMerge/>
            <w:vAlign w:val="center"/>
          </w:tcPr>
          <w:p w14:paraId="64FC6DD9"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6B8D1B87" w14:textId="5E75B70E"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Sikh</w:t>
            </w:r>
          </w:p>
        </w:tc>
        <w:tc>
          <w:tcPr>
            <w:tcW w:w="831" w:type="dxa"/>
            <w:shd w:val="clear" w:color="auto" w:fill="auto"/>
            <w:noWrap/>
            <w:vAlign w:val="bottom"/>
            <w:hideMark/>
          </w:tcPr>
          <w:p w14:paraId="1F65FE69" w14:textId="3FC24EE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43.7</w:t>
            </w:r>
          </w:p>
        </w:tc>
        <w:tc>
          <w:tcPr>
            <w:tcW w:w="856" w:type="dxa"/>
            <w:shd w:val="clear" w:color="auto" w:fill="auto"/>
            <w:noWrap/>
            <w:vAlign w:val="bottom"/>
            <w:hideMark/>
          </w:tcPr>
          <w:p w14:paraId="26DDB912" w14:textId="1C5A2F6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40.8</w:t>
            </w:r>
          </w:p>
        </w:tc>
        <w:tc>
          <w:tcPr>
            <w:tcW w:w="844" w:type="dxa"/>
            <w:shd w:val="clear" w:color="auto" w:fill="auto"/>
            <w:noWrap/>
            <w:vAlign w:val="bottom"/>
            <w:hideMark/>
          </w:tcPr>
          <w:p w14:paraId="2311A07D" w14:textId="4AD8D4A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42.2</w:t>
            </w:r>
          </w:p>
        </w:tc>
        <w:tc>
          <w:tcPr>
            <w:tcW w:w="993" w:type="dxa"/>
            <w:shd w:val="clear" w:color="auto" w:fill="auto"/>
            <w:noWrap/>
            <w:vAlign w:val="bottom"/>
            <w:hideMark/>
          </w:tcPr>
          <w:p w14:paraId="764690AE" w14:textId="7B624BB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0.6</w:t>
            </w:r>
          </w:p>
        </w:tc>
        <w:tc>
          <w:tcPr>
            <w:tcW w:w="992" w:type="dxa"/>
            <w:shd w:val="clear" w:color="auto" w:fill="auto"/>
            <w:noWrap/>
            <w:vAlign w:val="bottom"/>
            <w:hideMark/>
          </w:tcPr>
          <w:p w14:paraId="0C296909" w14:textId="0500089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0.0</w:t>
            </w:r>
          </w:p>
        </w:tc>
      </w:tr>
      <w:tr w:rsidR="00537D4E" w:rsidRPr="00714E84" w14:paraId="25C53E25" w14:textId="77777777" w:rsidTr="00537D4E">
        <w:tc>
          <w:tcPr>
            <w:tcW w:w="998" w:type="dxa"/>
            <w:vMerge/>
            <w:vAlign w:val="center"/>
          </w:tcPr>
          <w:p w14:paraId="33BB6B11"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7D75A2A3" w14:textId="430F0EE6"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Jewish</w:t>
            </w:r>
          </w:p>
        </w:tc>
        <w:tc>
          <w:tcPr>
            <w:tcW w:w="831" w:type="dxa"/>
            <w:shd w:val="clear" w:color="auto" w:fill="auto"/>
            <w:noWrap/>
            <w:vAlign w:val="bottom"/>
            <w:hideMark/>
          </w:tcPr>
          <w:p w14:paraId="24ED4FA9" w14:textId="6D5689F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33.5</w:t>
            </w:r>
          </w:p>
        </w:tc>
        <w:tc>
          <w:tcPr>
            <w:tcW w:w="856" w:type="dxa"/>
            <w:shd w:val="clear" w:color="auto" w:fill="auto"/>
            <w:noWrap/>
            <w:vAlign w:val="bottom"/>
            <w:hideMark/>
          </w:tcPr>
          <w:p w14:paraId="3F15D764" w14:textId="2BF7549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23.5</w:t>
            </w:r>
          </w:p>
        </w:tc>
        <w:tc>
          <w:tcPr>
            <w:tcW w:w="844" w:type="dxa"/>
            <w:shd w:val="clear" w:color="auto" w:fill="auto"/>
            <w:noWrap/>
            <w:vAlign w:val="bottom"/>
            <w:hideMark/>
          </w:tcPr>
          <w:p w14:paraId="43F4FEBB" w14:textId="4A74337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28.0</w:t>
            </w:r>
          </w:p>
        </w:tc>
        <w:tc>
          <w:tcPr>
            <w:tcW w:w="993" w:type="dxa"/>
            <w:shd w:val="clear" w:color="auto" w:fill="auto"/>
            <w:noWrap/>
            <w:vAlign w:val="bottom"/>
            <w:hideMark/>
          </w:tcPr>
          <w:p w14:paraId="28DD18E3" w14:textId="66E8231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0.4</w:t>
            </w:r>
          </w:p>
        </w:tc>
        <w:tc>
          <w:tcPr>
            <w:tcW w:w="992" w:type="dxa"/>
            <w:shd w:val="clear" w:color="auto" w:fill="auto"/>
            <w:noWrap/>
            <w:vAlign w:val="bottom"/>
            <w:hideMark/>
          </w:tcPr>
          <w:p w14:paraId="451084D8" w14:textId="7296292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0.1</w:t>
            </w:r>
          </w:p>
        </w:tc>
      </w:tr>
      <w:tr w:rsidR="00537D4E" w:rsidRPr="00714E84" w14:paraId="62DBF495" w14:textId="77777777" w:rsidTr="00537D4E">
        <w:tc>
          <w:tcPr>
            <w:tcW w:w="998" w:type="dxa"/>
            <w:vMerge/>
            <w:vAlign w:val="center"/>
          </w:tcPr>
          <w:p w14:paraId="082390D2"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1AEDC598" w14:textId="38073907"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Buddhist</w:t>
            </w:r>
          </w:p>
        </w:tc>
        <w:tc>
          <w:tcPr>
            <w:tcW w:w="831" w:type="dxa"/>
            <w:shd w:val="clear" w:color="auto" w:fill="auto"/>
            <w:noWrap/>
            <w:vAlign w:val="bottom"/>
            <w:hideMark/>
          </w:tcPr>
          <w:p w14:paraId="2EC21BE1" w14:textId="05B59F2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49.6</w:t>
            </w:r>
          </w:p>
        </w:tc>
        <w:tc>
          <w:tcPr>
            <w:tcW w:w="856" w:type="dxa"/>
            <w:shd w:val="clear" w:color="auto" w:fill="auto"/>
            <w:noWrap/>
            <w:vAlign w:val="bottom"/>
            <w:hideMark/>
          </w:tcPr>
          <w:p w14:paraId="67B46166" w14:textId="23A84B4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41.9</w:t>
            </w:r>
          </w:p>
        </w:tc>
        <w:tc>
          <w:tcPr>
            <w:tcW w:w="844" w:type="dxa"/>
            <w:shd w:val="clear" w:color="auto" w:fill="auto"/>
            <w:noWrap/>
            <w:vAlign w:val="bottom"/>
            <w:hideMark/>
          </w:tcPr>
          <w:p w14:paraId="0E097E05" w14:textId="0A5DAD8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45.6</w:t>
            </w:r>
          </w:p>
        </w:tc>
        <w:tc>
          <w:tcPr>
            <w:tcW w:w="993" w:type="dxa"/>
            <w:shd w:val="clear" w:color="auto" w:fill="auto"/>
            <w:noWrap/>
            <w:vAlign w:val="bottom"/>
            <w:hideMark/>
          </w:tcPr>
          <w:p w14:paraId="1D3431E0" w14:textId="46D6E4B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0.5</w:t>
            </w:r>
          </w:p>
        </w:tc>
        <w:tc>
          <w:tcPr>
            <w:tcW w:w="992" w:type="dxa"/>
            <w:shd w:val="clear" w:color="auto" w:fill="auto"/>
            <w:noWrap/>
            <w:vAlign w:val="bottom"/>
            <w:hideMark/>
          </w:tcPr>
          <w:p w14:paraId="766A30B8" w14:textId="3D12188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0.3</w:t>
            </w:r>
          </w:p>
        </w:tc>
      </w:tr>
      <w:tr w:rsidR="00537D4E" w:rsidRPr="00714E84" w14:paraId="2C45438B" w14:textId="77777777" w:rsidTr="00537D4E">
        <w:tc>
          <w:tcPr>
            <w:tcW w:w="998" w:type="dxa"/>
            <w:vMerge/>
            <w:vAlign w:val="center"/>
          </w:tcPr>
          <w:p w14:paraId="1ED6943D"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2B42EE24" w14:textId="57778282"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Other religion</w:t>
            </w:r>
          </w:p>
        </w:tc>
        <w:tc>
          <w:tcPr>
            <w:tcW w:w="831" w:type="dxa"/>
            <w:shd w:val="clear" w:color="auto" w:fill="auto"/>
            <w:noWrap/>
            <w:vAlign w:val="bottom"/>
            <w:hideMark/>
          </w:tcPr>
          <w:p w14:paraId="41B6B824" w14:textId="7A44B6A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41.0</w:t>
            </w:r>
          </w:p>
        </w:tc>
        <w:tc>
          <w:tcPr>
            <w:tcW w:w="856" w:type="dxa"/>
            <w:shd w:val="clear" w:color="auto" w:fill="auto"/>
            <w:noWrap/>
            <w:vAlign w:val="bottom"/>
            <w:hideMark/>
          </w:tcPr>
          <w:p w14:paraId="19C3077C" w14:textId="3920384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40.6</w:t>
            </w:r>
          </w:p>
        </w:tc>
        <w:tc>
          <w:tcPr>
            <w:tcW w:w="844" w:type="dxa"/>
            <w:shd w:val="clear" w:color="auto" w:fill="auto"/>
            <w:noWrap/>
            <w:vAlign w:val="bottom"/>
            <w:hideMark/>
          </w:tcPr>
          <w:p w14:paraId="6A02E1AF" w14:textId="241BCF5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40.8</w:t>
            </w:r>
          </w:p>
        </w:tc>
        <w:tc>
          <w:tcPr>
            <w:tcW w:w="993" w:type="dxa"/>
            <w:shd w:val="clear" w:color="auto" w:fill="auto"/>
            <w:noWrap/>
            <w:vAlign w:val="bottom"/>
            <w:hideMark/>
          </w:tcPr>
          <w:p w14:paraId="0B98D4EA" w14:textId="59EE046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1.2</w:t>
            </w:r>
          </w:p>
        </w:tc>
        <w:tc>
          <w:tcPr>
            <w:tcW w:w="992" w:type="dxa"/>
            <w:shd w:val="clear" w:color="auto" w:fill="auto"/>
            <w:noWrap/>
            <w:vAlign w:val="bottom"/>
            <w:hideMark/>
          </w:tcPr>
          <w:p w14:paraId="012CBC6D" w14:textId="1B2B244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0.8</w:t>
            </w:r>
          </w:p>
        </w:tc>
      </w:tr>
      <w:tr w:rsidR="00537D4E" w:rsidRPr="00714E84" w14:paraId="4C4F5626" w14:textId="77777777" w:rsidTr="00537D4E">
        <w:tc>
          <w:tcPr>
            <w:tcW w:w="998" w:type="dxa"/>
            <w:vMerge/>
            <w:vAlign w:val="center"/>
          </w:tcPr>
          <w:p w14:paraId="3F93F8AD" w14:textId="77777777" w:rsidR="00537D4E" w:rsidRPr="00714E84" w:rsidRDefault="00537D4E" w:rsidP="00537D4E">
            <w:pPr>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783CE9D6" w14:textId="2901A7ED"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 xml:space="preserve">No religion </w:t>
            </w:r>
          </w:p>
        </w:tc>
        <w:tc>
          <w:tcPr>
            <w:tcW w:w="831" w:type="dxa"/>
            <w:shd w:val="clear" w:color="auto" w:fill="auto"/>
            <w:noWrap/>
            <w:vAlign w:val="bottom"/>
            <w:hideMark/>
          </w:tcPr>
          <w:p w14:paraId="53E3A0E1" w14:textId="611AA6B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43.8</w:t>
            </w:r>
          </w:p>
        </w:tc>
        <w:tc>
          <w:tcPr>
            <w:tcW w:w="856" w:type="dxa"/>
            <w:shd w:val="clear" w:color="auto" w:fill="auto"/>
            <w:noWrap/>
            <w:vAlign w:val="bottom"/>
            <w:hideMark/>
          </w:tcPr>
          <w:p w14:paraId="5E9FA9C9" w14:textId="567B3AF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38.6</w:t>
            </w:r>
          </w:p>
        </w:tc>
        <w:tc>
          <w:tcPr>
            <w:tcW w:w="844" w:type="dxa"/>
            <w:shd w:val="clear" w:color="auto" w:fill="auto"/>
            <w:noWrap/>
            <w:vAlign w:val="bottom"/>
            <w:hideMark/>
          </w:tcPr>
          <w:p w14:paraId="2E4159E4" w14:textId="5091BFD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40.9</w:t>
            </w:r>
          </w:p>
        </w:tc>
        <w:tc>
          <w:tcPr>
            <w:tcW w:w="993" w:type="dxa"/>
            <w:shd w:val="clear" w:color="auto" w:fill="auto"/>
            <w:noWrap/>
            <w:vAlign w:val="bottom"/>
            <w:hideMark/>
          </w:tcPr>
          <w:p w14:paraId="1C223973" w14:textId="0279781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33.8</w:t>
            </w:r>
          </w:p>
        </w:tc>
        <w:tc>
          <w:tcPr>
            <w:tcW w:w="992" w:type="dxa"/>
            <w:shd w:val="clear" w:color="auto" w:fill="auto"/>
            <w:noWrap/>
            <w:vAlign w:val="bottom"/>
            <w:hideMark/>
          </w:tcPr>
          <w:p w14:paraId="6802BE67" w14:textId="0900F42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11.6</w:t>
            </w:r>
          </w:p>
        </w:tc>
      </w:tr>
      <w:tr w:rsidR="00537D4E" w:rsidRPr="00714E84" w14:paraId="780B3BB9" w14:textId="77777777" w:rsidTr="00537D4E">
        <w:tc>
          <w:tcPr>
            <w:tcW w:w="998" w:type="dxa"/>
            <w:vMerge w:val="restart"/>
            <w:textDirection w:val="btLr"/>
            <w:vAlign w:val="center"/>
          </w:tcPr>
          <w:p w14:paraId="0F719BA4" w14:textId="34F2A09D" w:rsidR="00537D4E" w:rsidRPr="00714E84" w:rsidRDefault="00537D4E" w:rsidP="00537D4E">
            <w:pPr>
              <w:ind w:left="113" w:right="113"/>
              <w:jc w:val="center"/>
              <w:rPr>
                <w:rFonts w:ascii="Calibri" w:eastAsia="Times New Roman" w:hAnsi="Calibri" w:cs="Calibri"/>
                <w:color w:val="000000"/>
                <w:sz w:val="20"/>
                <w:szCs w:val="20"/>
                <w:lang w:val="en-US" w:eastAsia="en-US"/>
              </w:rPr>
            </w:pPr>
            <w:r w:rsidRPr="00714E84">
              <w:rPr>
                <w:rFonts w:ascii="Calibri" w:eastAsia="Times New Roman" w:hAnsi="Calibri" w:cs="Calibri"/>
                <w:b/>
                <w:bCs/>
                <w:color w:val="000000"/>
                <w:sz w:val="20"/>
                <w:szCs w:val="20"/>
                <w:lang w:eastAsia="en-US"/>
              </w:rPr>
              <w:t>Age groups</w:t>
            </w:r>
          </w:p>
        </w:tc>
        <w:tc>
          <w:tcPr>
            <w:tcW w:w="3280" w:type="dxa"/>
            <w:shd w:val="clear" w:color="auto" w:fill="auto"/>
            <w:noWrap/>
            <w:vAlign w:val="center"/>
            <w:hideMark/>
          </w:tcPr>
          <w:p w14:paraId="00ACB61E" w14:textId="0D2CEC4A"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16-24</w:t>
            </w:r>
          </w:p>
        </w:tc>
        <w:tc>
          <w:tcPr>
            <w:tcW w:w="831" w:type="dxa"/>
            <w:shd w:val="clear" w:color="auto" w:fill="auto"/>
            <w:noWrap/>
            <w:vAlign w:val="bottom"/>
            <w:hideMark/>
          </w:tcPr>
          <w:p w14:paraId="7CD3540B" w14:textId="04A3684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60.7</w:t>
            </w:r>
          </w:p>
        </w:tc>
        <w:tc>
          <w:tcPr>
            <w:tcW w:w="856" w:type="dxa"/>
            <w:shd w:val="clear" w:color="auto" w:fill="auto"/>
            <w:noWrap/>
            <w:vAlign w:val="bottom"/>
            <w:hideMark/>
          </w:tcPr>
          <w:p w14:paraId="524C1E36" w14:textId="0BE4D3D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56.0</w:t>
            </w:r>
          </w:p>
        </w:tc>
        <w:tc>
          <w:tcPr>
            <w:tcW w:w="844" w:type="dxa"/>
            <w:shd w:val="clear" w:color="auto" w:fill="auto"/>
            <w:noWrap/>
            <w:vAlign w:val="bottom"/>
            <w:hideMark/>
          </w:tcPr>
          <w:p w14:paraId="4D2FD881" w14:textId="649F981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58.2</w:t>
            </w:r>
          </w:p>
        </w:tc>
        <w:tc>
          <w:tcPr>
            <w:tcW w:w="993" w:type="dxa"/>
            <w:shd w:val="clear" w:color="auto" w:fill="auto"/>
            <w:noWrap/>
            <w:vAlign w:val="bottom"/>
            <w:hideMark/>
          </w:tcPr>
          <w:p w14:paraId="3F91B35E" w14:textId="599A1A4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11.4</w:t>
            </w:r>
          </w:p>
        </w:tc>
        <w:tc>
          <w:tcPr>
            <w:tcW w:w="992" w:type="dxa"/>
            <w:shd w:val="clear" w:color="auto" w:fill="auto"/>
            <w:noWrap/>
            <w:vAlign w:val="bottom"/>
            <w:hideMark/>
          </w:tcPr>
          <w:p w14:paraId="539AE335" w14:textId="07F03E9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10.4</w:t>
            </w:r>
          </w:p>
        </w:tc>
      </w:tr>
      <w:tr w:rsidR="00537D4E" w:rsidRPr="00714E84" w14:paraId="5ABD2394" w14:textId="77777777" w:rsidTr="00537D4E">
        <w:tc>
          <w:tcPr>
            <w:tcW w:w="998" w:type="dxa"/>
            <w:vMerge/>
            <w:textDirection w:val="btLr"/>
            <w:vAlign w:val="center"/>
          </w:tcPr>
          <w:p w14:paraId="26EA700F"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61FF0F62" w14:textId="146CA45E"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25-34</w:t>
            </w:r>
          </w:p>
        </w:tc>
        <w:tc>
          <w:tcPr>
            <w:tcW w:w="831" w:type="dxa"/>
            <w:shd w:val="clear" w:color="auto" w:fill="auto"/>
            <w:noWrap/>
            <w:vAlign w:val="bottom"/>
            <w:hideMark/>
          </w:tcPr>
          <w:p w14:paraId="10FE0117" w14:textId="269CE97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48.3</w:t>
            </w:r>
          </w:p>
        </w:tc>
        <w:tc>
          <w:tcPr>
            <w:tcW w:w="856" w:type="dxa"/>
            <w:shd w:val="clear" w:color="auto" w:fill="auto"/>
            <w:noWrap/>
            <w:vAlign w:val="bottom"/>
            <w:hideMark/>
          </w:tcPr>
          <w:p w14:paraId="7B7C84B3" w14:textId="6CB4405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43.6</w:t>
            </w:r>
          </w:p>
        </w:tc>
        <w:tc>
          <w:tcPr>
            <w:tcW w:w="844" w:type="dxa"/>
            <w:shd w:val="clear" w:color="auto" w:fill="auto"/>
            <w:noWrap/>
            <w:vAlign w:val="bottom"/>
            <w:hideMark/>
          </w:tcPr>
          <w:p w14:paraId="72FBD3D1" w14:textId="5A14E42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45.8</w:t>
            </w:r>
          </w:p>
        </w:tc>
        <w:tc>
          <w:tcPr>
            <w:tcW w:w="993" w:type="dxa"/>
            <w:shd w:val="clear" w:color="auto" w:fill="auto"/>
            <w:noWrap/>
            <w:vAlign w:val="bottom"/>
            <w:hideMark/>
          </w:tcPr>
          <w:p w14:paraId="41F9DE74" w14:textId="6E80AB8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25.4</w:t>
            </w:r>
          </w:p>
        </w:tc>
        <w:tc>
          <w:tcPr>
            <w:tcW w:w="992" w:type="dxa"/>
            <w:shd w:val="clear" w:color="auto" w:fill="auto"/>
            <w:noWrap/>
            <w:vAlign w:val="bottom"/>
            <w:hideMark/>
          </w:tcPr>
          <w:p w14:paraId="29D7E6C7" w14:textId="5940C58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61.0</w:t>
            </w:r>
          </w:p>
        </w:tc>
      </w:tr>
      <w:tr w:rsidR="00537D4E" w:rsidRPr="00714E84" w14:paraId="71F81E57" w14:textId="77777777" w:rsidTr="00537D4E">
        <w:tc>
          <w:tcPr>
            <w:tcW w:w="998" w:type="dxa"/>
            <w:vMerge/>
            <w:textDirection w:val="btLr"/>
            <w:vAlign w:val="center"/>
          </w:tcPr>
          <w:p w14:paraId="5D00F09A"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bottom"/>
            <w:hideMark/>
          </w:tcPr>
          <w:p w14:paraId="250AC2F4" w14:textId="0AD9B4FC"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val="en-US" w:eastAsia="en-US"/>
              </w:rPr>
              <w:t>35-49</w:t>
            </w:r>
          </w:p>
        </w:tc>
        <w:tc>
          <w:tcPr>
            <w:tcW w:w="831" w:type="dxa"/>
            <w:shd w:val="clear" w:color="auto" w:fill="auto"/>
            <w:noWrap/>
            <w:vAlign w:val="bottom"/>
            <w:hideMark/>
          </w:tcPr>
          <w:p w14:paraId="28E5CA7B" w14:textId="24E6156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37.5</w:t>
            </w:r>
          </w:p>
        </w:tc>
        <w:tc>
          <w:tcPr>
            <w:tcW w:w="856" w:type="dxa"/>
            <w:shd w:val="clear" w:color="auto" w:fill="auto"/>
            <w:noWrap/>
            <w:vAlign w:val="bottom"/>
            <w:hideMark/>
          </w:tcPr>
          <w:p w14:paraId="1295A13C" w14:textId="29D09A1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33.0</w:t>
            </w:r>
          </w:p>
        </w:tc>
        <w:tc>
          <w:tcPr>
            <w:tcW w:w="844" w:type="dxa"/>
            <w:shd w:val="clear" w:color="auto" w:fill="auto"/>
            <w:noWrap/>
            <w:vAlign w:val="bottom"/>
            <w:hideMark/>
          </w:tcPr>
          <w:p w14:paraId="11573864" w14:textId="42B5281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35.2</w:t>
            </w:r>
          </w:p>
        </w:tc>
        <w:tc>
          <w:tcPr>
            <w:tcW w:w="993" w:type="dxa"/>
            <w:shd w:val="clear" w:color="auto" w:fill="auto"/>
            <w:noWrap/>
            <w:vAlign w:val="bottom"/>
            <w:hideMark/>
          </w:tcPr>
          <w:p w14:paraId="5A1B13A4" w14:textId="3AD1021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39.1</w:t>
            </w:r>
          </w:p>
        </w:tc>
        <w:tc>
          <w:tcPr>
            <w:tcW w:w="992" w:type="dxa"/>
            <w:shd w:val="clear" w:color="auto" w:fill="auto"/>
            <w:noWrap/>
            <w:vAlign w:val="bottom"/>
            <w:hideMark/>
          </w:tcPr>
          <w:p w14:paraId="5BCD6713" w14:textId="7F49AAC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24.5</w:t>
            </w:r>
          </w:p>
        </w:tc>
      </w:tr>
      <w:tr w:rsidR="00537D4E" w:rsidRPr="00714E84" w14:paraId="690B76F3" w14:textId="77777777" w:rsidTr="00537D4E">
        <w:tc>
          <w:tcPr>
            <w:tcW w:w="998" w:type="dxa"/>
            <w:vMerge/>
            <w:textDirection w:val="btLr"/>
            <w:vAlign w:val="center"/>
          </w:tcPr>
          <w:p w14:paraId="13E51319"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56B0D2A9" w14:textId="081B219C"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50-64</w:t>
            </w:r>
          </w:p>
        </w:tc>
        <w:tc>
          <w:tcPr>
            <w:tcW w:w="831" w:type="dxa"/>
            <w:shd w:val="clear" w:color="auto" w:fill="auto"/>
            <w:noWrap/>
            <w:vAlign w:val="bottom"/>
            <w:hideMark/>
          </w:tcPr>
          <w:p w14:paraId="588E7C54" w14:textId="48299B9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32.8</w:t>
            </w:r>
          </w:p>
        </w:tc>
        <w:tc>
          <w:tcPr>
            <w:tcW w:w="856" w:type="dxa"/>
            <w:shd w:val="clear" w:color="auto" w:fill="auto"/>
            <w:noWrap/>
            <w:vAlign w:val="bottom"/>
            <w:hideMark/>
          </w:tcPr>
          <w:p w14:paraId="6D4481AC" w14:textId="7F43B1A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34.2</w:t>
            </w:r>
          </w:p>
        </w:tc>
        <w:tc>
          <w:tcPr>
            <w:tcW w:w="844" w:type="dxa"/>
            <w:shd w:val="clear" w:color="auto" w:fill="auto"/>
            <w:noWrap/>
            <w:vAlign w:val="bottom"/>
            <w:hideMark/>
          </w:tcPr>
          <w:p w14:paraId="782F978C" w14:textId="6303F2F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33.6</w:t>
            </w:r>
          </w:p>
        </w:tc>
        <w:tc>
          <w:tcPr>
            <w:tcW w:w="993" w:type="dxa"/>
            <w:shd w:val="clear" w:color="auto" w:fill="auto"/>
            <w:noWrap/>
            <w:vAlign w:val="bottom"/>
            <w:hideMark/>
          </w:tcPr>
          <w:p w14:paraId="54D5BDA2" w14:textId="298BF14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24.1</w:t>
            </w:r>
          </w:p>
        </w:tc>
        <w:tc>
          <w:tcPr>
            <w:tcW w:w="992" w:type="dxa"/>
            <w:shd w:val="clear" w:color="auto" w:fill="auto"/>
            <w:noWrap/>
            <w:vAlign w:val="bottom"/>
            <w:hideMark/>
          </w:tcPr>
          <w:p w14:paraId="26D8DFB9" w14:textId="78B3EF9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w:t>
            </w:r>
          </w:p>
        </w:tc>
      </w:tr>
      <w:tr w:rsidR="00537D4E" w:rsidRPr="00714E84" w14:paraId="449CC19C" w14:textId="77777777" w:rsidTr="00537D4E">
        <w:tc>
          <w:tcPr>
            <w:tcW w:w="998" w:type="dxa"/>
            <w:vMerge w:val="restart"/>
            <w:textDirection w:val="btLr"/>
            <w:vAlign w:val="center"/>
          </w:tcPr>
          <w:p w14:paraId="7C537850" w14:textId="6EC7E025" w:rsidR="00537D4E" w:rsidRPr="00714E84" w:rsidRDefault="00537D4E" w:rsidP="00537D4E">
            <w:pPr>
              <w:ind w:left="113" w:right="113"/>
              <w:jc w:val="center"/>
              <w:rPr>
                <w:rFonts w:ascii="Calibri" w:eastAsia="Times New Roman" w:hAnsi="Calibri" w:cs="Calibri"/>
                <w:color w:val="000000"/>
                <w:sz w:val="20"/>
                <w:szCs w:val="20"/>
                <w:lang w:val="en-US" w:eastAsia="en-US"/>
              </w:rPr>
            </w:pPr>
            <w:r w:rsidRPr="00714E84">
              <w:rPr>
                <w:rFonts w:ascii="Calibri" w:eastAsia="Times New Roman" w:hAnsi="Calibri" w:cs="Calibri"/>
                <w:b/>
                <w:bCs/>
                <w:color w:val="000000"/>
                <w:sz w:val="20"/>
                <w:szCs w:val="20"/>
                <w:lang w:val="en-US" w:eastAsia="en-US"/>
              </w:rPr>
              <w:t>Year of arrival in the UK</w:t>
            </w:r>
          </w:p>
        </w:tc>
        <w:tc>
          <w:tcPr>
            <w:tcW w:w="3280" w:type="dxa"/>
            <w:shd w:val="clear" w:color="auto" w:fill="auto"/>
            <w:noWrap/>
            <w:vAlign w:val="center"/>
            <w:hideMark/>
          </w:tcPr>
          <w:p w14:paraId="754E41AF" w14:textId="6F1E669D"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Never migrated</w:t>
            </w:r>
          </w:p>
        </w:tc>
        <w:tc>
          <w:tcPr>
            <w:tcW w:w="831" w:type="dxa"/>
            <w:shd w:val="clear" w:color="auto" w:fill="auto"/>
            <w:noWrap/>
            <w:vAlign w:val="bottom"/>
            <w:hideMark/>
          </w:tcPr>
          <w:p w14:paraId="563ABF8C" w14:textId="29FB093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40.8</w:t>
            </w:r>
          </w:p>
        </w:tc>
        <w:tc>
          <w:tcPr>
            <w:tcW w:w="856" w:type="dxa"/>
            <w:shd w:val="clear" w:color="auto" w:fill="auto"/>
            <w:noWrap/>
            <w:vAlign w:val="bottom"/>
            <w:hideMark/>
          </w:tcPr>
          <w:p w14:paraId="26D34A22" w14:textId="1E9D2D9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38.2</w:t>
            </w:r>
          </w:p>
        </w:tc>
        <w:tc>
          <w:tcPr>
            <w:tcW w:w="844" w:type="dxa"/>
            <w:shd w:val="clear" w:color="auto" w:fill="auto"/>
            <w:noWrap/>
            <w:vAlign w:val="bottom"/>
            <w:hideMark/>
          </w:tcPr>
          <w:p w14:paraId="12CFBFE3" w14:textId="0EEBC77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39.4</w:t>
            </w:r>
          </w:p>
        </w:tc>
        <w:tc>
          <w:tcPr>
            <w:tcW w:w="993" w:type="dxa"/>
            <w:shd w:val="clear" w:color="auto" w:fill="auto"/>
            <w:noWrap/>
            <w:vAlign w:val="bottom"/>
            <w:hideMark/>
          </w:tcPr>
          <w:p w14:paraId="47013085" w14:textId="064EE0A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85.6</w:t>
            </w:r>
          </w:p>
        </w:tc>
        <w:tc>
          <w:tcPr>
            <w:tcW w:w="992" w:type="dxa"/>
            <w:shd w:val="clear" w:color="auto" w:fill="auto"/>
            <w:noWrap/>
            <w:vAlign w:val="bottom"/>
            <w:hideMark/>
          </w:tcPr>
          <w:p w14:paraId="13AF3BFB" w14:textId="1B0CBBF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0.0</w:t>
            </w:r>
          </w:p>
        </w:tc>
      </w:tr>
      <w:tr w:rsidR="00537D4E" w:rsidRPr="00714E84" w14:paraId="65A13DAC" w14:textId="77777777" w:rsidTr="00537D4E">
        <w:tc>
          <w:tcPr>
            <w:tcW w:w="998" w:type="dxa"/>
            <w:vMerge/>
            <w:textDirection w:val="btLr"/>
            <w:vAlign w:val="center"/>
          </w:tcPr>
          <w:p w14:paraId="6BFCF8EA"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4CBC44B4" w14:textId="293B88D4"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Before 1990</w:t>
            </w:r>
          </w:p>
        </w:tc>
        <w:tc>
          <w:tcPr>
            <w:tcW w:w="831" w:type="dxa"/>
            <w:shd w:val="clear" w:color="auto" w:fill="auto"/>
            <w:noWrap/>
            <w:vAlign w:val="bottom"/>
            <w:hideMark/>
          </w:tcPr>
          <w:p w14:paraId="6DA48EB8" w14:textId="529391A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38.8</w:t>
            </w:r>
          </w:p>
        </w:tc>
        <w:tc>
          <w:tcPr>
            <w:tcW w:w="856" w:type="dxa"/>
            <w:shd w:val="clear" w:color="auto" w:fill="auto"/>
            <w:noWrap/>
            <w:vAlign w:val="bottom"/>
            <w:hideMark/>
          </w:tcPr>
          <w:p w14:paraId="5D04272C" w14:textId="0248745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34.2</w:t>
            </w:r>
          </w:p>
        </w:tc>
        <w:tc>
          <w:tcPr>
            <w:tcW w:w="844" w:type="dxa"/>
            <w:shd w:val="clear" w:color="auto" w:fill="auto"/>
            <w:noWrap/>
            <w:vAlign w:val="bottom"/>
            <w:hideMark/>
          </w:tcPr>
          <w:p w14:paraId="035FA66B" w14:textId="30A4D77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36.4</w:t>
            </w:r>
          </w:p>
        </w:tc>
        <w:tc>
          <w:tcPr>
            <w:tcW w:w="993" w:type="dxa"/>
            <w:shd w:val="clear" w:color="auto" w:fill="auto"/>
            <w:noWrap/>
            <w:vAlign w:val="bottom"/>
            <w:hideMark/>
          </w:tcPr>
          <w:p w14:paraId="07800BC6" w14:textId="3EEA0B1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w:t>
            </w:r>
          </w:p>
        </w:tc>
        <w:tc>
          <w:tcPr>
            <w:tcW w:w="992" w:type="dxa"/>
            <w:shd w:val="clear" w:color="auto" w:fill="auto"/>
            <w:noWrap/>
            <w:vAlign w:val="bottom"/>
            <w:hideMark/>
          </w:tcPr>
          <w:p w14:paraId="5650678C" w14:textId="33B7E6D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0.4</w:t>
            </w:r>
          </w:p>
        </w:tc>
      </w:tr>
      <w:tr w:rsidR="00537D4E" w:rsidRPr="00714E84" w14:paraId="19ED15E8" w14:textId="77777777" w:rsidTr="00537D4E">
        <w:tc>
          <w:tcPr>
            <w:tcW w:w="998" w:type="dxa"/>
            <w:vMerge/>
            <w:textDirection w:val="btLr"/>
            <w:vAlign w:val="center"/>
          </w:tcPr>
          <w:p w14:paraId="32CAAE29"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75C7EB30" w14:textId="62E62949"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1990-2003</w:t>
            </w:r>
          </w:p>
        </w:tc>
        <w:tc>
          <w:tcPr>
            <w:tcW w:w="831" w:type="dxa"/>
            <w:shd w:val="clear" w:color="auto" w:fill="auto"/>
            <w:noWrap/>
            <w:vAlign w:val="bottom"/>
            <w:hideMark/>
          </w:tcPr>
          <w:p w14:paraId="11968C5F" w14:textId="31209C0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44.8</w:t>
            </w:r>
          </w:p>
        </w:tc>
        <w:tc>
          <w:tcPr>
            <w:tcW w:w="856" w:type="dxa"/>
            <w:shd w:val="clear" w:color="auto" w:fill="auto"/>
            <w:noWrap/>
            <w:vAlign w:val="bottom"/>
            <w:hideMark/>
          </w:tcPr>
          <w:p w14:paraId="5793DCC5" w14:textId="4B0DA58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38.4</w:t>
            </w:r>
          </w:p>
        </w:tc>
        <w:tc>
          <w:tcPr>
            <w:tcW w:w="844" w:type="dxa"/>
            <w:shd w:val="clear" w:color="auto" w:fill="auto"/>
            <w:noWrap/>
            <w:vAlign w:val="bottom"/>
            <w:hideMark/>
          </w:tcPr>
          <w:p w14:paraId="5E895D9D" w14:textId="6594441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41.4</w:t>
            </w:r>
          </w:p>
        </w:tc>
        <w:tc>
          <w:tcPr>
            <w:tcW w:w="993" w:type="dxa"/>
            <w:shd w:val="clear" w:color="auto" w:fill="auto"/>
            <w:noWrap/>
            <w:vAlign w:val="bottom"/>
            <w:hideMark/>
          </w:tcPr>
          <w:p w14:paraId="56D92707" w14:textId="0404557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w:t>
            </w:r>
          </w:p>
        </w:tc>
        <w:tc>
          <w:tcPr>
            <w:tcW w:w="992" w:type="dxa"/>
            <w:shd w:val="clear" w:color="auto" w:fill="auto"/>
            <w:noWrap/>
            <w:vAlign w:val="bottom"/>
            <w:hideMark/>
          </w:tcPr>
          <w:p w14:paraId="63BB0CF6" w14:textId="354E569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9.0</w:t>
            </w:r>
          </w:p>
        </w:tc>
      </w:tr>
      <w:tr w:rsidR="00537D4E" w:rsidRPr="00714E84" w14:paraId="49046CFC" w14:textId="77777777" w:rsidTr="00537D4E">
        <w:tc>
          <w:tcPr>
            <w:tcW w:w="998" w:type="dxa"/>
            <w:vMerge/>
            <w:textDirection w:val="btLr"/>
            <w:vAlign w:val="center"/>
          </w:tcPr>
          <w:p w14:paraId="17AC89DC"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376E2545" w14:textId="2488302A"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Since 2004</w:t>
            </w:r>
          </w:p>
        </w:tc>
        <w:tc>
          <w:tcPr>
            <w:tcW w:w="831" w:type="dxa"/>
            <w:shd w:val="clear" w:color="auto" w:fill="auto"/>
            <w:noWrap/>
            <w:vAlign w:val="bottom"/>
            <w:hideMark/>
          </w:tcPr>
          <w:p w14:paraId="1798A68E" w14:textId="195BF15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55.8</w:t>
            </w:r>
          </w:p>
        </w:tc>
        <w:tc>
          <w:tcPr>
            <w:tcW w:w="856" w:type="dxa"/>
            <w:shd w:val="clear" w:color="auto" w:fill="auto"/>
            <w:noWrap/>
            <w:vAlign w:val="bottom"/>
            <w:hideMark/>
          </w:tcPr>
          <w:p w14:paraId="563A4AEF" w14:textId="77454E7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47.8</w:t>
            </w:r>
          </w:p>
        </w:tc>
        <w:tc>
          <w:tcPr>
            <w:tcW w:w="844" w:type="dxa"/>
            <w:shd w:val="clear" w:color="auto" w:fill="auto"/>
            <w:noWrap/>
            <w:vAlign w:val="bottom"/>
            <w:hideMark/>
          </w:tcPr>
          <w:p w14:paraId="15599941" w14:textId="38E04B9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51.3</w:t>
            </w:r>
          </w:p>
        </w:tc>
        <w:tc>
          <w:tcPr>
            <w:tcW w:w="993" w:type="dxa"/>
            <w:shd w:val="clear" w:color="auto" w:fill="auto"/>
            <w:noWrap/>
            <w:vAlign w:val="bottom"/>
            <w:hideMark/>
          </w:tcPr>
          <w:p w14:paraId="295911B4" w14:textId="0FC03B8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6.1</w:t>
            </w:r>
          </w:p>
        </w:tc>
        <w:tc>
          <w:tcPr>
            <w:tcW w:w="992" w:type="dxa"/>
            <w:shd w:val="clear" w:color="auto" w:fill="auto"/>
            <w:noWrap/>
            <w:vAlign w:val="bottom"/>
            <w:hideMark/>
          </w:tcPr>
          <w:p w14:paraId="5908FDFB" w14:textId="5CB80D1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90.6</w:t>
            </w:r>
          </w:p>
        </w:tc>
      </w:tr>
      <w:tr w:rsidR="00537D4E" w:rsidRPr="00714E84" w14:paraId="7A2EC8CC" w14:textId="77777777" w:rsidTr="00537D4E">
        <w:tc>
          <w:tcPr>
            <w:tcW w:w="998" w:type="dxa"/>
            <w:vMerge w:val="restart"/>
            <w:textDirection w:val="btLr"/>
            <w:vAlign w:val="center"/>
          </w:tcPr>
          <w:p w14:paraId="0998E5EA" w14:textId="2EA3C237" w:rsidR="00537D4E" w:rsidRPr="00714E84" w:rsidRDefault="00537D4E" w:rsidP="00537D4E">
            <w:pPr>
              <w:ind w:left="113" w:right="113"/>
              <w:jc w:val="center"/>
              <w:rPr>
                <w:rFonts w:ascii="Calibri" w:eastAsia="Times New Roman" w:hAnsi="Calibri" w:cs="Calibri"/>
                <w:color w:val="000000"/>
                <w:sz w:val="20"/>
                <w:szCs w:val="20"/>
                <w:lang w:val="en-US" w:eastAsia="en-US"/>
              </w:rPr>
            </w:pPr>
            <w:r w:rsidRPr="00714E84">
              <w:rPr>
                <w:rFonts w:ascii="Calibri" w:eastAsia="Times New Roman" w:hAnsi="Calibri" w:cs="Calibri"/>
                <w:b/>
                <w:bCs/>
                <w:color w:val="000000"/>
                <w:sz w:val="20"/>
                <w:szCs w:val="20"/>
                <w:lang w:eastAsia="en-US"/>
              </w:rPr>
              <w:t>Country (UK)</w:t>
            </w:r>
          </w:p>
        </w:tc>
        <w:tc>
          <w:tcPr>
            <w:tcW w:w="3280" w:type="dxa"/>
            <w:shd w:val="clear" w:color="auto" w:fill="auto"/>
            <w:noWrap/>
            <w:vAlign w:val="center"/>
            <w:hideMark/>
          </w:tcPr>
          <w:p w14:paraId="1DAD8339" w14:textId="41EBAEAC"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val="en-US" w:eastAsia="en-US"/>
              </w:rPr>
              <w:t>England (excluding London)</w:t>
            </w:r>
          </w:p>
        </w:tc>
        <w:tc>
          <w:tcPr>
            <w:tcW w:w="831" w:type="dxa"/>
            <w:shd w:val="clear" w:color="auto" w:fill="auto"/>
            <w:noWrap/>
            <w:vAlign w:val="bottom"/>
            <w:hideMark/>
          </w:tcPr>
          <w:p w14:paraId="248FF5DA" w14:textId="1BDC33C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41.1</w:t>
            </w:r>
          </w:p>
        </w:tc>
        <w:tc>
          <w:tcPr>
            <w:tcW w:w="856" w:type="dxa"/>
            <w:shd w:val="clear" w:color="auto" w:fill="auto"/>
            <w:noWrap/>
            <w:vAlign w:val="bottom"/>
            <w:hideMark/>
          </w:tcPr>
          <w:p w14:paraId="41D7855C" w14:textId="69BA569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38.0</w:t>
            </w:r>
          </w:p>
        </w:tc>
        <w:tc>
          <w:tcPr>
            <w:tcW w:w="844" w:type="dxa"/>
            <w:shd w:val="clear" w:color="auto" w:fill="auto"/>
            <w:noWrap/>
            <w:vAlign w:val="bottom"/>
            <w:hideMark/>
          </w:tcPr>
          <w:p w14:paraId="0423FA1C" w14:textId="2C99CDA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39.5</w:t>
            </w:r>
          </w:p>
        </w:tc>
        <w:tc>
          <w:tcPr>
            <w:tcW w:w="993" w:type="dxa"/>
            <w:shd w:val="clear" w:color="auto" w:fill="auto"/>
            <w:noWrap/>
            <w:vAlign w:val="bottom"/>
            <w:hideMark/>
          </w:tcPr>
          <w:p w14:paraId="733EB5EC" w14:textId="2372785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73.5</w:t>
            </w:r>
          </w:p>
        </w:tc>
        <w:tc>
          <w:tcPr>
            <w:tcW w:w="992" w:type="dxa"/>
            <w:shd w:val="clear" w:color="auto" w:fill="auto"/>
            <w:noWrap/>
            <w:vAlign w:val="bottom"/>
            <w:hideMark/>
          </w:tcPr>
          <w:p w14:paraId="47D60FF3" w14:textId="797FC68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70.7</w:t>
            </w:r>
          </w:p>
        </w:tc>
      </w:tr>
      <w:tr w:rsidR="00537D4E" w:rsidRPr="00714E84" w14:paraId="71283BE6" w14:textId="77777777" w:rsidTr="00537D4E">
        <w:tc>
          <w:tcPr>
            <w:tcW w:w="998" w:type="dxa"/>
            <w:vMerge/>
            <w:textDirection w:val="btLr"/>
            <w:vAlign w:val="center"/>
          </w:tcPr>
          <w:p w14:paraId="5533244C" w14:textId="77777777" w:rsidR="00537D4E" w:rsidRPr="00714E84" w:rsidRDefault="00537D4E" w:rsidP="00537D4E">
            <w:pPr>
              <w:ind w:left="113" w:right="113"/>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6FDA2D0C" w14:textId="49B8E4ED"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Wales</w:t>
            </w:r>
          </w:p>
        </w:tc>
        <w:tc>
          <w:tcPr>
            <w:tcW w:w="831" w:type="dxa"/>
            <w:shd w:val="clear" w:color="auto" w:fill="auto"/>
            <w:noWrap/>
            <w:vAlign w:val="bottom"/>
            <w:hideMark/>
          </w:tcPr>
          <w:p w14:paraId="1FFF17C7" w14:textId="35EFD48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40.9</w:t>
            </w:r>
          </w:p>
        </w:tc>
        <w:tc>
          <w:tcPr>
            <w:tcW w:w="856" w:type="dxa"/>
            <w:shd w:val="clear" w:color="auto" w:fill="auto"/>
            <w:noWrap/>
            <w:vAlign w:val="bottom"/>
            <w:hideMark/>
          </w:tcPr>
          <w:p w14:paraId="183FEEDC" w14:textId="4CB819D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40.5</w:t>
            </w:r>
          </w:p>
        </w:tc>
        <w:tc>
          <w:tcPr>
            <w:tcW w:w="844" w:type="dxa"/>
            <w:shd w:val="clear" w:color="auto" w:fill="auto"/>
            <w:noWrap/>
            <w:vAlign w:val="bottom"/>
            <w:hideMark/>
          </w:tcPr>
          <w:p w14:paraId="67BB1EEC" w14:textId="4DC3A00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40.7</w:t>
            </w:r>
          </w:p>
        </w:tc>
        <w:tc>
          <w:tcPr>
            <w:tcW w:w="993" w:type="dxa"/>
            <w:shd w:val="clear" w:color="auto" w:fill="auto"/>
            <w:noWrap/>
            <w:vAlign w:val="bottom"/>
            <w:hideMark/>
          </w:tcPr>
          <w:p w14:paraId="109E3BFF" w14:textId="64DDEC8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w:t>
            </w:r>
          </w:p>
        </w:tc>
        <w:tc>
          <w:tcPr>
            <w:tcW w:w="992" w:type="dxa"/>
            <w:shd w:val="clear" w:color="auto" w:fill="auto"/>
            <w:noWrap/>
            <w:vAlign w:val="bottom"/>
            <w:hideMark/>
          </w:tcPr>
          <w:p w14:paraId="21706D92" w14:textId="30C6D5C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2.2</w:t>
            </w:r>
          </w:p>
        </w:tc>
      </w:tr>
      <w:tr w:rsidR="00537D4E" w:rsidRPr="00714E84" w14:paraId="4AD5DC48" w14:textId="77777777" w:rsidTr="00537D4E">
        <w:tc>
          <w:tcPr>
            <w:tcW w:w="998" w:type="dxa"/>
            <w:vMerge/>
            <w:textDirection w:val="btLr"/>
            <w:vAlign w:val="center"/>
          </w:tcPr>
          <w:p w14:paraId="12E5AA37" w14:textId="77777777" w:rsidR="00537D4E" w:rsidRPr="00714E84" w:rsidRDefault="00537D4E" w:rsidP="00537D4E">
            <w:pPr>
              <w:ind w:left="113" w:right="113"/>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2F8ED9CC" w14:textId="26046D66"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Scotland</w:t>
            </w:r>
          </w:p>
        </w:tc>
        <w:tc>
          <w:tcPr>
            <w:tcW w:w="831" w:type="dxa"/>
            <w:shd w:val="clear" w:color="auto" w:fill="auto"/>
            <w:noWrap/>
            <w:vAlign w:val="bottom"/>
            <w:hideMark/>
          </w:tcPr>
          <w:p w14:paraId="164628AD" w14:textId="5704D12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43.9</w:t>
            </w:r>
          </w:p>
        </w:tc>
        <w:tc>
          <w:tcPr>
            <w:tcW w:w="856" w:type="dxa"/>
            <w:shd w:val="clear" w:color="auto" w:fill="auto"/>
            <w:noWrap/>
            <w:vAlign w:val="bottom"/>
            <w:hideMark/>
          </w:tcPr>
          <w:p w14:paraId="1C9325DA" w14:textId="6ED850B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45.0</w:t>
            </w:r>
          </w:p>
        </w:tc>
        <w:tc>
          <w:tcPr>
            <w:tcW w:w="844" w:type="dxa"/>
            <w:shd w:val="clear" w:color="auto" w:fill="auto"/>
            <w:noWrap/>
            <w:vAlign w:val="bottom"/>
            <w:hideMark/>
          </w:tcPr>
          <w:p w14:paraId="541FEE17" w14:textId="7B9D088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44.5</w:t>
            </w:r>
          </w:p>
        </w:tc>
        <w:tc>
          <w:tcPr>
            <w:tcW w:w="993" w:type="dxa"/>
            <w:shd w:val="clear" w:color="auto" w:fill="auto"/>
            <w:noWrap/>
            <w:vAlign w:val="bottom"/>
            <w:hideMark/>
          </w:tcPr>
          <w:p w14:paraId="67FDD6A6" w14:textId="525D9FC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8.8</w:t>
            </w:r>
          </w:p>
        </w:tc>
        <w:tc>
          <w:tcPr>
            <w:tcW w:w="992" w:type="dxa"/>
            <w:shd w:val="clear" w:color="auto" w:fill="auto"/>
            <w:noWrap/>
            <w:vAlign w:val="bottom"/>
            <w:hideMark/>
          </w:tcPr>
          <w:p w14:paraId="10208688" w14:textId="6CC762B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8.3</w:t>
            </w:r>
          </w:p>
        </w:tc>
      </w:tr>
      <w:tr w:rsidR="00537D4E" w:rsidRPr="00714E84" w14:paraId="7D61C4BF" w14:textId="77777777" w:rsidTr="00537D4E">
        <w:tc>
          <w:tcPr>
            <w:tcW w:w="998" w:type="dxa"/>
            <w:vMerge/>
            <w:textDirection w:val="btLr"/>
            <w:vAlign w:val="center"/>
          </w:tcPr>
          <w:p w14:paraId="47DE867A" w14:textId="77777777" w:rsidR="00537D4E" w:rsidRPr="00714E84" w:rsidRDefault="00537D4E" w:rsidP="00537D4E">
            <w:pPr>
              <w:ind w:left="113" w:right="113"/>
              <w:jc w:val="center"/>
              <w:rPr>
                <w:rFonts w:ascii="Calibri" w:eastAsia="Times New Roman" w:hAnsi="Calibri" w:cs="Calibri"/>
                <w:color w:val="000000"/>
                <w:sz w:val="20"/>
                <w:szCs w:val="20"/>
                <w:lang w:eastAsia="en-US"/>
              </w:rPr>
            </w:pPr>
          </w:p>
        </w:tc>
        <w:tc>
          <w:tcPr>
            <w:tcW w:w="3280" w:type="dxa"/>
            <w:shd w:val="clear" w:color="auto" w:fill="auto"/>
            <w:noWrap/>
            <w:vAlign w:val="center"/>
            <w:hideMark/>
          </w:tcPr>
          <w:p w14:paraId="09709DF0" w14:textId="0FBFB063"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eastAsia="en-US"/>
              </w:rPr>
              <w:t>London</w:t>
            </w:r>
          </w:p>
        </w:tc>
        <w:tc>
          <w:tcPr>
            <w:tcW w:w="831" w:type="dxa"/>
            <w:shd w:val="clear" w:color="auto" w:fill="auto"/>
            <w:noWrap/>
            <w:vAlign w:val="bottom"/>
            <w:hideMark/>
          </w:tcPr>
          <w:p w14:paraId="4067A341" w14:textId="3822127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44.2</w:t>
            </w:r>
          </w:p>
        </w:tc>
        <w:tc>
          <w:tcPr>
            <w:tcW w:w="856" w:type="dxa"/>
            <w:shd w:val="clear" w:color="auto" w:fill="auto"/>
            <w:noWrap/>
            <w:vAlign w:val="bottom"/>
            <w:hideMark/>
          </w:tcPr>
          <w:p w14:paraId="62EECEC0" w14:textId="0E2C3EB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37.6</w:t>
            </w:r>
          </w:p>
        </w:tc>
        <w:tc>
          <w:tcPr>
            <w:tcW w:w="844" w:type="dxa"/>
            <w:shd w:val="clear" w:color="auto" w:fill="auto"/>
            <w:noWrap/>
            <w:vAlign w:val="bottom"/>
            <w:hideMark/>
          </w:tcPr>
          <w:p w14:paraId="7E7E894B" w14:textId="526EF59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40.6</w:t>
            </w:r>
          </w:p>
        </w:tc>
        <w:tc>
          <w:tcPr>
            <w:tcW w:w="993" w:type="dxa"/>
            <w:shd w:val="clear" w:color="auto" w:fill="auto"/>
            <w:noWrap/>
            <w:vAlign w:val="bottom"/>
            <w:hideMark/>
          </w:tcPr>
          <w:p w14:paraId="5765F183" w14:textId="05D1103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13.1</w:t>
            </w:r>
          </w:p>
        </w:tc>
        <w:tc>
          <w:tcPr>
            <w:tcW w:w="992" w:type="dxa"/>
            <w:shd w:val="clear" w:color="auto" w:fill="auto"/>
            <w:noWrap/>
            <w:vAlign w:val="bottom"/>
            <w:hideMark/>
          </w:tcPr>
          <w:p w14:paraId="7CEF24C0" w14:textId="40676D0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18.8</w:t>
            </w:r>
          </w:p>
        </w:tc>
      </w:tr>
      <w:tr w:rsidR="00537D4E" w:rsidRPr="00714E84" w14:paraId="1E94CB47" w14:textId="77777777" w:rsidTr="00537D4E">
        <w:tc>
          <w:tcPr>
            <w:tcW w:w="998" w:type="dxa"/>
            <w:vMerge w:val="restart"/>
            <w:textDirection w:val="btLr"/>
            <w:vAlign w:val="center"/>
          </w:tcPr>
          <w:p w14:paraId="4FC44D28" w14:textId="3778DA90" w:rsidR="00537D4E" w:rsidRPr="00714E84" w:rsidRDefault="00537D4E" w:rsidP="00537D4E">
            <w:pPr>
              <w:ind w:left="113" w:right="113"/>
              <w:jc w:val="center"/>
              <w:rPr>
                <w:rFonts w:ascii="Calibri" w:eastAsia="Times New Roman" w:hAnsi="Calibri" w:cs="Calibri"/>
                <w:color w:val="000000"/>
                <w:sz w:val="20"/>
                <w:szCs w:val="20"/>
                <w:lang w:val="en-US" w:eastAsia="en-US"/>
              </w:rPr>
            </w:pPr>
            <w:r w:rsidRPr="00714E84">
              <w:rPr>
                <w:rFonts w:ascii="Calibri" w:eastAsia="Times New Roman" w:hAnsi="Calibri" w:cs="Calibri"/>
                <w:b/>
                <w:bCs/>
                <w:color w:val="000000"/>
                <w:sz w:val="20"/>
                <w:szCs w:val="20"/>
                <w:lang w:val="en-US" w:eastAsia="en-US"/>
              </w:rPr>
              <w:t>Sectors and employment</w:t>
            </w:r>
          </w:p>
        </w:tc>
        <w:tc>
          <w:tcPr>
            <w:tcW w:w="3280" w:type="dxa"/>
            <w:shd w:val="clear" w:color="auto" w:fill="auto"/>
            <w:noWrap/>
            <w:vAlign w:val="center"/>
            <w:hideMark/>
          </w:tcPr>
          <w:p w14:paraId="43F31CFC" w14:textId="2E676617"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val="en-US" w:eastAsia="en-US"/>
              </w:rPr>
              <w:t>Private sector</w:t>
            </w:r>
          </w:p>
        </w:tc>
        <w:tc>
          <w:tcPr>
            <w:tcW w:w="831" w:type="dxa"/>
            <w:shd w:val="clear" w:color="auto" w:fill="auto"/>
            <w:noWrap/>
            <w:vAlign w:val="bottom"/>
            <w:hideMark/>
          </w:tcPr>
          <w:p w14:paraId="60ABC902" w14:textId="5ACDE8E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45.5</w:t>
            </w:r>
          </w:p>
        </w:tc>
        <w:tc>
          <w:tcPr>
            <w:tcW w:w="856" w:type="dxa"/>
            <w:shd w:val="clear" w:color="auto" w:fill="auto"/>
            <w:noWrap/>
            <w:vAlign w:val="bottom"/>
            <w:hideMark/>
          </w:tcPr>
          <w:p w14:paraId="394B4D49" w14:textId="286DA7F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39.8</w:t>
            </w:r>
          </w:p>
        </w:tc>
        <w:tc>
          <w:tcPr>
            <w:tcW w:w="844" w:type="dxa"/>
            <w:shd w:val="clear" w:color="auto" w:fill="auto"/>
            <w:noWrap/>
            <w:vAlign w:val="bottom"/>
            <w:hideMark/>
          </w:tcPr>
          <w:p w14:paraId="18E0B127" w14:textId="11D1565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42.2</w:t>
            </w:r>
          </w:p>
        </w:tc>
        <w:tc>
          <w:tcPr>
            <w:tcW w:w="993" w:type="dxa"/>
            <w:shd w:val="clear" w:color="auto" w:fill="auto"/>
            <w:noWrap/>
            <w:vAlign w:val="bottom"/>
            <w:hideMark/>
          </w:tcPr>
          <w:p w14:paraId="7EF8F184" w14:textId="26EB315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72.1</w:t>
            </w:r>
          </w:p>
        </w:tc>
        <w:tc>
          <w:tcPr>
            <w:tcW w:w="992" w:type="dxa"/>
            <w:shd w:val="clear" w:color="auto" w:fill="auto"/>
            <w:noWrap/>
            <w:vAlign w:val="bottom"/>
            <w:hideMark/>
          </w:tcPr>
          <w:p w14:paraId="2F5658AE" w14:textId="27D16EC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92.9</w:t>
            </w:r>
          </w:p>
        </w:tc>
      </w:tr>
      <w:tr w:rsidR="00537D4E" w:rsidRPr="00714E84" w14:paraId="0D4B5CAB" w14:textId="77777777" w:rsidTr="00537D4E">
        <w:tc>
          <w:tcPr>
            <w:tcW w:w="998" w:type="dxa"/>
            <w:vMerge/>
            <w:textDirection w:val="btLr"/>
            <w:vAlign w:val="center"/>
          </w:tcPr>
          <w:p w14:paraId="3F084F28"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4D4721E2" w14:textId="38D0D857"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Public sector</w:t>
            </w:r>
          </w:p>
        </w:tc>
        <w:tc>
          <w:tcPr>
            <w:tcW w:w="831" w:type="dxa"/>
            <w:shd w:val="clear" w:color="auto" w:fill="auto"/>
            <w:noWrap/>
            <w:vAlign w:val="bottom"/>
            <w:hideMark/>
          </w:tcPr>
          <w:p w14:paraId="3CEBB2B1" w14:textId="28930E9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35.3</w:t>
            </w:r>
          </w:p>
        </w:tc>
        <w:tc>
          <w:tcPr>
            <w:tcW w:w="856" w:type="dxa"/>
            <w:shd w:val="clear" w:color="auto" w:fill="auto"/>
            <w:noWrap/>
            <w:vAlign w:val="bottom"/>
            <w:hideMark/>
          </w:tcPr>
          <w:p w14:paraId="3933171A" w14:textId="2CA3E2A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33.7</w:t>
            </w:r>
          </w:p>
        </w:tc>
        <w:tc>
          <w:tcPr>
            <w:tcW w:w="844" w:type="dxa"/>
            <w:shd w:val="clear" w:color="auto" w:fill="auto"/>
            <w:noWrap/>
            <w:vAlign w:val="bottom"/>
            <w:hideMark/>
          </w:tcPr>
          <w:p w14:paraId="780A2260" w14:textId="263B80D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34.7</w:t>
            </w:r>
          </w:p>
        </w:tc>
        <w:tc>
          <w:tcPr>
            <w:tcW w:w="993" w:type="dxa"/>
            <w:shd w:val="clear" w:color="auto" w:fill="auto"/>
            <w:noWrap/>
            <w:vAlign w:val="bottom"/>
            <w:hideMark/>
          </w:tcPr>
          <w:p w14:paraId="37D5A63A" w14:textId="53CB170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27.9</w:t>
            </w:r>
          </w:p>
        </w:tc>
        <w:tc>
          <w:tcPr>
            <w:tcW w:w="992" w:type="dxa"/>
            <w:shd w:val="clear" w:color="auto" w:fill="auto"/>
            <w:noWrap/>
            <w:vAlign w:val="bottom"/>
            <w:hideMark/>
          </w:tcPr>
          <w:p w14:paraId="1A56C189" w14:textId="313EDCE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7.1</w:t>
            </w:r>
          </w:p>
        </w:tc>
      </w:tr>
      <w:tr w:rsidR="00537D4E" w:rsidRPr="00714E84" w14:paraId="3476B60A" w14:textId="77777777" w:rsidTr="00537D4E">
        <w:tc>
          <w:tcPr>
            <w:tcW w:w="998" w:type="dxa"/>
            <w:vMerge/>
            <w:textDirection w:val="btLr"/>
            <w:vAlign w:val="center"/>
          </w:tcPr>
          <w:p w14:paraId="4DD9AD50"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bottom"/>
            <w:hideMark/>
          </w:tcPr>
          <w:p w14:paraId="1F2ED2EE" w14:textId="3CD18B4C"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val="en-US" w:eastAsia="en-US"/>
              </w:rPr>
              <w:t>Permanent job</w:t>
            </w:r>
          </w:p>
        </w:tc>
        <w:tc>
          <w:tcPr>
            <w:tcW w:w="831" w:type="dxa"/>
            <w:shd w:val="clear" w:color="auto" w:fill="auto"/>
            <w:noWrap/>
            <w:vAlign w:val="bottom"/>
            <w:hideMark/>
          </w:tcPr>
          <w:p w14:paraId="625EC0E3" w14:textId="53AD6BB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41.3</w:t>
            </w:r>
          </w:p>
        </w:tc>
        <w:tc>
          <w:tcPr>
            <w:tcW w:w="856" w:type="dxa"/>
            <w:shd w:val="clear" w:color="auto" w:fill="auto"/>
            <w:noWrap/>
            <w:vAlign w:val="bottom"/>
            <w:hideMark/>
          </w:tcPr>
          <w:p w14:paraId="681AA8CB" w14:textId="3F098D7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38.0</w:t>
            </w:r>
          </w:p>
        </w:tc>
        <w:tc>
          <w:tcPr>
            <w:tcW w:w="844" w:type="dxa"/>
            <w:shd w:val="clear" w:color="auto" w:fill="auto"/>
            <w:noWrap/>
            <w:vAlign w:val="bottom"/>
            <w:hideMark/>
          </w:tcPr>
          <w:p w14:paraId="61CA55E7" w14:textId="6C83F29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39.6</w:t>
            </w:r>
          </w:p>
        </w:tc>
        <w:tc>
          <w:tcPr>
            <w:tcW w:w="993" w:type="dxa"/>
            <w:shd w:val="clear" w:color="auto" w:fill="auto"/>
            <w:noWrap/>
            <w:vAlign w:val="bottom"/>
            <w:hideMark/>
          </w:tcPr>
          <w:p w14:paraId="2A4E56CF" w14:textId="1CFEF3E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94.5</w:t>
            </w:r>
          </w:p>
        </w:tc>
        <w:tc>
          <w:tcPr>
            <w:tcW w:w="992" w:type="dxa"/>
            <w:shd w:val="clear" w:color="auto" w:fill="auto"/>
            <w:noWrap/>
            <w:vAlign w:val="bottom"/>
            <w:hideMark/>
          </w:tcPr>
          <w:p w14:paraId="1A651F83" w14:textId="7BDEFB5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91.1</w:t>
            </w:r>
          </w:p>
        </w:tc>
      </w:tr>
      <w:tr w:rsidR="00537D4E" w:rsidRPr="00714E84" w14:paraId="4A96170B" w14:textId="77777777" w:rsidTr="00537D4E">
        <w:tc>
          <w:tcPr>
            <w:tcW w:w="998" w:type="dxa"/>
            <w:vMerge/>
            <w:textDirection w:val="btLr"/>
            <w:vAlign w:val="center"/>
          </w:tcPr>
          <w:p w14:paraId="0B27DC42"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4932621E" w14:textId="32DAB393"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 xml:space="preserve">Temporary job </w:t>
            </w:r>
          </w:p>
        </w:tc>
        <w:tc>
          <w:tcPr>
            <w:tcW w:w="831" w:type="dxa"/>
            <w:shd w:val="clear" w:color="auto" w:fill="auto"/>
            <w:noWrap/>
            <w:vAlign w:val="bottom"/>
            <w:hideMark/>
          </w:tcPr>
          <w:p w14:paraId="2CEAF37D" w14:textId="345D3B6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48.9</w:t>
            </w:r>
          </w:p>
        </w:tc>
        <w:tc>
          <w:tcPr>
            <w:tcW w:w="856" w:type="dxa"/>
            <w:shd w:val="clear" w:color="auto" w:fill="auto"/>
            <w:noWrap/>
            <w:vAlign w:val="bottom"/>
            <w:hideMark/>
          </w:tcPr>
          <w:p w14:paraId="4C8BCD0A" w14:textId="77BDCA7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50.3</w:t>
            </w:r>
          </w:p>
        </w:tc>
        <w:tc>
          <w:tcPr>
            <w:tcW w:w="844" w:type="dxa"/>
            <w:shd w:val="clear" w:color="auto" w:fill="auto"/>
            <w:noWrap/>
            <w:vAlign w:val="bottom"/>
            <w:hideMark/>
          </w:tcPr>
          <w:p w14:paraId="2A45CF2D" w14:textId="470E345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49.6</w:t>
            </w:r>
          </w:p>
        </w:tc>
        <w:tc>
          <w:tcPr>
            <w:tcW w:w="993" w:type="dxa"/>
            <w:shd w:val="clear" w:color="auto" w:fill="auto"/>
            <w:noWrap/>
            <w:vAlign w:val="bottom"/>
            <w:hideMark/>
          </w:tcPr>
          <w:p w14:paraId="5329C352" w14:textId="06F9DAA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5.5</w:t>
            </w:r>
          </w:p>
        </w:tc>
        <w:tc>
          <w:tcPr>
            <w:tcW w:w="992" w:type="dxa"/>
            <w:shd w:val="clear" w:color="auto" w:fill="auto"/>
            <w:noWrap/>
            <w:vAlign w:val="bottom"/>
            <w:hideMark/>
          </w:tcPr>
          <w:p w14:paraId="0436EFB1" w14:textId="3A46CAC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8.9</w:t>
            </w:r>
          </w:p>
        </w:tc>
      </w:tr>
      <w:tr w:rsidR="00537D4E" w:rsidRPr="00714E84" w14:paraId="4155DBEF" w14:textId="77777777" w:rsidTr="00537D4E">
        <w:tc>
          <w:tcPr>
            <w:tcW w:w="998" w:type="dxa"/>
            <w:vMerge/>
            <w:textDirection w:val="btLr"/>
            <w:vAlign w:val="center"/>
          </w:tcPr>
          <w:p w14:paraId="1EDF7D0D"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7AFECE3E" w14:textId="133978E4"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Full time</w:t>
            </w:r>
          </w:p>
        </w:tc>
        <w:tc>
          <w:tcPr>
            <w:tcW w:w="831" w:type="dxa"/>
            <w:shd w:val="clear" w:color="auto" w:fill="auto"/>
            <w:noWrap/>
            <w:vAlign w:val="bottom"/>
            <w:hideMark/>
          </w:tcPr>
          <w:p w14:paraId="1C3B2B25" w14:textId="48DD38E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39.0</w:t>
            </w:r>
          </w:p>
        </w:tc>
        <w:tc>
          <w:tcPr>
            <w:tcW w:w="856" w:type="dxa"/>
            <w:shd w:val="clear" w:color="auto" w:fill="auto"/>
            <w:noWrap/>
            <w:vAlign w:val="bottom"/>
            <w:hideMark/>
          </w:tcPr>
          <w:p w14:paraId="24F2DF6B" w14:textId="69DC301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37.4</w:t>
            </w:r>
          </w:p>
        </w:tc>
        <w:tc>
          <w:tcPr>
            <w:tcW w:w="844" w:type="dxa"/>
            <w:shd w:val="clear" w:color="auto" w:fill="auto"/>
            <w:noWrap/>
            <w:vAlign w:val="bottom"/>
            <w:hideMark/>
          </w:tcPr>
          <w:p w14:paraId="1471CF76" w14:textId="3F2D8AB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38.0</w:t>
            </w:r>
          </w:p>
        </w:tc>
        <w:tc>
          <w:tcPr>
            <w:tcW w:w="993" w:type="dxa"/>
            <w:shd w:val="clear" w:color="auto" w:fill="auto"/>
            <w:noWrap/>
            <w:vAlign w:val="bottom"/>
            <w:hideMark/>
          </w:tcPr>
          <w:p w14:paraId="6D308F32" w14:textId="5130713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77.4</w:t>
            </w:r>
          </w:p>
        </w:tc>
        <w:tc>
          <w:tcPr>
            <w:tcW w:w="992" w:type="dxa"/>
            <w:shd w:val="clear" w:color="auto" w:fill="auto"/>
            <w:noWrap/>
            <w:vAlign w:val="bottom"/>
            <w:hideMark/>
          </w:tcPr>
          <w:p w14:paraId="7AF26D3E" w14:textId="4A733A4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85.0</w:t>
            </w:r>
          </w:p>
        </w:tc>
      </w:tr>
      <w:tr w:rsidR="00537D4E" w:rsidRPr="00714E84" w14:paraId="5AF8C1D0" w14:textId="77777777" w:rsidTr="00537D4E">
        <w:tc>
          <w:tcPr>
            <w:tcW w:w="998" w:type="dxa"/>
            <w:vMerge/>
            <w:textDirection w:val="btLr"/>
            <w:vAlign w:val="center"/>
          </w:tcPr>
          <w:p w14:paraId="1C934047" w14:textId="77777777" w:rsidR="00537D4E" w:rsidRPr="00714E84" w:rsidRDefault="00537D4E" w:rsidP="00537D4E">
            <w:pPr>
              <w:ind w:left="113" w:right="113"/>
              <w:jc w:val="cente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15E335C5" w14:textId="7ECD145D"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Part time</w:t>
            </w:r>
          </w:p>
        </w:tc>
        <w:tc>
          <w:tcPr>
            <w:tcW w:w="831" w:type="dxa"/>
            <w:shd w:val="clear" w:color="auto" w:fill="auto"/>
            <w:noWrap/>
            <w:vAlign w:val="bottom"/>
            <w:hideMark/>
          </w:tcPr>
          <w:p w14:paraId="48928728" w14:textId="419032C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46.2</w:t>
            </w:r>
          </w:p>
        </w:tc>
        <w:tc>
          <w:tcPr>
            <w:tcW w:w="856" w:type="dxa"/>
            <w:shd w:val="clear" w:color="auto" w:fill="auto"/>
            <w:noWrap/>
            <w:vAlign w:val="bottom"/>
            <w:hideMark/>
          </w:tcPr>
          <w:p w14:paraId="3857D309" w14:textId="53F7D1F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52.1</w:t>
            </w:r>
          </w:p>
        </w:tc>
        <w:tc>
          <w:tcPr>
            <w:tcW w:w="844" w:type="dxa"/>
            <w:shd w:val="clear" w:color="auto" w:fill="auto"/>
            <w:noWrap/>
            <w:vAlign w:val="bottom"/>
            <w:hideMark/>
          </w:tcPr>
          <w:p w14:paraId="1C47E161" w14:textId="653F690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47.3</w:t>
            </w:r>
          </w:p>
        </w:tc>
        <w:tc>
          <w:tcPr>
            <w:tcW w:w="993" w:type="dxa"/>
            <w:shd w:val="clear" w:color="auto" w:fill="auto"/>
            <w:noWrap/>
            <w:vAlign w:val="bottom"/>
            <w:hideMark/>
          </w:tcPr>
          <w:p w14:paraId="0C9E094D" w14:textId="4CADA33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22.6</w:t>
            </w:r>
          </w:p>
        </w:tc>
        <w:tc>
          <w:tcPr>
            <w:tcW w:w="992" w:type="dxa"/>
            <w:shd w:val="clear" w:color="auto" w:fill="auto"/>
            <w:noWrap/>
            <w:vAlign w:val="bottom"/>
            <w:hideMark/>
          </w:tcPr>
          <w:p w14:paraId="25D79841" w14:textId="3C5A3A4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15.0</w:t>
            </w:r>
          </w:p>
        </w:tc>
      </w:tr>
      <w:tr w:rsidR="00537D4E" w:rsidRPr="00714E84" w14:paraId="6F1D0F78" w14:textId="77777777" w:rsidTr="00537D4E">
        <w:tc>
          <w:tcPr>
            <w:tcW w:w="998" w:type="dxa"/>
            <w:vMerge w:val="restart"/>
            <w:textDirection w:val="btLr"/>
            <w:vAlign w:val="center"/>
          </w:tcPr>
          <w:p w14:paraId="26E2D3F8" w14:textId="389D90C2" w:rsidR="00537D4E" w:rsidRPr="00714E84" w:rsidRDefault="00537D4E" w:rsidP="00537D4E">
            <w:pPr>
              <w:ind w:left="113" w:right="113"/>
              <w:jc w:val="center"/>
              <w:rPr>
                <w:rFonts w:ascii="Calibri" w:eastAsia="Times New Roman" w:hAnsi="Calibri" w:cs="Calibri"/>
                <w:color w:val="000000"/>
                <w:sz w:val="20"/>
                <w:szCs w:val="20"/>
                <w:lang w:val="en-US" w:eastAsia="en-US"/>
              </w:rPr>
            </w:pPr>
            <w:r w:rsidRPr="00714E84">
              <w:rPr>
                <w:rFonts w:ascii="Calibri" w:eastAsia="Times New Roman" w:hAnsi="Calibri" w:cs="Calibri"/>
                <w:b/>
                <w:bCs/>
                <w:color w:val="000000"/>
                <w:sz w:val="20"/>
                <w:szCs w:val="20"/>
                <w:lang w:val="en-US" w:eastAsia="en-US"/>
              </w:rPr>
              <w:t>Industry Sector - main job</w:t>
            </w:r>
          </w:p>
        </w:tc>
        <w:tc>
          <w:tcPr>
            <w:tcW w:w="3280" w:type="dxa"/>
            <w:shd w:val="clear" w:color="auto" w:fill="auto"/>
            <w:noWrap/>
            <w:vAlign w:val="center"/>
            <w:hideMark/>
          </w:tcPr>
          <w:p w14:paraId="6CD7BD52" w14:textId="265BB2B0"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Agriculture, forestry and fishing</w:t>
            </w:r>
          </w:p>
        </w:tc>
        <w:tc>
          <w:tcPr>
            <w:tcW w:w="831" w:type="dxa"/>
            <w:shd w:val="clear" w:color="auto" w:fill="auto"/>
            <w:noWrap/>
            <w:vAlign w:val="bottom"/>
            <w:hideMark/>
          </w:tcPr>
          <w:p w14:paraId="2B86E189" w14:textId="6C79DD4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52.1</w:t>
            </w:r>
          </w:p>
        </w:tc>
        <w:tc>
          <w:tcPr>
            <w:tcW w:w="856" w:type="dxa"/>
            <w:shd w:val="clear" w:color="auto" w:fill="auto"/>
            <w:noWrap/>
            <w:vAlign w:val="bottom"/>
            <w:hideMark/>
          </w:tcPr>
          <w:p w14:paraId="70870A3A" w14:textId="1A2BBF5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57.5</w:t>
            </w:r>
          </w:p>
        </w:tc>
        <w:tc>
          <w:tcPr>
            <w:tcW w:w="844" w:type="dxa"/>
            <w:shd w:val="clear" w:color="auto" w:fill="auto"/>
            <w:noWrap/>
            <w:vAlign w:val="bottom"/>
            <w:hideMark/>
          </w:tcPr>
          <w:p w14:paraId="07A03B86" w14:textId="1B57797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56.0</w:t>
            </w:r>
          </w:p>
        </w:tc>
        <w:tc>
          <w:tcPr>
            <w:tcW w:w="993" w:type="dxa"/>
            <w:shd w:val="clear" w:color="auto" w:fill="auto"/>
            <w:noWrap/>
            <w:vAlign w:val="bottom"/>
            <w:hideMark/>
          </w:tcPr>
          <w:p w14:paraId="29183F40" w14:textId="05DAB6ED"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0.6</w:t>
            </w:r>
          </w:p>
        </w:tc>
        <w:tc>
          <w:tcPr>
            <w:tcW w:w="992" w:type="dxa"/>
            <w:shd w:val="clear" w:color="auto" w:fill="auto"/>
            <w:noWrap/>
            <w:vAlign w:val="bottom"/>
            <w:hideMark/>
          </w:tcPr>
          <w:p w14:paraId="223F3D3D" w14:textId="32A8518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2.0</w:t>
            </w:r>
          </w:p>
        </w:tc>
      </w:tr>
      <w:tr w:rsidR="00537D4E" w:rsidRPr="00714E84" w14:paraId="6BBBE6F4" w14:textId="77777777" w:rsidTr="00537D4E">
        <w:tc>
          <w:tcPr>
            <w:tcW w:w="998" w:type="dxa"/>
            <w:vMerge/>
          </w:tcPr>
          <w:p w14:paraId="50930830"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48E76548" w14:textId="66EA9640"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Energy and water</w:t>
            </w:r>
          </w:p>
        </w:tc>
        <w:tc>
          <w:tcPr>
            <w:tcW w:w="831" w:type="dxa"/>
            <w:shd w:val="clear" w:color="auto" w:fill="auto"/>
            <w:noWrap/>
            <w:vAlign w:val="bottom"/>
            <w:hideMark/>
          </w:tcPr>
          <w:p w14:paraId="70254A34" w14:textId="7E4C810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45.6</w:t>
            </w:r>
          </w:p>
        </w:tc>
        <w:tc>
          <w:tcPr>
            <w:tcW w:w="856" w:type="dxa"/>
            <w:shd w:val="clear" w:color="auto" w:fill="auto"/>
            <w:noWrap/>
            <w:vAlign w:val="bottom"/>
            <w:hideMark/>
          </w:tcPr>
          <w:p w14:paraId="619C9EEE" w14:textId="57FFEE3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40.0</w:t>
            </w:r>
          </w:p>
        </w:tc>
        <w:tc>
          <w:tcPr>
            <w:tcW w:w="844" w:type="dxa"/>
            <w:shd w:val="clear" w:color="auto" w:fill="auto"/>
            <w:noWrap/>
            <w:vAlign w:val="bottom"/>
            <w:hideMark/>
          </w:tcPr>
          <w:p w14:paraId="5089FBFB" w14:textId="1061D49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41.2</w:t>
            </w:r>
          </w:p>
        </w:tc>
        <w:tc>
          <w:tcPr>
            <w:tcW w:w="993" w:type="dxa"/>
            <w:shd w:val="clear" w:color="auto" w:fill="auto"/>
            <w:noWrap/>
            <w:vAlign w:val="bottom"/>
            <w:hideMark/>
          </w:tcPr>
          <w:p w14:paraId="5894BF1F" w14:textId="1425C2A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2.1</w:t>
            </w:r>
          </w:p>
        </w:tc>
        <w:tc>
          <w:tcPr>
            <w:tcW w:w="992" w:type="dxa"/>
            <w:shd w:val="clear" w:color="auto" w:fill="auto"/>
            <w:noWrap/>
            <w:vAlign w:val="bottom"/>
            <w:hideMark/>
          </w:tcPr>
          <w:p w14:paraId="5D74FA87" w14:textId="07A96F0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2.0</w:t>
            </w:r>
          </w:p>
        </w:tc>
      </w:tr>
      <w:tr w:rsidR="00537D4E" w:rsidRPr="00714E84" w14:paraId="630FCBC6" w14:textId="77777777" w:rsidTr="00537D4E">
        <w:tc>
          <w:tcPr>
            <w:tcW w:w="998" w:type="dxa"/>
            <w:vMerge/>
          </w:tcPr>
          <w:p w14:paraId="3703D24E"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22981DA5" w14:textId="33AE0BB4"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Manufacturing</w:t>
            </w:r>
          </w:p>
        </w:tc>
        <w:tc>
          <w:tcPr>
            <w:tcW w:w="831" w:type="dxa"/>
            <w:shd w:val="clear" w:color="auto" w:fill="auto"/>
            <w:noWrap/>
            <w:vAlign w:val="bottom"/>
            <w:hideMark/>
          </w:tcPr>
          <w:p w14:paraId="40B61849" w14:textId="0A159B7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40.2</w:t>
            </w:r>
          </w:p>
        </w:tc>
        <w:tc>
          <w:tcPr>
            <w:tcW w:w="856" w:type="dxa"/>
            <w:shd w:val="clear" w:color="auto" w:fill="auto"/>
            <w:noWrap/>
            <w:vAlign w:val="bottom"/>
            <w:hideMark/>
          </w:tcPr>
          <w:p w14:paraId="24CE7E17" w14:textId="79F9ECF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37.5</w:t>
            </w:r>
          </w:p>
        </w:tc>
        <w:tc>
          <w:tcPr>
            <w:tcW w:w="844" w:type="dxa"/>
            <w:shd w:val="clear" w:color="auto" w:fill="auto"/>
            <w:noWrap/>
            <w:vAlign w:val="bottom"/>
            <w:hideMark/>
          </w:tcPr>
          <w:p w14:paraId="20C7FC78" w14:textId="040567B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38.1</w:t>
            </w:r>
          </w:p>
        </w:tc>
        <w:tc>
          <w:tcPr>
            <w:tcW w:w="993" w:type="dxa"/>
            <w:shd w:val="clear" w:color="auto" w:fill="auto"/>
            <w:noWrap/>
            <w:vAlign w:val="bottom"/>
            <w:hideMark/>
          </w:tcPr>
          <w:p w14:paraId="332D3F57" w14:textId="5E680415"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11.3</w:t>
            </w:r>
          </w:p>
        </w:tc>
        <w:tc>
          <w:tcPr>
            <w:tcW w:w="992" w:type="dxa"/>
            <w:shd w:val="clear" w:color="auto" w:fill="auto"/>
            <w:noWrap/>
            <w:vAlign w:val="bottom"/>
            <w:hideMark/>
          </w:tcPr>
          <w:p w14:paraId="69E3CBD6" w14:textId="5771937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24.9</w:t>
            </w:r>
          </w:p>
        </w:tc>
      </w:tr>
      <w:tr w:rsidR="00537D4E" w:rsidRPr="00714E84" w14:paraId="5B7D6390" w14:textId="77777777" w:rsidTr="00537D4E">
        <w:tc>
          <w:tcPr>
            <w:tcW w:w="998" w:type="dxa"/>
            <w:vMerge/>
          </w:tcPr>
          <w:p w14:paraId="49559617"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70094E82" w14:textId="28A7D2FA"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 xml:space="preserve">Construction </w:t>
            </w:r>
          </w:p>
        </w:tc>
        <w:tc>
          <w:tcPr>
            <w:tcW w:w="831" w:type="dxa"/>
            <w:shd w:val="clear" w:color="auto" w:fill="auto"/>
            <w:noWrap/>
            <w:vAlign w:val="bottom"/>
            <w:hideMark/>
          </w:tcPr>
          <w:p w14:paraId="3015BA6D" w14:textId="3B32FD0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41.0</w:t>
            </w:r>
          </w:p>
        </w:tc>
        <w:tc>
          <w:tcPr>
            <w:tcW w:w="856" w:type="dxa"/>
            <w:shd w:val="clear" w:color="auto" w:fill="auto"/>
            <w:noWrap/>
            <w:vAlign w:val="bottom"/>
            <w:hideMark/>
          </w:tcPr>
          <w:p w14:paraId="4C9DC256" w14:textId="2E226D6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42.3</w:t>
            </w:r>
          </w:p>
        </w:tc>
        <w:tc>
          <w:tcPr>
            <w:tcW w:w="844" w:type="dxa"/>
            <w:shd w:val="clear" w:color="auto" w:fill="auto"/>
            <w:noWrap/>
            <w:vAlign w:val="bottom"/>
            <w:hideMark/>
          </w:tcPr>
          <w:p w14:paraId="5B3535CE" w14:textId="79CC0386"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42.1</w:t>
            </w:r>
          </w:p>
        </w:tc>
        <w:tc>
          <w:tcPr>
            <w:tcW w:w="993" w:type="dxa"/>
            <w:shd w:val="clear" w:color="auto" w:fill="auto"/>
            <w:noWrap/>
            <w:vAlign w:val="bottom"/>
            <w:hideMark/>
          </w:tcPr>
          <w:p w14:paraId="235E1480" w14:textId="22B0163B"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5.2</w:t>
            </w:r>
          </w:p>
        </w:tc>
        <w:tc>
          <w:tcPr>
            <w:tcW w:w="992" w:type="dxa"/>
            <w:shd w:val="clear" w:color="auto" w:fill="auto"/>
            <w:noWrap/>
            <w:vAlign w:val="bottom"/>
            <w:hideMark/>
          </w:tcPr>
          <w:p w14:paraId="6B454538" w14:textId="5851944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3.6</w:t>
            </w:r>
          </w:p>
        </w:tc>
      </w:tr>
      <w:tr w:rsidR="00537D4E" w:rsidRPr="00714E84" w14:paraId="4AB22B05" w14:textId="77777777" w:rsidTr="00537D4E">
        <w:tc>
          <w:tcPr>
            <w:tcW w:w="998" w:type="dxa"/>
            <w:vMerge/>
          </w:tcPr>
          <w:p w14:paraId="0789853D"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bottom"/>
            <w:hideMark/>
          </w:tcPr>
          <w:p w14:paraId="74616CA4" w14:textId="736BBEF4" w:rsidR="00537D4E" w:rsidRPr="001B4F51" w:rsidRDefault="00537D4E" w:rsidP="00537D4E">
            <w:pPr>
              <w:rPr>
                <w:rFonts w:ascii="Calibri" w:eastAsia="Times New Roman" w:hAnsi="Calibri" w:cs="Calibri"/>
                <w:color w:val="000000"/>
                <w:sz w:val="20"/>
                <w:szCs w:val="20"/>
                <w:lang w:val="en-US" w:eastAsia="en-US"/>
              </w:rPr>
            </w:pPr>
            <w:r w:rsidRPr="001B4F51">
              <w:rPr>
                <w:rFonts w:ascii="Calibri" w:eastAsia="Times New Roman" w:hAnsi="Calibri" w:cs="Calibri"/>
                <w:color w:val="000000"/>
                <w:sz w:val="20"/>
                <w:szCs w:val="20"/>
                <w:lang w:val="en-US" w:eastAsia="en-US"/>
              </w:rPr>
              <w:t>Distribution, hotels and restaurants</w:t>
            </w:r>
          </w:p>
        </w:tc>
        <w:tc>
          <w:tcPr>
            <w:tcW w:w="831" w:type="dxa"/>
            <w:shd w:val="clear" w:color="auto" w:fill="auto"/>
            <w:noWrap/>
            <w:vAlign w:val="bottom"/>
            <w:hideMark/>
          </w:tcPr>
          <w:p w14:paraId="5891CDE8" w14:textId="4CB310A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46.4</w:t>
            </w:r>
          </w:p>
        </w:tc>
        <w:tc>
          <w:tcPr>
            <w:tcW w:w="856" w:type="dxa"/>
            <w:shd w:val="clear" w:color="auto" w:fill="auto"/>
            <w:noWrap/>
            <w:vAlign w:val="bottom"/>
            <w:hideMark/>
          </w:tcPr>
          <w:p w14:paraId="6C9520B5" w14:textId="0C92F03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46.4</w:t>
            </w:r>
          </w:p>
        </w:tc>
        <w:tc>
          <w:tcPr>
            <w:tcW w:w="844" w:type="dxa"/>
            <w:shd w:val="clear" w:color="auto" w:fill="auto"/>
            <w:noWrap/>
            <w:vAlign w:val="bottom"/>
            <w:hideMark/>
          </w:tcPr>
          <w:p w14:paraId="3014C162" w14:textId="7C158EF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46.4</w:t>
            </w:r>
          </w:p>
        </w:tc>
        <w:tc>
          <w:tcPr>
            <w:tcW w:w="993" w:type="dxa"/>
            <w:shd w:val="clear" w:color="auto" w:fill="auto"/>
            <w:noWrap/>
            <w:vAlign w:val="bottom"/>
            <w:hideMark/>
          </w:tcPr>
          <w:p w14:paraId="274B895F" w14:textId="621AB40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18.0</w:t>
            </w:r>
          </w:p>
        </w:tc>
        <w:tc>
          <w:tcPr>
            <w:tcW w:w="992" w:type="dxa"/>
            <w:shd w:val="clear" w:color="auto" w:fill="auto"/>
            <w:noWrap/>
            <w:vAlign w:val="bottom"/>
            <w:hideMark/>
          </w:tcPr>
          <w:p w14:paraId="17E1C0E7" w14:textId="35788A91"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29.5</w:t>
            </w:r>
          </w:p>
        </w:tc>
      </w:tr>
      <w:tr w:rsidR="00537D4E" w:rsidRPr="00714E84" w14:paraId="145AC978" w14:textId="77777777" w:rsidTr="00537D4E">
        <w:tc>
          <w:tcPr>
            <w:tcW w:w="998" w:type="dxa"/>
            <w:vMerge/>
          </w:tcPr>
          <w:p w14:paraId="5DBE4029"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30293523" w14:textId="41C92C88"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Transport and communication</w:t>
            </w:r>
          </w:p>
        </w:tc>
        <w:tc>
          <w:tcPr>
            <w:tcW w:w="831" w:type="dxa"/>
            <w:shd w:val="clear" w:color="auto" w:fill="auto"/>
            <w:noWrap/>
            <w:vAlign w:val="bottom"/>
            <w:hideMark/>
          </w:tcPr>
          <w:p w14:paraId="37E83CC8" w14:textId="6C68AE5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45.9</w:t>
            </w:r>
          </w:p>
        </w:tc>
        <w:tc>
          <w:tcPr>
            <w:tcW w:w="856" w:type="dxa"/>
            <w:shd w:val="clear" w:color="auto" w:fill="auto"/>
            <w:noWrap/>
            <w:vAlign w:val="bottom"/>
            <w:hideMark/>
          </w:tcPr>
          <w:p w14:paraId="63709FEB" w14:textId="06F565B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36.8</w:t>
            </w:r>
          </w:p>
        </w:tc>
        <w:tc>
          <w:tcPr>
            <w:tcW w:w="844" w:type="dxa"/>
            <w:shd w:val="clear" w:color="auto" w:fill="auto"/>
            <w:noWrap/>
            <w:vAlign w:val="bottom"/>
            <w:hideMark/>
          </w:tcPr>
          <w:p w14:paraId="72B3DD59" w14:textId="0F4C3883"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39.0</w:t>
            </w:r>
          </w:p>
        </w:tc>
        <w:tc>
          <w:tcPr>
            <w:tcW w:w="993" w:type="dxa"/>
            <w:shd w:val="clear" w:color="auto" w:fill="auto"/>
            <w:noWrap/>
            <w:vAlign w:val="bottom"/>
            <w:hideMark/>
          </w:tcPr>
          <w:p w14:paraId="793F9D82" w14:textId="7A20A5F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9.1</w:t>
            </w:r>
          </w:p>
        </w:tc>
        <w:tc>
          <w:tcPr>
            <w:tcW w:w="992" w:type="dxa"/>
            <w:shd w:val="clear" w:color="auto" w:fill="auto"/>
            <w:noWrap/>
            <w:vAlign w:val="bottom"/>
            <w:hideMark/>
          </w:tcPr>
          <w:p w14:paraId="188A7FF0" w14:textId="518B2322"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11.2</w:t>
            </w:r>
          </w:p>
        </w:tc>
      </w:tr>
      <w:tr w:rsidR="00537D4E" w:rsidRPr="00714E84" w14:paraId="26A0401F" w14:textId="77777777" w:rsidTr="00537D4E">
        <w:tc>
          <w:tcPr>
            <w:tcW w:w="998" w:type="dxa"/>
            <w:vMerge/>
          </w:tcPr>
          <w:p w14:paraId="14B3A955"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79EFCBAB" w14:textId="66B04E2B"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Banking and finance</w:t>
            </w:r>
          </w:p>
        </w:tc>
        <w:tc>
          <w:tcPr>
            <w:tcW w:w="831" w:type="dxa"/>
            <w:shd w:val="clear" w:color="auto" w:fill="auto"/>
            <w:noWrap/>
            <w:vAlign w:val="bottom"/>
            <w:hideMark/>
          </w:tcPr>
          <w:p w14:paraId="7F655F78" w14:textId="61CFB0AF"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44.5</w:t>
            </w:r>
          </w:p>
        </w:tc>
        <w:tc>
          <w:tcPr>
            <w:tcW w:w="856" w:type="dxa"/>
            <w:shd w:val="clear" w:color="auto" w:fill="auto"/>
            <w:noWrap/>
            <w:vAlign w:val="bottom"/>
            <w:hideMark/>
          </w:tcPr>
          <w:p w14:paraId="6F0C84A3" w14:textId="77BA018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37.9</w:t>
            </w:r>
          </w:p>
        </w:tc>
        <w:tc>
          <w:tcPr>
            <w:tcW w:w="844" w:type="dxa"/>
            <w:shd w:val="clear" w:color="auto" w:fill="auto"/>
            <w:noWrap/>
            <w:vAlign w:val="bottom"/>
            <w:hideMark/>
          </w:tcPr>
          <w:p w14:paraId="4E495FC5" w14:textId="35D9EE6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40.9</w:t>
            </w:r>
          </w:p>
        </w:tc>
        <w:tc>
          <w:tcPr>
            <w:tcW w:w="993" w:type="dxa"/>
            <w:shd w:val="clear" w:color="auto" w:fill="auto"/>
            <w:noWrap/>
            <w:vAlign w:val="bottom"/>
            <w:hideMark/>
          </w:tcPr>
          <w:p w14:paraId="6FEBDA76" w14:textId="049C25E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16.0</w:t>
            </w:r>
          </w:p>
        </w:tc>
        <w:tc>
          <w:tcPr>
            <w:tcW w:w="992" w:type="dxa"/>
            <w:shd w:val="clear" w:color="auto" w:fill="auto"/>
            <w:noWrap/>
            <w:vAlign w:val="bottom"/>
            <w:hideMark/>
          </w:tcPr>
          <w:p w14:paraId="4628CF29" w14:textId="7567277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11.7</w:t>
            </w:r>
          </w:p>
        </w:tc>
      </w:tr>
      <w:tr w:rsidR="00537D4E" w:rsidRPr="00714E84" w14:paraId="40CFCE6F" w14:textId="77777777" w:rsidTr="00537D4E">
        <w:tc>
          <w:tcPr>
            <w:tcW w:w="998" w:type="dxa"/>
            <w:vMerge/>
          </w:tcPr>
          <w:p w14:paraId="34FDDF0B"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6CC8B223" w14:textId="4B73CFF6"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Public admin, education and health</w:t>
            </w:r>
          </w:p>
        </w:tc>
        <w:tc>
          <w:tcPr>
            <w:tcW w:w="831" w:type="dxa"/>
            <w:shd w:val="clear" w:color="auto" w:fill="auto"/>
            <w:noWrap/>
            <w:vAlign w:val="bottom"/>
            <w:hideMark/>
          </w:tcPr>
          <w:p w14:paraId="6A66D07D" w14:textId="11621FE8"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37.9</w:t>
            </w:r>
          </w:p>
        </w:tc>
        <w:tc>
          <w:tcPr>
            <w:tcW w:w="856" w:type="dxa"/>
            <w:shd w:val="clear" w:color="auto" w:fill="auto"/>
            <w:noWrap/>
            <w:vAlign w:val="bottom"/>
            <w:hideMark/>
          </w:tcPr>
          <w:p w14:paraId="05593B48" w14:textId="7C6EBDC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31.4</w:t>
            </w:r>
          </w:p>
        </w:tc>
        <w:tc>
          <w:tcPr>
            <w:tcW w:w="844" w:type="dxa"/>
            <w:shd w:val="clear" w:color="auto" w:fill="auto"/>
            <w:noWrap/>
            <w:vAlign w:val="bottom"/>
            <w:hideMark/>
          </w:tcPr>
          <w:p w14:paraId="4B43F3E6" w14:textId="3F7270FA"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35.9</w:t>
            </w:r>
          </w:p>
        </w:tc>
        <w:tc>
          <w:tcPr>
            <w:tcW w:w="993" w:type="dxa"/>
            <w:shd w:val="clear" w:color="auto" w:fill="auto"/>
            <w:noWrap/>
            <w:vAlign w:val="bottom"/>
            <w:hideMark/>
          </w:tcPr>
          <w:p w14:paraId="08F0A7FC" w14:textId="2464F4F9"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33.5</w:t>
            </w:r>
          </w:p>
        </w:tc>
        <w:tc>
          <w:tcPr>
            <w:tcW w:w="992" w:type="dxa"/>
            <w:shd w:val="clear" w:color="auto" w:fill="auto"/>
            <w:noWrap/>
            <w:vAlign w:val="bottom"/>
            <w:hideMark/>
          </w:tcPr>
          <w:p w14:paraId="13691177" w14:textId="5016B93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11.5</w:t>
            </w:r>
          </w:p>
        </w:tc>
      </w:tr>
      <w:tr w:rsidR="00537D4E" w:rsidRPr="00714E84" w14:paraId="6462B03F" w14:textId="77777777" w:rsidTr="00537D4E">
        <w:tc>
          <w:tcPr>
            <w:tcW w:w="998" w:type="dxa"/>
            <w:vMerge/>
          </w:tcPr>
          <w:p w14:paraId="7EA9EFC6" w14:textId="77777777" w:rsidR="00537D4E" w:rsidRPr="00714E84" w:rsidRDefault="00537D4E" w:rsidP="00537D4E">
            <w:pPr>
              <w:rPr>
                <w:rFonts w:ascii="Calibri" w:eastAsia="Times New Roman" w:hAnsi="Calibri" w:cs="Calibri"/>
                <w:color w:val="000000"/>
                <w:sz w:val="20"/>
                <w:szCs w:val="20"/>
                <w:lang w:val="en-US" w:eastAsia="en-US"/>
              </w:rPr>
            </w:pPr>
          </w:p>
        </w:tc>
        <w:tc>
          <w:tcPr>
            <w:tcW w:w="3280" w:type="dxa"/>
            <w:shd w:val="clear" w:color="auto" w:fill="auto"/>
            <w:noWrap/>
            <w:vAlign w:val="center"/>
            <w:hideMark/>
          </w:tcPr>
          <w:p w14:paraId="7F2F47BF" w14:textId="0A627833" w:rsidR="00537D4E" w:rsidRPr="001B4F51" w:rsidRDefault="00537D4E" w:rsidP="00537D4E">
            <w:pPr>
              <w:rPr>
                <w:rFonts w:ascii="Calibri" w:eastAsia="Times New Roman" w:hAnsi="Calibri" w:cs="Calibri"/>
                <w:iCs/>
                <w:color w:val="000000"/>
                <w:sz w:val="20"/>
                <w:szCs w:val="20"/>
                <w:lang w:val="en-US" w:eastAsia="en-US"/>
              </w:rPr>
            </w:pPr>
            <w:r w:rsidRPr="001B4F51">
              <w:rPr>
                <w:rFonts w:ascii="Calibri" w:eastAsia="Times New Roman" w:hAnsi="Calibri" w:cs="Calibri"/>
                <w:iCs/>
                <w:color w:val="000000"/>
                <w:sz w:val="20"/>
                <w:szCs w:val="20"/>
                <w:lang w:val="en-US" w:eastAsia="en-US"/>
              </w:rPr>
              <w:t xml:space="preserve">Other services </w:t>
            </w:r>
          </w:p>
        </w:tc>
        <w:tc>
          <w:tcPr>
            <w:tcW w:w="831" w:type="dxa"/>
            <w:shd w:val="clear" w:color="auto" w:fill="auto"/>
            <w:noWrap/>
            <w:vAlign w:val="bottom"/>
            <w:hideMark/>
          </w:tcPr>
          <w:p w14:paraId="53E058E8" w14:textId="12CD4FA0"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49.9</w:t>
            </w:r>
          </w:p>
        </w:tc>
        <w:tc>
          <w:tcPr>
            <w:tcW w:w="856" w:type="dxa"/>
            <w:shd w:val="clear" w:color="auto" w:fill="auto"/>
            <w:noWrap/>
            <w:vAlign w:val="bottom"/>
            <w:hideMark/>
          </w:tcPr>
          <w:p w14:paraId="60BF931F" w14:textId="69746744"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40.9</w:t>
            </w:r>
          </w:p>
        </w:tc>
        <w:tc>
          <w:tcPr>
            <w:tcW w:w="844" w:type="dxa"/>
            <w:shd w:val="clear" w:color="auto" w:fill="auto"/>
            <w:noWrap/>
            <w:vAlign w:val="bottom"/>
            <w:hideMark/>
          </w:tcPr>
          <w:p w14:paraId="307BFA1C" w14:textId="31AA9A1C"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45.5</w:t>
            </w:r>
          </w:p>
        </w:tc>
        <w:tc>
          <w:tcPr>
            <w:tcW w:w="993" w:type="dxa"/>
            <w:shd w:val="clear" w:color="auto" w:fill="auto"/>
            <w:noWrap/>
            <w:vAlign w:val="bottom"/>
            <w:hideMark/>
          </w:tcPr>
          <w:p w14:paraId="1F36C297" w14:textId="78E6E80E"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4.3</w:t>
            </w:r>
          </w:p>
        </w:tc>
        <w:tc>
          <w:tcPr>
            <w:tcW w:w="992" w:type="dxa"/>
            <w:shd w:val="clear" w:color="auto" w:fill="auto"/>
            <w:noWrap/>
            <w:vAlign w:val="bottom"/>
            <w:hideMark/>
          </w:tcPr>
          <w:p w14:paraId="12D3DA19" w14:textId="4D6150A7" w:rsidR="00537D4E" w:rsidRPr="00714E84" w:rsidRDefault="00537D4E" w:rsidP="00537D4E">
            <w:pPr>
              <w:jc w:val="right"/>
              <w:rPr>
                <w:rFonts w:ascii="Calibri" w:eastAsia="Times New Roman" w:hAnsi="Calibri" w:cs="Calibri"/>
                <w:color w:val="000000"/>
                <w:sz w:val="20"/>
                <w:szCs w:val="20"/>
                <w:lang w:val="en-US" w:eastAsia="en-US"/>
              </w:rPr>
            </w:pPr>
            <w:r w:rsidRPr="00714E84">
              <w:rPr>
                <w:rFonts w:ascii="Calibri" w:eastAsia="Times New Roman" w:hAnsi="Calibri" w:cs="Calibri"/>
                <w:color w:val="000000"/>
                <w:sz w:val="20"/>
                <w:szCs w:val="20"/>
                <w:lang w:val="en-US" w:eastAsia="en-US"/>
              </w:rPr>
              <w:t>3.6</w:t>
            </w:r>
          </w:p>
        </w:tc>
      </w:tr>
    </w:tbl>
    <w:p w14:paraId="6DD0E70B" w14:textId="77777777" w:rsidR="00823C3D" w:rsidRPr="00714E84" w:rsidRDefault="00823C3D" w:rsidP="00823C3D">
      <w:pPr>
        <w:rPr>
          <w:sz w:val="14"/>
          <w:szCs w:val="14"/>
        </w:rPr>
      </w:pPr>
    </w:p>
    <w:p w14:paraId="2A86295A" w14:textId="77777777" w:rsidR="007D30C9" w:rsidRPr="00714E84" w:rsidRDefault="007D30C9" w:rsidP="007D30C9">
      <w:pPr>
        <w:pStyle w:val="Caption"/>
        <w:spacing w:after="0"/>
        <w:ind w:firstLine="720"/>
        <w:rPr>
          <w:rFonts w:ascii="Times New Roman" w:hAnsi="Times New Roman" w:cs="Times New Roman"/>
          <w:b/>
          <w:bCs/>
          <w:i w:val="0"/>
          <w:iCs w:val="0"/>
          <w:color w:val="262626" w:themeColor="text1" w:themeTint="D9"/>
        </w:rPr>
        <w:sectPr w:rsidR="007D30C9" w:rsidRPr="00714E84" w:rsidSect="009F4DB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40" w:right="1700" w:bottom="1440" w:left="1440" w:header="708" w:footer="708" w:gutter="0"/>
          <w:cols w:space="708"/>
          <w:docGrid w:linePitch="360"/>
        </w:sectPr>
      </w:pPr>
    </w:p>
    <w:p w14:paraId="0B9EA9E1" w14:textId="14F1970C" w:rsidR="00C474DC" w:rsidRPr="00714E84" w:rsidRDefault="007D30C9" w:rsidP="00FF604A">
      <w:pPr>
        <w:pStyle w:val="Caption"/>
        <w:spacing w:after="0"/>
        <w:ind w:firstLine="720"/>
        <w:rPr>
          <w:rFonts w:ascii="Times New Roman" w:hAnsi="Times New Roman" w:cs="Times New Roman"/>
          <w:color w:val="262626" w:themeColor="text1" w:themeTint="D9"/>
          <w:sz w:val="24"/>
          <w:szCs w:val="24"/>
        </w:rPr>
      </w:pPr>
      <w:r w:rsidRPr="00714E84">
        <w:rPr>
          <w:rFonts w:ascii="Times New Roman" w:hAnsi="Times New Roman" w:cs="Times New Roman"/>
          <w:b/>
          <w:bCs/>
          <w:i w:val="0"/>
          <w:iCs w:val="0"/>
          <w:color w:val="262626" w:themeColor="text1" w:themeTint="D9"/>
          <w:sz w:val="24"/>
          <w:szCs w:val="24"/>
        </w:rPr>
        <w:lastRenderedPageBreak/>
        <w:t xml:space="preserve">Table </w:t>
      </w:r>
      <w:r w:rsidR="00823C3D" w:rsidRPr="00714E84">
        <w:rPr>
          <w:rFonts w:ascii="Times New Roman" w:hAnsi="Times New Roman" w:cs="Times New Roman"/>
          <w:b/>
          <w:bCs/>
          <w:i w:val="0"/>
          <w:iCs w:val="0"/>
          <w:color w:val="262626" w:themeColor="text1" w:themeTint="D9"/>
          <w:sz w:val="24"/>
          <w:szCs w:val="24"/>
        </w:rPr>
        <w:t>5</w:t>
      </w:r>
      <w:r w:rsidRPr="00714E84">
        <w:rPr>
          <w:rFonts w:ascii="Times New Roman" w:hAnsi="Times New Roman" w:cs="Times New Roman"/>
          <w:b/>
          <w:bCs/>
          <w:i w:val="0"/>
          <w:iCs w:val="0"/>
          <w:color w:val="262626" w:themeColor="text1" w:themeTint="D9"/>
          <w:sz w:val="24"/>
          <w:szCs w:val="24"/>
        </w:rPr>
        <w:t xml:space="preserve">. </w:t>
      </w:r>
      <w:r w:rsidR="00656313" w:rsidRPr="00714E84">
        <w:rPr>
          <w:rFonts w:ascii="Times New Roman" w:hAnsi="Times New Roman" w:cs="Times New Roman"/>
          <w:bCs/>
          <w:i w:val="0"/>
          <w:iCs w:val="0"/>
          <w:color w:val="262626" w:themeColor="text1" w:themeTint="D9"/>
          <w:sz w:val="24"/>
          <w:szCs w:val="24"/>
        </w:rPr>
        <w:t xml:space="preserve">Logistic regression contrasting over-qualification with educational match and under-qualification, 2005 - 2012 </w:t>
      </w:r>
      <w:r w:rsidR="00FF604A" w:rsidRPr="00714E84">
        <w:rPr>
          <w:rFonts w:ascii="Times New Roman" w:hAnsi="Times New Roman" w:cs="Times New Roman"/>
          <w:color w:val="262626" w:themeColor="text1" w:themeTint="D9"/>
          <w:sz w:val="24"/>
          <w:szCs w:val="24"/>
        </w:rPr>
        <w:t xml:space="preserve"> </w:t>
      </w:r>
    </w:p>
    <w:tbl>
      <w:tblPr>
        <w:tblW w:w="0" w:type="auto"/>
        <w:tblLook w:val="04A0" w:firstRow="1" w:lastRow="0" w:firstColumn="1" w:lastColumn="0" w:noHBand="0" w:noVBand="1"/>
      </w:tblPr>
      <w:tblGrid>
        <w:gridCol w:w="2947"/>
        <w:gridCol w:w="714"/>
        <w:gridCol w:w="660"/>
        <w:gridCol w:w="714"/>
        <w:gridCol w:w="660"/>
        <w:gridCol w:w="714"/>
        <w:gridCol w:w="660"/>
        <w:gridCol w:w="714"/>
        <w:gridCol w:w="661"/>
        <w:gridCol w:w="715"/>
        <w:gridCol w:w="661"/>
        <w:gridCol w:w="715"/>
        <w:gridCol w:w="661"/>
        <w:gridCol w:w="715"/>
        <w:gridCol w:w="661"/>
        <w:gridCol w:w="715"/>
        <w:gridCol w:w="661"/>
      </w:tblGrid>
      <w:tr w:rsidR="00C474DC" w:rsidRPr="00714E84" w14:paraId="451AA36F" w14:textId="77777777" w:rsidTr="00C474DC">
        <w:tc>
          <w:tcPr>
            <w:tcW w:w="0" w:type="auto"/>
            <w:tcBorders>
              <w:top w:val="single" w:sz="4" w:space="0" w:color="auto"/>
              <w:left w:val="single" w:sz="4" w:space="0" w:color="auto"/>
              <w:bottom w:val="nil"/>
              <w:right w:val="nil"/>
            </w:tcBorders>
            <w:shd w:val="clear" w:color="auto" w:fill="auto"/>
            <w:noWrap/>
            <w:vAlign w:val="bottom"/>
            <w:hideMark/>
          </w:tcPr>
          <w:p w14:paraId="60E7CAA1" w14:textId="77777777" w:rsidR="00C474DC" w:rsidRPr="005558FF" w:rsidRDefault="00C474DC" w:rsidP="00C474DC">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55794A" w14:textId="3A4EB88A"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2005</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51AD22A" w14:textId="58D73C75"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2006</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0FD7DA2" w14:textId="2ADD6B66"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2007</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27C98AAB" w14:textId="16B2FB36"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2008</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79D97B4A" w14:textId="4348745F"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2009</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5BB66D" w14:textId="71FF4D2B"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2010</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047246D9" w14:textId="1C74FA9C"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2011</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F149EBE" w14:textId="5871350F"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2012</w:t>
            </w:r>
          </w:p>
        </w:tc>
      </w:tr>
      <w:tr w:rsidR="00C474DC" w:rsidRPr="00714E84" w14:paraId="3EFABD66" w14:textId="77777777" w:rsidTr="00C474DC">
        <w:tc>
          <w:tcPr>
            <w:tcW w:w="0" w:type="auto"/>
            <w:tcBorders>
              <w:top w:val="nil"/>
              <w:left w:val="single" w:sz="4" w:space="0" w:color="auto"/>
              <w:bottom w:val="single" w:sz="4" w:space="0" w:color="auto"/>
              <w:right w:val="nil"/>
            </w:tcBorders>
            <w:shd w:val="clear" w:color="auto" w:fill="auto"/>
            <w:hideMark/>
          </w:tcPr>
          <w:p w14:paraId="29FCACF2" w14:textId="77777777" w:rsidR="00C474DC" w:rsidRPr="005558FF" w:rsidRDefault="00C474DC" w:rsidP="00C474DC">
            <w:pPr>
              <w:rPr>
                <w:rFonts w:ascii="Calibri" w:eastAsia="Times New Roman" w:hAnsi="Calibri" w:cs="Calibri"/>
                <w:b/>
                <w:bCs/>
                <w:color w:val="000000"/>
                <w:sz w:val="18"/>
                <w:szCs w:val="20"/>
                <w:lang w:eastAsia="en-GB"/>
              </w:rPr>
            </w:pPr>
          </w:p>
        </w:tc>
        <w:tc>
          <w:tcPr>
            <w:tcW w:w="0" w:type="auto"/>
            <w:tcBorders>
              <w:top w:val="nil"/>
              <w:left w:val="single" w:sz="4" w:space="0" w:color="auto"/>
              <w:bottom w:val="single" w:sz="4" w:space="0" w:color="auto"/>
              <w:right w:val="nil"/>
            </w:tcBorders>
            <w:shd w:val="clear" w:color="auto" w:fill="auto"/>
            <w:hideMark/>
          </w:tcPr>
          <w:p w14:paraId="5D838EAA"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1B04E5EE"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25F58A98"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nil"/>
            </w:tcBorders>
            <w:shd w:val="clear" w:color="auto" w:fill="auto"/>
            <w:hideMark/>
          </w:tcPr>
          <w:p w14:paraId="57D2A65C"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single" w:sz="4" w:space="0" w:color="auto"/>
              <w:bottom w:val="single" w:sz="4" w:space="0" w:color="auto"/>
              <w:right w:val="nil"/>
            </w:tcBorders>
            <w:shd w:val="clear" w:color="auto" w:fill="auto"/>
            <w:hideMark/>
          </w:tcPr>
          <w:p w14:paraId="4744F9A7"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3C2A5A87"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3FDFC53C"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nil"/>
            </w:tcBorders>
            <w:shd w:val="clear" w:color="auto" w:fill="auto"/>
            <w:hideMark/>
          </w:tcPr>
          <w:p w14:paraId="069E609F"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single" w:sz="4" w:space="0" w:color="auto"/>
              <w:bottom w:val="single" w:sz="4" w:space="0" w:color="auto"/>
              <w:right w:val="nil"/>
            </w:tcBorders>
            <w:shd w:val="clear" w:color="auto" w:fill="auto"/>
            <w:hideMark/>
          </w:tcPr>
          <w:p w14:paraId="04ED74BA"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24A3C98E"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3A781917"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2C674C4B"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11E690EC"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55525FA3"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542BC901"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2ECB0E92"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r>
      <w:tr w:rsidR="00FF604A" w:rsidRPr="00714E84" w14:paraId="4C987CAA" w14:textId="77777777" w:rsidTr="00C474DC">
        <w:tc>
          <w:tcPr>
            <w:tcW w:w="0" w:type="auto"/>
            <w:tcBorders>
              <w:top w:val="nil"/>
              <w:left w:val="single" w:sz="4" w:space="0" w:color="auto"/>
              <w:bottom w:val="nil"/>
              <w:right w:val="nil"/>
            </w:tcBorders>
            <w:shd w:val="clear" w:color="auto" w:fill="auto"/>
            <w:noWrap/>
            <w:vAlign w:val="bottom"/>
            <w:hideMark/>
          </w:tcPr>
          <w:p w14:paraId="3440BB09"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Women (men)</w:t>
            </w:r>
          </w:p>
        </w:tc>
        <w:tc>
          <w:tcPr>
            <w:tcW w:w="0" w:type="auto"/>
            <w:tcBorders>
              <w:top w:val="nil"/>
              <w:left w:val="single" w:sz="4" w:space="0" w:color="auto"/>
              <w:bottom w:val="nil"/>
              <w:right w:val="nil"/>
            </w:tcBorders>
            <w:shd w:val="clear" w:color="auto" w:fill="auto"/>
            <w:noWrap/>
          </w:tcPr>
          <w:p w14:paraId="32541EF6" w14:textId="0C318E5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0.94</w:t>
            </w:r>
          </w:p>
        </w:tc>
        <w:tc>
          <w:tcPr>
            <w:tcW w:w="0" w:type="auto"/>
            <w:tcBorders>
              <w:top w:val="nil"/>
              <w:left w:val="nil"/>
              <w:bottom w:val="nil"/>
              <w:right w:val="single" w:sz="4" w:space="0" w:color="auto"/>
            </w:tcBorders>
            <w:shd w:val="clear" w:color="auto" w:fill="auto"/>
            <w:noWrap/>
          </w:tcPr>
          <w:p w14:paraId="6034A346" w14:textId="642E463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5E68A173" w14:textId="4D85F7F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0.95</w:t>
            </w:r>
          </w:p>
        </w:tc>
        <w:tc>
          <w:tcPr>
            <w:tcW w:w="0" w:type="auto"/>
            <w:tcBorders>
              <w:top w:val="nil"/>
              <w:left w:val="nil"/>
              <w:bottom w:val="nil"/>
              <w:right w:val="nil"/>
            </w:tcBorders>
            <w:shd w:val="clear" w:color="auto" w:fill="auto"/>
            <w:noWrap/>
          </w:tcPr>
          <w:p w14:paraId="6F069DA1" w14:textId="2787A33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6BDA160F" w14:textId="30D4684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0.99</w:t>
            </w:r>
          </w:p>
        </w:tc>
        <w:tc>
          <w:tcPr>
            <w:tcW w:w="0" w:type="auto"/>
            <w:tcBorders>
              <w:top w:val="nil"/>
              <w:left w:val="nil"/>
              <w:bottom w:val="nil"/>
              <w:right w:val="single" w:sz="4" w:space="0" w:color="auto"/>
            </w:tcBorders>
            <w:shd w:val="clear" w:color="auto" w:fill="auto"/>
            <w:noWrap/>
          </w:tcPr>
          <w:p w14:paraId="288D1EEF" w14:textId="5FB0B45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48E87670" w14:textId="30CD210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1.02</w:t>
            </w:r>
          </w:p>
        </w:tc>
        <w:tc>
          <w:tcPr>
            <w:tcW w:w="0" w:type="auto"/>
            <w:tcBorders>
              <w:top w:val="nil"/>
              <w:left w:val="nil"/>
              <w:bottom w:val="nil"/>
              <w:right w:val="nil"/>
            </w:tcBorders>
            <w:shd w:val="clear" w:color="auto" w:fill="auto"/>
            <w:noWrap/>
          </w:tcPr>
          <w:p w14:paraId="191488B2" w14:textId="4878AEA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43CCDE9E" w14:textId="53ED8DD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1.05</w:t>
            </w:r>
          </w:p>
        </w:tc>
        <w:tc>
          <w:tcPr>
            <w:tcW w:w="0" w:type="auto"/>
            <w:tcBorders>
              <w:top w:val="nil"/>
              <w:left w:val="nil"/>
              <w:bottom w:val="nil"/>
              <w:right w:val="single" w:sz="4" w:space="0" w:color="auto"/>
            </w:tcBorders>
            <w:shd w:val="clear" w:color="auto" w:fill="auto"/>
            <w:noWrap/>
          </w:tcPr>
          <w:p w14:paraId="258537F4" w14:textId="5B66E39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02C05C58" w14:textId="2BFF4896"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1.06</w:t>
            </w:r>
          </w:p>
        </w:tc>
        <w:tc>
          <w:tcPr>
            <w:tcW w:w="0" w:type="auto"/>
            <w:tcBorders>
              <w:top w:val="nil"/>
              <w:left w:val="nil"/>
              <w:bottom w:val="nil"/>
              <w:right w:val="nil"/>
            </w:tcBorders>
            <w:shd w:val="clear" w:color="auto" w:fill="auto"/>
            <w:noWrap/>
          </w:tcPr>
          <w:p w14:paraId="28A34123" w14:textId="7B907C6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1A0692CB" w14:textId="33FB52C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1.01</w:t>
            </w:r>
          </w:p>
        </w:tc>
        <w:tc>
          <w:tcPr>
            <w:tcW w:w="0" w:type="auto"/>
            <w:tcBorders>
              <w:top w:val="nil"/>
              <w:left w:val="nil"/>
              <w:bottom w:val="nil"/>
              <w:right w:val="single" w:sz="4" w:space="0" w:color="auto"/>
            </w:tcBorders>
            <w:shd w:val="clear" w:color="auto" w:fill="auto"/>
            <w:noWrap/>
          </w:tcPr>
          <w:p w14:paraId="093A2D46" w14:textId="4BA33AB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17E77A66" w14:textId="26FF27F6"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1.07</w:t>
            </w:r>
          </w:p>
        </w:tc>
        <w:tc>
          <w:tcPr>
            <w:tcW w:w="0" w:type="auto"/>
            <w:tcBorders>
              <w:top w:val="nil"/>
              <w:left w:val="nil"/>
              <w:bottom w:val="nil"/>
              <w:right w:val="single" w:sz="4" w:space="0" w:color="auto"/>
            </w:tcBorders>
            <w:shd w:val="clear" w:color="auto" w:fill="auto"/>
            <w:noWrap/>
          </w:tcPr>
          <w:p w14:paraId="264F55BA" w14:textId="25ACDC8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r>
      <w:tr w:rsidR="00FF604A" w:rsidRPr="00714E84" w14:paraId="30F54CF5" w14:textId="77777777" w:rsidTr="00C474DC">
        <w:tc>
          <w:tcPr>
            <w:tcW w:w="0" w:type="auto"/>
            <w:tcBorders>
              <w:top w:val="nil"/>
              <w:left w:val="single" w:sz="4" w:space="0" w:color="auto"/>
              <w:bottom w:val="nil"/>
              <w:right w:val="nil"/>
            </w:tcBorders>
            <w:shd w:val="clear" w:color="auto" w:fill="auto"/>
            <w:noWrap/>
            <w:vAlign w:val="bottom"/>
            <w:hideMark/>
          </w:tcPr>
          <w:p w14:paraId="10F35329"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Age full time education completed</w:t>
            </w:r>
          </w:p>
        </w:tc>
        <w:tc>
          <w:tcPr>
            <w:tcW w:w="0" w:type="auto"/>
            <w:tcBorders>
              <w:top w:val="nil"/>
              <w:left w:val="single" w:sz="4" w:space="0" w:color="auto"/>
              <w:bottom w:val="nil"/>
              <w:right w:val="nil"/>
            </w:tcBorders>
            <w:shd w:val="clear" w:color="auto" w:fill="auto"/>
            <w:noWrap/>
          </w:tcPr>
          <w:p w14:paraId="61CA17B8" w14:textId="5E47B48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1.04</w:t>
            </w:r>
          </w:p>
        </w:tc>
        <w:tc>
          <w:tcPr>
            <w:tcW w:w="0" w:type="auto"/>
            <w:tcBorders>
              <w:top w:val="nil"/>
              <w:left w:val="nil"/>
              <w:bottom w:val="nil"/>
              <w:right w:val="single" w:sz="4" w:space="0" w:color="auto"/>
            </w:tcBorders>
            <w:shd w:val="clear" w:color="auto" w:fill="auto"/>
            <w:noWrap/>
          </w:tcPr>
          <w:p w14:paraId="20FCE728" w14:textId="7FE6242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nil"/>
              <w:bottom w:val="nil"/>
              <w:right w:val="nil"/>
            </w:tcBorders>
            <w:shd w:val="clear" w:color="auto" w:fill="auto"/>
            <w:noWrap/>
          </w:tcPr>
          <w:p w14:paraId="213C9FEE" w14:textId="198E3E7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1.03</w:t>
            </w:r>
          </w:p>
        </w:tc>
        <w:tc>
          <w:tcPr>
            <w:tcW w:w="0" w:type="auto"/>
            <w:tcBorders>
              <w:top w:val="nil"/>
              <w:left w:val="nil"/>
              <w:bottom w:val="nil"/>
              <w:right w:val="nil"/>
            </w:tcBorders>
            <w:shd w:val="clear" w:color="auto" w:fill="auto"/>
            <w:noWrap/>
          </w:tcPr>
          <w:p w14:paraId="2DD0425B" w14:textId="00FE426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single" w:sz="4" w:space="0" w:color="auto"/>
              <w:bottom w:val="nil"/>
              <w:right w:val="nil"/>
            </w:tcBorders>
            <w:shd w:val="clear" w:color="auto" w:fill="auto"/>
            <w:noWrap/>
          </w:tcPr>
          <w:p w14:paraId="298E6F2F" w14:textId="1903844A"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1.03</w:t>
            </w:r>
          </w:p>
        </w:tc>
        <w:tc>
          <w:tcPr>
            <w:tcW w:w="0" w:type="auto"/>
            <w:tcBorders>
              <w:top w:val="nil"/>
              <w:left w:val="nil"/>
              <w:bottom w:val="nil"/>
              <w:right w:val="single" w:sz="4" w:space="0" w:color="auto"/>
            </w:tcBorders>
            <w:shd w:val="clear" w:color="auto" w:fill="auto"/>
            <w:noWrap/>
          </w:tcPr>
          <w:p w14:paraId="584C148C" w14:textId="36F6C91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nil"/>
              <w:bottom w:val="nil"/>
              <w:right w:val="nil"/>
            </w:tcBorders>
            <w:shd w:val="clear" w:color="auto" w:fill="auto"/>
            <w:noWrap/>
          </w:tcPr>
          <w:p w14:paraId="79BD1AB8" w14:textId="58D0535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1.03</w:t>
            </w:r>
          </w:p>
        </w:tc>
        <w:tc>
          <w:tcPr>
            <w:tcW w:w="0" w:type="auto"/>
            <w:tcBorders>
              <w:top w:val="nil"/>
              <w:left w:val="nil"/>
              <w:bottom w:val="nil"/>
              <w:right w:val="nil"/>
            </w:tcBorders>
            <w:shd w:val="clear" w:color="auto" w:fill="auto"/>
            <w:noWrap/>
          </w:tcPr>
          <w:p w14:paraId="66B6F935" w14:textId="4B193BC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single" w:sz="4" w:space="0" w:color="auto"/>
              <w:bottom w:val="nil"/>
              <w:right w:val="nil"/>
            </w:tcBorders>
            <w:shd w:val="clear" w:color="auto" w:fill="auto"/>
            <w:noWrap/>
          </w:tcPr>
          <w:p w14:paraId="1483438B" w14:textId="153709EE"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1.02</w:t>
            </w:r>
          </w:p>
        </w:tc>
        <w:tc>
          <w:tcPr>
            <w:tcW w:w="0" w:type="auto"/>
            <w:tcBorders>
              <w:top w:val="nil"/>
              <w:left w:val="nil"/>
              <w:bottom w:val="nil"/>
              <w:right w:val="single" w:sz="4" w:space="0" w:color="auto"/>
            </w:tcBorders>
            <w:shd w:val="clear" w:color="auto" w:fill="auto"/>
            <w:noWrap/>
          </w:tcPr>
          <w:p w14:paraId="0AC2E472" w14:textId="7B84A7A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nil"/>
              <w:bottom w:val="nil"/>
              <w:right w:val="nil"/>
            </w:tcBorders>
            <w:shd w:val="clear" w:color="auto" w:fill="auto"/>
            <w:noWrap/>
          </w:tcPr>
          <w:p w14:paraId="71C29EAF" w14:textId="71017A6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1.02</w:t>
            </w:r>
          </w:p>
        </w:tc>
        <w:tc>
          <w:tcPr>
            <w:tcW w:w="0" w:type="auto"/>
            <w:tcBorders>
              <w:top w:val="nil"/>
              <w:left w:val="nil"/>
              <w:bottom w:val="nil"/>
              <w:right w:val="nil"/>
            </w:tcBorders>
            <w:shd w:val="clear" w:color="auto" w:fill="auto"/>
            <w:noWrap/>
          </w:tcPr>
          <w:p w14:paraId="524EA565" w14:textId="60C2569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single" w:sz="4" w:space="0" w:color="auto"/>
              <w:bottom w:val="nil"/>
              <w:right w:val="nil"/>
            </w:tcBorders>
            <w:shd w:val="clear" w:color="auto" w:fill="auto"/>
            <w:noWrap/>
          </w:tcPr>
          <w:p w14:paraId="2E2BFD6B" w14:textId="50104E9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1.03</w:t>
            </w:r>
          </w:p>
        </w:tc>
        <w:tc>
          <w:tcPr>
            <w:tcW w:w="0" w:type="auto"/>
            <w:tcBorders>
              <w:top w:val="nil"/>
              <w:left w:val="nil"/>
              <w:bottom w:val="nil"/>
              <w:right w:val="single" w:sz="4" w:space="0" w:color="auto"/>
            </w:tcBorders>
            <w:shd w:val="clear" w:color="auto" w:fill="auto"/>
            <w:noWrap/>
          </w:tcPr>
          <w:p w14:paraId="68A5B0A9" w14:textId="1CA3644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nil"/>
              <w:bottom w:val="nil"/>
              <w:right w:val="nil"/>
            </w:tcBorders>
            <w:shd w:val="clear" w:color="auto" w:fill="auto"/>
            <w:noWrap/>
          </w:tcPr>
          <w:p w14:paraId="3777257A" w14:textId="739466C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1.03</w:t>
            </w:r>
          </w:p>
        </w:tc>
        <w:tc>
          <w:tcPr>
            <w:tcW w:w="0" w:type="auto"/>
            <w:tcBorders>
              <w:top w:val="nil"/>
              <w:left w:val="nil"/>
              <w:bottom w:val="nil"/>
              <w:right w:val="single" w:sz="4" w:space="0" w:color="auto"/>
            </w:tcBorders>
            <w:shd w:val="clear" w:color="auto" w:fill="auto"/>
            <w:noWrap/>
          </w:tcPr>
          <w:p w14:paraId="70E58A3D" w14:textId="1F36D9C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r>
      <w:tr w:rsidR="00FF604A" w:rsidRPr="00714E84" w14:paraId="708741A0" w14:textId="77777777" w:rsidTr="00C474DC">
        <w:tc>
          <w:tcPr>
            <w:tcW w:w="0" w:type="auto"/>
            <w:tcBorders>
              <w:top w:val="nil"/>
              <w:left w:val="single" w:sz="4" w:space="0" w:color="auto"/>
              <w:bottom w:val="nil"/>
              <w:right w:val="nil"/>
            </w:tcBorders>
            <w:shd w:val="clear" w:color="auto" w:fill="auto"/>
            <w:noWrap/>
            <w:vAlign w:val="bottom"/>
            <w:hideMark/>
          </w:tcPr>
          <w:p w14:paraId="4D962427"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Not-married (married)</w:t>
            </w:r>
          </w:p>
        </w:tc>
        <w:tc>
          <w:tcPr>
            <w:tcW w:w="0" w:type="auto"/>
            <w:tcBorders>
              <w:top w:val="nil"/>
              <w:left w:val="single" w:sz="4" w:space="0" w:color="auto"/>
              <w:bottom w:val="nil"/>
              <w:right w:val="nil"/>
            </w:tcBorders>
            <w:shd w:val="clear" w:color="auto" w:fill="auto"/>
            <w:noWrap/>
          </w:tcPr>
          <w:p w14:paraId="13F5BB25" w14:textId="3B066023"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1.16</w:t>
            </w:r>
          </w:p>
        </w:tc>
        <w:tc>
          <w:tcPr>
            <w:tcW w:w="0" w:type="auto"/>
            <w:tcBorders>
              <w:top w:val="nil"/>
              <w:left w:val="nil"/>
              <w:bottom w:val="nil"/>
              <w:right w:val="single" w:sz="4" w:space="0" w:color="auto"/>
            </w:tcBorders>
            <w:shd w:val="clear" w:color="auto" w:fill="auto"/>
            <w:noWrap/>
          </w:tcPr>
          <w:p w14:paraId="55193F26" w14:textId="7EA2E25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4498844C" w14:textId="35454819"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1.13</w:t>
            </w:r>
          </w:p>
        </w:tc>
        <w:tc>
          <w:tcPr>
            <w:tcW w:w="0" w:type="auto"/>
            <w:tcBorders>
              <w:top w:val="nil"/>
              <w:left w:val="nil"/>
              <w:bottom w:val="nil"/>
              <w:right w:val="nil"/>
            </w:tcBorders>
            <w:shd w:val="clear" w:color="auto" w:fill="auto"/>
            <w:noWrap/>
          </w:tcPr>
          <w:p w14:paraId="2A183C3D" w14:textId="3DEBBE2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7ECBC7D3" w14:textId="348CAE9A"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1.13</w:t>
            </w:r>
          </w:p>
        </w:tc>
        <w:tc>
          <w:tcPr>
            <w:tcW w:w="0" w:type="auto"/>
            <w:tcBorders>
              <w:top w:val="nil"/>
              <w:left w:val="nil"/>
              <w:bottom w:val="nil"/>
              <w:right w:val="single" w:sz="4" w:space="0" w:color="auto"/>
            </w:tcBorders>
            <w:shd w:val="clear" w:color="auto" w:fill="auto"/>
            <w:noWrap/>
          </w:tcPr>
          <w:p w14:paraId="6ABDD76C" w14:textId="1413157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0FFE281F" w14:textId="2217ADC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1.14</w:t>
            </w:r>
          </w:p>
        </w:tc>
        <w:tc>
          <w:tcPr>
            <w:tcW w:w="0" w:type="auto"/>
            <w:tcBorders>
              <w:top w:val="nil"/>
              <w:left w:val="nil"/>
              <w:bottom w:val="nil"/>
              <w:right w:val="nil"/>
            </w:tcBorders>
            <w:shd w:val="clear" w:color="auto" w:fill="auto"/>
            <w:noWrap/>
          </w:tcPr>
          <w:p w14:paraId="2455F798" w14:textId="01721BF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11083CE4" w14:textId="2B20BAB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1.16</w:t>
            </w:r>
          </w:p>
        </w:tc>
        <w:tc>
          <w:tcPr>
            <w:tcW w:w="0" w:type="auto"/>
            <w:tcBorders>
              <w:top w:val="nil"/>
              <w:left w:val="nil"/>
              <w:bottom w:val="nil"/>
              <w:right w:val="single" w:sz="4" w:space="0" w:color="auto"/>
            </w:tcBorders>
            <w:shd w:val="clear" w:color="auto" w:fill="auto"/>
            <w:noWrap/>
          </w:tcPr>
          <w:p w14:paraId="0414B2ED" w14:textId="21A7BA8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2920D523" w14:textId="1A804169"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nil"/>
            </w:tcBorders>
            <w:shd w:val="clear" w:color="auto" w:fill="auto"/>
            <w:noWrap/>
          </w:tcPr>
          <w:p w14:paraId="6B9D6B8A" w14:textId="455A243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11338672" w14:textId="434AA97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single" w:sz="4" w:space="0" w:color="auto"/>
            </w:tcBorders>
            <w:shd w:val="clear" w:color="auto" w:fill="auto"/>
            <w:noWrap/>
          </w:tcPr>
          <w:p w14:paraId="00B979E4" w14:textId="22544AD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6685D553" w14:textId="164E3F4E"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1.15</w:t>
            </w:r>
          </w:p>
        </w:tc>
        <w:tc>
          <w:tcPr>
            <w:tcW w:w="0" w:type="auto"/>
            <w:tcBorders>
              <w:top w:val="nil"/>
              <w:left w:val="nil"/>
              <w:bottom w:val="nil"/>
              <w:right w:val="single" w:sz="4" w:space="0" w:color="auto"/>
            </w:tcBorders>
            <w:shd w:val="clear" w:color="auto" w:fill="auto"/>
            <w:noWrap/>
          </w:tcPr>
          <w:p w14:paraId="3755C585" w14:textId="52DF3EC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r>
      <w:tr w:rsidR="00FF604A" w:rsidRPr="00714E84" w14:paraId="6B8E0AFA" w14:textId="77777777" w:rsidTr="00C474DC">
        <w:tc>
          <w:tcPr>
            <w:tcW w:w="0" w:type="auto"/>
            <w:tcBorders>
              <w:top w:val="nil"/>
              <w:left w:val="single" w:sz="4" w:space="0" w:color="auto"/>
              <w:bottom w:val="nil"/>
              <w:right w:val="nil"/>
            </w:tcBorders>
            <w:shd w:val="clear" w:color="auto" w:fill="auto"/>
            <w:noWrap/>
            <w:vAlign w:val="bottom"/>
            <w:hideMark/>
          </w:tcPr>
          <w:p w14:paraId="0FED8DD1"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Children (none)</w:t>
            </w:r>
          </w:p>
        </w:tc>
        <w:tc>
          <w:tcPr>
            <w:tcW w:w="0" w:type="auto"/>
            <w:tcBorders>
              <w:top w:val="nil"/>
              <w:left w:val="single" w:sz="4" w:space="0" w:color="auto"/>
              <w:bottom w:val="nil"/>
              <w:right w:val="nil"/>
            </w:tcBorders>
            <w:shd w:val="clear" w:color="auto" w:fill="auto"/>
            <w:noWrap/>
          </w:tcPr>
          <w:p w14:paraId="2766339D" w14:textId="49D3578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0.91</w:t>
            </w:r>
          </w:p>
        </w:tc>
        <w:tc>
          <w:tcPr>
            <w:tcW w:w="0" w:type="auto"/>
            <w:tcBorders>
              <w:top w:val="nil"/>
              <w:left w:val="nil"/>
              <w:bottom w:val="nil"/>
              <w:right w:val="single" w:sz="4" w:space="0" w:color="auto"/>
            </w:tcBorders>
            <w:shd w:val="clear" w:color="auto" w:fill="auto"/>
            <w:noWrap/>
          </w:tcPr>
          <w:p w14:paraId="16D6D9B7" w14:textId="4BD21AE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4B6B067D" w14:textId="17EA9FB2"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0.89</w:t>
            </w:r>
          </w:p>
        </w:tc>
        <w:tc>
          <w:tcPr>
            <w:tcW w:w="0" w:type="auto"/>
            <w:tcBorders>
              <w:top w:val="nil"/>
              <w:left w:val="nil"/>
              <w:bottom w:val="nil"/>
              <w:right w:val="nil"/>
            </w:tcBorders>
            <w:shd w:val="clear" w:color="auto" w:fill="auto"/>
            <w:noWrap/>
          </w:tcPr>
          <w:p w14:paraId="63E4CE69" w14:textId="1EFD306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5BCF8CA7" w14:textId="3B2BA06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0.90</w:t>
            </w:r>
          </w:p>
        </w:tc>
        <w:tc>
          <w:tcPr>
            <w:tcW w:w="0" w:type="auto"/>
            <w:tcBorders>
              <w:top w:val="nil"/>
              <w:left w:val="nil"/>
              <w:bottom w:val="nil"/>
              <w:right w:val="single" w:sz="4" w:space="0" w:color="auto"/>
            </w:tcBorders>
            <w:shd w:val="clear" w:color="auto" w:fill="auto"/>
            <w:noWrap/>
          </w:tcPr>
          <w:p w14:paraId="4453BBD5" w14:textId="13B5099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5B59BA10" w14:textId="11A6709A"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0.90</w:t>
            </w:r>
          </w:p>
        </w:tc>
        <w:tc>
          <w:tcPr>
            <w:tcW w:w="0" w:type="auto"/>
            <w:tcBorders>
              <w:top w:val="nil"/>
              <w:left w:val="nil"/>
              <w:bottom w:val="nil"/>
              <w:right w:val="nil"/>
            </w:tcBorders>
            <w:shd w:val="clear" w:color="auto" w:fill="auto"/>
            <w:noWrap/>
          </w:tcPr>
          <w:p w14:paraId="1C43CFEE" w14:textId="393A701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708CA850" w14:textId="3AAA86E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0.88</w:t>
            </w:r>
          </w:p>
        </w:tc>
        <w:tc>
          <w:tcPr>
            <w:tcW w:w="0" w:type="auto"/>
            <w:tcBorders>
              <w:top w:val="nil"/>
              <w:left w:val="nil"/>
              <w:bottom w:val="nil"/>
              <w:right w:val="single" w:sz="4" w:space="0" w:color="auto"/>
            </w:tcBorders>
            <w:shd w:val="clear" w:color="auto" w:fill="auto"/>
            <w:noWrap/>
          </w:tcPr>
          <w:p w14:paraId="5F21F082" w14:textId="3B074EC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34149759" w14:textId="2E2C78B3"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0.91</w:t>
            </w:r>
          </w:p>
        </w:tc>
        <w:tc>
          <w:tcPr>
            <w:tcW w:w="0" w:type="auto"/>
            <w:tcBorders>
              <w:top w:val="nil"/>
              <w:left w:val="nil"/>
              <w:bottom w:val="nil"/>
              <w:right w:val="nil"/>
            </w:tcBorders>
            <w:shd w:val="clear" w:color="auto" w:fill="auto"/>
            <w:noWrap/>
          </w:tcPr>
          <w:p w14:paraId="14FF0F4C" w14:textId="7B1F244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17FA818C" w14:textId="16C809A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0.89</w:t>
            </w:r>
          </w:p>
        </w:tc>
        <w:tc>
          <w:tcPr>
            <w:tcW w:w="0" w:type="auto"/>
            <w:tcBorders>
              <w:top w:val="nil"/>
              <w:left w:val="nil"/>
              <w:bottom w:val="nil"/>
              <w:right w:val="single" w:sz="4" w:space="0" w:color="auto"/>
            </w:tcBorders>
            <w:shd w:val="clear" w:color="auto" w:fill="auto"/>
            <w:noWrap/>
          </w:tcPr>
          <w:p w14:paraId="00488E69" w14:textId="1327F71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7A8C0E9C" w14:textId="5978D912"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0.90</w:t>
            </w:r>
          </w:p>
        </w:tc>
        <w:tc>
          <w:tcPr>
            <w:tcW w:w="0" w:type="auto"/>
            <w:tcBorders>
              <w:top w:val="nil"/>
              <w:left w:val="nil"/>
              <w:bottom w:val="nil"/>
              <w:right w:val="single" w:sz="4" w:space="0" w:color="auto"/>
            </w:tcBorders>
            <w:shd w:val="clear" w:color="auto" w:fill="auto"/>
            <w:noWrap/>
          </w:tcPr>
          <w:p w14:paraId="6A1966EA" w14:textId="0C2C73E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r>
      <w:tr w:rsidR="00FF604A" w:rsidRPr="00714E84" w14:paraId="6DB78000" w14:textId="77777777" w:rsidTr="00C474DC">
        <w:tc>
          <w:tcPr>
            <w:tcW w:w="0" w:type="auto"/>
            <w:tcBorders>
              <w:top w:val="nil"/>
              <w:left w:val="single" w:sz="4" w:space="0" w:color="auto"/>
              <w:bottom w:val="nil"/>
              <w:right w:val="nil"/>
            </w:tcBorders>
            <w:shd w:val="clear" w:color="auto" w:fill="auto"/>
            <w:noWrap/>
            <w:vAlign w:val="bottom"/>
            <w:hideMark/>
          </w:tcPr>
          <w:p w14:paraId="43480F35"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Non-UK nationals (UK nat.)</w:t>
            </w:r>
          </w:p>
        </w:tc>
        <w:tc>
          <w:tcPr>
            <w:tcW w:w="0" w:type="auto"/>
            <w:tcBorders>
              <w:top w:val="nil"/>
              <w:left w:val="single" w:sz="4" w:space="0" w:color="auto"/>
              <w:bottom w:val="nil"/>
              <w:right w:val="nil"/>
            </w:tcBorders>
            <w:shd w:val="clear" w:color="auto" w:fill="auto"/>
            <w:noWrap/>
          </w:tcPr>
          <w:p w14:paraId="3E7C3DCB" w14:textId="565E0A1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0.94</w:t>
            </w:r>
          </w:p>
        </w:tc>
        <w:tc>
          <w:tcPr>
            <w:tcW w:w="0" w:type="auto"/>
            <w:tcBorders>
              <w:top w:val="nil"/>
              <w:left w:val="nil"/>
              <w:bottom w:val="nil"/>
              <w:right w:val="single" w:sz="4" w:space="0" w:color="auto"/>
            </w:tcBorders>
            <w:shd w:val="clear" w:color="auto" w:fill="auto"/>
            <w:noWrap/>
          </w:tcPr>
          <w:p w14:paraId="3F5B70E9" w14:textId="70B62B2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nil"/>
              <w:bottom w:val="nil"/>
              <w:right w:val="nil"/>
            </w:tcBorders>
            <w:shd w:val="clear" w:color="auto" w:fill="auto"/>
            <w:noWrap/>
          </w:tcPr>
          <w:p w14:paraId="32075E28" w14:textId="7236B6D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0.83</w:t>
            </w:r>
          </w:p>
        </w:tc>
        <w:tc>
          <w:tcPr>
            <w:tcW w:w="0" w:type="auto"/>
            <w:tcBorders>
              <w:top w:val="nil"/>
              <w:left w:val="nil"/>
              <w:bottom w:val="nil"/>
              <w:right w:val="nil"/>
            </w:tcBorders>
            <w:shd w:val="clear" w:color="auto" w:fill="auto"/>
            <w:noWrap/>
          </w:tcPr>
          <w:p w14:paraId="5FB3F142" w14:textId="3811EEC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153B4AD2" w14:textId="233D1FC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0.79</w:t>
            </w:r>
          </w:p>
        </w:tc>
        <w:tc>
          <w:tcPr>
            <w:tcW w:w="0" w:type="auto"/>
            <w:tcBorders>
              <w:top w:val="nil"/>
              <w:left w:val="nil"/>
              <w:bottom w:val="nil"/>
              <w:right w:val="single" w:sz="4" w:space="0" w:color="auto"/>
            </w:tcBorders>
            <w:shd w:val="clear" w:color="auto" w:fill="auto"/>
            <w:noWrap/>
          </w:tcPr>
          <w:p w14:paraId="1EB2059A" w14:textId="7AF9B55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2E8D97F9" w14:textId="11EA9416"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0.99</w:t>
            </w:r>
          </w:p>
        </w:tc>
        <w:tc>
          <w:tcPr>
            <w:tcW w:w="0" w:type="auto"/>
            <w:tcBorders>
              <w:top w:val="nil"/>
              <w:left w:val="nil"/>
              <w:bottom w:val="nil"/>
              <w:right w:val="nil"/>
            </w:tcBorders>
            <w:shd w:val="clear" w:color="auto" w:fill="auto"/>
            <w:noWrap/>
          </w:tcPr>
          <w:p w14:paraId="090BF9B0" w14:textId="6F3FBF7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single" w:sz="4" w:space="0" w:color="auto"/>
              <w:bottom w:val="nil"/>
              <w:right w:val="nil"/>
            </w:tcBorders>
            <w:shd w:val="clear" w:color="auto" w:fill="auto"/>
            <w:noWrap/>
          </w:tcPr>
          <w:p w14:paraId="2B767A54" w14:textId="2265D48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single" w:sz="4" w:space="0" w:color="auto"/>
            </w:tcBorders>
            <w:shd w:val="clear" w:color="auto" w:fill="auto"/>
            <w:noWrap/>
          </w:tcPr>
          <w:p w14:paraId="7B3FB47D" w14:textId="379612C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nil"/>
              <w:bottom w:val="nil"/>
              <w:right w:val="nil"/>
            </w:tcBorders>
            <w:shd w:val="clear" w:color="auto" w:fill="auto"/>
            <w:noWrap/>
          </w:tcPr>
          <w:p w14:paraId="55FC26A8" w14:textId="74BF6293"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0.95</w:t>
            </w:r>
          </w:p>
        </w:tc>
        <w:tc>
          <w:tcPr>
            <w:tcW w:w="0" w:type="auto"/>
            <w:tcBorders>
              <w:top w:val="nil"/>
              <w:left w:val="nil"/>
              <w:bottom w:val="nil"/>
              <w:right w:val="nil"/>
            </w:tcBorders>
            <w:shd w:val="clear" w:color="auto" w:fill="auto"/>
            <w:noWrap/>
          </w:tcPr>
          <w:p w14:paraId="4563CFA0" w14:textId="6D3596D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single" w:sz="4" w:space="0" w:color="auto"/>
              <w:bottom w:val="nil"/>
              <w:right w:val="nil"/>
            </w:tcBorders>
            <w:shd w:val="clear" w:color="auto" w:fill="auto"/>
            <w:noWrap/>
          </w:tcPr>
          <w:p w14:paraId="212109BD" w14:textId="7F3EB42C"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0.99</w:t>
            </w:r>
          </w:p>
        </w:tc>
        <w:tc>
          <w:tcPr>
            <w:tcW w:w="0" w:type="auto"/>
            <w:tcBorders>
              <w:top w:val="nil"/>
              <w:left w:val="nil"/>
              <w:bottom w:val="nil"/>
              <w:right w:val="single" w:sz="4" w:space="0" w:color="auto"/>
            </w:tcBorders>
            <w:shd w:val="clear" w:color="auto" w:fill="auto"/>
            <w:noWrap/>
          </w:tcPr>
          <w:p w14:paraId="0B7F5E9F" w14:textId="2392EA2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nil"/>
              <w:bottom w:val="nil"/>
              <w:right w:val="nil"/>
            </w:tcBorders>
            <w:shd w:val="clear" w:color="auto" w:fill="auto"/>
            <w:noWrap/>
          </w:tcPr>
          <w:p w14:paraId="305DADC3" w14:textId="206697F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1.00</w:t>
            </w:r>
          </w:p>
        </w:tc>
        <w:tc>
          <w:tcPr>
            <w:tcW w:w="0" w:type="auto"/>
            <w:tcBorders>
              <w:top w:val="nil"/>
              <w:left w:val="nil"/>
              <w:bottom w:val="nil"/>
              <w:right w:val="single" w:sz="4" w:space="0" w:color="auto"/>
            </w:tcBorders>
            <w:shd w:val="clear" w:color="auto" w:fill="auto"/>
            <w:noWrap/>
          </w:tcPr>
          <w:p w14:paraId="14DFEDEE" w14:textId="1AE0CA0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r>
      <w:tr w:rsidR="00FF604A" w:rsidRPr="00714E84" w14:paraId="2D2C5F12" w14:textId="77777777" w:rsidTr="00C474DC">
        <w:tc>
          <w:tcPr>
            <w:tcW w:w="0" w:type="auto"/>
            <w:tcBorders>
              <w:top w:val="nil"/>
              <w:left w:val="single" w:sz="4" w:space="0" w:color="auto"/>
              <w:bottom w:val="nil"/>
              <w:right w:val="nil"/>
            </w:tcBorders>
            <w:shd w:val="clear" w:color="auto" w:fill="auto"/>
            <w:noWrap/>
            <w:vAlign w:val="bottom"/>
          </w:tcPr>
          <w:p w14:paraId="33B67736" w14:textId="77777777" w:rsidR="00FF604A" w:rsidRPr="005558FF" w:rsidRDefault="00FF604A" w:rsidP="00FF604A">
            <w:pPr>
              <w:rPr>
                <w:rFonts w:asciiTheme="minorHAnsi" w:eastAsia="Times New Roman" w:hAnsiTheme="minorHAnsi" w:cstheme="minorHAnsi"/>
                <w:iCs/>
                <w:color w:val="000000"/>
                <w:sz w:val="18"/>
                <w:szCs w:val="18"/>
                <w:lang w:val="en-US" w:eastAsia="en-US"/>
              </w:rPr>
            </w:pPr>
            <w:r w:rsidRPr="005558FF">
              <w:rPr>
                <w:rFonts w:ascii="Calibri" w:eastAsia="Times New Roman" w:hAnsi="Calibri" w:cs="Calibri"/>
                <w:b/>
                <w:bCs/>
                <w:color w:val="000000"/>
                <w:sz w:val="18"/>
                <w:szCs w:val="20"/>
                <w:lang w:eastAsia="en-GB"/>
              </w:rPr>
              <w:t>Ethnic group (White British)</w:t>
            </w:r>
          </w:p>
        </w:tc>
        <w:tc>
          <w:tcPr>
            <w:tcW w:w="0" w:type="auto"/>
            <w:tcBorders>
              <w:top w:val="nil"/>
              <w:left w:val="single" w:sz="4" w:space="0" w:color="auto"/>
              <w:bottom w:val="nil"/>
              <w:right w:val="nil"/>
            </w:tcBorders>
            <w:shd w:val="clear" w:color="auto" w:fill="auto"/>
            <w:noWrap/>
          </w:tcPr>
          <w:p w14:paraId="7A082C27"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2692D6B2"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6A432E52"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2E5500D1"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nil"/>
              <w:right w:val="nil"/>
            </w:tcBorders>
            <w:shd w:val="clear" w:color="auto" w:fill="auto"/>
            <w:noWrap/>
          </w:tcPr>
          <w:p w14:paraId="0E0D2387"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29189E1A"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30761DCB"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3E61C020"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nil"/>
              <w:right w:val="nil"/>
            </w:tcBorders>
            <w:shd w:val="clear" w:color="auto" w:fill="auto"/>
            <w:noWrap/>
          </w:tcPr>
          <w:p w14:paraId="47145B20"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72F8A9BF"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4894FD65" w14:textId="77777777" w:rsidR="00FF604A" w:rsidRPr="00714E84" w:rsidRDefault="00FF604A" w:rsidP="00FF604A">
            <w:pPr>
              <w:jc w:val="right"/>
              <w:rPr>
                <w:rFonts w:asciiTheme="minorHAnsi" w:eastAsia="Times New Roman" w:hAnsiTheme="minorHAnsi" w:cstheme="minorHAnsi"/>
                <w:b/>
                <w:bCs/>
                <w:color w:val="000000"/>
                <w:sz w:val="18"/>
                <w:szCs w:val="18"/>
                <w:lang w:val="en-US" w:eastAsia="en-US"/>
              </w:rPr>
            </w:pPr>
          </w:p>
        </w:tc>
        <w:tc>
          <w:tcPr>
            <w:tcW w:w="0" w:type="auto"/>
            <w:tcBorders>
              <w:top w:val="nil"/>
              <w:left w:val="nil"/>
              <w:bottom w:val="nil"/>
              <w:right w:val="nil"/>
            </w:tcBorders>
            <w:shd w:val="clear" w:color="auto" w:fill="auto"/>
            <w:noWrap/>
          </w:tcPr>
          <w:p w14:paraId="16C9F305"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nil"/>
              <w:right w:val="nil"/>
            </w:tcBorders>
            <w:shd w:val="clear" w:color="auto" w:fill="auto"/>
            <w:noWrap/>
          </w:tcPr>
          <w:p w14:paraId="5C7CCCCC" w14:textId="77777777" w:rsidR="00FF604A" w:rsidRPr="00714E84" w:rsidRDefault="00FF604A" w:rsidP="00FF604A">
            <w:pPr>
              <w:jc w:val="right"/>
              <w:rPr>
                <w:rFonts w:asciiTheme="minorHAnsi" w:eastAsia="Times New Roman" w:hAnsiTheme="minorHAnsi" w:cstheme="minorHAnsi"/>
                <w:b/>
                <w:bCs/>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3AC9A0FA"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64315BC1"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5499D926"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r>
      <w:tr w:rsidR="00FF604A" w:rsidRPr="00714E84" w14:paraId="48C22CE4" w14:textId="77777777" w:rsidTr="00C474DC">
        <w:tc>
          <w:tcPr>
            <w:tcW w:w="0" w:type="auto"/>
            <w:tcBorders>
              <w:top w:val="nil"/>
              <w:left w:val="single" w:sz="4" w:space="0" w:color="auto"/>
              <w:bottom w:val="nil"/>
              <w:right w:val="nil"/>
            </w:tcBorders>
            <w:shd w:val="clear" w:color="auto" w:fill="auto"/>
            <w:noWrap/>
            <w:vAlign w:val="bottom"/>
            <w:hideMark/>
          </w:tcPr>
          <w:p w14:paraId="1A480E55"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White EU</w:t>
            </w:r>
          </w:p>
        </w:tc>
        <w:tc>
          <w:tcPr>
            <w:tcW w:w="0" w:type="auto"/>
            <w:tcBorders>
              <w:top w:val="nil"/>
              <w:left w:val="single" w:sz="4" w:space="0" w:color="auto"/>
              <w:bottom w:val="nil"/>
              <w:right w:val="nil"/>
            </w:tcBorders>
            <w:shd w:val="clear" w:color="auto" w:fill="auto"/>
            <w:noWrap/>
          </w:tcPr>
          <w:p w14:paraId="595A8FB8" w14:textId="17A39C9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0.83</w:t>
            </w:r>
          </w:p>
        </w:tc>
        <w:tc>
          <w:tcPr>
            <w:tcW w:w="0" w:type="auto"/>
            <w:tcBorders>
              <w:top w:val="nil"/>
              <w:left w:val="nil"/>
              <w:bottom w:val="nil"/>
              <w:right w:val="single" w:sz="4" w:space="0" w:color="auto"/>
            </w:tcBorders>
            <w:shd w:val="clear" w:color="auto" w:fill="auto"/>
            <w:noWrap/>
          </w:tcPr>
          <w:p w14:paraId="02487292" w14:textId="7ABA2F2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nil"/>
              <w:bottom w:val="nil"/>
              <w:right w:val="nil"/>
            </w:tcBorders>
            <w:shd w:val="clear" w:color="auto" w:fill="auto"/>
            <w:noWrap/>
          </w:tcPr>
          <w:p w14:paraId="305FEDA8" w14:textId="23027F5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0.95</w:t>
            </w:r>
          </w:p>
        </w:tc>
        <w:tc>
          <w:tcPr>
            <w:tcW w:w="0" w:type="auto"/>
            <w:tcBorders>
              <w:top w:val="nil"/>
              <w:left w:val="nil"/>
              <w:bottom w:val="nil"/>
              <w:right w:val="nil"/>
            </w:tcBorders>
            <w:shd w:val="clear" w:color="auto" w:fill="auto"/>
            <w:noWrap/>
          </w:tcPr>
          <w:p w14:paraId="6B2D1CB9" w14:textId="31DC232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single" w:sz="4" w:space="0" w:color="auto"/>
              <w:bottom w:val="nil"/>
              <w:right w:val="nil"/>
            </w:tcBorders>
            <w:shd w:val="clear" w:color="auto" w:fill="auto"/>
            <w:noWrap/>
          </w:tcPr>
          <w:p w14:paraId="3CB3DC1E" w14:textId="58ADC6F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0.93</w:t>
            </w:r>
          </w:p>
        </w:tc>
        <w:tc>
          <w:tcPr>
            <w:tcW w:w="0" w:type="auto"/>
            <w:tcBorders>
              <w:top w:val="nil"/>
              <w:left w:val="nil"/>
              <w:bottom w:val="nil"/>
              <w:right w:val="single" w:sz="4" w:space="0" w:color="auto"/>
            </w:tcBorders>
            <w:shd w:val="clear" w:color="auto" w:fill="auto"/>
            <w:noWrap/>
          </w:tcPr>
          <w:p w14:paraId="5B104EED" w14:textId="1DB6797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nil"/>
              <w:bottom w:val="nil"/>
              <w:right w:val="nil"/>
            </w:tcBorders>
            <w:shd w:val="clear" w:color="auto" w:fill="auto"/>
            <w:noWrap/>
          </w:tcPr>
          <w:p w14:paraId="1BB0C6BF" w14:textId="7BA24B1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0.78</w:t>
            </w:r>
          </w:p>
        </w:tc>
        <w:tc>
          <w:tcPr>
            <w:tcW w:w="0" w:type="auto"/>
            <w:tcBorders>
              <w:top w:val="nil"/>
              <w:left w:val="nil"/>
              <w:bottom w:val="nil"/>
              <w:right w:val="nil"/>
            </w:tcBorders>
            <w:shd w:val="clear" w:color="auto" w:fill="auto"/>
            <w:noWrap/>
          </w:tcPr>
          <w:p w14:paraId="67C54F65" w14:textId="1C28B1F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single" w:sz="4" w:space="0" w:color="auto"/>
              <w:bottom w:val="nil"/>
              <w:right w:val="nil"/>
            </w:tcBorders>
            <w:shd w:val="clear" w:color="auto" w:fill="auto"/>
            <w:noWrap/>
          </w:tcPr>
          <w:p w14:paraId="1783D6DF" w14:textId="135B6C29"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0.95</w:t>
            </w:r>
          </w:p>
        </w:tc>
        <w:tc>
          <w:tcPr>
            <w:tcW w:w="0" w:type="auto"/>
            <w:tcBorders>
              <w:top w:val="nil"/>
              <w:left w:val="nil"/>
              <w:bottom w:val="nil"/>
              <w:right w:val="single" w:sz="4" w:space="0" w:color="auto"/>
            </w:tcBorders>
            <w:shd w:val="clear" w:color="auto" w:fill="auto"/>
            <w:noWrap/>
          </w:tcPr>
          <w:p w14:paraId="37D6E22F" w14:textId="35510AC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nil"/>
              <w:bottom w:val="nil"/>
              <w:right w:val="nil"/>
            </w:tcBorders>
            <w:shd w:val="clear" w:color="auto" w:fill="auto"/>
            <w:noWrap/>
          </w:tcPr>
          <w:p w14:paraId="49AFEF41" w14:textId="3BE79BA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0.86</w:t>
            </w:r>
          </w:p>
        </w:tc>
        <w:tc>
          <w:tcPr>
            <w:tcW w:w="0" w:type="auto"/>
            <w:tcBorders>
              <w:top w:val="nil"/>
              <w:left w:val="nil"/>
              <w:bottom w:val="nil"/>
              <w:right w:val="nil"/>
            </w:tcBorders>
            <w:shd w:val="clear" w:color="auto" w:fill="auto"/>
            <w:noWrap/>
          </w:tcPr>
          <w:p w14:paraId="7D7A63B5" w14:textId="3F4C2E4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single" w:sz="4" w:space="0" w:color="auto"/>
              <w:bottom w:val="nil"/>
              <w:right w:val="nil"/>
            </w:tcBorders>
            <w:shd w:val="clear" w:color="auto" w:fill="auto"/>
            <w:noWrap/>
          </w:tcPr>
          <w:p w14:paraId="5B500173" w14:textId="562CCE6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0.91</w:t>
            </w:r>
          </w:p>
        </w:tc>
        <w:tc>
          <w:tcPr>
            <w:tcW w:w="0" w:type="auto"/>
            <w:tcBorders>
              <w:top w:val="nil"/>
              <w:left w:val="nil"/>
              <w:bottom w:val="nil"/>
              <w:right w:val="single" w:sz="4" w:space="0" w:color="auto"/>
            </w:tcBorders>
            <w:shd w:val="clear" w:color="auto" w:fill="auto"/>
            <w:noWrap/>
          </w:tcPr>
          <w:p w14:paraId="27548BCB" w14:textId="0FF80EA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7183BD9D" w14:textId="3CB34C9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0.80</w:t>
            </w:r>
          </w:p>
        </w:tc>
        <w:tc>
          <w:tcPr>
            <w:tcW w:w="0" w:type="auto"/>
            <w:tcBorders>
              <w:top w:val="nil"/>
              <w:left w:val="nil"/>
              <w:bottom w:val="nil"/>
              <w:right w:val="single" w:sz="4" w:space="0" w:color="auto"/>
            </w:tcBorders>
            <w:shd w:val="clear" w:color="auto" w:fill="auto"/>
            <w:noWrap/>
          </w:tcPr>
          <w:p w14:paraId="660E2C30" w14:textId="458DA20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r>
      <w:tr w:rsidR="00FF604A" w:rsidRPr="00714E84" w14:paraId="10A1F247" w14:textId="77777777" w:rsidTr="00C474DC">
        <w:tc>
          <w:tcPr>
            <w:tcW w:w="0" w:type="auto"/>
            <w:tcBorders>
              <w:top w:val="nil"/>
              <w:left w:val="single" w:sz="4" w:space="0" w:color="auto"/>
              <w:bottom w:val="nil"/>
              <w:right w:val="nil"/>
            </w:tcBorders>
            <w:shd w:val="clear" w:color="auto" w:fill="auto"/>
            <w:noWrap/>
            <w:vAlign w:val="bottom"/>
            <w:hideMark/>
          </w:tcPr>
          <w:p w14:paraId="5C40FF8B"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White A8</w:t>
            </w:r>
          </w:p>
        </w:tc>
        <w:tc>
          <w:tcPr>
            <w:tcW w:w="0" w:type="auto"/>
            <w:tcBorders>
              <w:top w:val="nil"/>
              <w:left w:val="single" w:sz="4" w:space="0" w:color="auto"/>
              <w:bottom w:val="nil"/>
              <w:right w:val="nil"/>
            </w:tcBorders>
            <w:shd w:val="clear" w:color="auto" w:fill="auto"/>
            <w:noWrap/>
          </w:tcPr>
          <w:p w14:paraId="449853BC" w14:textId="53AEF7A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1.78</w:t>
            </w:r>
          </w:p>
        </w:tc>
        <w:tc>
          <w:tcPr>
            <w:tcW w:w="0" w:type="auto"/>
            <w:tcBorders>
              <w:top w:val="nil"/>
              <w:left w:val="nil"/>
              <w:bottom w:val="nil"/>
              <w:right w:val="single" w:sz="4" w:space="0" w:color="auto"/>
            </w:tcBorders>
            <w:shd w:val="clear" w:color="auto" w:fill="auto"/>
            <w:noWrap/>
          </w:tcPr>
          <w:p w14:paraId="22D11DC7" w14:textId="7A5EB20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0.25</w:t>
            </w:r>
          </w:p>
        </w:tc>
        <w:tc>
          <w:tcPr>
            <w:tcW w:w="0" w:type="auto"/>
            <w:tcBorders>
              <w:top w:val="nil"/>
              <w:left w:val="nil"/>
              <w:bottom w:val="nil"/>
              <w:right w:val="nil"/>
            </w:tcBorders>
            <w:shd w:val="clear" w:color="auto" w:fill="auto"/>
            <w:noWrap/>
          </w:tcPr>
          <w:p w14:paraId="4B7023E6" w14:textId="653D038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1.86</w:t>
            </w:r>
          </w:p>
        </w:tc>
        <w:tc>
          <w:tcPr>
            <w:tcW w:w="0" w:type="auto"/>
            <w:tcBorders>
              <w:top w:val="nil"/>
              <w:left w:val="nil"/>
              <w:bottom w:val="nil"/>
              <w:right w:val="nil"/>
            </w:tcBorders>
            <w:shd w:val="clear" w:color="auto" w:fill="auto"/>
            <w:noWrap/>
          </w:tcPr>
          <w:p w14:paraId="281E08C5" w14:textId="70BE328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0.19</w:t>
            </w:r>
          </w:p>
        </w:tc>
        <w:tc>
          <w:tcPr>
            <w:tcW w:w="0" w:type="auto"/>
            <w:tcBorders>
              <w:top w:val="nil"/>
              <w:left w:val="single" w:sz="4" w:space="0" w:color="auto"/>
              <w:bottom w:val="nil"/>
              <w:right w:val="nil"/>
            </w:tcBorders>
            <w:shd w:val="clear" w:color="auto" w:fill="auto"/>
            <w:noWrap/>
          </w:tcPr>
          <w:p w14:paraId="23433BB8" w14:textId="7C5DFF73"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1.74</w:t>
            </w:r>
          </w:p>
        </w:tc>
        <w:tc>
          <w:tcPr>
            <w:tcW w:w="0" w:type="auto"/>
            <w:tcBorders>
              <w:top w:val="nil"/>
              <w:left w:val="nil"/>
              <w:bottom w:val="nil"/>
              <w:right w:val="single" w:sz="4" w:space="0" w:color="auto"/>
            </w:tcBorders>
            <w:shd w:val="clear" w:color="auto" w:fill="auto"/>
            <w:noWrap/>
          </w:tcPr>
          <w:p w14:paraId="6556C6A0" w14:textId="3D1DD45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0.16</w:t>
            </w:r>
          </w:p>
        </w:tc>
        <w:tc>
          <w:tcPr>
            <w:tcW w:w="0" w:type="auto"/>
            <w:tcBorders>
              <w:top w:val="nil"/>
              <w:left w:val="nil"/>
              <w:bottom w:val="nil"/>
              <w:right w:val="nil"/>
            </w:tcBorders>
            <w:shd w:val="clear" w:color="auto" w:fill="auto"/>
            <w:noWrap/>
          </w:tcPr>
          <w:p w14:paraId="4D0EDE96" w14:textId="6040122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1.29</w:t>
            </w:r>
          </w:p>
        </w:tc>
        <w:tc>
          <w:tcPr>
            <w:tcW w:w="0" w:type="auto"/>
            <w:tcBorders>
              <w:top w:val="nil"/>
              <w:left w:val="nil"/>
              <w:bottom w:val="nil"/>
              <w:right w:val="nil"/>
            </w:tcBorders>
            <w:shd w:val="clear" w:color="auto" w:fill="auto"/>
            <w:noWrap/>
          </w:tcPr>
          <w:p w14:paraId="4E7E0100" w14:textId="1504DEE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single" w:sz="4" w:space="0" w:color="auto"/>
              <w:bottom w:val="nil"/>
              <w:right w:val="nil"/>
            </w:tcBorders>
            <w:shd w:val="clear" w:color="auto" w:fill="auto"/>
            <w:noWrap/>
          </w:tcPr>
          <w:p w14:paraId="52F9350A" w14:textId="011762BE"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1.45</w:t>
            </w:r>
          </w:p>
        </w:tc>
        <w:tc>
          <w:tcPr>
            <w:tcW w:w="0" w:type="auto"/>
            <w:tcBorders>
              <w:top w:val="nil"/>
              <w:left w:val="nil"/>
              <w:bottom w:val="nil"/>
              <w:right w:val="single" w:sz="4" w:space="0" w:color="auto"/>
            </w:tcBorders>
            <w:shd w:val="clear" w:color="auto" w:fill="auto"/>
            <w:noWrap/>
          </w:tcPr>
          <w:p w14:paraId="3D74AAE2" w14:textId="7933BC7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nil"/>
              <w:bottom w:val="nil"/>
              <w:right w:val="nil"/>
            </w:tcBorders>
            <w:shd w:val="clear" w:color="auto" w:fill="auto"/>
            <w:noWrap/>
          </w:tcPr>
          <w:p w14:paraId="3FCC694F" w14:textId="6897A83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1.35</w:t>
            </w:r>
          </w:p>
        </w:tc>
        <w:tc>
          <w:tcPr>
            <w:tcW w:w="0" w:type="auto"/>
            <w:tcBorders>
              <w:top w:val="nil"/>
              <w:left w:val="nil"/>
              <w:bottom w:val="nil"/>
              <w:right w:val="nil"/>
            </w:tcBorders>
            <w:shd w:val="clear" w:color="auto" w:fill="auto"/>
            <w:noWrap/>
          </w:tcPr>
          <w:p w14:paraId="1FF0C0EF" w14:textId="1D1C303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single" w:sz="4" w:space="0" w:color="auto"/>
              <w:bottom w:val="nil"/>
              <w:right w:val="nil"/>
            </w:tcBorders>
            <w:shd w:val="clear" w:color="auto" w:fill="auto"/>
            <w:noWrap/>
          </w:tcPr>
          <w:p w14:paraId="7226645E" w14:textId="3A56FB7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1.22</w:t>
            </w:r>
          </w:p>
        </w:tc>
        <w:tc>
          <w:tcPr>
            <w:tcW w:w="0" w:type="auto"/>
            <w:tcBorders>
              <w:top w:val="nil"/>
              <w:left w:val="nil"/>
              <w:bottom w:val="nil"/>
              <w:right w:val="single" w:sz="4" w:space="0" w:color="auto"/>
            </w:tcBorders>
            <w:shd w:val="clear" w:color="auto" w:fill="auto"/>
            <w:noWrap/>
          </w:tcPr>
          <w:p w14:paraId="45E5584B" w14:textId="35F9625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nil"/>
              <w:bottom w:val="nil"/>
              <w:right w:val="nil"/>
            </w:tcBorders>
            <w:shd w:val="clear" w:color="auto" w:fill="auto"/>
            <w:noWrap/>
          </w:tcPr>
          <w:p w14:paraId="0A790FB0" w14:textId="658DE5B2"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1.51</w:t>
            </w:r>
          </w:p>
        </w:tc>
        <w:tc>
          <w:tcPr>
            <w:tcW w:w="0" w:type="auto"/>
            <w:tcBorders>
              <w:top w:val="nil"/>
              <w:left w:val="nil"/>
              <w:bottom w:val="nil"/>
              <w:right w:val="single" w:sz="4" w:space="0" w:color="auto"/>
            </w:tcBorders>
            <w:shd w:val="clear" w:color="auto" w:fill="auto"/>
            <w:noWrap/>
          </w:tcPr>
          <w:p w14:paraId="615B8FA1" w14:textId="0FB1C0D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r>
      <w:tr w:rsidR="00FF604A" w:rsidRPr="00714E84" w14:paraId="46AB1A41" w14:textId="77777777" w:rsidTr="00C474DC">
        <w:tc>
          <w:tcPr>
            <w:tcW w:w="0" w:type="auto"/>
            <w:tcBorders>
              <w:top w:val="nil"/>
              <w:left w:val="single" w:sz="4" w:space="0" w:color="auto"/>
              <w:bottom w:val="nil"/>
              <w:right w:val="nil"/>
            </w:tcBorders>
            <w:shd w:val="clear" w:color="auto" w:fill="auto"/>
            <w:noWrap/>
            <w:vAlign w:val="bottom"/>
            <w:hideMark/>
          </w:tcPr>
          <w:p w14:paraId="2FD838A7"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Mixed</w:t>
            </w:r>
          </w:p>
        </w:tc>
        <w:tc>
          <w:tcPr>
            <w:tcW w:w="0" w:type="auto"/>
            <w:tcBorders>
              <w:top w:val="nil"/>
              <w:left w:val="single" w:sz="4" w:space="0" w:color="auto"/>
              <w:bottom w:val="nil"/>
              <w:right w:val="nil"/>
            </w:tcBorders>
            <w:shd w:val="clear" w:color="auto" w:fill="auto"/>
            <w:noWrap/>
          </w:tcPr>
          <w:p w14:paraId="1502349D" w14:textId="1DE0AEE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1.01</w:t>
            </w:r>
          </w:p>
        </w:tc>
        <w:tc>
          <w:tcPr>
            <w:tcW w:w="0" w:type="auto"/>
            <w:tcBorders>
              <w:top w:val="nil"/>
              <w:left w:val="nil"/>
              <w:bottom w:val="nil"/>
              <w:right w:val="single" w:sz="4" w:space="0" w:color="auto"/>
            </w:tcBorders>
            <w:shd w:val="clear" w:color="auto" w:fill="auto"/>
            <w:noWrap/>
          </w:tcPr>
          <w:p w14:paraId="10A92BA0" w14:textId="4FA1BCC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nil"/>
              <w:bottom w:val="nil"/>
              <w:right w:val="nil"/>
            </w:tcBorders>
            <w:shd w:val="clear" w:color="auto" w:fill="auto"/>
            <w:noWrap/>
          </w:tcPr>
          <w:p w14:paraId="44FB62A1" w14:textId="4BA4697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1.11</w:t>
            </w:r>
          </w:p>
        </w:tc>
        <w:tc>
          <w:tcPr>
            <w:tcW w:w="0" w:type="auto"/>
            <w:tcBorders>
              <w:top w:val="nil"/>
              <w:left w:val="nil"/>
              <w:bottom w:val="nil"/>
              <w:right w:val="nil"/>
            </w:tcBorders>
            <w:shd w:val="clear" w:color="auto" w:fill="auto"/>
            <w:noWrap/>
          </w:tcPr>
          <w:p w14:paraId="7B039B98" w14:textId="7D6FA62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single" w:sz="4" w:space="0" w:color="auto"/>
              <w:bottom w:val="nil"/>
              <w:right w:val="nil"/>
            </w:tcBorders>
            <w:shd w:val="clear" w:color="auto" w:fill="auto"/>
            <w:noWrap/>
          </w:tcPr>
          <w:p w14:paraId="5474FFA4" w14:textId="3C67E74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1.01</w:t>
            </w:r>
          </w:p>
        </w:tc>
        <w:tc>
          <w:tcPr>
            <w:tcW w:w="0" w:type="auto"/>
            <w:tcBorders>
              <w:top w:val="nil"/>
              <w:left w:val="nil"/>
              <w:bottom w:val="nil"/>
              <w:right w:val="single" w:sz="4" w:space="0" w:color="auto"/>
            </w:tcBorders>
            <w:shd w:val="clear" w:color="auto" w:fill="auto"/>
            <w:noWrap/>
          </w:tcPr>
          <w:p w14:paraId="2780264C" w14:textId="7921125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7A4A04C7" w14:textId="76E6EB2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1.21</w:t>
            </w:r>
          </w:p>
        </w:tc>
        <w:tc>
          <w:tcPr>
            <w:tcW w:w="0" w:type="auto"/>
            <w:tcBorders>
              <w:top w:val="nil"/>
              <w:left w:val="nil"/>
              <w:bottom w:val="nil"/>
              <w:right w:val="nil"/>
            </w:tcBorders>
            <w:shd w:val="clear" w:color="auto" w:fill="auto"/>
            <w:noWrap/>
          </w:tcPr>
          <w:p w14:paraId="04A637F7" w14:textId="13D7FE5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single" w:sz="4" w:space="0" w:color="auto"/>
              <w:bottom w:val="nil"/>
              <w:right w:val="nil"/>
            </w:tcBorders>
            <w:shd w:val="clear" w:color="auto" w:fill="auto"/>
            <w:noWrap/>
          </w:tcPr>
          <w:p w14:paraId="77BDA0F8" w14:textId="50D1BF8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1.06</w:t>
            </w:r>
          </w:p>
        </w:tc>
        <w:tc>
          <w:tcPr>
            <w:tcW w:w="0" w:type="auto"/>
            <w:tcBorders>
              <w:top w:val="nil"/>
              <w:left w:val="nil"/>
              <w:bottom w:val="nil"/>
              <w:right w:val="single" w:sz="4" w:space="0" w:color="auto"/>
            </w:tcBorders>
            <w:shd w:val="clear" w:color="auto" w:fill="auto"/>
            <w:noWrap/>
          </w:tcPr>
          <w:p w14:paraId="40D54AAC" w14:textId="19AC859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519E76A2" w14:textId="5D71EA8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0.94</w:t>
            </w:r>
          </w:p>
        </w:tc>
        <w:tc>
          <w:tcPr>
            <w:tcW w:w="0" w:type="auto"/>
            <w:tcBorders>
              <w:top w:val="nil"/>
              <w:left w:val="nil"/>
              <w:bottom w:val="nil"/>
              <w:right w:val="nil"/>
            </w:tcBorders>
            <w:shd w:val="clear" w:color="auto" w:fill="auto"/>
            <w:noWrap/>
          </w:tcPr>
          <w:p w14:paraId="473A1000" w14:textId="763FC46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single" w:sz="4" w:space="0" w:color="auto"/>
              <w:bottom w:val="nil"/>
              <w:right w:val="nil"/>
            </w:tcBorders>
            <w:shd w:val="clear" w:color="auto" w:fill="auto"/>
            <w:noWrap/>
          </w:tcPr>
          <w:p w14:paraId="1984A01A" w14:textId="3B3F5FB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1.00</w:t>
            </w:r>
          </w:p>
        </w:tc>
        <w:tc>
          <w:tcPr>
            <w:tcW w:w="0" w:type="auto"/>
            <w:tcBorders>
              <w:top w:val="nil"/>
              <w:left w:val="nil"/>
              <w:bottom w:val="nil"/>
              <w:right w:val="single" w:sz="4" w:space="0" w:color="auto"/>
            </w:tcBorders>
            <w:shd w:val="clear" w:color="auto" w:fill="auto"/>
            <w:noWrap/>
          </w:tcPr>
          <w:p w14:paraId="0FFEBF98" w14:textId="0948498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3B08DBE6" w14:textId="3140F15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single" w:sz="4" w:space="0" w:color="auto"/>
            </w:tcBorders>
            <w:shd w:val="clear" w:color="auto" w:fill="auto"/>
            <w:noWrap/>
          </w:tcPr>
          <w:p w14:paraId="5DE8CA70" w14:textId="2378927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r>
      <w:tr w:rsidR="00FF604A" w:rsidRPr="00714E84" w14:paraId="221A2DDA" w14:textId="77777777" w:rsidTr="00C474DC">
        <w:tc>
          <w:tcPr>
            <w:tcW w:w="0" w:type="auto"/>
            <w:tcBorders>
              <w:top w:val="nil"/>
              <w:left w:val="single" w:sz="4" w:space="0" w:color="auto"/>
              <w:bottom w:val="nil"/>
              <w:right w:val="nil"/>
            </w:tcBorders>
            <w:shd w:val="clear" w:color="auto" w:fill="auto"/>
            <w:noWrap/>
            <w:vAlign w:val="bottom"/>
            <w:hideMark/>
          </w:tcPr>
          <w:p w14:paraId="2D1B1B36"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Black Caribbean</w:t>
            </w:r>
          </w:p>
        </w:tc>
        <w:tc>
          <w:tcPr>
            <w:tcW w:w="0" w:type="auto"/>
            <w:tcBorders>
              <w:top w:val="nil"/>
              <w:left w:val="single" w:sz="4" w:space="0" w:color="auto"/>
              <w:bottom w:val="nil"/>
              <w:right w:val="nil"/>
            </w:tcBorders>
            <w:shd w:val="clear" w:color="auto" w:fill="auto"/>
            <w:noWrap/>
          </w:tcPr>
          <w:p w14:paraId="03EFBA2B" w14:textId="0AD45D1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1.25</w:t>
            </w:r>
          </w:p>
        </w:tc>
        <w:tc>
          <w:tcPr>
            <w:tcW w:w="0" w:type="auto"/>
            <w:tcBorders>
              <w:top w:val="nil"/>
              <w:left w:val="nil"/>
              <w:bottom w:val="nil"/>
              <w:right w:val="single" w:sz="4" w:space="0" w:color="auto"/>
            </w:tcBorders>
            <w:shd w:val="clear" w:color="auto" w:fill="auto"/>
            <w:noWrap/>
          </w:tcPr>
          <w:p w14:paraId="1EC5A50B" w14:textId="1002F3D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nil"/>
              <w:bottom w:val="nil"/>
              <w:right w:val="nil"/>
            </w:tcBorders>
            <w:shd w:val="clear" w:color="auto" w:fill="auto"/>
            <w:noWrap/>
          </w:tcPr>
          <w:p w14:paraId="1F594AEC" w14:textId="3F469D9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1.14</w:t>
            </w:r>
          </w:p>
        </w:tc>
        <w:tc>
          <w:tcPr>
            <w:tcW w:w="0" w:type="auto"/>
            <w:tcBorders>
              <w:top w:val="nil"/>
              <w:left w:val="nil"/>
              <w:bottom w:val="nil"/>
              <w:right w:val="nil"/>
            </w:tcBorders>
            <w:shd w:val="clear" w:color="auto" w:fill="auto"/>
            <w:noWrap/>
          </w:tcPr>
          <w:p w14:paraId="3F9C14DA" w14:textId="13182E9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single" w:sz="4" w:space="0" w:color="auto"/>
              <w:bottom w:val="nil"/>
              <w:right w:val="nil"/>
            </w:tcBorders>
            <w:shd w:val="clear" w:color="auto" w:fill="auto"/>
            <w:noWrap/>
          </w:tcPr>
          <w:p w14:paraId="61D8D638" w14:textId="04C99B9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1.14</w:t>
            </w:r>
          </w:p>
        </w:tc>
        <w:tc>
          <w:tcPr>
            <w:tcW w:w="0" w:type="auto"/>
            <w:tcBorders>
              <w:top w:val="nil"/>
              <w:left w:val="nil"/>
              <w:bottom w:val="nil"/>
              <w:right w:val="single" w:sz="4" w:space="0" w:color="auto"/>
            </w:tcBorders>
            <w:shd w:val="clear" w:color="auto" w:fill="auto"/>
            <w:noWrap/>
          </w:tcPr>
          <w:p w14:paraId="569F192E" w14:textId="4563307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nil"/>
              <w:bottom w:val="nil"/>
              <w:right w:val="nil"/>
            </w:tcBorders>
            <w:shd w:val="clear" w:color="auto" w:fill="auto"/>
            <w:noWrap/>
          </w:tcPr>
          <w:p w14:paraId="3095D6B3" w14:textId="60458BC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nil"/>
            </w:tcBorders>
            <w:shd w:val="clear" w:color="auto" w:fill="auto"/>
            <w:noWrap/>
          </w:tcPr>
          <w:p w14:paraId="7F5A5476" w14:textId="670F226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single" w:sz="4" w:space="0" w:color="auto"/>
              <w:bottom w:val="nil"/>
              <w:right w:val="nil"/>
            </w:tcBorders>
            <w:shd w:val="clear" w:color="auto" w:fill="auto"/>
            <w:noWrap/>
          </w:tcPr>
          <w:p w14:paraId="47671EFD" w14:textId="0A8CCD0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1.29</w:t>
            </w:r>
          </w:p>
        </w:tc>
        <w:tc>
          <w:tcPr>
            <w:tcW w:w="0" w:type="auto"/>
            <w:tcBorders>
              <w:top w:val="nil"/>
              <w:left w:val="nil"/>
              <w:bottom w:val="nil"/>
              <w:right w:val="single" w:sz="4" w:space="0" w:color="auto"/>
            </w:tcBorders>
            <w:shd w:val="clear" w:color="auto" w:fill="auto"/>
            <w:noWrap/>
          </w:tcPr>
          <w:p w14:paraId="5A1CADF2" w14:textId="56A1D4E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nil"/>
              <w:bottom w:val="nil"/>
              <w:right w:val="nil"/>
            </w:tcBorders>
            <w:shd w:val="clear" w:color="auto" w:fill="auto"/>
            <w:noWrap/>
          </w:tcPr>
          <w:p w14:paraId="1949F52F" w14:textId="075F024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1.34</w:t>
            </w:r>
          </w:p>
        </w:tc>
        <w:tc>
          <w:tcPr>
            <w:tcW w:w="0" w:type="auto"/>
            <w:tcBorders>
              <w:top w:val="nil"/>
              <w:left w:val="nil"/>
              <w:bottom w:val="nil"/>
              <w:right w:val="nil"/>
            </w:tcBorders>
            <w:shd w:val="clear" w:color="auto" w:fill="auto"/>
            <w:noWrap/>
          </w:tcPr>
          <w:p w14:paraId="454FBE80" w14:textId="62E6593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single" w:sz="4" w:space="0" w:color="auto"/>
              <w:bottom w:val="nil"/>
              <w:right w:val="nil"/>
            </w:tcBorders>
            <w:shd w:val="clear" w:color="auto" w:fill="auto"/>
            <w:noWrap/>
          </w:tcPr>
          <w:p w14:paraId="1F4C17B5" w14:textId="3539632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1.09</w:t>
            </w:r>
          </w:p>
        </w:tc>
        <w:tc>
          <w:tcPr>
            <w:tcW w:w="0" w:type="auto"/>
            <w:tcBorders>
              <w:top w:val="nil"/>
              <w:left w:val="nil"/>
              <w:bottom w:val="nil"/>
              <w:right w:val="single" w:sz="4" w:space="0" w:color="auto"/>
            </w:tcBorders>
            <w:shd w:val="clear" w:color="auto" w:fill="auto"/>
            <w:noWrap/>
          </w:tcPr>
          <w:p w14:paraId="4536411D" w14:textId="759EE32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4D6CBE84" w14:textId="6398C27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1.21</w:t>
            </w:r>
          </w:p>
        </w:tc>
        <w:tc>
          <w:tcPr>
            <w:tcW w:w="0" w:type="auto"/>
            <w:tcBorders>
              <w:top w:val="nil"/>
              <w:left w:val="nil"/>
              <w:bottom w:val="nil"/>
              <w:right w:val="single" w:sz="4" w:space="0" w:color="auto"/>
            </w:tcBorders>
            <w:shd w:val="clear" w:color="auto" w:fill="auto"/>
            <w:noWrap/>
          </w:tcPr>
          <w:p w14:paraId="5FD5A4A5" w14:textId="76692F2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r>
      <w:tr w:rsidR="00FF604A" w:rsidRPr="00714E84" w14:paraId="4D811AB1" w14:textId="77777777" w:rsidTr="00C474DC">
        <w:tc>
          <w:tcPr>
            <w:tcW w:w="0" w:type="auto"/>
            <w:tcBorders>
              <w:top w:val="nil"/>
              <w:left w:val="single" w:sz="4" w:space="0" w:color="auto"/>
              <w:bottom w:val="nil"/>
              <w:right w:val="nil"/>
            </w:tcBorders>
            <w:shd w:val="clear" w:color="auto" w:fill="auto"/>
            <w:noWrap/>
            <w:vAlign w:val="bottom"/>
            <w:hideMark/>
          </w:tcPr>
          <w:p w14:paraId="615DCADA"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Indian</w:t>
            </w:r>
          </w:p>
        </w:tc>
        <w:tc>
          <w:tcPr>
            <w:tcW w:w="0" w:type="auto"/>
            <w:tcBorders>
              <w:top w:val="nil"/>
              <w:left w:val="single" w:sz="4" w:space="0" w:color="auto"/>
              <w:bottom w:val="nil"/>
              <w:right w:val="nil"/>
            </w:tcBorders>
            <w:shd w:val="clear" w:color="auto" w:fill="auto"/>
            <w:noWrap/>
          </w:tcPr>
          <w:p w14:paraId="663BF20C" w14:textId="5C50A44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0.95</w:t>
            </w:r>
          </w:p>
        </w:tc>
        <w:tc>
          <w:tcPr>
            <w:tcW w:w="0" w:type="auto"/>
            <w:tcBorders>
              <w:top w:val="nil"/>
              <w:left w:val="nil"/>
              <w:bottom w:val="nil"/>
              <w:right w:val="single" w:sz="4" w:space="0" w:color="auto"/>
            </w:tcBorders>
            <w:shd w:val="clear" w:color="auto" w:fill="auto"/>
            <w:noWrap/>
          </w:tcPr>
          <w:p w14:paraId="24C1A2EF" w14:textId="1CBBA56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339465DE" w14:textId="21BFA84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1.02</w:t>
            </w:r>
          </w:p>
        </w:tc>
        <w:tc>
          <w:tcPr>
            <w:tcW w:w="0" w:type="auto"/>
            <w:tcBorders>
              <w:top w:val="nil"/>
              <w:left w:val="nil"/>
              <w:bottom w:val="nil"/>
              <w:right w:val="nil"/>
            </w:tcBorders>
            <w:shd w:val="clear" w:color="auto" w:fill="auto"/>
            <w:noWrap/>
          </w:tcPr>
          <w:p w14:paraId="5F14D495" w14:textId="50A679D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single" w:sz="4" w:space="0" w:color="auto"/>
              <w:bottom w:val="nil"/>
              <w:right w:val="nil"/>
            </w:tcBorders>
            <w:shd w:val="clear" w:color="auto" w:fill="auto"/>
            <w:noWrap/>
          </w:tcPr>
          <w:p w14:paraId="3D2C374A" w14:textId="094851E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1.04</w:t>
            </w:r>
          </w:p>
        </w:tc>
        <w:tc>
          <w:tcPr>
            <w:tcW w:w="0" w:type="auto"/>
            <w:tcBorders>
              <w:top w:val="nil"/>
              <w:left w:val="nil"/>
              <w:bottom w:val="nil"/>
              <w:right w:val="single" w:sz="4" w:space="0" w:color="auto"/>
            </w:tcBorders>
            <w:shd w:val="clear" w:color="auto" w:fill="auto"/>
            <w:noWrap/>
          </w:tcPr>
          <w:p w14:paraId="6451DF95" w14:textId="367AD59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33FB3ED5" w14:textId="4AA7F1E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1.03</w:t>
            </w:r>
          </w:p>
        </w:tc>
        <w:tc>
          <w:tcPr>
            <w:tcW w:w="0" w:type="auto"/>
            <w:tcBorders>
              <w:top w:val="nil"/>
              <w:left w:val="nil"/>
              <w:bottom w:val="nil"/>
              <w:right w:val="nil"/>
            </w:tcBorders>
            <w:shd w:val="clear" w:color="auto" w:fill="auto"/>
            <w:noWrap/>
          </w:tcPr>
          <w:p w14:paraId="48A633D7" w14:textId="27F924D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single" w:sz="4" w:space="0" w:color="auto"/>
              <w:bottom w:val="nil"/>
              <w:right w:val="nil"/>
            </w:tcBorders>
            <w:shd w:val="clear" w:color="auto" w:fill="auto"/>
            <w:noWrap/>
          </w:tcPr>
          <w:p w14:paraId="2B1F9D5E" w14:textId="1971F34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1.07</w:t>
            </w:r>
          </w:p>
        </w:tc>
        <w:tc>
          <w:tcPr>
            <w:tcW w:w="0" w:type="auto"/>
            <w:tcBorders>
              <w:top w:val="nil"/>
              <w:left w:val="nil"/>
              <w:bottom w:val="nil"/>
              <w:right w:val="single" w:sz="4" w:space="0" w:color="auto"/>
            </w:tcBorders>
            <w:shd w:val="clear" w:color="auto" w:fill="auto"/>
            <w:noWrap/>
          </w:tcPr>
          <w:p w14:paraId="76E4E5F4" w14:textId="438E64E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4656B46E" w14:textId="39FA935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1.18</w:t>
            </w:r>
          </w:p>
        </w:tc>
        <w:tc>
          <w:tcPr>
            <w:tcW w:w="0" w:type="auto"/>
            <w:tcBorders>
              <w:top w:val="nil"/>
              <w:left w:val="nil"/>
              <w:bottom w:val="nil"/>
              <w:right w:val="nil"/>
            </w:tcBorders>
            <w:shd w:val="clear" w:color="auto" w:fill="auto"/>
            <w:noWrap/>
          </w:tcPr>
          <w:p w14:paraId="0754C44B" w14:textId="5CF4299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single" w:sz="4" w:space="0" w:color="auto"/>
              <w:bottom w:val="nil"/>
              <w:right w:val="nil"/>
            </w:tcBorders>
            <w:shd w:val="clear" w:color="auto" w:fill="auto"/>
            <w:noWrap/>
          </w:tcPr>
          <w:p w14:paraId="59FB2D0A" w14:textId="6B7E452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0.89</w:t>
            </w:r>
          </w:p>
        </w:tc>
        <w:tc>
          <w:tcPr>
            <w:tcW w:w="0" w:type="auto"/>
            <w:tcBorders>
              <w:top w:val="nil"/>
              <w:left w:val="nil"/>
              <w:bottom w:val="nil"/>
              <w:right w:val="single" w:sz="4" w:space="0" w:color="auto"/>
            </w:tcBorders>
            <w:shd w:val="clear" w:color="auto" w:fill="auto"/>
            <w:noWrap/>
          </w:tcPr>
          <w:p w14:paraId="13FBB087" w14:textId="662F191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39AFE0FE" w14:textId="3C423EB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0.89</w:t>
            </w:r>
          </w:p>
        </w:tc>
        <w:tc>
          <w:tcPr>
            <w:tcW w:w="0" w:type="auto"/>
            <w:tcBorders>
              <w:top w:val="nil"/>
              <w:left w:val="nil"/>
              <w:bottom w:val="nil"/>
              <w:right w:val="single" w:sz="4" w:space="0" w:color="auto"/>
            </w:tcBorders>
            <w:shd w:val="clear" w:color="auto" w:fill="auto"/>
            <w:noWrap/>
          </w:tcPr>
          <w:p w14:paraId="2B5741B9" w14:textId="546D973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r>
      <w:tr w:rsidR="00FF604A" w:rsidRPr="00714E84" w14:paraId="1AD31191" w14:textId="77777777" w:rsidTr="00C474DC">
        <w:tc>
          <w:tcPr>
            <w:tcW w:w="0" w:type="auto"/>
            <w:tcBorders>
              <w:top w:val="nil"/>
              <w:left w:val="single" w:sz="4" w:space="0" w:color="auto"/>
              <w:bottom w:val="nil"/>
              <w:right w:val="nil"/>
            </w:tcBorders>
            <w:shd w:val="clear" w:color="auto" w:fill="auto"/>
            <w:noWrap/>
            <w:vAlign w:val="bottom"/>
            <w:hideMark/>
          </w:tcPr>
          <w:p w14:paraId="6CE9D2E3"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Pakistani</w:t>
            </w:r>
          </w:p>
        </w:tc>
        <w:tc>
          <w:tcPr>
            <w:tcW w:w="0" w:type="auto"/>
            <w:tcBorders>
              <w:top w:val="nil"/>
              <w:left w:val="single" w:sz="4" w:space="0" w:color="auto"/>
              <w:bottom w:val="nil"/>
              <w:right w:val="nil"/>
            </w:tcBorders>
            <w:shd w:val="clear" w:color="auto" w:fill="auto"/>
            <w:noWrap/>
          </w:tcPr>
          <w:p w14:paraId="614C3F74" w14:textId="65C4C67E"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1.08</w:t>
            </w:r>
          </w:p>
        </w:tc>
        <w:tc>
          <w:tcPr>
            <w:tcW w:w="0" w:type="auto"/>
            <w:tcBorders>
              <w:top w:val="nil"/>
              <w:left w:val="nil"/>
              <w:bottom w:val="nil"/>
              <w:right w:val="single" w:sz="4" w:space="0" w:color="auto"/>
            </w:tcBorders>
            <w:shd w:val="clear" w:color="auto" w:fill="auto"/>
            <w:noWrap/>
          </w:tcPr>
          <w:p w14:paraId="452B420C" w14:textId="48FFAF7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0.15</w:t>
            </w:r>
          </w:p>
        </w:tc>
        <w:tc>
          <w:tcPr>
            <w:tcW w:w="0" w:type="auto"/>
            <w:tcBorders>
              <w:top w:val="nil"/>
              <w:left w:val="nil"/>
              <w:bottom w:val="nil"/>
              <w:right w:val="nil"/>
            </w:tcBorders>
            <w:shd w:val="clear" w:color="auto" w:fill="auto"/>
            <w:noWrap/>
          </w:tcPr>
          <w:p w14:paraId="27919855" w14:textId="1D9CF7B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0.97</w:t>
            </w:r>
          </w:p>
        </w:tc>
        <w:tc>
          <w:tcPr>
            <w:tcW w:w="0" w:type="auto"/>
            <w:tcBorders>
              <w:top w:val="nil"/>
              <w:left w:val="nil"/>
              <w:bottom w:val="nil"/>
              <w:right w:val="nil"/>
            </w:tcBorders>
            <w:shd w:val="clear" w:color="auto" w:fill="auto"/>
            <w:noWrap/>
          </w:tcPr>
          <w:p w14:paraId="178DC3C8" w14:textId="29D8BDD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single" w:sz="4" w:space="0" w:color="auto"/>
              <w:bottom w:val="nil"/>
              <w:right w:val="nil"/>
            </w:tcBorders>
            <w:shd w:val="clear" w:color="auto" w:fill="auto"/>
            <w:noWrap/>
          </w:tcPr>
          <w:p w14:paraId="349C8D66" w14:textId="2162124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1.21</w:t>
            </w:r>
          </w:p>
        </w:tc>
        <w:tc>
          <w:tcPr>
            <w:tcW w:w="0" w:type="auto"/>
            <w:tcBorders>
              <w:top w:val="nil"/>
              <w:left w:val="nil"/>
              <w:bottom w:val="nil"/>
              <w:right w:val="single" w:sz="4" w:space="0" w:color="auto"/>
            </w:tcBorders>
            <w:shd w:val="clear" w:color="auto" w:fill="auto"/>
            <w:noWrap/>
          </w:tcPr>
          <w:p w14:paraId="74E94F4E" w14:textId="4A63D54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0.14</w:t>
            </w:r>
          </w:p>
        </w:tc>
        <w:tc>
          <w:tcPr>
            <w:tcW w:w="0" w:type="auto"/>
            <w:tcBorders>
              <w:top w:val="nil"/>
              <w:left w:val="nil"/>
              <w:bottom w:val="nil"/>
              <w:right w:val="nil"/>
            </w:tcBorders>
            <w:shd w:val="clear" w:color="auto" w:fill="auto"/>
            <w:noWrap/>
          </w:tcPr>
          <w:p w14:paraId="35944797" w14:textId="1C07C6E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1.14</w:t>
            </w:r>
          </w:p>
        </w:tc>
        <w:tc>
          <w:tcPr>
            <w:tcW w:w="0" w:type="auto"/>
            <w:tcBorders>
              <w:top w:val="nil"/>
              <w:left w:val="nil"/>
              <w:bottom w:val="nil"/>
              <w:right w:val="nil"/>
            </w:tcBorders>
            <w:shd w:val="clear" w:color="auto" w:fill="auto"/>
            <w:noWrap/>
          </w:tcPr>
          <w:p w14:paraId="148B4732" w14:textId="7165F0C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0.13</w:t>
            </w:r>
          </w:p>
        </w:tc>
        <w:tc>
          <w:tcPr>
            <w:tcW w:w="0" w:type="auto"/>
            <w:tcBorders>
              <w:top w:val="nil"/>
              <w:left w:val="single" w:sz="4" w:space="0" w:color="auto"/>
              <w:bottom w:val="nil"/>
              <w:right w:val="nil"/>
            </w:tcBorders>
            <w:shd w:val="clear" w:color="auto" w:fill="auto"/>
            <w:noWrap/>
          </w:tcPr>
          <w:p w14:paraId="3E370CC0" w14:textId="48C0B1C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1.08</w:t>
            </w:r>
          </w:p>
        </w:tc>
        <w:tc>
          <w:tcPr>
            <w:tcW w:w="0" w:type="auto"/>
            <w:tcBorders>
              <w:top w:val="nil"/>
              <w:left w:val="nil"/>
              <w:bottom w:val="nil"/>
              <w:right w:val="single" w:sz="4" w:space="0" w:color="auto"/>
            </w:tcBorders>
            <w:shd w:val="clear" w:color="auto" w:fill="auto"/>
            <w:noWrap/>
          </w:tcPr>
          <w:p w14:paraId="60F0F571" w14:textId="2371E9C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nil"/>
              <w:bottom w:val="nil"/>
              <w:right w:val="nil"/>
            </w:tcBorders>
            <w:shd w:val="clear" w:color="auto" w:fill="auto"/>
            <w:noWrap/>
          </w:tcPr>
          <w:p w14:paraId="1704EC23" w14:textId="1DEC07F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1.11</w:t>
            </w:r>
          </w:p>
        </w:tc>
        <w:tc>
          <w:tcPr>
            <w:tcW w:w="0" w:type="auto"/>
            <w:tcBorders>
              <w:top w:val="nil"/>
              <w:left w:val="nil"/>
              <w:bottom w:val="nil"/>
              <w:right w:val="nil"/>
            </w:tcBorders>
            <w:shd w:val="clear" w:color="auto" w:fill="auto"/>
            <w:noWrap/>
          </w:tcPr>
          <w:p w14:paraId="32E3A666" w14:textId="02F9F8C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single" w:sz="4" w:space="0" w:color="auto"/>
              <w:bottom w:val="nil"/>
              <w:right w:val="nil"/>
            </w:tcBorders>
            <w:shd w:val="clear" w:color="auto" w:fill="auto"/>
            <w:noWrap/>
          </w:tcPr>
          <w:p w14:paraId="62736CEC" w14:textId="37E19AC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1.21</w:t>
            </w:r>
          </w:p>
        </w:tc>
        <w:tc>
          <w:tcPr>
            <w:tcW w:w="0" w:type="auto"/>
            <w:tcBorders>
              <w:top w:val="nil"/>
              <w:left w:val="nil"/>
              <w:bottom w:val="nil"/>
              <w:right w:val="single" w:sz="4" w:space="0" w:color="auto"/>
            </w:tcBorders>
            <w:shd w:val="clear" w:color="auto" w:fill="auto"/>
            <w:noWrap/>
          </w:tcPr>
          <w:p w14:paraId="012679B9" w14:textId="64FBE34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0.16</w:t>
            </w:r>
          </w:p>
        </w:tc>
        <w:tc>
          <w:tcPr>
            <w:tcW w:w="0" w:type="auto"/>
            <w:tcBorders>
              <w:top w:val="nil"/>
              <w:left w:val="nil"/>
              <w:bottom w:val="nil"/>
              <w:right w:val="nil"/>
            </w:tcBorders>
            <w:shd w:val="clear" w:color="auto" w:fill="auto"/>
            <w:noWrap/>
          </w:tcPr>
          <w:p w14:paraId="3C185578" w14:textId="0B4F594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1.36</w:t>
            </w:r>
          </w:p>
        </w:tc>
        <w:tc>
          <w:tcPr>
            <w:tcW w:w="0" w:type="auto"/>
            <w:tcBorders>
              <w:top w:val="nil"/>
              <w:left w:val="nil"/>
              <w:bottom w:val="nil"/>
              <w:right w:val="single" w:sz="4" w:space="0" w:color="auto"/>
            </w:tcBorders>
            <w:shd w:val="clear" w:color="auto" w:fill="auto"/>
            <w:noWrap/>
          </w:tcPr>
          <w:p w14:paraId="0C93BD55" w14:textId="7E1FA32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0.15</w:t>
            </w:r>
          </w:p>
        </w:tc>
      </w:tr>
      <w:tr w:rsidR="00FF604A" w:rsidRPr="00714E84" w14:paraId="29812B15" w14:textId="77777777" w:rsidTr="00C474DC">
        <w:tc>
          <w:tcPr>
            <w:tcW w:w="0" w:type="auto"/>
            <w:tcBorders>
              <w:top w:val="nil"/>
              <w:left w:val="single" w:sz="4" w:space="0" w:color="auto"/>
              <w:bottom w:val="nil"/>
              <w:right w:val="nil"/>
            </w:tcBorders>
            <w:shd w:val="clear" w:color="auto" w:fill="auto"/>
            <w:noWrap/>
            <w:vAlign w:val="bottom"/>
            <w:hideMark/>
          </w:tcPr>
          <w:p w14:paraId="2E55972F"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Bangladeshi</w:t>
            </w:r>
          </w:p>
        </w:tc>
        <w:tc>
          <w:tcPr>
            <w:tcW w:w="0" w:type="auto"/>
            <w:tcBorders>
              <w:top w:val="nil"/>
              <w:left w:val="single" w:sz="4" w:space="0" w:color="auto"/>
              <w:bottom w:val="nil"/>
              <w:right w:val="nil"/>
            </w:tcBorders>
            <w:shd w:val="clear" w:color="auto" w:fill="auto"/>
            <w:noWrap/>
          </w:tcPr>
          <w:p w14:paraId="24959FB2" w14:textId="13FAF39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1.30</w:t>
            </w:r>
          </w:p>
        </w:tc>
        <w:tc>
          <w:tcPr>
            <w:tcW w:w="0" w:type="auto"/>
            <w:tcBorders>
              <w:top w:val="nil"/>
              <w:left w:val="nil"/>
              <w:bottom w:val="nil"/>
              <w:right w:val="single" w:sz="4" w:space="0" w:color="auto"/>
            </w:tcBorders>
            <w:shd w:val="clear" w:color="auto" w:fill="auto"/>
            <w:noWrap/>
          </w:tcPr>
          <w:p w14:paraId="1B1C3D4B" w14:textId="1D60E59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0.24</w:t>
            </w:r>
          </w:p>
        </w:tc>
        <w:tc>
          <w:tcPr>
            <w:tcW w:w="0" w:type="auto"/>
            <w:tcBorders>
              <w:top w:val="nil"/>
              <w:left w:val="nil"/>
              <w:bottom w:val="nil"/>
              <w:right w:val="nil"/>
            </w:tcBorders>
            <w:shd w:val="clear" w:color="auto" w:fill="auto"/>
            <w:noWrap/>
          </w:tcPr>
          <w:p w14:paraId="2568209E" w14:textId="7AF7B31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1.12</w:t>
            </w:r>
          </w:p>
        </w:tc>
        <w:tc>
          <w:tcPr>
            <w:tcW w:w="0" w:type="auto"/>
            <w:tcBorders>
              <w:top w:val="nil"/>
              <w:left w:val="nil"/>
              <w:bottom w:val="nil"/>
              <w:right w:val="nil"/>
            </w:tcBorders>
            <w:shd w:val="clear" w:color="auto" w:fill="auto"/>
            <w:noWrap/>
          </w:tcPr>
          <w:p w14:paraId="26B813FC" w14:textId="0B9DD52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0.19</w:t>
            </w:r>
          </w:p>
        </w:tc>
        <w:tc>
          <w:tcPr>
            <w:tcW w:w="0" w:type="auto"/>
            <w:tcBorders>
              <w:top w:val="nil"/>
              <w:left w:val="single" w:sz="4" w:space="0" w:color="auto"/>
              <w:bottom w:val="nil"/>
              <w:right w:val="nil"/>
            </w:tcBorders>
            <w:shd w:val="clear" w:color="auto" w:fill="auto"/>
            <w:noWrap/>
          </w:tcPr>
          <w:p w14:paraId="7EE36211" w14:textId="72F9FA6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1.90</w:t>
            </w:r>
          </w:p>
        </w:tc>
        <w:tc>
          <w:tcPr>
            <w:tcW w:w="0" w:type="auto"/>
            <w:tcBorders>
              <w:top w:val="nil"/>
              <w:left w:val="nil"/>
              <w:bottom w:val="nil"/>
              <w:right w:val="single" w:sz="4" w:space="0" w:color="auto"/>
            </w:tcBorders>
            <w:shd w:val="clear" w:color="auto" w:fill="auto"/>
            <w:noWrap/>
          </w:tcPr>
          <w:p w14:paraId="743616DD" w14:textId="7B092E8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0.31</w:t>
            </w:r>
          </w:p>
        </w:tc>
        <w:tc>
          <w:tcPr>
            <w:tcW w:w="0" w:type="auto"/>
            <w:tcBorders>
              <w:top w:val="nil"/>
              <w:left w:val="nil"/>
              <w:bottom w:val="nil"/>
              <w:right w:val="nil"/>
            </w:tcBorders>
            <w:shd w:val="clear" w:color="auto" w:fill="auto"/>
            <w:noWrap/>
          </w:tcPr>
          <w:p w14:paraId="5A1823AE" w14:textId="6ED37F0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1.20</w:t>
            </w:r>
          </w:p>
        </w:tc>
        <w:tc>
          <w:tcPr>
            <w:tcW w:w="0" w:type="auto"/>
            <w:tcBorders>
              <w:top w:val="nil"/>
              <w:left w:val="nil"/>
              <w:bottom w:val="nil"/>
              <w:right w:val="nil"/>
            </w:tcBorders>
            <w:shd w:val="clear" w:color="auto" w:fill="auto"/>
            <w:noWrap/>
          </w:tcPr>
          <w:p w14:paraId="6B1DACBD" w14:textId="42BCFCF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0.18</w:t>
            </w:r>
          </w:p>
        </w:tc>
        <w:tc>
          <w:tcPr>
            <w:tcW w:w="0" w:type="auto"/>
            <w:tcBorders>
              <w:top w:val="nil"/>
              <w:left w:val="single" w:sz="4" w:space="0" w:color="auto"/>
              <w:bottom w:val="nil"/>
              <w:right w:val="nil"/>
            </w:tcBorders>
            <w:shd w:val="clear" w:color="auto" w:fill="auto"/>
            <w:noWrap/>
          </w:tcPr>
          <w:p w14:paraId="6C78C964" w14:textId="64233FA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1.18</w:t>
            </w:r>
          </w:p>
        </w:tc>
        <w:tc>
          <w:tcPr>
            <w:tcW w:w="0" w:type="auto"/>
            <w:tcBorders>
              <w:top w:val="nil"/>
              <w:left w:val="nil"/>
              <w:bottom w:val="nil"/>
              <w:right w:val="single" w:sz="4" w:space="0" w:color="auto"/>
            </w:tcBorders>
            <w:shd w:val="clear" w:color="auto" w:fill="auto"/>
            <w:noWrap/>
          </w:tcPr>
          <w:p w14:paraId="70D2EF8C" w14:textId="374CDB6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0.18</w:t>
            </w:r>
          </w:p>
        </w:tc>
        <w:tc>
          <w:tcPr>
            <w:tcW w:w="0" w:type="auto"/>
            <w:tcBorders>
              <w:top w:val="nil"/>
              <w:left w:val="nil"/>
              <w:bottom w:val="nil"/>
              <w:right w:val="nil"/>
            </w:tcBorders>
            <w:shd w:val="clear" w:color="auto" w:fill="auto"/>
            <w:noWrap/>
          </w:tcPr>
          <w:p w14:paraId="673CAF30" w14:textId="4AC9BBAA"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1.18</w:t>
            </w:r>
          </w:p>
        </w:tc>
        <w:tc>
          <w:tcPr>
            <w:tcW w:w="0" w:type="auto"/>
            <w:tcBorders>
              <w:top w:val="nil"/>
              <w:left w:val="nil"/>
              <w:bottom w:val="nil"/>
              <w:right w:val="nil"/>
            </w:tcBorders>
            <w:shd w:val="clear" w:color="auto" w:fill="auto"/>
            <w:noWrap/>
          </w:tcPr>
          <w:p w14:paraId="1E19C2D8" w14:textId="38314CA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0.18</w:t>
            </w:r>
          </w:p>
        </w:tc>
        <w:tc>
          <w:tcPr>
            <w:tcW w:w="0" w:type="auto"/>
            <w:tcBorders>
              <w:top w:val="nil"/>
              <w:left w:val="single" w:sz="4" w:space="0" w:color="auto"/>
              <w:bottom w:val="nil"/>
              <w:right w:val="nil"/>
            </w:tcBorders>
            <w:shd w:val="clear" w:color="auto" w:fill="auto"/>
            <w:noWrap/>
          </w:tcPr>
          <w:p w14:paraId="5D549C5A" w14:textId="2E4B78A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1.25</w:t>
            </w:r>
          </w:p>
        </w:tc>
        <w:tc>
          <w:tcPr>
            <w:tcW w:w="0" w:type="auto"/>
            <w:tcBorders>
              <w:top w:val="nil"/>
              <w:left w:val="nil"/>
              <w:bottom w:val="nil"/>
              <w:right w:val="single" w:sz="4" w:space="0" w:color="auto"/>
            </w:tcBorders>
            <w:shd w:val="clear" w:color="auto" w:fill="auto"/>
            <w:noWrap/>
          </w:tcPr>
          <w:p w14:paraId="11FF1844" w14:textId="206098A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0.21</w:t>
            </w:r>
          </w:p>
        </w:tc>
        <w:tc>
          <w:tcPr>
            <w:tcW w:w="0" w:type="auto"/>
            <w:tcBorders>
              <w:top w:val="nil"/>
              <w:left w:val="nil"/>
              <w:bottom w:val="nil"/>
              <w:right w:val="nil"/>
            </w:tcBorders>
            <w:shd w:val="clear" w:color="auto" w:fill="auto"/>
            <w:noWrap/>
          </w:tcPr>
          <w:p w14:paraId="0252ADF1" w14:textId="1EC3AE4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1.41</w:t>
            </w:r>
          </w:p>
        </w:tc>
        <w:tc>
          <w:tcPr>
            <w:tcW w:w="0" w:type="auto"/>
            <w:tcBorders>
              <w:top w:val="nil"/>
              <w:left w:val="nil"/>
              <w:bottom w:val="nil"/>
              <w:right w:val="single" w:sz="4" w:space="0" w:color="auto"/>
            </w:tcBorders>
            <w:shd w:val="clear" w:color="auto" w:fill="auto"/>
            <w:noWrap/>
          </w:tcPr>
          <w:p w14:paraId="38E7A3BC" w14:textId="54024EE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0.20</w:t>
            </w:r>
          </w:p>
        </w:tc>
      </w:tr>
      <w:tr w:rsidR="00FF604A" w:rsidRPr="00714E84" w14:paraId="1C3CC681" w14:textId="77777777" w:rsidTr="00C474DC">
        <w:tc>
          <w:tcPr>
            <w:tcW w:w="0" w:type="auto"/>
            <w:tcBorders>
              <w:top w:val="nil"/>
              <w:left w:val="single" w:sz="4" w:space="0" w:color="auto"/>
              <w:bottom w:val="nil"/>
              <w:right w:val="nil"/>
            </w:tcBorders>
            <w:shd w:val="clear" w:color="auto" w:fill="auto"/>
            <w:noWrap/>
            <w:vAlign w:val="bottom"/>
            <w:hideMark/>
          </w:tcPr>
          <w:p w14:paraId="5B5E8F8E" w14:textId="28D8D045"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Black African and other black</w:t>
            </w:r>
          </w:p>
        </w:tc>
        <w:tc>
          <w:tcPr>
            <w:tcW w:w="0" w:type="auto"/>
            <w:tcBorders>
              <w:top w:val="nil"/>
              <w:left w:val="single" w:sz="4" w:space="0" w:color="auto"/>
              <w:bottom w:val="nil"/>
              <w:right w:val="nil"/>
            </w:tcBorders>
            <w:shd w:val="clear" w:color="auto" w:fill="auto"/>
            <w:noWrap/>
          </w:tcPr>
          <w:p w14:paraId="55B62D00" w14:textId="2955A37C"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1.85</w:t>
            </w:r>
          </w:p>
        </w:tc>
        <w:tc>
          <w:tcPr>
            <w:tcW w:w="0" w:type="auto"/>
            <w:tcBorders>
              <w:top w:val="nil"/>
              <w:left w:val="nil"/>
              <w:bottom w:val="nil"/>
              <w:right w:val="single" w:sz="4" w:space="0" w:color="auto"/>
            </w:tcBorders>
            <w:shd w:val="clear" w:color="auto" w:fill="auto"/>
            <w:noWrap/>
          </w:tcPr>
          <w:p w14:paraId="48E940DA" w14:textId="556D91A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0.17</w:t>
            </w:r>
          </w:p>
        </w:tc>
        <w:tc>
          <w:tcPr>
            <w:tcW w:w="0" w:type="auto"/>
            <w:tcBorders>
              <w:top w:val="nil"/>
              <w:left w:val="nil"/>
              <w:bottom w:val="nil"/>
              <w:right w:val="nil"/>
            </w:tcBorders>
            <w:shd w:val="clear" w:color="auto" w:fill="auto"/>
            <w:noWrap/>
          </w:tcPr>
          <w:p w14:paraId="3769BB98" w14:textId="4107907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2.13</w:t>
            </w:r>
          </w:p>
        </w:tc>
        <w:tc>
          <w:tcPr>
            <w:tcW w:w="0" w:type="auto"/>
            <w:tcBorders>
              <w:top w:val="nil"/>
              <w:left w:val="nil"/>
              <w:bottom w:val="nil"/>
              <w:right w:val="nil"/>
            </w:tcBorders>
            <w:shd w:val="clear" w:color="auto" w:fill="auto"/>
            <w:noWrap/>
          </w:tcPr>
          <w:p w14:paraId="6E4E8C3C" w14:textId="5A3CECE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0.17</w:t>
            </w:r>
          </w:p>
        </w:tc>
        <w:tc>
          <w:tcPr>
            <w:tcW w:w="0" w:type="auto"/>
            <w:tcBorders>
              <w:top w:val="nil"/>
              <w:left w:val="single" w:sz="4" w:space="0" w:color="auto"/>
              <w:bottom w:val="nil"/>
              <w:right w:val="nil"/>
            </w:tcBorders>
            <w:shd w:val="clear" w:color="auto" w:fill="auto"/>
            <w:noWrap/>
          </w:tcPr>
          <w:p w14:paraId="5666C7B7" w14:textId="2A4B699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2.00</w:t>
            </w:r>
          </w:p>
        </w:tc>
        <w:tc>
          <w:tcPr>
            <w:tcW w:w="0" w:type="auto"/>
            <w:tcBorders>
              <w:top w:val="nil"/>
              <w:left w:val="nil"/>
              <w:bottom w:val="nil"/>
              <w:right w:val="single" w:sz="4" w:space="0" w:color="auto"/>
            </w:tcBorders>
            <w:shd w:val="clear" w:color="auto" w:fill="auto"/>
            <w:noWrap/>
          </w:tcPr>
          <w:p w14:paraId="4008A34D" w14:textId="2A1E3FF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0.16</w:t>
            </w:r>
          </w:p>
        </w:tc>
        <w:tc>
          <w:tcPr>
            <w:tcW w:w="0" w:type="auto"/>
            <w:tcBorders>
              <w:top w:val="nil"/>
              <w:left w:val="nil"/>
              <w:bottom w:val="nil"/>
              <w:right w:val="nil"/>
            </w:tcBorders>
            <w:shd w:val="clear" w:color="auto" w:fill="auto"/>
            <w:noWrap/>
          </w:tcPr>
          <w:p w14:paraId="266DA96D" w14:textId="67409BD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1.92</w:t>
            </w:r>
          </w:p>
        </w:tc>
        <w:tc>
          <w:tcPr>
            <w:tcW w:w="0" w:type="auto"/>
            <w:tcBorders>
              <w:top w:val="nil"/>
              <w:left w:val="nil"/>
              <w:bottom w:val="nil"/>
              <w:right w:val="nil"/>
            </w:tcBorders>
            <w:shd w:val="clear" w:color="auto" w:fill="auto"/>
            <w:noWrap/>
          </w:tcPr>
          <w:p w14:paraId="58097604" w14:textId="34A67AD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0.15</w:t>
            </w:r>
          </w:p>
        </w:tc>
        <w:tc>
          <w:tcPr>
            <w:tcW w:w="0" w:type="auto"/>
            <w:tcBorders>
              <w:top w:val="nil"/>
              <w:left w:val="single" w:sz="4" w:space="0" w:color="auto"/>
              <w:bottom w:val="nil"/>
              <w:right w:val="nil"/>
            </w:tcBorders>
            <w:shd w:val="clear" w:color="auto" w:fill="auto"/>
            <w:noWrap/>
          </w:tcPr>
          <w:p w14:paraId="7E0152DD" w14:textId="1A88F48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1.87</w:t>
            </w:r>
          </w:p>
        </w:tc>
        <w:tc>
          <w:tcPr>
            <w:tcW w:w="0" w:type="auto"/>
            <w:tcBorders>
              <w:top w:val="nil"/>
              <w:left w:val="nil"/>
              <w:bottom w:val="nil"/>
              <w:right w:val="single" w:sz="4" w:space="0" w:color="auto"/>
            </w:tcBorders>
            <w:shd w:val="clear" w:color="auto" w:fill="auto"/>
            <w:noWrap/>
          </w:tcPr>
          <w:p w14:paraId="13D4D935" w14:textId="131A96A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0.15</w:t>
            </w:r>
          </w:p>
        </w:tc>
        <w:tc>
          <w:tcPr>
            <w:tcW w:w="0" w:type="auto"/>
            <w:tcBorders>
              <w:top w:val="nil"/>
              <w:left w:val="nil"/>
              <w:bottom w:val="nil"/>
              <w:right w:val="nil"/>
            </w:tcBorders>
            <w:shd w:val="clear" w:color="auto" w:fill="auto"/>
            <w:noWrap/>
          </w:tcPr>
          <w:p w14:paraId="679D6F8A" w14:textId="5655FEE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2.35</w:t>
            </w:r>
          </w:p>
        </w:tc>
        <w:tc>
          <w:tcPr>
            <w:tcW w:w="0" w:type="auto"/>
            <w:tcBorders>
              <w:top w:val="nil"/>
              <w:left w:val="nil"/>
              <w:bottom w:val="nil"/>
              <w:right w:val="nil"/>
            </w:tcBorders>
            <w:shd w:val="clear" w:color="auto" w:fill="auto"/>
            <w:noWrap/>
          </w:tcPr>
          <w:p w14:paraId="1DCCDE32" w14:textId="3C21B1A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0.19</w:t>
            </w:r>
          </w:p>
        </w:tc>
        <w:tc>
          <w:tcPr>
            <w:tcW w:w="0" w:type="auto"/>
            <w:tcBorders>
              <w:top w:val="nil"/>
              <w:left w:val="single" w:sz="4" w:space="0" w:color="auto"/>
              <w:bottom w:val="nil"/>
              <w:right w:val="nil"/>
            </w:tcBorders>
            <w:shd w:val="clear" w:color="auto" w:fill="auto"/>
            <w:noWrap/>
          </w:tcPr>
          <w:p w14:paraId="5774EE91" w14:textId="34CD0D6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1.68</w:t>
            </w:r>
          </w:p>
        </w:tc>
        <w:tc>
          <w:tcPr>
            <w:tcW w:w="0" w:type="auto"/>
            <w:tcBorders>
              <w:top w:val="nil"/>
              <w:left w:val="nil"/>
              <w:bottom w:val="nil"/>
              <w:right w:val="single" w:sz="4" w:space="0" w:color="auto"/>
            </w:tcBorders>
            <w:shd w:val="clear" w:color="auto" w:fill="auto"/>
            <w:noWrap/>
          </w:tcPr>
          <w:p w14:paraId="3BF118AD" w14:textId="3988980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0.14</w:t>
            </w:r>
          </w:p>
        </w:tc>
        <w:tc>
          <w:tcPr>
            <w:tcW w:w="0" w:type="auto"/>
            <w:tcBorders>
              <w:top w:val="nil"/>
              <w:left w:val="nil"/>
              <w:bottom w:val="nil"/>
              <w:right w:val="nil"/>
            </w:tcBorders>
            <w:shd w:val="clear" w:color="auto" w:fill="auto"/>
            <w:noWrap/>
          </w:tcPr>
          <w:p w14:paraId="2B4C832F" w14:textId="7799138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1.53</w:t>
            </w:r>
          </w:p>
        </w:tc>
        <w:tc>
          <w:tcPr>
            <w:tcW w:w="0" w:type="auto"/>
            <w:tcBorders>
              <w:top w:val="nil"/>
              <w:left w:val="nil"/>
              <w:bottom w:val="nil"/>
              <w:right w:val="single" w:sz="4" w:space="0" w:color="auto"/>
            </w:tcBorders>
            <w:shd w:val="clear" w:color="auto" w:fill="auto"/>
            <w:noWrap/>
          </w:tcPr>
          <w:p w14:paraId="31516FDA" w14:textId="46903E8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r>
      <w:tr w:rsidR="00FF604A" w:rsidRPr="00714E84" w14:paraId="44263CC1" w14:textId="77777777" w:rsidTr="00C474DC">
        <w:tc>
          <w:tcPr>
            <w:tcW w:w="0" w:type="auto"/>
            <w:tcBorders>
              <w:top w:val="nil"/>
              <w:left w:val="single" w:sz="4" w:space="0" w:color="auto"/>
              <w:bottom w:val="nil"/>
              <w:right w:val="nil"/>
            </w:tcBorders>
            <w:shd w:val="clear" w:color="auto" w:fill="auto"/>
            <w:noWrap/>
            <w:vAlign w:val="bottom"/>
            <w:hideMark/>
          </w:tcPr>
          <w:p w14:paraId="62980134"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Other</w:t>
            </w:r>
          </w:p>
        </w:tc>
        <w:tc>
          <w:tcPr>
            <w:tcW w:w="0" w:type="auto"/>
            <w:tcBorders>
              <w:top w:val="nil"/>
              <w:left w:val="single" w:sz="4" w:space="0" w:color="auto"/>
              <w:bottom w:val="nil"/>
              <w:right w:val="nil"/>
            </w:tcBorders>
            <w:shd w:val="clear" w:color="auto" w:fill="auto"/>
            <w:noWrap/>
          </w:tcPr>
          <w:p w14:paraId="7C730686" w14:textId="6779AA0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1.05</w:t>
            </w:r>
          </w:p>
        </w:tc>
        <w:tc>
          <w:tcPr>
            <w:tcW w:w="0" w:type="auto"/>
            <w:tcBorders>
              <w:top w:val="nil"/>
              <w:left w:val="nil"/>
              <w:bottom w:val="nil"/>
              <w:right w:val="single" w:sz="4" w:space="0" w:color="auto"/>
            </w:tcBorders>
            <w:shd w:val="clear" w:color="auto" w:fill="auto"/>
            <w:noWrap/>
          </w:tcPr>
          <w:p w14:paraId="63CE2C54" w14:textId="417DB4A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778770D9" w14:textId="6E59606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1.02</w:t>
            </w:r>
          </w:p>
        </w:tc>
        <w:tc>
          <w:tcPr>
            <w:tcW w:w="0" w:type="auto"/>
            <w:tcBorders>
              <w:top w:val="nil"/>
              <w:left w:val="nil"/>
              <w:bottom w:val="nil"/>
              <w:right w:val="nil"/>
            </w:tcBorders>
            <w:shd w:val="clear" w:color="auto" w:fill="auto"/>
            <w:noWrap/>
          </w:tcPr>
          <w:p w14:paraId="220128F9" w14:textId="75D49E1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bottom w:val="nil"/>
              <w:right w:val="nil"/>
            </w:tcBorders>
            <w:shd w:val="clear" w:color="auto" w:fill="auto"/>
            <w:noWrap/>
          </w:tcPr>
          <w:p w14:paraId="218DA0EA" w14:textId="6587A69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1.08</w:t>
            </w:r>
          </w:p>
        </w:tc>
        <w:tc>
          <w:tcPr>
            <w:tcW w:w="0" w:type="auto"/>
            <w:tcBorders>
              <w:top w:val="nil"/>
              <w:left w:val="nil"/>
              <w:bottom w:val="nil"/>
              <w:right w:val="single" w:sz="4" w:space="0" w:color="auto"/>
            </w:tcBorders>
            <w:shd w:val="clear" w:color="auto" w:fill="auto"/>
            <w:noWrap/>
          </w:tcPr>
          <w:p w14:paraId="5162FD49" w14:textId="200FB95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5D9BAFE9" w14:textId="71C362B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1.03</w:t>
            </w:r>
          </w:p>
        </w:tc>
        <w:tc>
          <w:tcPr>
            <w:tcW w:w="0" w:type="auto"/>
            <w:tcBorders>
              <w:top w:val="nil"/>
              <w:left w:val="nil"/>
              <w:bottom w:val="nil"/>
              <w:right w:val="nil"/>
            </w:tcBorders>
            <w:shd w:val="clear" w:color="auto" w:fill="auto"/>
            <w:noWrap/>
          </w:tcPr>
          <w:p w14:paraId="38B8680B" w14:textId="6FB00EA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bottom w:val="nil"/>
              <w:right w:val="nil"/>
            </w:tcBorders>
            <w:shd w:val="clear" w:color="auto" w:fill="auto"/>
            <w:noWrap/>
          </w:tcPr>
          <w:p w14:paraId="157C4524" w14:textId="7E1308F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1.09</w:t>
            </w:r>
          </w:p>
        </w:tc>
        <w:tc>
          <w:tcPr>
            <w:tcW w:w="0" w:type="auto"/>
            <w:tcBorders>
              <w:top w:val="nil"/>
              <w:left w:val="nil"/>
              <w:bottom w:val="nil"/>
              <w:right w:val="single" w:sz="4" w:space="0" w:color="auto"/>
            </w:tcBorders>
            <w:shd w:val="clear" w:color="auto" w:fill="auto"/>
            <w:noWrap/>
          </w:tcPr>
          <w:p w14:paraId="5B753312" w14:textId="3B4BECA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3A350DD6" w14:textId="73A9083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1.11</w:t>
            </w:r>
          </w:p>
        </w:tc>
        <w:tc>
          <w:tcPr>
            <w:tcW w:w="0" w:type="auto"/>
            <w:tcBorders>
              <w:top w:val="nil"/>
              <w:left w:val="nil"/>
              <w:bottom w:val="nil"/>
              <w:right w:val="nil"/>
            </w:tcBorders>
            <w:shd w:val="clear" w:color="auto" w:fill="auto"/>
            <w:noWrap/>
          </w:tcPr>
          <w:p w14:paraId="20608B7C" w14:textId="36AC264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32D3C520" w14:textId="483D8D2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0.97</w:t>
            </w:r>
          </w:p>
        </w:tc>
        <w:tc>
          <w:tcPr>
            <w:tcW w:w="0" w:type="auto"/>
            <w:tcBorders>
              <w:top w:val="nil"/>
              <w:left w:val="nil"/>
              <w:bottom w:val="nil"/>
              <w:right w:val="single" w:sz="4" w:space="0" w:color="auto"/>
            </w:tcBorders>
            <w:shd w:val="clear" w:color="auto" w:fill="auto"/>
            <w:noWrap/>
          </w:tcPr>
          <w:p w14:paraId="013E357E" w14:textId="7C5BE82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nil"/>
              <w:bottom w:val="nil"/>
              <w:right w:val="nil"/>
            </w:tcBorders>
            <w:shd w:val="clear" w:color="auto" w:fill="auto"/>
            <w:noWrap/>
          </w:tcPr>
          <w:p w14:paraId="4A96E695" w14:textId="26BB71F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1.06</w:t>
            </w:r>
          </w:p>
        </w:tc>
        <w:tc>
          <w:tcPr>
            <w:tcW w:w="0" w:type="auto"/>
            <w:tcBorders>
              <w:top w:val="nil"/>
              <w:left w:val="nil"/>
              <w:bottom w:val="nil"/>
              <w:right w:val="single" w:sz="4" w:space="0" w:color="auto"/>
            </w:tcBorders>
            <w:shd w:val="clear" w:color="auto" w:fill="auto"/>
            <w:noWrap/>
          </w:tcPr>
          <w:p w14:paraId="1A18CABC" w14:textId="0010286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r>
      <w:tr w:rsidR="00FF604A" w:rsidRPr="00714E84" w14:paraId="66018C1D" w14:textId="77777777" w:rsidTr="00C474DC">
        <w:tc>
          <w:tcPr>
            <w:tcW w:w="0" w:type="auto"/>
            <w:tcBorders>
              <w:top w:val="nil"/>
              <w:left w:val="single" w:sz="4" w:space="0" w:color="auto"/>
              <w:bottom w:val="nil"/>
              <w:right w:val="nil"/>
            </w:tcBorders>
            <w:shd w:val="clear" w:color="auto" w:fill="auto"/>
            <w:noWrap/>
            <w:vAlign w:val="bottom"/>
            <w:hideMark/>
          </w:tcPr>
          <w:p w14:paraId="09F58345" w14:textId="77777777" w:rsidR="00FF604A" w:rsidRPr="005558FF" w:rsidRDefault="00FF604A" w:rsidP="00FF604A">
            <w:pPr>
              <w:rPr>
                <w:rFonts w:ascii="Calibri" w:eastAsia="Times New Roman" w:hAnsi="Calibri" w:cs="Calibri"/>
                <w:b/>
                <w:bCs/>
                <w:color w:val="000000"/>
                <w:sz w:val="18"/>
                <w:szCs w:val="20"/>
                <w:lang w:eastAsia="en-GB"/>
              </w:rPr>
            </w:pPr>
            <w:r w:rsidRPr="005558FF">
              <w:rPr>
                <w:rFonts w:ascii="Calibri" w:eastAsia="Times New Roman" w:hAnsi="Calibri" w:cs="Calibri"/>
                <w:b/>
                <w:bCs/>
                <w:color w:val="000000"/>
                <w:sz w:val="18"/>
                <w:szCs w:val="20"/>
                <w:lang w:eastAsia="en-GB"/>
              </w:rPr>
              <w:t>Religion (Christian)</w:t>
            </w:r>
          </w:p>
        </w:tc>
        <w:tc>
          <w:tcPr>
            <w:tcW w:w="0" w:type="auto"/>
            <w:tcBorders>
              <w:top w:val="nil"/>
              <w:left w:val="single" w:sz="4" w:space="0" w:color="auto"/>
              <w:bottom w:val="nil"/>
              <w:right w:val="nil"/>
            </w:tcBorders>
            <w:shd w:val="clear" w:color="auto" w:fill="auto"/>
            <w:noWrap/>
            <w:vAlign w:val="bottom"/>
          </w:tcPr>
          <w:p w14:paraId="2AB9A8A9" w14:textId="748264EA"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2F8836E2" w14:textId="0E873A4A"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17AE4DA0" w14:textId="78C0F12D"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14E4BE95" w14:textId="1CF1470F" w:rsidR="00FF604A" w:rsidRPr="00714E84" w:rsidRDefault="00FF604A" w:rsidP="00FF604A">
            <w:pPr>
              <w:rPr>
                <w:rFonts w:eastAsia="Times New Roman"/>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single" w:sz="4" w:space="0" w:color="auto"/>
              <w:bottom w:val="nil"/>
              <w:right w:val="nil"/>
            </w:tcBorders>
            <w:shd w:val="clear" w:color="auto" w:fill="auto"/>
            <w:noWrap/>
            <w:vAlign w:val="bottom"/>
          </w:tcPr>
          <w:p w14:paraId="26700A3C" w14:textId="33D75787"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33456ACD" w14:textId="7F4276DF"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nil"/>
            </w:tcBorders>
            <w:shd w:val="clear" w:color="auto" w:fill="auto"/>
            <w:noWrap/>
            <w:vAlign w:val="bottom"/>
          </w:tcPr>
          <w:p w14:paraId="091F0D7F" w14:textId="502F11C8"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07557E82" w14:textId="38C9FBE6" w:rsidR="00FF604A" w:rsidRPr="00714E84" w:rsidRDefault="00FF604A" w:rsidP="00FF604A">
            <w:pPr>
              <w:rPr>
                <w:rFonts w:eastAsia="Times New Roman"/>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single" w:sz="4" w:space="0" w:color="auto"/>
              <w:bottom w:val="nil"/>
              <w:right w:val="nil"/>
            </w:tcBorders>
            <w:shd w:val="clear" w:color="auto" w:fill="auto"/>
            <w:noWrap/>
            <w:vAlign w:val="bottom"/>
          </w:tcPr>
          <w:p w14:paraId="75E2EBA2" w14:textId="54EF66AA"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1D769EB7" w14:textId="2338CBCE"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nil"/>
            </w:tcBorders>
            <w:shd w:val="clear" w:color="auto" w:fill="auto"/>
            <w:noWrap/>
            <w:vAlign w:val="bottom"/>
          </w:tcPr>
          <w:p w14:paraId="6AB38581" w14:textId="05464466"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04159A75" w14:textId="73BAAA29" w:rsidR="00FF604A" w:rsidRPr="00714E84" w:rsidRDefault="00FF604A" w:rsidP="00FF604A">
            <w:pPr>
              <w:rPr>
                <w:rFonts w:eastAsia="Times New Roman"/>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single" w:sz="4" w:space="0" w:color="auto"/>
              <w:bottom w:val="nil"/>
              <w:right w:val="nil"/>
            </w:tcBorders>
            <w:shd w:val="clear" w:color="auto" w:fill="auto"/>
            <w:noWrap/>
            <w:vAlign w:val="bottom"/>
          </w:tcPr>
          <w:p w14:paraId="4BD31FE5" w14:textId="4BB2BE3B"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7D7B602A" w14:textId="08915D3E"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nil"/>
            </w:tcBorders>
            <w:shd w:val="clear" w:color="auto" w:fill="auto"/>
            <w:noWrap/>
            <w:vAlign w:val="bottom"/>
          </w:tcPr>
          <w:p w14:paraId="01253282" w14:textId="06EA2A05"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single" w:sz="4" w:space="0" w:color="auto"/>
            </w:tcBorders>
            <w:shd w:val="clear" w:color="auto" w:fill="auto"/>
            <w:noWrap/>
            <w:vAlign w:val="bottom"/>
          </w:tcPr>
          <w:p w14:paraId="0B0F5376" w14:textId="605AC34E"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r>
      <w:tr w:rsidR="00FF604A" w:rsidRPr="00714E84" w14:paraId="0A356828" w14:textId="77777777" w:rsidTr="00C474DC">
        <w:tc>
          <w:tcPr>
            <w:tcW w:w="0" w:type="auto"/>
            <w:tcBorders>
              <w:top w:val="nil"/>
              <w:left w:val="single" w:sz="4" w:space="0" w:color="auto"/>
              <w:bottom w:val="nil"/>
              <w:right w:val="nil"/>
            </w:tcBorders>
            <w:shd w:val="clear" w:color="auto" w:fill="auto"/>
            <w:noWrap/>
            <w:vAlign w:val="bottom"/>
            <w:hideMark/>
          </w:tcPr>
          <w:p w14:paraId="64692D5B"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Muslim</w:t>
            </w:r>
          </w:p>
        </w:tc>
        <w:tc>
          <w:tcPr>
            <w:tcW w:w="0" w:type="auto"/>
            <w:tcBorders>
              <w:top w:val="nil"/>
              <w:left w:val="single" w:sz="4" w:space="0" w:color="auto"/>
              <w:bottom w:val="nil"/>
              <w:right w:val="nil"/>
            </w:tcBorders>
            <w:shd w:val="clear" w:color="auto" w:fill="auto"/>
            <w:noWrap/>
          </w:tcPr>
          <w:p w14:paraId="31FDE51C" w14:textId="74D3EC6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0.76</w:t>
            </w:r>
          </w:p>
        </w:tc>
        <w:tc>
          <w:tcPr>
            <w:tcW w:w="0" w:type="auto"/>
            <w:tcBorders>
              <w:top w:val="nil"/>
              <w:left w:val="nil"/>
              <w:bottom w:val="nil"/>
              <w:right w:val="single" w:sz="4" w:space="0" w:color="auto"/>
            </w:tcBorders>
            <w:shd w:val="clear" w:color="auto" w:fill="auto"/>
            <w:noWrap/>
          </w:tcPr>
          <w:p w14:paraId="744B2FF8" w14:textId="0120AB6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nil"/>
              <w:bottom w:val="nil"/>
              <w:right w:val="nil"/>
            </w:tcBorders>
            <w:shd w:val="clear" w:color="auto" w:fill="auto"/>
            <w:noWrap/>
          </w:tcPr>
          <w:p w14:paraId="037C4445" w14:textId="6F3FB9B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0.88</w:t>
            </w:r>
          </w:p>
        </w:tc>
        <w:tc>
          <w:tcPr>
            <w:tcW w:w="0" w:type="auto"/>
            <w:tcBorders>
              <w:top w:val="nil"/>
              <w:left w:val="nil"/>
              <w:bottom w:val="nil"/>
              <w:right w:val="nil"/>
            </w:tcBorders>
            <w:shd w:val="clear" w:color="auto" w:fill="auto"/>
            <w:noWrap/>
          </w:tcPr>
          <w:p w14:paraId="5153B241" w14:textId="7AC5060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single" w:sz="4" w:space="0" w:color="auto"/>
              <w:bottom w:val="nil"/>
              <w:right w:val="nil"/>
            </w:tcBorders>
            <w:shd w:val="clear" w:color="auto" w:fill="auto"/>
            <w:noWrap/>
          </w:tcPr>
          <w:p w14:paraId="12EA4161" w14:textId="164706F2"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0.74</w:t>
            </w:r>
          </w:p>
        </w:tc>
        <w:tc>
          <w:tcPr>
            <w:tcW w:w="0" w:type="auto"/>
            <w:tcBorders>
              <w:top w:val="nil"/>
              <w:left w:val="nil"/>
              <w:bottom w:val="nil"/>
              <w:right w:val="single" w:sz="4" w:space="0" w:color="auto"/>
            </w:tcBorders>
            <w:shd w:val="clear" w:color="auto" w:fill="auto"/>
            <w:noWrap/>
          </w:tcPr>
          <w:p w14:paraId="3FDAF0F1" w14:textId="3DE2237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nil"/>
              <w:bottom w:val="nil"/>
              <w:right w:val="nil"/>
            </w:tcBorders>
            <w:shd w:val="clear" w:color="auto" w:fill="auto"/>
            <w:noWrap/>
          </w:tcPr>
          <w:p w14:paraId="4D5A2B10" w14:textId="37D1830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0.78</w:t>
            </w:r>
          </w:p>
        </w:tc>
        <w:tc>
          <w:tcPr>
            <w:tcW w:w="0" w:type="auto"/>
            <w:tcBorders>
              <w:top w:val="nil"/>
              <w:left w:val="nil"/>
              <w:bottom w:val="nil"/>
              <w:right w:val="nil"/>
            </w:tcBorders>
            <w:shd w:val="clear" w:color="auto" w:fill="auto"/>
            <w:noWrap/>
          </w:tcPr>
          <w:p w14:paraId="1732D2AA" w14:textId="7B9C0FD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single" w:sz="4" w:space="0" w:color="auto"/>
              <w:bottom w:val="nil"/>
              <w:right w:val="nil"/>
            </w:tcBorders>
            <w:shd w:val="clear" w:color="auto" w:fill="auto"/>
            <w:noWrap/>
          </w:tcPr>
          <w:p w14:paraId="13C89309" w14:textId="6AC3C04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0.93</w:t>
            </w:r>
          </w:p>
        </w:tc>
        <w:tc>
          <w:tcPr>
            <w:tcW w:w="0" w:type="auto"/>
            <w:tcBorders>
              <w:top w:val="nil"/>
              <w:left w:val="nil"/>
              <w:bottom w:val="nil"/>
              <w:right w:val="single" w:sz="4" w:space="0" w:color="auto"/>
            </w:tcBorders>
            <w:shd w:val="clear" w:color="auto" w:fill="auto"/>
            <w:noWrap/>
          </w:tcPr>
          <w:p w14:paraId="10BD7A7E" w14:textId="72B4414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nil"/>
              <w:bottom w:val="nil"/>
              <w:right w:val="nil"/>
            </w:tcBorders>
            <w:shd w:val="clear" w:color="auto" w:fill="auto"/>
            <w:noWrap/>
          </w:tcPr>
          <w:p w14:paraId="5010EC6B" w14:textId="5B1ECE12"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0.89</w:t>
            </w:r>
          </w:p>
        </w:tc>
        <w:tc>
          <w:tcPr>
            <w:tcW w:w="0" w:type="auto"/>
            <w:tcBorders>
              <w:top w:val="nil"/>
              <w:left w:val="nil"/>
              <w:bottom w:val="nil"/>
              <w:right w:val="nil"/>
            </w:tcBorders>
            <w:shd w:val="clear" w:color="auto" w:fill="auto"/>
            <w:noWrap/>
          </w:tcPr>
          <w:p w14:paraId="344AAB00" w14:textId="47D4670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single" w:sz="4" w:space="0" w:color="auto"/>
              <w:bottom w:val="nil"/>
              <w:right w:val="nil"/>
            </w:tcBorders>
            <w:shd w:val="clear" w:color="auto" w:fill="auto"/>
            <w:noWrap/>
          </w:tcPr>
          <w:p w14:paraId="2F8EE895" w14:textId="6CE51C3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1.07</w:t>
            </w:r>
          </w:p>
        </w:tc>
        <w:tc>
          <w:tcPr>
            <w:tcW w:w="0" w:type="auto"/>
            <w:tcBorders>
              <w:top w:val="nil"/>
              <w:left w:val="nil"/>
              <w:bottom w:val="nil"/>
              <w:right w:val="single" w:sz="4" w:space="0" w:color="auto"/>
            </w:tcBorders>
            <w:shd w:val="clear" w:color="auto" w:fill="auto"/>
            <w:noWrap/>
          </w:tcPr>
          <w:p w14:paraId="187D5DD8" w14:textId="2C786F4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1C85E669" w14:textId="1503656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0.90</w:t>
            </w:r>
          </w:p>
        </w:tc>
        <w:tc>
          <w:tcPr>
            <w:tcW w:w="0" w:type="auto"/>
            <w:tcBorders>
              <w:top w:val="nil"/>
              <w:left w:val="nil"/>
              <w:bottom w:val="nil"/>
              <w:right w:val="single" w:sz="4" w:space="0" w:color="auto"/>
            </w:tcBorders>
            <w:shd w:val="clear" w:color="auto" w:fill="auto"/>
            <w:noWrap/>
          </w:tcPr>
          <w:p w14:paraId="57E513CC" w14:textId="3E557DB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r>
      <w:tr w:rsidR="00FF604A" w:rsidRPr="00714E84" w14:paraId="66D2DA57" w14:textId="77777777" w:rsidTr="00C474DC">
        <w:tc>
          <w:tcPr>
            <w:tcW w:w="0" w:type="auto"/>
            <w:tcBorders>
              <w:top w:val="nil"/>
              <w:left w:val="single" w:sz="4" w:space="0" w:color="auto"/>
              <w:bottom w:val="nil"/>
              <w:right w:val="nil"/>
            </w:tcBorders>
            <w:shd w:val="clear" w:color="auto" w:fill="auto"/>
            <w:noWrap/>
            <w:vAlign w:val="bottom"/>
            <w:hideMark/>
          </w:tcPr>
          <w:p w14:paraId="3DE9815A"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Hindu</w:t>
            </w:r>
          </w:p>
        </w:tc>
        <w:tc>
          <w:tcPr>
            <w:tcW w:w="0" w:type="auto"/>
            <w:tcBorders>
              <w:top w:val="nil"/>
              <w:left w:val="single" w:sz="4" w:space="0" w:color="auto"/>
              <w:bottom w:val="nil"/>
              <w:right w:val="nil"/>
            </w:tcBorders>
            <w:shd w:val="clear" w:color="auto" w:fill="auto"/>
            <w:noWrap/>
          </w:tcPr>
          <w:p w14:paraId="421423BA" w14:textId="5D5D01B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1.02</w:t>
            </w:r>
          </w:p>
        </w:tc>
        <w:tc>
          <w:tcPr>
            <w:tcW w:w="0" w:type="auto"/>
            <w:tcBorders>
              <w:top w:val="nil"/>
              <w:left w:val="nil"/>
              <w:bottom w:val="nil"/>
              <w:right w:val="single" w:sz="4" w:space="0" w:color="auto"/>
            </w:tcBorders>
            <w:shd w:val="clear" w:color="auto" w:fill="auto"/>
            <w:noWrap/>
          </w:tcPr>
          <w:p w14:paraId="19AB5BBB" w14:textId="541774C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nil"/>
              <w:bottom w:val="nil"/>
              <w:right w:val="nil"/>
            </w:tcBorders>
            <w:shd w:val="clear" w:color="auto" w:fill="auto"/>
            <w:noWrap/>
          </w:tcPr>
          <w:p w14:paraId="5DEAE182" w14:textId="73847B3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0.95</w:t>
            </w:r>
          </w:p>
        </w:tc>
        <w:tc>
          <w:tcPr>
            <w:tcW w:w="0" w:type="auto"/>
            <w:tcBorders>
              <w:top w:val="nil"/>
              <w:left w:val="nil"/>
              <w:bottom w:val="nil"/>
              <w:right w:val="nil"/>
            </w:tcBorders>
            <w:shd w:val="clear" w:color="auto" w:fill="auto"/>
            <w:noWrap/>
          </w:tcPr>
          <w:p w14:paraId="16DA2A7F" w14:textId="3C784DB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single" w:sz="4" w:space="0" w:color="auto"/>
              <w:bottom w:val="nil"/>
              <w:right w:val="nil"/>
            </w:tcBorders>
            <w:shd w:val="clear" w:color="auto" w:fill="auto"/>
            <w:noWrap/>
          </w:tcPr>
          <w:p w14:paraId="4A9CFDB0" w14:textId="2776825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0.82</w:t>
            </w:r>
          </w:p>
        </w:tc>
        <w:tc>
          <w:tcPr>
            <w:tcW w:w="0" w:type="auto"/>
            <w:tcBorders>
              <w:top w:val="nil"/>
              <w:left w:val="nil"/>
              <w:bottom w:val="nil"/>
              <w:right w:val="single" w:sz="4" w:space="0" w:color="auto"/>
            </w:tcBorders>
            <w:shd w:val="clear" w:color="auto" w:fill="auto"/>
            <w:noWrap/>
          </w:tcPr>
          <w:p w14:paraId="03BD2195" w14:textId="0873FB3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nil"/>
              <w:bottom w:val="nil"/>
              <w:right w:val="nil"/>
            </w:tcBorders>
            <w:shd w:val="clear" w:color="auto" w:fill="auto"/>
            <w:noWrap/>
          </w:tcPr>
          <w:p w14:paraId="09BE000A" w14:textId="2D186759"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0.93</w:t>
            </w:r>
          </w:p>
        </w:tc>
        <w:tc>
          <w:tcPr>
            <w:tcW w:w="0" w:type="auto"/>
            <w:tcBorders>
              <w:top w:val="nil"/>
              <w:left w:val="nil"/>
              <w:bottom w:val="nil"/>
              <w:right w:val="nil"/>
            </w:tcBorders>
            <w:shd w:val="clear" w:color="auto" w:fill="auto"/>
            <w:noWrap/>
          </w:tcPr>
          <w:p w14:paraId="591427DE" w14:textId="1C419CA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single" w:sz="4" w:space="0" w:color="auto"/>
              <w:bottom w:val="nil"/>
              <w:right w:val="nil"/>
            </w:tcBorders>
            <w:shd w:val="clear" w:color="auto" w:fill="auto"/>
            <w:noWrap/>
          </w:tcPr>
          <w:p w14:paraId="754A5E3D" w14:textId="083A1B3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0.79</w:t>
            </w:r>
          </w:p>
        </w:tc>
        <w:tc>
          <w:tcPr>
            <w:tcW w:w="0" w:type="auto"/>
            <w:tcBorders>
              <w:top w:val="nil"/>
              <w:left w:val="nil"/>
              <w:bottom w:val="nil"/>
              <w:right w:val="single" w:sz="4" w:space="0" w:color="auto"/>
            </w:tcBorders>
            <w:shd w:val="clear" w:color="auto" w:fill="auto"/>
            <w:noWrap/>
          </w:tcPr>
          <w:p w14:paraId="410E4E42" w14:textId="3831CFC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nil"/>
              <w:bottom w:val="nil"/>
              <w:right w:val="nil"/>
            </w:tcBorders>
            <w:shd w:val="clear" w:color="auto" w:fill="auto"/>
            <w:noWrap/>
          </w:tcPr>
          <w:p w14:paraId="5CDD1CCE" w14:textId="3A812CE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0.75</w:t>
            </w:r>
          </w:p>
        </w:tc>
        <w:tc>
          <w:tcPr>
            <w:tcW w:w="0" w:type="auto"/>
            <w:tcBorders>
              <w:top w:val="nil"/>
              <w:left w:val="nil"/>
              <w:bottom w:val="nil"/>
              <w:right w:val="nil"/>
            </w:tcBorders>
            <w:shd w:val="clear" w:color="auto" w:fill="auto"/>
            <w:noWrap/>
          </w:tcPr>
          <w:p w14:paraId="29A6FB15" w14:textId="08A40D4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single" w:sz="4" w:space="0" w:color="auto"/>
              <w:bottom w:val="nil"/>
              <w:right w:val="nil"/>
            </w:tcBorders>
            <w:shd w:val="clear" w:color="auto" w:fill="auto"/>
            <w:noWrap/>
          </w:tcPr>
          <w:p w14:paraId="05FB0BDB" w14:textId="2351D60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1.10</w:t>
            </w:r>
          </w:p>
        </w:tc>
        <w:tc>
          <w:tcPr>
            <w:tcW w:w="0" w:type="auto"/>
            <w:tcBorders>
              <w:top w:val="nil"/>
              <w:left w:val="nil"/>
              <w:bottom w:val="nil"/>
              <w:right w:val="single" w:sz="4" w:space="0" w:color="auto"/>
            </w:tcBorders>
            <w:shd w:val="clear" w:color="auto" w:fill="auto"/>
            <w:noWrap/>
          </w:tcPr>
          <w:p w14:paraId="0B027F05" w14:textId="158C9F3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0.14</w:t>
            </w:r>
          </w:p>
        </w:tc>
        <w:tc>
          <w:tcPr>
            <w:tcW w:w="0" w:type="auto"/>
            <w:tcBorders>
              <w:top w:val="nil"/>
              <w:left w:val="nil"/>
              <w:bottom w:val="nil"/>
              <w:right w:val="nil"/>
            </w:tcBorders>
            <w:shd w:val="clear" w:color="auto" w:fill="auto"/>
            <w:noWrap/>
          </w:tcPr>
          <w:p w14:paraId="79CF879A" w14:textId="70C51E9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1.00</w:t>
            </w:r>
          </w:p>
        </w:tc>
        <w:tc>
          <w:tcPr>
            <w:tcW w:w="0" w:type="auto"/>
            <w:tcBorders>
              <w:top w:val="nil"/>
              <w:left w:val="nil"/>
              <w:bottom w:val="nil"/>
              <w:right w:val="single" w:sz="4" w:space="0" w:color="auto"/>
            </w:tcBorders>
            <w:shd w:val="clear" w:color="auto" w:fill="auto"/>
            <w:noWrap/>
          </w:tcPr>
          <w:p w14:paraId="29922644" w14:textId="55334E6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r>
      <w:tr w:rsidR="00FF604A" w:rsidRPr="00714E84" w14:paraId="2856036D" w14:textId="77777777" w:rsidTr="00C474DC">
        <w:tc>
          <w:tcPr>
            <w:tcW w:w="0" w:type="auto"/>
            <w:tcBorders>
              <w:top w:val="nil"/>
              <w:left w:val="single" w:sz="4" w:space="0" w:color="auto"/>
              <w:bottom w:val="nil"/>
              <w:right w:val="nil"/>
            </w:tcBorders>
            <w:shd w:val="clear" w:color="auto" w:fill="auto"/>
            <w:noWrap/>
            <w:vAlign w:val="bottom"/>
            <w:hideMark/>
          </w:tcPr>
          <w:p w14:paraId="420F1B10"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Sikh</w:t>
            </w:r>
          </w:p>
        </w:tc>
        <w:tc>
          <w:tcPr>
            <w:tcW w:w="0" w:type="auto"/>
            <w:tcBorders>
              <w:top w:val="nil"/>
              <w:left w:val="single" w:sz="4" w:space="0" w:color="auto"/>
              <w:bottom w:val="nil"/>
              <w:right w:val="nil"/>
            </w:tcBorders>
            <w:shd w:val="clear" w:color="auto" w:fill="auto"/>
            <w:noWrap/>
          </w:tcPr>
          <w:p w14:paraId="588E1E63" w14:textId="22E84E3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1.32</w:t>
            </w:r>
          </w:p>
        </w:tc>
        <w:tc>
          <w:tcPr>
            <w:tcW w:w="0" w:type="auto"/>
            <w:tcBorders>
              <w:top w:val="nil"/>
              <w:left w:val="nil"/>
              <w:bottom w:val="nil"/>
              <w:right w:val="single" w:sz="4" w:space="0" w:color="auto"/>
            </w:tcBorders>
            <w:shd w:val="clear" w:color="auto" w:fill="auto"/>
            <w:noWrap/>
          </w:tcPr>
          <w:p w14:paraId="5F30932E" w14:textId="450E405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0.19</w:t>
            </w:r>
          </w:p>
        </w:tc>
        <w:tc>
          <w:tcPr>
            <w:tcW w:w="0" w:type="auto"/>
            <w:tcBorders>
              <w:top w:val="nil"/>
              <w:left w:val="nil"/>
              <w:bottom w:val="nil"/>
              <w:right w:val="nil"/>
            </w:tcBorders>
            <w:shd w:val="clear" w:color="auto" w:fill="auto"/>
            <w:noWrap/>
          </w:tcPr>
          <w:p w14:paraId="658B3608" w14:textId="6E494F3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1.04</w:t>
            </w:r>
          </w:p>
        </w:tc>
        <w:tc>
          <w:tcPr>
            <w:tcW w:w="0" w:type="auto"/>
            <w:tcBorders>
              <w:top w:val="nil"/>
              <w:left w:val="nil"/>
              <w:bottom w:val="nil"/>
              <w:right w:val="nil"/>
            </w:tcBorders>
            <w:shd w:val="clear" w:color="auto" w:fill="auto"/>
            <w:noWrap/>
          </w:tcPr>
          <w:p w14:paraId="28A4C772" w14:textId="0D721CD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0.14</w:t>
            </w:r>
          </w:p>
        </w:tc>
        <w:tc>
          <w:tcPr>
            <w:tcW w:w="0" w:type="auto"/>
            <w:tcBorders>
              <w:top w:val="nil"/>
              <w:left w:val="single" w:sz="4" w:space="0" w:color="auto"/>
              <w:bottom w:val="nil"/>
              <w:right w:val="nil"/>
            </w:tcBorders>
            <w:shd w:val="clear" w:color="auto" w:fill="auto"/>
            <w:noWrap/>
          </w:tcPr>
          <w:p w14:paraId="54842187" w14:textId="6479F14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1.12</w:t>
            </w:r>
          </w:p>
        </w:tc>
        <w:tc>
          <w:tcPr>
            <w:tcW w:w="0" w:type="auto"/>
            <w:tcBorders>
              <w:top w:val="nil"/>
              <w:left w:val="nil"/>
              <w:bottom w:val="nil"/>
              <w:right w:val="single" w:sz="4" w:space="0" w:color="auto"/>
            </w:tcBorders>
            <w:shd w:val="clear" w:color="auto" w:fill="auto"/>
            <w:noWrap/>
          </w:tcPr>
          <w:p w14:paraId="6C070BF6" w14:textId="352A31B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0.15</w:t>
            </w:r>
          </w:p>
        </w:tc>
        <w:tc>
          <w:tcPr>
            <w:tcW w:w="0" w:type="auto"/>
            <w:tcBorders>
              <w:top w:val="nil"/>
              <w:left w:val="nil"/>
              <w:bottom w:val="nil"/>
              <w:right w:val="nil"/>
            </w:tcBorders>
            <w:shd w:val="clear" w:color="auto" w:fill="auto"/>
            <w:noWrap/>
          </w:tcPr>
          <w:p w14:paraId="6562C6FD" w14:textId="1C24361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0.96</w:t>
            </w:r>
          </w:p>
        </w:tc>
        <w:tc>
          <w:tcPr>
            <w:tcW w:w="0" w:type="auto"/>
            <w:tcBorders>
              <w:top w:val="nil"/>
              <w:left w:val="nil"/>
              <w:bottom w:val="nil"/>
              <w:right w:val="nil"/>
            </w:tcBorders>
            <w:shd w:val="clear" w:color="auto" w:fill="auto"/>
            <w:noWrap/>
          </w:tcPr>
          <w:p w14:paraId="1978C409" w14:textId="343B243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single" w:sz="4" w:space="0" w:color="auto"/>
              <w:bottom w:val="nil"/>
              <w:right w:val="nil"/>
            </w:tcBorders>
            <w:shd w:val="clear" w:color="auto" w:fill="auto"/>
            <w:noWrap/>
          </w:tcPr>
          <w:p w14:paraId="490544DE" w14:textId="69FD399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1.03</w:t>
            </w:r>
          </w:p>
        </w:tc>
        <w:tc>
          <w:tcPr>
            <w:tcW w:w="0" w:type="auto"/>
            <w:tcBorders>
              <w:top w:val="nil"/>
              <w:left w:val="nil"/>
              <w:bottom w:val="nil"/>
              <w:right w:val="single" w:sz="4" w:space="0" w:color="auto"/>
            </w:tcBorders>
            <w:shd w:val="clear" w:color="auto" w:fill="auto"/>
            <w:noWrap/>
          </w:tcPr>
          <w:p w14:paraId="6A2FC9F2" w14:textId="329670E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0.13</w:t>
            </w:r>
          </w:p>
        </w:tc>
        <w:tc>
          <w:tcPr>
            <w:tcW w:w="0" w:type="auto"/>
            <w:tcBorders>
              <w:top w:val="nil"/>
              <w:left w:val="nil"/>
              <w:bottom w:val="nil"/>
              <w:right w:val="nil"/>
            </w:tcBorders>
            <w:shd w:val="clear" w:color="auto" w:fill="auto"/>
            <w:noWrap/>
          </w:tcPr>
          <w:p w14:paraId="466325D3" w14:textId="189D5C1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1.02</w:t>
            </w:r>
          </w:p>
        </w:tc>
        <w:tc>
          <w:tcPr>
            <w:tcW w:w="0" w:type="auto"/>
            <w:tcBorders>
              <w:top w:val="nil"/>
              <w:left w:val="nil"/>
              <w:bottom w:val="nil"/>
              <w:right w:val="nil"/>
            </w:tcBorders>
            <w:shd w:val="clear" w:color="auto" w:fill="auto"/>
            <w:noWrap/>
          </w:tcPr>
          <w:p w14:paraId="64AEF27B" w14:textId="67E1CFC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single" w:sz="4" w:space="0" w:color="auto"/>
              <w:bottom w:val="nil"/>
              <w:right w:val="nil"/>
            </w:tcBorders>
            <w:shd w:val="clear" w:color="auto" w:fill="auto"/>
            <w:noWrap/>
          </w:tcPr>
          <w:p w14:paraId="269948EE" w14:textId="4EC4BE3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1.28</w:t>
            </w:r>
          </w:p>
        </w:tc>
        <w:tc>
          <w:tcPr>
            <w:tcW w:w="0" w:type="auto"/>
            <w:tcBorders>
              <w:top w:val="nil"/>
              <w:left w:val="nil"/>
              <w:bottom w:val="nil"/>
              <w:right w:val="single" w:sz="4" w:space="0" w:color="auto"/>
            </w:tcBorders>
            <w:shd w:val="clear" w:color="auto" w:fill="auto"/>
            <w:noWrap/>
          </w:tcPr>
          <w:p w14:paraId="618F89AE" w14:textId="6CC16D5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0.18</w:t>
            </w:r>
          </w:p>
        </w:tc>
        <w:tc>
          <w:tcPr>
            <w:tcW w:w="0" w:type="auto"/>
            <w:tcBorders>
              <w:top w:val="nil"/>
              <w:left w:val="nil"/>
              <w:bottom w:val="nil"/>
              <w:right w:val="nil"/>
            </w:tcBorders>
            <w:shd w:val="clear" w:color="auto" w:fill="auto"/>
            <w:noWrap/>
          </w:tcPr>
          <w:p w14:paraId="5AA1D364" w14:textId="2C53FDF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1.22</w:t>
            </w:r>
          </w:p>
        </w:tc>
        <w:tc>
          <w:tcPr>
            <w:tcW w:w="0" w:type="auto"/>
            <w:tcBorders>
              <w:top w:val="nil"/>
              <w:left w:val="nil"/>
              <w:bottom w:val="nil"/>
              <w:right w:val="single" w:sz="4" w:space="0" w:color="auto"/>
            </w:tcBorders>
            <w:shd w:val="clear" w:color="auto" w:fill="auto"/>
            <w:noWrap/>
          </w:tcPr>
          <w:p w14:paraId="0D3794D9" w14:textId="2D42D52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0.15</w:t>
            </w:r>
          </w:p>
        </w:tc>
      </w:tr>
      <w:tr w:rsidR="00FF604A" w:rsidRPr="00714E84" w14:paraId="3CD9EF2F" w14:textId="77777777" w:rsidTr="00C474DC">
        <w:tc>
          <w:tcPr>
            <w:tcW w:w="0" w:type="auto"/>
            <w:tcBorders>
              <w:top w:val="nil"/>
              <w:left w:val="single" w:sz="4" w:space="0" w:color="auto"/>
              <w:bottom w:val="nil"/>
              <w:right w:val="nil"/>
            </w:tcBorders>
            <w:shd w:val="clear" w:color="auto" w:fill="auto"/>
            <w:noWrap/>
            <w:vAlign w:val="bottom"/>
            <w:hideMark/>
          </w:tcPr>
          <w:p w14:paraId="06CE4817"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Jewish</w:t>
            </w:r>
          </w:p>
        </w:tc>
        <w:tc>
          <w:tcPr>
            <w:tcW w:w="0" w:type="auto"/>
            <w:tcBorders>
              <w:top w:val="nil"/>
              <w:left w:val="single" w:sz="4" w:space="0" w:color="auto"/>
              <w:bottom w:val="nil"/>
              <w:right w:val="nil"/>
            </w:tcBorders>
            <w:shd w:val="clear" w:color="auto" w:fill="auto"/>
            <w:noWrap/>
          </w:tcPr>
          <w:p w14:paraId="32B04584" w14:textId="4EC8378E"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0.80</w:t>
            </w:r>
          </w:p>
        </w:tc>
        <w:tc>
          <w:tcPr>
            <w:tcW w:w="0" w:type="auto"/>
            <w:tcBorders>
              <w:top w:val="nil"/>
              <w:left w:val="nil"/>
              <w:bottom w:val="nil"/>
              <w:right w:val="single" w:sz="4" w:space="0" w:color="auto"/>
            </w:tcBorders>
            <w:shd w:val="clear" w:color="auto" w:fill="auto"/>
            <w:noWrap/>
          </w:tcPr>
          <w:p w14:paraId="2F67A468" w14:textId="7208218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0.13</w:t>
            </w:r>
          </w:p>
        </w:tc>
        <w:tc>
          <w:tcPr>
            <w:tcW w:w="0" w:type="auto"/>
            <w:tcBorders>
              <w:top w:val="nil"/>
              <w:left w:val="nil"/>
              <w:bottom w:val="nil"/>
              <w:right w:val="nil"/>
            </w:tcBorders>
            <w:shd w:val="clear" w:color="auto" w:fill="auto"/>
            <w:noWrap/>
          </w:tcPr>
          <w:p w14:paraId="361B0040" w14:textId="6DC884B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0.67</w:t>
            </w:r>
          </w:p>
        </w:tc>
        <w:tc>
          <w:tcPr>
            <w:tcW w:w="0" w:type="auto"/>
            <w:tcBorders>
              <w:top w:val="nil"/>
              <w:left w:val="nil"/>
              <w:bottom w:val="nil"/>
              <w:right w:val="nil"/>
            </w:tcBorders>
            <w:shd w:val="clear" w:color="auto" w:fill="auto"/>
            <w:noWrap/>
          </w:tcPr>
          <w:p w14:paraId="44E56241" w14:textId="40987E4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single" w:sz="4" w:space="0" w:color="auto"/>
              <w:bottom w:val="nil"/>
              <w:right w:val="nil"/>
            </w:tcBorders>
            <w:shd w:val="clear" w:color="auto" w:fill="auto"/>
            <w:noWrap/>
          </w:tcPr>
          <w:p w14:paraId="2EF72AA3" w14:textId="2EC3370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0.64</w:t>
            </w:r>
          </w:p>
        </w:tc>
        <w:tc>
          <w:tcPr>
            <w:tcW w:w="0" w:type="auto"/>
            <w:tcBorders>
              <w:top w:val="nil"/>
              <w:left w:val="nil"/>
              <w:bottom w:val="nil"/>
              <w:right w:val="single" w:sz="4" w:space="0" w:color="auto"/>
            </w:tcBorders>
            <w:shd w:val="clear" w:color="auto" w:fill="auto"/>
            <w:noWrap/>
          </w:tcPr>
          <w:p w14:paraId="5B2B6C94" w14:textId="12226B0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nil"/>
              <w:bottom w:val="nil"/>
              <w:right w:val="nil"/>
            </w:tcBorders>
            <w:shd w:val="clear" w:color="auto" w:fill="auto"/>
            <w:noWrap/>
          </w:tcPr>
          <w:p w14:paraId="2BF160E7" w14:textId="5BE9E78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0.71</w:t>
            </w:r>
          </w:p>
        </w:tc>
        <w:tc>
          <w:tcPr>
            <w:tcW w:w="0" w:type="auto"/>
            <w:tcBorders>
              <w:top w:val="nil"/>
              <w:left w:val="nil"/>
              <w:bottom w:val="nil"/>
              <w:right w:val="nil"/>
            </w:tcBorders>
            <w:shd w:val="clear" w:color="auto" w:fill="auto"/>
            <w:noWrap/>
          </w:tcPr>
          <w:p w14:paraId="661F5069" w14:textId="3763850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single" w:sz="4" w:space="0" w:color="auto"/>
              <w:bottom w:val="nil"/>
              <w:right w:val="nil"/>
            </w:tcBorders>
            <w:shd w:val="clear" w:color="auto" w:fill="auto"/>
            <w:noWrap/>
          </w:tcPr>
          <w:p w14:paraId="5A5CCBD2" w14:textId="50771A99"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0.86</w:t>
            </w:r>
          </w:p>
        </w:tc>
        <w:tc>
          <w:tcPr>
            <w:tcW w:w="0" w:type="auto"/>
            <w:tcBorders>
              <w:top w:val="nil"/>
              <w:left w:val="nil"/>
              <w:bottom w:val="nil"/>
              <w:right w:val="single" w:sz="4" w:space="0" w:color="auto"/>
            </w:tcBorders>
            <w:shd w:val="clear" w:color="auto" w:fill="auto"/>
            <w:noWrap/>
          </w:tcPr>
          <w:p w14:paraId="350424E9" w14:textId="04444C0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nil"/>
              <w:bottom w:val="nil"/>
              <w:right w:val="nil"/>
            </w:tcBorders>
            <w:shd w:val="clear" w:color="auto" w:fill="auto"/>
            <w:noWrap/>
          </w:tcPr>
          <w:p w14:paraId="7B08CE84" w14:textId="5CEC790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0.87</w:t>
            </w:r>
          </w:p>
        </w:tc>
        <w:tc>
          <w:tcPr>
            <w:tcW w:w="0" w:type="auto"/>
            <w:tcBorders>
              <w:top w:val="nil"/>
              <w:left w:val="nil"/>
              <w:bottom w:val="nil"/>
              <w:right w:val="nil"/>
            </w:tcBorders>
            <w:shd w:val="clear" w:color="auto" w:fill="auto"/>
            <w:noWrap/>
          </w:tcPr>
          <w:p w14:paraId="1BE78FEC" w14:textId="76EAFD4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single" w:sz="4" w:space="0" w:color="auto"/>
              <w:bottom w:val="nil"/>
              <w:right w:val="nil"/>
            </w:tcBorders>
            <w:shd w:val="clear" w:color="auto" w:fill="auto"/>
            <w:noWrap/>
          </w:tcPr>
          <w:p w14:paraId="1D890EDA" w14:textId="538D6386"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0.65</w:t>
            </w:r>
          </w:p>
        </w:tc>
        <w:tc>
          <w:tcPr>
            <w:tcW w:w="0" w:type="auto"/>
            <w:tcBorders>
              <w:top w:val="nil"/>
              <w:left w:val="nil"/>
              <w:bottom w:val="nil"/>
              <w:right w:val="single" w:sz="4" w:space="0" w:color="auto"/>
            </w:tcBorders>
            <w:shd w:val="clear" w:color="auto" w:fill="auto"/>
            <w:noWrap/>
          </w:tcPr>
          <w:p w14:paraId="2E0B8AED" w14:textId="722FE45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nil"/>
              <w:bottom w:val="nil"/>
              <w:right w:val="nil"/>
            </w:tcBorders>
            <w:shd w:val="clear" w:color="auto" w:fill="auto"/>
            <w:noWrap/>
          </w:tcPr>
          <w:p w14:paraId="0BDD75C0" w14:textId="77F9277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0.54</w:t>
            </w:r>
          </w:p>
        </w:tc>
        <w:tc>
          <w:tcPr>
            <w:tcW w:w="0" w:type="auto"/>
            <w:tcBorders>
              <w:top w:val="nil"/>
              <w:left w:val="nil"/>
              <w:bottom w:val="nil"/>
              <w:right w:val="single" w:sz="4" w:space="0" w:color="auto"/>
            </w:tcBorders>
            <w:shd w:val="clear" w:color="auto" w:fill="auto"/>
            <w:noWrap/>
          </w:tcPr>
          <w:p w14:paraId="49FAFD73" w14:textId="2C6CE83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r>
      <w:tr w:rsidR="00FF604A" w:rsidRPr="00714E84" w14:paraId="5FADDCC3" w14:textId="77777777" w:rsidTr="00C474DC">
        <w:tc>
          <w:tcPr>
            <w:tcW w:w="0" w:type="auto"/>
            <w:tcBorders>
              <w:top w:val="nil"/>
              <w:left w:val="single" w:sz="4" w:space="0" w:color="auto"/>
              <w:bottom w:val="nil"/>
              <w:right w:val="nil"/>
            </w:tcBorders>
            <w:shd w:val="clear" w:color="auto" w:fill="auto"/>
            <w:noWrap/>
            <w:vAlign w:val="bottom"/>
            <w:hideMark/>
          </w:tcPr>
          <w:p w14:paraId="0FB99FB7"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Buddhist</w:t>
            </w:r>
          </w:p>
        </w:tc>
        <w:tc>
          <w:tcPr>
            <w:tcW w:w="0" w:type="auto"/>
            <w:tcBorders>
              <w:top w:val="nil"/>
              <w:left w:val="single" w:sz="4" w:space="0" w:color="auto"/>
              <w:bottom w:val="nil"/>
              <w:right w:val="nil"/>
            </w:tcBorders>
            <w:shd w:val="clear" w:color="auto" w:fill="auto"/>
            <w:noWrap/>
          </w:tcPr>
          <w:p w14:paraId="5F30E773" w14:textId="3CFACA7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1.18</w:t>
            </w:r>
          </w:p>
        </w:tc>
        <w:tc>
          <w:tcPr>
            <w:tcW w:w="0" w:type="auto"/>
            <w:tcBorders>
              <w:top w:val="nil"/>
              <w:left w:val="nil"/>
              <w:bottom w:val="nil"/>
              <w:right w:val="single" w:sz="4" w:space="0" w:color="auto"/>
            </w:tcBorders>
            <w:shd w:val="clear" w:color="auto" w:fill="auto"/>
            <w:noWrap/>
          </w:tcPr>
          <w:p w14:paraId="722C1AEA" w14:textId="7C36782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0.19</w:t>
            </w:r>
          </w:p>
        </w:tc>
        <w:tc>
          <w:tcPr>
            <w:tcW w:w="0" w:type="auto"/>
            <w:tcBorders>
              <w:top w:val="nil"/>
              <w:left w:val="nil"/>
              <w:bottom w:val="nil"/>
              <w:right w:val="nil"/>
            </w:tcBorders>
            <w:shd w:val="clear" w:color="auto" w:fill="auto"/>
            <w:noWrap/>
          </w:tcPr>
          <w:p w14:paraId="211171AE" w14:textId="3531585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1.33</w:t>
            </w:r>
          </w:p>
        </w:tc>
        <w:tc>
          <w:tcPr>
            <w:tcW w:w="0" w:type="auto"/>
            <w:tcBorders>
              <w:top w:val="nil"/>
              <w:left w:val="nil"/>
              <w:bottom w:val="nil"/>
              <w:right w:val="nil"/>
            </w:tcBorders>
            <w:shd w:val="clear" w:color="auto" w:fill="auto"/>
            <w:noWrap/>
          </w:tcPr>
          <w:p w14:paraId="3542DEA1" w14:textId="4115CBD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0.18</w:t>
            </w:r>
          </w:p>
        </w:tc>
        <w:tc>
          <w:tcPr>
            <w:tcW w:w="0" w:type="auto"/>
            <w:tcBorders>
              <w:top w:val="nil"/>
              <w:left w:val="single" w:sz="4" w:space="0" w:color="auto"/>
              <w:bottom w:val="nil"/>
              <w:right w:val="nil"/>
            </w:tcBorders>
            <w:shd w:val="clear" w:color="auto" w:fill="auto"/>
            <w:noWrap/>
          </w:tcPr>
          <w:p w14:paraId="616385BA" w14:textId="4D6F8A9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1.16</w:t>
            </w:r>
          </w:p>
        </w:tc>
        <w:tc>
          <w:tcPr>
            <w:tcW w:w="0" w:type="auto"/>
            <w:tcBorders>
              <w:top w:val="nil"/>
              <w:left w:val="nil"/>
              <w:bottom w:val="nil"/>
              <w:right w:val="single" w:sz="4" w:space="0" w:color="auto"/>
            </w:tcBorders>
            <w:shd w:val="clear" w:color="auto" w:fill="auto"/>
            <w:noWrap/>
          </w:tcPr>
          <w:p w14:paraId="420E1619" w14:textId="4B25519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0.16</w:t>
            </w:r>
          </w:p>
        </w:tc>
        <w:tc>
          <w:tcPr>
            <w:tcW w:w="0" w:type="auto"/>
            <w:tcBorders>
              <w:top w:val="nil"/>
              <w:left w:val="nil"/>
              <w:bottom w:val="nil"/>
              <w:right w:val="nil"/>
            </w:tcBorders>
            <w:shd w:val="clear" w:color="auto" w:fill="auto"/>
            <w:noWrap/>
          </w:tcPr>
          <w:p w14:paraId="31729BA5" w14:textId="7FF226D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1.26</w:t>
            </w:r>
          </w:p>
        </w:tc>
        <w:tc>
          <w:tcPr>
            <w:tcW w:w="0" w:type="auto"/>
            <w:tcBorders>
              <w:top w:val="nil"/>
              <w:left w:val="nil"/>
              <w:bottom w:val="nil"/>
              <w:right w:val="nil"/>
            </w:tcBorders>
            <w:shd w:val="clear" w:color="auto" w:fill="auto"/>
            <w:noWrap/>
          </w:tcPr>
          <w:p w14:paraId="14C9C543" w14:textId="07C9F2A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0.15</w:t>
            </w:r>
          </w:p>
        </w:tc>
        <w:tc>
          <w:tcPr>
            <w:tcW w:w="0" w:type="auto"/>
            <w:tcBorders>
              <w:top w:val="nil"/>
              <w:left w:val="single" w:sz="4" w:space="0" w:color="auto"/>
              <w:bottom w:val="nil"/>
              <w:right w:val="nil"/>
            </w:tcBorders>
            <w:shd w:val="clear" w:color="auto" w:fill="auto"/>
            <w:noWrap/>
          </w:tcPr>
          <w:p w14:paraId="1BA15749" w14:textId="4B2495D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1.13</w:t>
            </w:r>
          </w:p>
        </w:tc>
        <w:tc>
          <w:tcPr>
            <w:tcW w:w="0" w:type="auto"/>
            <w:tcBorders>
              <w:top w:val="nil"/>
              <w:left w:val="nil"/>
              <w:bottom w:val="nil"/>
              <w:right w:val="single" w:sz="4" w:space="0" w:color="auto"/>
            </w:tcBorders>
            <w:shd w:val="clear" w:color="auto" w:fill="auto"/>
            <w:noWrap/>
          </w:tcPr>
          <w:p w14:paraId="179E4AFD" w14:textId="5594F38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0.15</w:t>
            </w:r>
          </w:p>
        </w:tc>
        <w:tc>
          <w:tcPr>
            <w:tcW w:w="0" w:type="auto"/>
            <w:tcBorders>
              <w:top w:val="nil"/>
              <w:left w:val="nil"/>
              <w:bottom w:val="nil"/>
              <w:right w:val="nil"/>
            </w:tcBorders>
            <w:shd w:val="clear" w:color="auto" w:fill="auto"/>
            <w:noWrap/>
          </w:tcPr>
          <w:p w14:paraId="2EAF799E" w14:textId="30040F9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1.13</w:t>
            </w:r>
          </w:p>
        </w:tc>
        <w:tc>
          <w:tcPr>
            <w:tcW w:w="0" w:type="auto"/>
            <w:tcBorders>
              <w:top w:val="nil"/>
              <w:left w:val="nil"/>
              <w:bottom w:val="nil"/>
              <w:right w:val="nil"/>
            </w:tcBorders>
            <w:shd w:val="clear" w:color="auto" w:fill="auto"/>
            <w:noWrap/>
          </w:tcPr>
          <w:p w14:paraId="1CD97499" w14:textId="26D7230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0.15</w:t>
            </w:r>
          </w:p>
        </w:tc>
        <w:tc>
          <w:tcPr>
            <w:tcW w:w="0" w:type="auto"/>
            <w:tcBorders>
              <w:top w:val="nil"/>
              <w:left w:val="single" w:sz="4" w:space="0" w:color="auto"/>
              <w:bottom w:val="nil"/>
              <w:right w:val="nil"/>
            </w:tcBorders>
            <w:shd w:val="clear" w:color="auto" w:fill="auto"/>
            <w:noWrap/>
          </w:tcPr>
          <w:p w14:paraId="5D5ACF06" w14:textId="3256F30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1.09</w:t>
            </w:r>
          </w:p>
        </w:tc>
        <w:tc>
          <w:tcPr>
            <w:tcW w:w="0" w:type="auto"/>
            <w:tcBorders>
              <w:top w:val="nil"/>
              <w:left w:val="nil"/>
              <w:bottom w:val="nil"/>
              <w:right w:val="single" w:sz="4" w:space="0" w:color="auto"/>
            </w:tcBorders>
            <w:shd w:val="clear" w:color="auto" w:fill="auto"/>
            <w:noWrap/>
          </w:tcPr>
          <w:p w14:paraId="7FC4F0EB" w14:textId="4CB7553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0.18</w:t>
            </w:r>
          </w:p>
        </w:tc>
        <w:tc>
          <w:tcPr>
            <w:tcW w:w="0" w:type="auto"/>
            <w:tcBorders>
              <w:top w:val="nil"/>
              <w:left w:val="nil"/>
              <w:bottom w:val="nil"/>
              <w:right w:val="nil"/>
            </w:tcBorders>
            <w:shd w:val="clear" w:color="auto" w:fill="auto"/>
            <w:noWrap/>
          </w:tcPr>
          <w:p w14:paraId="415B5C1C" w14:textId="691443F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1.11</w:t>
            </w:r>
          </w:p>
        </w:tc>
        <w:tc>
          <w:tcPr>
            <w:tcW w:w="0" w:type="auto"/>
            <w:tcBorders>
              <w:top w:val="nil"/>
              <w:left w:val="nil"/>
              <w:bottom w:val="nil"/>
              <w:right w:val="single" w:sz="4" w:space="0" w:color="auto"/>
            </w:tcBorders>
            <w:shd w:val="clear" w:color="auto" w:fill="auto"/>
            <w:noWrap/>
          </w:tcPr>
          <w:p w14:paraId="68E97802" w14:textId="498136D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0.14</w:t>
            </w:r>
          </w:p>
        </w:tc>
      </w:tr>
      <w:tr w:rsidR="00FF604A" w:rsidRPr="00714E84" w14:paraId="58932C52" w14:textId="77777777" w:rsidTr="00C474DC">
        <w:tc>
          <w:tcPr>
            <w:tcW w:w="0" w:type="auto"/>
            <w:tcBorders>
              <w:top w:val="nil"/>
              <w:left w:val="single" w:sz="4" w:space="0" w:color="auto"/>
              <w:bottom w:val="nil"/>
              <w:right w:val="nil"/>
            </w:tcBorders>
            <w:shd w:val="clear" w:color="auto" w:fill="auto"/>
            <w:noWrap/>
            <w:vAlign w:val="bottom"/>
            <w:hideMark/>
          </w:tcPr>
          <w:p w14:paraId="2BFAFE3B"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Other religion</w:t>
            </w:r>
          </w:p>
        </w:tc>
        <w:tc>
          <w:tcPr>
            <w:tcW w:w="0" w:type="auto"/>
            <w:tcBorders>
              <w:top w:val="nil"/>
              <w:left w:val="single" w:sz="4" w:space="0" w:color="auto"/>
              <w:bottom w:val="nil"/>
              <w:right w:val="nil"/>
            </w:tcBorders>
            <w:shd w:val="clear" w:color="auto" w:fill="auto"/>
            <w:noWrap/>
          </w:tcPr>
          <w:p w14:paraId="56F7EBA8" w14:textId="50ACFF4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1.17</w:t>
            </w:r>
          </w:p>
        </w:tc>
        <w:tc>
          <w:tcPr>
            <w:tcW w:w="0" w:type="auto"/>
            <w:tcBorders>
              <w:top w:val="nil"/>
              <w:left w:val="nil"/>
              <w:bottom w:val="nil"/>
              <w:right w:val="single" w:sz="4" w:space="0" w:color="auto"/>
            </w:tcBorders>
            <w:shd w:val="clear" w:color="auto" w:fill="auto"/>
            <w:noWrap/>
          </w:tcPr>
          <w:p w14:paraId="00187E27" w14:textId="17C967B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nil"/>
              <w:bottom w:val="nil"/>
              <w:right w:val="nil"/>
            </w:tcBorders>
            <w:shd w:val="clear" w:color="auto" w:fill="auto"/>
            <w:noWrap/>
          </w:tcPr>
          <w:p w14:paraId="46AC43C8" w14:textId="7C396AE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1.25</w:t>
            </w:r>
          </w:p>
        </w:tc>
        <w:tc>
          <w:tcPr>
            <w:tcW w:w="0" w:type="auto"/>
            <w:tcBorders>
              <w:top w:val="nil"/>
              <w:left w:val="nil"/>
              <w:bottom w:val="nil"/>
              <w:right w:val="nil"/>
            </w:tcBorders>
            <w:shd w:val="clear" w:color="auto" w:fill="auto"/>
            <w:noWrap/>
          </w:tcPr>
          <w:p w14:paraId="59B1308A" w14:textId="41C695B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0.11</w:t>
            </w:r>
          </w:p>
        </w:tc>
        <w:tc>
          <w:tcPr>
            <w:tcW w:w="0" w:type="auto"/>
            <w:tcBorders>
              <w:top w:val="nil"/>
              <w:left w:val="single" w:sz="4" w:space="0" w:color="auto"/>
              <w:bottom w:val="nil"/>
              <w:right w:val="nil"/>
            </w:tcBorders>
            <w:shd w:val="clear" w:color="auto" w:fill="auto"/>
            <w:noWrap/>
          </w:tcPr>
          <w:p w14:paraId="7DA00049" w14:textId="71B7322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1.25</w:t>
            </w:r>
          </w:p>
        </w:tc>
        <w:tc>
          <w:tcPr>
            <w:tcW w:w="0" w:type="auto"/>
            <w:tcBorders>
              <w:top w:val="nil"/>
              <w:left w:val="nil"/>
              <w:bottom w:val="nil"/>
              <w:right w:val="single" w:sz="4" w:space="0" w:color="auto"/>
            </w:tcBorders>
            <w:shd w:val="clear" w:color="auto" w:fill="auto"/>
            <w:noWrap/>
          </w:tcPr>
          <w:p w14:paraId="7E37EEC5" w14:textId="1C0B82B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42CFFE51" w14:textId="696DFE8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nil"/>
            </w:tcBorders>
            <w:shd w:val="clear" w:color="auto" w:fill="auto"/>
            <w:noWrap/>
          </w:tcPr>
          <w:p w14:paraId="405C41EB" w14:textId="3BCB4EE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0.09</w:t>
            </w:r>
          </w:p>
        </w:tc>
        <w:tc>
          <w:tcPr>
            <w:tcW w:w="0" w:type="auto"/>
            <w:tcBorders>
              <w:top w:val="nil"/>
              <w:left w:val="single" w:sz="4" w:space="0" w:color="auto"/>
              <w:bottom w:val="nil"/>
              <w:right w:val="nil"/>
            </w:tcBorders>
            <w:shd w:val="clear" w:color="auto" w:fill="auto"/>
            <w:noWrap/>
          </w:tcPr>
          <w:p w14:paraId="2E599BB4" w14:textId="4E506CF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1.01</w:t>
            </w:r>
          </w:p>
        </w:tc>
        <w:tc>
          <w:tcPr>
            <w:tcW w:w="0" w:type="auto"/>
            <w:tcBorders>
              <w:top w:val="nil"/>
              <w:left w:val="nil"/>
              <w:bottom w:val="nil"/>
              <w:right w:val="single" w:sz="4" w:space="0" w:color="auto"/>
            </w:tcBorders>
            <w:shd w:val="clear" w:color="auto" w:fill="auto"/>
            <w:noWrap/>
          </w:tcPr>
          <w:p w14:paraId="3EB71F3C" w14:textId="7E72476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nil"/>
              <w:bottom w:val="nil"/>
              <w:right w:val="nil"/>
            </w:tcBorders>
            <w:shd w:val="clear" w:color="auto" w:fill="auto"/>
            <w:noWrap/>
          </w:tcPr>
          <w:p w14:paraId="12360848" w14:textId="26683B42"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1.03</w:t>
            </w:r>
          </w:p>
        </w:tc>
        <w:tc>
          <w:tcPr>
            <w:tcW w:w="0" w:type="auto"/>
            <w:tcBorders>
              <w:top w:val="nil"/>
              <w:left w:val="nil"/>
              <w:bottom w:val="nil"/>
              <w:right w:val="nil"/>
            </w:tcBorders>
            <w:shd w:val="clear" w:color="auto" w:fill="auto"/>
            <w:noWrap/>
          </w:tcPr>
          <w:p w14:paraId="3DE87092" w14:textId="07B619C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single" w:sz="4" w:space="0" w:color="auto"/>
              <w:bottom w:val="nil"/>
              <w:right w:val="nil"/>
            </w:tcBorders>
            <w:shd w:val="clear" w:color="auto" w:fill="auto"/>
            <w:noWrap/>
          </w:tcPr>
          <w:p w14:paraId="193376A5" w14:textId="304C5BB2"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1.11</w:t>
            </w:r>
          </w:p>
        </w:tc>
        <w:tc>
          <w:tcPr>
            <w:tcW w:w="0" w:type="auto"/>
            <w:tcBorders>
              <w:top w:val="nil"/>
              <w:left w:val="nil"/>
              <w:bottom w:val="nil"/>
              <w:right w:val="single" w:sz="4" w:space="0" w:color="auto"/>
            </w:tcBorders>
            <w:shd w:val="clear" w:color="auto" w:fill="auto"/>
            <w:noWrap/>
          </w:tcPr>
          <w:p w14:paraId="665B571B" w14:textId="7C66912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5929855E" w14:textId="7D21F8E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1.00</w:t>
            </w:r>
          </w:p>
        </w:tc>
        <w:tc>
          <w:tcPr>
            <w:tcW w:w="0" w:type="auto"/>
            <w:tcBorders>
              <w:top w:val="nil"/>
              <w:left w:val="nil"/>
              <w:bottom w:val="nil"/>
              <w:right w:val="single" w:sz="4" w:space="0" w:color="auto"/>
            </w:tcBorders>
            <w:shd w:val="clear" w:color="auto" w:fill="auto"/>
            <w:noWrap/>
          </w:tcPr>
          <w:p w14:paraId="28EE49D5" w14:textId="1B576AA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r>
      <w:tr w:rsidR="00FF604A" w:rsidRPr="00714E84" w14:paraId="4B29E61B" w14:textId="77777777" w:rsidTr="00C474DC">
        <w:tc>
          <w:tcPr>
            <w:tcW w:w="0" w:type="auto"/>
            <w:tcBorders>
              <w:top w:val="nil"/>
              <w:left w:val="single" w:sz="4" w:space="0" w:color="auto"/>
              <w:bottom w:val="nil"/>
              <w:right w:val="nil"/>
            </w:tcBorders>
            <w:shd w:val="clear" w:color="auto" w:fill="auto"/>
            <w:noWrap/>
            <w:vAlign w:val="bottom"/>
            <w:hideMark/>
          </w:tcPr>
          <w:p w14:paraId="21182B9E"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 xml:space="preserve">No religion </w:t>
            </w:r>
          </w:p>
        </w:tc>
        <w:tc>
          <w:tcPr>
            <w:tcW w:w="0" w:type="auto"/>
            <w:tcBorders>
              <w:top w:val="nil"/>
              <w:left w:val="single" w:sz="4" w:space="0" w:color="auto"/>
              <w:bottom w:val="nil"/>
              <w:right w:val="nil"/>
            </w:tcBorders>
            <w:shd w:val="clear" w:color="auto" w:fill="auto"/>
            <w:noWrap/>
          </w:tcPr>
          <w:p w14:paraId="374E2078" w14:textId="249C77B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0.95</w:t>
            </w:r>
          </w:p>
        </w:tc>
        <w:tc>
          <w:tcPr>
            <w:tcW w:w="0" w:type="auto"/>
            <w:tcBorders>
              <w:top w:val="nil"/>
              <w:left w:val="nil"/>
              <w:bottom w:val="nil"/>
              <w:right w:val="single" w:sz="4" w:space="0" w:color="auto"/>
            </w:tcBorders>
            <w:shd w:val="clear" w:color="auto" w:fill="auto"/>
            <w:noWrap/>
          </w:tcPr>
          <w:p w14:paraId="4B406DCA" w14:textId="21A8EBE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01C0C231" w14:textId="7A6AE5C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0.96</w:t>
            </w:r>
          </w:p>
        </w:tc>
        <w:tc>
          <w:tcPr>
            <w:tcW w:w="0" w:type="auto"/>
            <w:tcBorders>
              <w:top w:val="nil"/>
              <w:left w:val="nil"/>
              <w:bottom w:val="nil"/>
              <w:right w:val="nil"/>
            </w:tcBorders>
            <w:shd w:val="clear" w:color="auto" w:fill="auto"/>
            <w:noWrap/>
          </w:tcPr>
          <w:p w14:paraId="5AE6832D" w14:textId="71FEAC2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58434A16" w14:textId="00A1A4A2"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0.97</w:t>
            </w:r>
          </w:p>
        </w:tc>
        <w:tc>
          <w:tcPr>
            <w:tcW w:w="0" w:type="auto"/>
            <w:tcBorders>
              <w:top w:val="nil"/>
              <w:left w:val="nil"/>
              <w:bottom w:val="nil"/>
              <w:right w:val="single" w:sz="4" w:space="0" w:color="auto"/>
            </w:tcBorders>
            <w:shd w:val="clear" w:color="auto" w:fill="auto"/>
            <w:noWrap/>
          </w:tcPr>
          <w:p w14:paraId="287E1EB0" w14:textId="543596A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096C009C" w14:textId="019F9C9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nil"/>
            </w:tcBorders>
            <w:shd w:val="clear" w:color="auto" w:fill="auto"/>
            <w:noWrap/>
          </w:tcPr>
          <w:p w14:paraId="0F601CC5" w14:textId="6345F83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753C589A" w14:textId="01293EC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0.95</w:t>
            </w:r>
          </w:p>
        </w:tc>
        <w:tc>
          <w:tcPr>
            <w:tcW w:w="0" w:type="auto"/>
            <w:tcBorders>
              <w:top w:val="nil"/>
              <w:left w:val="nil"/>
              <w:bottom w:val="nil"/>
              <w:right w:val="single" w:sz="4" w:space="0" w:color="auto"/>
            </w:tcBorders>
            <w:shd w:val="clear" w:color="auto" w:fill="auto"/>
            <w:noWrap/>
          </w:tcPr>
          <w:p w14:paraId="271FFE23" w14:textId="265A8A4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116557AA" w14:textId="7008007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0.95</w:t>
            </w:r>
          </w:p>
        </w:tc>
        <w:tc>
          <w:tcPr>
            <w:tcW w:w="0" w:type="auto"/>
            <w:tcBorders>
              <w:top w:val="nil"/>
              <w:left w:val="nil"/>
              <w:bottom w:val="nil"/>
              <w:right w:val="nil"/>
            </w:tcBorders>
            <w:shd w:val="clear" w:color="auto" w:fill="auto"/>
            <w:noWrap/>
          </w:tcPr>
          <w:p w14:paraId="77E0CB27" w14:textId="7E05F9BD"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05DE926E" w14:textId="05DB8F0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1.00</w:t>
            </w:r>
          </w:p>
        </w:tc>
        <w:tc>
          <w:tcPr>
            <w:tcW w:w="0" w:type="auto"/>
            <w:tcBorders>
              <w:top w:val="nil"/>
              <w:left w:val="nil"/>
              <w:bottom w:val="nil"/>
              <w:right w:val="single" w:sz="4" w:space="0" w:color="auto"/>
            </w:tcBorders>
            <w:shd w:val="clear" w:color="auto" w:fill="auto"/>
            <w:noWrap/>
          </w:tcPr>
          <w:p w14:paraId="46A431CB" w14:textId="530B2E8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24171C8D" w14:textId="03A23D6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0.97</w:t>
            </w:r>
          </w:p>
        </w:tc>
        <w:tc>
          <w:tcPr>
            <w:tcW w:w="0" w:type="auto"/>
            <w:tcBorders>
              <w:top w:val="nil"/>
              <w:left w:val="nil"/>
              <w:bottom w:val="nil"/>
              <w:right w:val="single" w:sz="4" w:space="0" w:color="auto"/>
            </w:tcBorders>
            <w:shd w:val="clear" w:color="auto" w:fill="auto"/>
            <w:noWrap/>
          </w:tcPr>
          <w:p w14:paraId="25AF24F7" w14:textId="0219E0D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r>
      <w:tr w:rsidR="00FF604A" w:rsidRPr="00714E84" w14:paraId="5485A20B" w14:textId="77777777" w:rsidTr="00C474DC">
        <w:tc>
          <w:tcPr>
            <w:tcW w:w="0" w:type="auto"/>
            <w:tcBorders>
              <w:top w:val="nil"/>
              <w:left w:val="single" w:sz="4" w:space="0" w:color="auto"/>
              <w:bottom w:val="nil"/>
              <w:right w:val="nil"/>
            </w:tcBorders>
            <w:shd w:val="clear" w:color="auto" w:fill="auto"/>
            <w:noWrap/>
            <w:vAlign w:val="bottom"/>
            <w:hideMark/>
          </w:tcPr>
          <w:p w14:paraId="216D7380" w14:textId="77777777" w:rsidR="00FF604A" w:rsidRPr="005558FF" w:rsidRDefault="00FF604A" w:rsidP="00FF604A">
            <w:pPr>
              <w:rPr>
                <w:rFonts w:ascii="Calibri" w:eastAsia="Times New Roman" w:hAnsi="Calibri" w:cs="Calibri"/>
                <w:b/>
                <w:bCs/>
                <w:color w:val="000000"/>
                <w:sz w:val="18"/>
                <w:szCs w:val="20"/>
                <w:lang w:eastAsia="en-GB"/>
              </w:rPr>
            </w:pPr>
            <w:r w:rsidRPr="005558FF">
              <w:rPr>
                <w:rFonts w:ascii="Calibri" w:eastAsia="Times New Roman" w:hAnsi="Calibri" w:cs="Calibri"/>
                <w:b/>
                <w:bCs/>
                <w:color w:val="000000"/>
                <w:sz w:val="18"/>
                <w:szCs w:val="20"/>
                <w:lang w:eastAsia="en-GB"/>
              </w:rPr>
              <w:t>Age groups (35-49)</w:t>
            </w:r>
          </w:p>
        </w:tc>
        <w:tc>
          <w:tcPr>
            <w:tcW w:w="0" w:type="auto"/>
            <w:tcBorders>
              <w:top w:val="nil"/>
              <w:left w:val="single" w:sz="4" w:space="0" w:color="auto"/>
              <w:bottom w:val="nil"/>
              <w:right w:val="nil"/>
            </w:tcBorders>
            <w:shd w:val="clear" w:color="auto" w:fill="auto"/>
            <w:noWrap/>
            <w:vAlign w:val="bottom"/>
          </w:tcPr>
          <w:p w14:paraId="7EF4B93B" w14:textId="6A12BF2B"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0D73146F" w14:textId="686F3A56"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12E38D84" w14:textId="521F6DD8"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3EB8B45B" w14:textId="1AC5E64A" w:rsidR="00FF604A" w:rsidRPr="00714E84" w:rsidRDefault="00FF604A" w:rsidP="00FF604A">
            <w:pPr>
              <w:rPr>
                <w:rFonts w:eastAsia="Times New Roman"/>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single" w:sz="4" w:space="0" w:color="auto"/>
              <w:bottom w:val="nil"/>
              <w:right w:val="nil"/>
            </w:tcBorders>
            <w:shd w:val="clear" w:color="auto" w:fill="auto"/>
            <w:noWrap/>
            <w:vAlign w:val="bottom"/>
          </w:tcPr>
          <w:p w14:paraId="4EEBD1C3" w14:textId="39A766FA"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47DB035A" w14:textId="36717522"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nil"/>
            </w:tcBorders>
            <w:shd w:val="clear" w:color="auto" w:fill="auto"/>
            <w:noWrap/>
            <w:vAlign w:val="bottom"/>
          </w:tcPr>
          <w:p w14:paraId="381C618C" w14:textId="0E4FF66E"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33D70722" w14:textId="2CAD8B7D" w:rsidR="00FF604A" w:rsidRPr="00714E84" w:rsidRDefault="00FF604A" w:rsidP="00FF604A">
            <w:pPr>
              <w:rPr>
                <w:rFonts w:eastAsia="Times New Roman"/>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single" w:sz="4" w:space="0" w:color="auto"/>
              <w:bottom w:val="nil"/>
              <w:right w:val="nil"/>
            </w:tcBorders>
            <w:shd w:val="clear" w:color="auto" w:fill="auto"/>
            <w:noWrap/>
            <w:vAlign w:val="bottom"/>
          </w:tcPr>
          <w:p w14:paraId="5B3983EF" w14:textId="62D592E6"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488746D5" w14:textId="25AC6CC5"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nil"/>
            </w:tcBorders>
            <w:shd w:val="clear" w:color="auto" w:fill="auto"/>
            <w:noWrap/>
            <w:vAlign w:val="bottom"/>
          </w:tcPr>
          <w:p w14:paraId="08B53F83" w14:textId="464AD041"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2C5227CF" w14:textId="3F242C8C" w:rsidR="00FF604A" w:rsidRPr="00714E84" w:rsidRDefault="00FF604A" w:rsidP="00FF604A">
            <w:pPr>
              <w:rPr>
                <w:rFonts w:eastAsia="Times New Roman"/>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single" w:sz="4" w:space="0" w:color="auto"/>
              <w:bottom w:val="nil"/>
              <w:right w:val="nil"/>
            </w:tcBorders>
            <w:shd w:val="clear" w:color="auto" w:fill="auto"/>
            <w:noWrap/>
            <w:vAlign w:val="bottom"/>
          </w:tcPr>
          <w:p w14:paraId="66CDF1E9" w14:textId="1B805793"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05C65CF4" w14:textId="1E2F669D"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nil"/>
            </w:tcBorders>
            <w:shd w:val="clear" w:color="auto" w:fill="auto"/>
            <w:noWrap/>
            <w:vAlign w:val="bottom"/>
          </w:tcPr>
          <w:p w14:paraId="25E89FEF" w14:textId="35D2BAAC"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single" w:sz="4" w:space="0" w:color="auto"/>
            </w:tcBorders>
            <w:shd w:val="clear" w:color="auto" w:fill="auto"/>
            <w:noWrap/>
            <w:vAlign w:val="bottom"/>
          </w:tcPr>
          <w:p w14:paraId="684C5C81" w14:textId="70501EEB"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r>
      <w:tr w:rsidR="00FF604A" w:rsidRPr="00714E84" w14:paraId="13152CBF" w14:textId="77777777" w:rsidTr="00C474DC">
        <w:tc>
          <w:tcPr>
            <w:tcW w:w="0" w:type="auto"/>
            <w:tcBorders>
              <w:top w:val="nil"/>
              <w:left w:val="single" w:sz="4" w:space="0" w:color="auto"/>
              <w:bottom w:val="nil"/>
              <w:right w:val="nil"/>
            </w:tcBorders>
            <w:shd w:val="clear" w:color="auto" w:fill="auto"/>
            <w:noWrap/>
            <w:vAlign w:val="bottom"/>
            <w:hideMark/>
          </w:tcPr>
          <w:p w14:paraId="25A67064"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16-24</w:t>
            </w:r>
          </w:p>
        </w:tc>
        <w:tc>
          <w:tcPr>
            <w:tcW w:w="0" w:type="auto"/>
            <w:tcBorders>
              <w:top w:val="nil"/>
              <w:left w:val="single" w:sz="4" w:space="0" w:color="auto"/>
              <w:bottom w:val="nil"/>
              <w:right w:val="nil"/>
            </w:tcBorders>
            <w:shd w:val="clear" w:color="auto" w:fill="auto"/>
            <w:noWrap/>
          </w:tcPr>
          <w:p w14:paraId="7D32717C" w14:textId="0E1DD64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1.75</w:t>
            </w:r>
          </w:p>
        </w:tc>
        <w:tc>
          <w:tcPr>
            <w:tcW w:w="0" w:type="auto"/>
            <w:tcBorders>
              <w:top w:val="nil"/>
              <w:left w:val="nil"/>
              <w:bottom w:val="nil"/>
              <w:right w:val="single" w:sz="4" w:space="0" w:color="auto"/>
            </w:tcBorders>
            <w:shd w:val="clear" w:color="auto" w:fill="auto"/>
            <w:noWrap/>
          </w:tcPr>
          <w:p w14:paraId="133894FD" w14:textId="29B21DE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7CB879F6" w14:textId="35207129"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1.85</w:t>
            </w:r>
          </w:p>
        </w:tc>
        <w:tc>
          <w:tcPr>
            <w:tcW w:w="0" w:type="auto"/>
            <w:tcBorders>
              <w:top w:val="nil"/>
              <w:left w:val="nil"/>
              <w:bottom w:val="nil"/>
              <w:right w:val="nil"/>
            </w:tcBorders>
            <w:shd w:val="clear" w:color="auto" w:fill="auto"/>
            <w:noWrap/>
          </w:tcPr>
          <w:p w14:paraId="4C2BBA38" w14:textId="38A2084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4493C6E4" w14:textId="26E10FD6"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1.92</w:t>
            </w:r>
          </w:p>
        </w:tc>
        <w:tc>
          <w:tcPr>
            <w:tcW w:w="0" w:type="auto"/>
            <w:tcBorders>
              <w:top w:val="nil"/>
              <w:left w:val="nil"/>
              <w:bottom w:val="nil"/>
              <w:right w:val="single" w:sz="4" w:space="0" w:color="auto"/>
            </w:tcBorders>
            <w:shd w:val="clear" w:color="auto" w:fill="auto"/>
            <w:noWrap/>
          </w:tcPr>
          <w:p w14:paraId="7441FCC8" w14:textId="2329462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228B6A56" w14:textId="18CD16B9"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1.85</w:t>
            </w:r>
          </w:p>
        </w:tc>
        <w:tc>
          <w:tcPr>
            <w:tcW w:w="0" w:type="auto"/>
            <w:tcBorders>
              <w:top w:val="nil"/>
              <w:left w:val="nil"/>
              <w:bottom w:val="nil"/>
              <w:right w:val="nil"/>
            </w:tcBorders>
            <w:shd w:val="clear" w:color="auto" w:fill="auto"/>
            <w:noWrap/>
          </w:tcPr>
          <w:p w14:paraId="597B2B73" w14:textId="0EED88A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653EBC2F" w14:textId="7A767BE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1.95</w:t>
            </w:r>
          </w:p>
        </w:tc>
        <w:tc>
          <w:tcPr>
            <w:tcW w:w="0" w:type="auto"/>
            <w:tcBorders>
              <w:top w:val="nil"/>
              <w:left w:val="nil"/>
              <w:bottom w:val="nil"/>
              <w:right w:val="single" w:sz="4" w:space="0" w:color="auto"/>
            </w:tcBorders>
            <w:shd w:val="clear" w:color="auto" w:fill="auto"/>
            <w:noWrap/>
          </w:tcPr>
          <w:p w14:paraId="32C63602" w14:textId="2E7D7E7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nil"/>
              <w:bottom w:val="nil"/>
              <w:right w:val="nil"/>
            </w:tcBorders>
            <w:shd w:val="clear" w:color="auto" w:fill="auto"/>
            <w:noWrap/>
          </w:tcPr>
          <w:p w14:paraId="7912C9E2" w14:textId="69CDD60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2.06</w:t>
            </w:r>
          </w:p>
        </w:tc>
        <w:tc>
          <w:tcPr>
            <w:tcW w:w="0" w:type="auto"/>
            <w:tcBorders>
              <w:top w:val="nil"/>
              <w:left w:val="nil"/>
              <w:bottom w:val="nil"/>
              <w:right w:val="nil"/>
            </w:tcBorders>
            <w:shd w:val="clear" w:color="auto" w:fill="auto"/>
            <w:noWrap/>
          </w:tcPr>
          <w:p w14:paraId="60D7D72A" w14:textId="18984B8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single" w:sz="4" w:space="0" w:color="auto"/>
              <w:bottom w:val="nil"/>
              <w:right w:val="nil"/>
            </w:tcBorders>
            <w:shd w:val="clear" w:color="auto" w:fill="auto"/>
            <w:noWrap/>
          </w:tcPr>
          <w:p w14:paraId="53664E08" w14:textId="6F03C35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1.86</w:t>
            </w:r>
          </w:p>
        </w:tc>
        <w:tc>
          <w:tcPr>
            <w:tcW w:w="0" w:type="auto"/>
            <w:tcBorders>
              <w:top w:val="nil"/>
              <w:left w:val="nil"/>
              <w:bottom w:val="nil"/>
              <w:right w:val="single" w:sz="4" w:space="0" w:color="auto"/>
            </w:tcBorders>
            <w:shd w:val="clear" w:color="auto" w:fill="auto"/>
            <w:noWrap/>
          </w:tcPr>
          <w:p w14:paraId="16CC78B4" w14:textId="7E6A789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nil"/>
              <w:bottom w:val="nil"/>
              <w:right w:val="nil"/>
            </w:tcBorders>
            <w:shd w:val="clear" w:color="auto" w:fill="auto"/>
            <w:noWrap/>
          </w:tcPr>
          <w:p w14:paraId="3D3F452B" w14:textId="4CBF0452"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1.92</w:t>
            </w:r>
          </w:p>
        </w:tc>
        <w:tc>
          <w:tcPr>
            <w:tcW w:w="0" w:type="auto"/>
            <w:tcBorders>
              <w:top w:val="nil"/>
              <w:left w:val="nil"/>
              <w:bottom w:val="nil"/>
              <w:right w:val="single" w:sz="4" w:space="0" w:color="auto"/>
            </w:tcBorders>
            <w:shd w:val="clear" w:color="auto" w:fill="auto"/>
            <w:noWrap/>
          </w:tcPr>
          <w:p w14:paraId="3F4D49CE" w14:textId="5715ADC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r>
      <w:tr w:rsidR="00FF604A" w:rsidRPr="00714E84" w14:paraId="2BE20E9A" w14:textId="77777777" w:rsidTr="00C474DC">
        <w:tc>
          <w:tcPr>
            <w:tcW w:w="0" w:type="auto"/>
            <w:tcBorders>
              <w:top w:val="nil"/>
              <w:left w:val="single" w:sz="4" w:space="0" w:color="auto"/>
              <w:bottom w:val="nil"/>
              <w:right w:val="nil"/>
            </w:tcBorders>
            <w:shd w:val="clear" w:color="auto" w:fill="auto"/>
            <w:noWrap/>
            <w:vAlign w:val="bottom"/>
          </w:tcPr>
          <w:p w14:paraId="2E6244C0"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25-34</w:t>
            </w:r>
          </w:p>
        </w:tc>
        <w:tc>
          <w:tcPr>
            <w:tcW w:w="0" w:type="auto"/>
            <w:tcBorders>
              <w:top w:val="nil"/>
              <w:left w:val="single" w:sz="4" w:space="0" w:color="auto"/>
              <w:bottom w:val="nil"/>
              <w:right w:val="nil"/>
            </w:tcBorders>
            <w:shd w:val="clear" w:color="auto" w:fill="auto"/>
            <w:noWrap/>
          </w:tcPr>
          <w:p w14:paraId="0AF4376B" w14:textId="31315ADE"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1.29</w:t>
            </w:r>
          </w:p>
        </w:tc>
        <w:tc>
          <w:tcPr>
            <w:tcW w:w="0" w:type="auto"/>
            <w:tcBorders>
              <w:top w:val="nil"/>
              <w:left w:val="nil"/>
              <w:bottom w:val="nil"/>
              <w:right w:val="single" w:sz="4" w:space="0" w:color="auto"/>
            </w:tcBorders>
            <w:shd w:val="clear" w:color="auto" w:fill="auto"/>
            <w:noWrap/>
          </w:tcPr>
          <w:p w14:paraId="55FECA27" w14:textId="4D77C27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2A9E228B" w14:textId="3B24C2E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1.39</w:t>
            </w:r>
          </w:p>
        </w:tc>
        <w:tc>
          <w:tcPr>
            <w:tcW w:w="0" w:type="auto"/>
            <w:tcBorders>
              <w:top w:val="nil"/>
              <w:left w:val="nil"/>
              <w:bottom w:val="nil"/>
              <w:right w:val="nil"/>
            </w:tcBorders>
            <w:shd w:val="clear" w:color="auto" w:fill="auto"/>
            <w:noWrap/>
          </w:tcPr>
          <w:p w14:paraId="0FA00950" w14:textId="0C56888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0991FB3D" w14:textId="017535F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1.38</w:t>
            </w:r>
          </w:p>
        </w:tc>
        <w:tc>
          <w:tcPr>
            <w:tcW w:w="0" w:type="auto"/>
            <w:tcBorders>
              <w:top w:val="nil"/>
              <w:left w:val="nil"/>
              <w:bottom w:val="nil"/>
              <w:right w:val="single" w:sz="4" w:space="0" w:color="auto"/>
            </w:tcBorders>
            <w:shd w:val="clear" w:color="auto" w:fill="auto"/>
            <w:noWrap/>
          </w:tcPr>
          <w:p w14:paraId="405FF6FA" w14:textId="08A3F88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3C92A7EB" w14:textId="49A0598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1.33</w:t>
            </w:r>
          </w:p>
        </w:tc>
        <w:tc>
          <w:tcPr>
            <w:tcW w:w="0" w:type="auto"/>
            <w:tcBorders>
              <w:top w:val="nil"/>
              <w:left w:val="nil"/>
              <w:bottom w:val="nil"/>
              <w:right w:val="nil"/>
            </w:tcBorders>
            <w:shd w:val="clear" w:color="auto" w:fill="auto"/>
            <w:noWrap/>
          </w:tcPr>
          <w:p w14:paraId="6140A6B4" w14:textId="2796F78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08483A69" w14:textId="1F6A70F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1.38</w:t>
            </w:r>
          </w:p>
        </w:tc>
        <w:tc>
          <w:tcPr>
            <w:tcW w:w="0" w:type="auto"/>
            <w:tcBorders>
              <w:top w:val="nil"/>
              <w:left w:val="nil"/>
              <w:bottom w:val="nil"/>
              <w:right w:val="single" w:sz="4" w:space="0" w:color="auto"/>
            </w:tcBorders>
            <w:shd w:val="clear" w:color="auto" w:fill="auto"/>
            <w:noWrap/>
          </w:tcPr>
          <w:p w14:paraId="55F57AA7" w14:textId="517D126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456F2E76" w14:textId="2595EEA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1.41</w:t>
            </w:r>
          </w:p>
        </w:tc>
        <w:tc>
          <w:tcPr>
            <w:tcW w:w="0" w:type="auto"/>
            <w:tcBorders>
              <w:top w:val="nil"/>
              <w:left w:val="nil"/>
              <w:bottom w:val="nil"/>
              <w:right w:val="nil"/>
            </w:tcBorders>
            <w:shd w:val="clear" w:color="auto" w:fill="auto"/>
            <w:noWrap/>
          </w:tcPr>
          <w:p w14:paraId="55563DE2" w14:textId="03F1657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6890D8D9" w14:textId="55A1F0EE"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1.36</w:t>
            </w:r>
          </w:p>
        </w:tc>
        <w:tc>
          <w:tcPr>
            <w:tcW w:w="0" w:type="auto"/>
            <w:tcBorders>
              <w:top w:val="nil"/>
              <w:left w:val="nil"/>
              <w:bottom w:val="nil"/>
              <w:right w:val="single" w:sz="4" w:space="0" w:color="auto"/>
            </w:tcBorders>
            <w:shd w:val="clear" w:color="auto" w:fill="auto"/>
            <w:noWrap/>
          </w:tcPr>
          <w:p w14:paraId="17DBDD31" w14:textId="40A4C8D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68C16AE7" w14:textId="75B9A6E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1.35</w:t>
            </w:r>
          </w:p>
        </w:tc>
        <w:tc>
          <w:tcPr>
            <w:tcW w:w="0" w:type="auto"/>
            <w:tcBorders>
              <w:top w:val="nil"/>
              <w:left w:val="nil"/>
              <w:bottom w:val="nil"/>
              <w:right w:val="single" w:sz="4" w:space="0" w:color="auto"/>
            </w:tcBorders>
            <w:shd w:val="clear" w:color="auto" w:fill="auto"/>
            <w:noWrap/>
          </w:tcPr>
          <w:p w14:paraId="5F2F1268" w14:textId="6E43E6E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r>
      <w:tr w:rsidR="00FF604A" w:rsidRPr="00714E84" w14:paraId="177FE11A" w14:textId="77777777" w:rsidTr="00C474DC">
        <w:tc>
          <w:tcPr>
            <w:tcW w:w="0" w:type="auto"/>
            <w:tcBorders>
              <w:top w:val="nil"/>
              <w:left w:val="single" w:sz="4" w:space="0" w:color="auto"/>
              <w:bottom w:val="nil"/>
              <w:right w:val="nil"/>
            </w:tcBorders>
            <w:shd w:val="clear" w:color="auto" w:fill="auto"/>
            <w:noWrap/>
            <w:vAlign w:val="bottom"/>
          </w:tcPr>
          <w:p w14:paraId="1A56F63A"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50-64</w:t>
            </w:r>
          </w:p>
        </w:tc>
        <w:tc>
          <w:tcPr>
            <w:tcW w:w="0" w:type="auto"/>
            <w:tcBorders>
              <w:top w:val="nil"/>
              <w:left w:val="single" w:sz="4" w:space="0" w:color="auto"/>
              <w:bottom w:val="nil"/>
              <w:right w:val="nil"/>
            </w:tcBorders>
            <w:shd w:val="clear" w:color="auto" w:fill="auto"/>
            <w:noWrap/>
          </w:tcPr>
          <w:p w14:paraId="1530BF1A" w14:textId="066C954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0.94</w:t>
            </w:r>
          </w:p>
        </w:tc>
        <w:tc>
          <w:tcPr>
            <w:tcW w:w="0" w:type="auto"/>
            <w:tcBorders>
              <w:top w:val="nil"/>
              <w:left w:val="nil"/>
              <w:bottom w:val="nil"/>
              <w:right w:val="single" w:sz="4" w:space="0" w:color="auto"/>
            </w:tcBorders>
            <w:shd w:val="clear" w:color="auto" w:fill="auto"/>
            <w:noWrap/>
          </w:tcPr>
          <w:p w14:paraId="0A200C7C" w14:textId="0EA72E7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0A8BA1D4" w14:textId="6EBFECF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0.95</w:t>
            </w:r>
          </w:p>
        </w:tc>
        <w:tc>
          <w:tcPr>
            <w:tcW w:w="0" w:type="auto"/>
            <w:tcBorders>
              <w:top w:val="nil"/>
              <w:left w:val="nil"/>
              <w:bottom w:val="nil"/>
              <w:right w:val="nil"/>
            </w:tcBorders>
            <w:shd w:val="clear" w:color="auto" w:fill="auto"/>
            <w:noWrap/>
          </w:tcPr>
          <w:p w14:paraId="29CBFF02" w14:textId="53F1D43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1202C406" w14:textId="15815A6A"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0.95</w:t>
            </w:r>
          </w:p>
        </w:tc>
        <w:tc>
          <w:tcPr>
            <w:tcW w:w="0" w:type="auto"/>
            <w:tcBorders>
              <w:top w:val="nil"/>
              <w:left w:val="nil"/>
              <w:bottom w:val="nil"/>
              <w:right w:val="single" w:sz="4" w:space="0" w:color="auto"/>
            </w:tcBorders>
            <w:shd w:val="clear" w:color="auto" w:fill="auto"/>
            <w:noWrap/>
          </w:tcPr>
          <w:p w14:paraId="0F26DAEC" w14:textId="1E76428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60A940D0" w14:textId="65A35A1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0.92</w:t>
            </w:r>
          </w:p>
        </w:tc>
        <w:tc>
          <w:tcPr>
            <w:tcW w:w="0" w:type="auto"/>
            <w:tcBorders>
              <w:top w:val="nil"/>
              <w:left w:val="nil"/>
              <w:bottom w:val="nil"/>
              <w:right w:val="nil"/>
            </w:tcBorders>
            <w:shd w:val="clear" w:color="auto" w:fill="auto"/>
            <w:noWrap/>
          </w:tcPr>
          <w:p w14:paraId="5828446D" w14:textId="46C5542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1BD5F3C6" w14:textId="4638666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0.97</w:t>
            </w:r>
          </w:p>
        </w:tc>
        <w:tc>
          <w:tcPr>
            <w:tcW w:w="0" w:type="auto"/>
            <w:tcBorders>
              <w:top w:val="nil"/>
              <w:left w:val="nil"/>
              <w:bottom w:val="nil"/>
              <w:right w:val="single" w:sz="4" w:space="0" w:color="auto"/>
            </w:tcBorders>
            <w:shd w:val="clear" w:color="auto" w:fill="auto"/>
            <w:noWrap/>
          </w:tcPr>
          <w:p w14:paraId="79F5B52A" w14:textId="7CBDDEA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6233FBF9" w14:textId="5ECF710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0.96</w:t>
            </w:r>
          </w:p>
        </w:tc>
        <w:tc>
          <w:tcPr>
            <w:tcW w:w="0" w:type="auto"/>
            <w:tcBorders>
              <w:top w:val="nil"/>
              <w:left w:val="nil"/>
              <w:bottom w:val="nil"/>
              <w:right w:val="nil"/>
            </w:tcBorders>
            <w:shd w:val="clear" w:color="auto" w:fill="auto"/>
            <w:noWrap/>
          </w:tcPr>
          <w:p w14:paraId="7F567910" w14:textId="57302D1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336F5373" w14:textId="0CB95C36"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single" w:sz="4" w:space="0" w:color="auto"/>
            </w:tcBorders>
            <w:shd w:val="clear" w:color="auto" w:fill="auto"/>
            <w:noWrap/>
          </w:tcPr>
          <w:p w14:paraId="50E12756" w14:textId="3E134C5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68AEEFCC" w14:textId="3DFEB5D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single" w:sz="4" w:space="0" w:color="auto"/>
            </w:tcBorders>
            <w:shd w:val="clear" w:color="auto" w:fill="auto"/>
            <w:noWrap/>
          </w:tcPr>
          <w:p w14:paraId="1A3251FC" w14:textId="6F92C54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r>
      <w:tr w:rsidR="00FF604A" w:rsidRPr="00714E84" w14:paraId="3B367317" w14:textId="77777777" w:rsidTr="00C474DC">
        <w:tc>
          <w:tcPr>
            <w:tcW w:w="0" w:type="auto"/>
            <w:tcBorders>
              <w:top w:val="nil"/>
              <w:left w:val="single" w:sz="4" w:space="0" w:color="auto"/>
              <w:bottom w:val="nil"/>
              <w:right w:val="nil"/>
            </w:tcBorders>
            <w:shd w:val="clear" w:color="auto" w:fill="auto"/>
            <w:noWrap/>
            <w:vAlign w:val="bottom"/>
          </w:tcPr>
          <w:p w14:paraId="1FEB70E6" w14:textId="77777777" w:rsidR="00FF604A" w:rsidRPr="005558FF" w:rsidRDefault="00FF604A" w:rsidP="00FF604A">
            <w:pPr>
              <w:rPr>
                <w:rFonts w:asciiTheme="minorHAnsi" w:eastAsia="Times New Roman" w:hAnsiTheme="minorHAnsi" w:cstheme="minorHAnsi"/>
                <w:iCs/>
                <w:color w:val="000000"/>
                <w:sz w:val="18"/>
                <w:szCs w:val="18"/>
                <w:lang w:val="en-US" w:eastAsia="en-US"/>
              </w:rPr>
            </w:pPr>
            <w:r w:rsidRPr="005558FF">
              <w:rPr>
                <w:rFonts w:asciiTheme="minorHAnsi" w:eastAsia="Times New Roman" w:hAnsiTheme="minorHAnsi" w:cstheme="minorHAnsi"/>
                <w:b/>
                <w:bCs/>
                <w:iCs/>
                <w:color w:val="000000"/>
                <w:sz w:val="18"/>
                <w:szCs w:val="18"/>
                <w:lang w:val="en-US" w:eastAsia="en-US"/>
              </w:rPr>
              <w:t>Year of arrival in the UK (Since 2004)</w:t>
            </w:r>
          </w:p>
        </w:tc>
        <w:tc>
          <w:tcPr>
            <w:tcW w:w="0" w:type="auto"/>
            <w:tcBorders>
              <w:top w:val="nil"/>
              <w:left w:val="single" w:sz="4" w:space="0" w:color="auto"/>
              <w:bottom w:val="nil"/>
              <w:right w:val="nil"/>
            </w:tcBorders>
            <w:shd w:val="clear" w:color="auto" w:fill="auto"/>
            <w:noWrap/>
          </w:tcPr>
          <w:p w14:paraId="2656E1DA"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6E2327CF"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55BB1234"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04B64536"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nil"/>
              <w:right w:val="nil"/>
            </w:tcBorders>
            <w:shd w:val="clear" w:color="auto" w:fill="auto"/>
            <w:noWrap/>
          </w:tcPr>
          <w:p w14:paraId="5F89E6CE"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486863E6"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67CD3A15"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473A1510"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nil"/>
              <w:right w:val="nil"/>
            </w:tcBorders>
            <w:shd w:val="clear" w:color="auto" w:fill="auto"/>
            <w:noWrap/>
          </w:tcPr>
          <w:p w14:paraId="1A46F410"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2F0DB6D9"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3C2C5CAD" w14:textId="77777777" w:rsidR="00FF604A" w:rsidRPr="00714E84" w:rsidRDefault="00FF604A" w:rsidP="00FF604A">
            <w:pPr>
              <w:jc w:val="right"/>
              <w:rPr>
                <w:rFonts w:asciiTheme="minorHAnsi" w:eastAsia="Times New Roman" w:hAnsiTheme="minorHAnsi" w:cstheme="minorHAnsi"/>
                <w:b/>
                <w:bCs/>
                <w:color w:val="000000"/>
                <w:sz w:val="18"/>
                <w:szCs w:val="18"/>
                <w:lang w:val="en-US" w:eastAsia="en-US"/>
              </w:rPr>
            </w:pPr>
          </w:p>
        </w:tc>
        <w:tc>
          <w:tcPr>
            <w:tcW w:w="0" w:type="auto"/>
            <w:tcBorders>
              <w:top w:val="nil"/>
              <w:left w:val="nil"/>
              <w:bottom w:val="nil"/>
              <w:right w:val="nil"/>
            </w:tcBorders>
            <w:shd w:val="clear" w:color="auto" w:fill="auto"/>
            <w:noWrap/>
          </w:tcPr>
          <w:p w14:paraId="0CEC3B62"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nil"/>
              <w:right w:val="nil"/>
            </w:tcBorders>
            <w:shd w:val="clear" w:color="auto" w:fill="auto"/>
            <w:noWrap/>
          </w:tcPr>
          <w:p w14:paraId="5DAECC9B" w14:textId="77777777" w:rsidR="00FF604A" w:rsidRPr="00714E84" w:rsidRDefault="00FF604A" w:rsidP="00FF604A">
            <w:pPr>
              <w:jc w:val="right"/>
              <w:rPr>
                <w:rFonts w:asciiTheme="minorHAnsi" w:eastAsia="Times New Roman" w:hAnsiTheme="minorHAnsi" w:cstheme="minorHAnsi"/>
                <w:b/>
                <w:bCs/>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15EC4462"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24081090"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64701730" w14:textId="77777777" w:rsidR="00FF604A" w:rsidRPr="00714E84" w:rsidRDefault="00FF604A" w:rsidP="00FF604A">
            <w:pPr>
              <w:jc w:val="right"/>
              <w:rPr>
                <w:rFonts w:asciiTheme="minorHAnsi" w:eastAsia="Times New Roman" w:hAnsiTheme="minorHAnsi" w:cstheme="minorHAnsi"/>
                <w:color w:val="000000"/>
                <w:sz w:val="18"/>
                <w:szCs w:val="18"/>
                <w:lang w:val="en-US" w:eastAsia="en-US"/>
              </w:rPr>
            </w:pPr>
          </w:p>
        </w:tc>
      </w:tr>
      <w:tr w:rsidR="00FF604A" w:rsidRPr="00714E84" w14:paraId="163EC8B7" w14:textId="77777777" w:rsidTr="00C474DC">
        <w:tc>
          <w:tcPr>
            <w:tcW w:w="0" w:type="auto"/>
            <w:tcBorders>
              <w:top w:val="nil"/>
              <w:left w:val="single" w:sz="4" w:space="0" w:color="auto"/>
              <w:bottom w:val="nil"/>
              <w:right w:val="nil"/>
            </w:tcBorders>
            <w:shd w:val="clear" w:color="auto" w:fill="auto"/>
            <w:noWrap/>
            <w:vAlign w:val="bottom"/>
            <w:hideMark/>
          </w:tcPr>
          <w:p w14:paraId="32EA0D5A"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Never migrated</w:t>
            </w:r>
          </w:p>
        </w:tc>
        <w:tc>
          <w:tcPr>
            <w:tcW w:w="0" w:type="auto"/>
            <w:tcBorders>
              <w:top w:val="nil"/>
              <w:left w:val="single" w:sz="4" w:space="0" w:color="auto"/>
              <w:bottom w:val="nil"/>
              <w:right w:val="nil"/>
            </w:tcBorders>
            <w:shd w:val="clear" w:color="auto" w:fill="auto"/>
            <w:noWrap/>
          </w:tcPr>
          <w:p w14:paraId="580F00EC" w14:textId="3EAE602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0.97</w:t>
            </w:r>
          </w:p>
        </w:tc>
        <w:tc>
          <w:tcPr>
            <w:tcW w:w="0" w:type="auto"/>
            <w:tcBorders>
              <w:top w:val="nil"/>
              <w:left w:val="nil"/>
              <w:bottom w:val="nil"/>
              <w:right w:val="single" w:sz="4" w:space="0" w:color="auto"/>
            </w:tcBorders>
            <w:shd w:val="clear" w:color="auto" w:fill="auto"/>
            <w:noWrap/>
          </w:tcPr>
          <w:p w14:paraId="52A345A9" w14:textId="42AA7DB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5CB43BC2" w14:textId="7F66DC6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nil"/>
            </w:tcBorders>
            <w:shd w:val="clear" w:color="auto" w:fill="auto"/>
            <w:noWrap/>
          </w:tcPr>
          <w:p w14:paraId="096579BD" w14:textId="2823465F"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bottom w:val="nil"/>
              <w:right w:val="nil"/>
            </w:tcBorders>
            <w:shd w:val="clear" w:color="auto" w:fill="auto"/>
            <w:noWrap/>
          </w:tcPr>
          <w:p w14:paraId="14FC0F98" w14:textId="39E3F99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1.01</w:t>
            </w:r>
          </w:p>
        </w:tc>
        <w:tc>
          <w:tcPr>
            <w:tcW w:w="0" w:type="auto"/>
            <w:tcBorders>
              <w:top w:val="nil"/>
              <w:left w:val="nil"/>
              <w:bottom w:val="nil"/>
              <w:right w:val="single" w:sz="4" w:space="0" w:color="auto"/>
            </w:tcBorders>
            <w:shd w:val="clear" w:color="auto" w:fill="auto"/>
            <w:noWrap/>
          </w:tcPr>
          <w:p w14:paraId="24EEFC15" w14:textId="79EB20A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7F497E80" w14:textId="1B3AC79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1.02</w:t>
            </w:r>
          </w:p>
        </w:tc>
        <w:tc>
          <w:tcPr>
            <w:tcW w:w="0" w:type="auto"/>
            <w:tcBorders>
              <w:top w:val="nil"/>
              <w:left w:val="nil"/>
              <w:bottom w:val="nil"/>
              <w:right w:val="nil"/>
            </w:tcBorders>
            <w:shd w:val="clear" w:color="auto" w:fill="auto"/>
            <w:noWrap/>
          </w:tcPr>
          <w:p w14:paraId="418702A4" w14:textId="3907E11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bottom w:val="nil"/>
              <w:right w:val="nil"/>
            </w:tcBorders>
            <w:shd w:val="clear" w:color="auto" w:fill="auto"/>
            <w:noWrap/>
          </w:tcPr>
          <w:p w14:paraId="737D1714" w14:textId="1B1386F6"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single" w:sz="4" w:space="0" w:color="auto"/>
            </w:tcBorders>
            <w:shd w:val="clear" w:color="auto" w:fill="auto"/>
            <w:noWrap/>
          </w:tcPr>
          <w:p w14:paraId="20EB61BD" w14:textId="572D3A3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011152BA" w14:textId="6E3E24B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1.01</w:t>
            </w:r>
          </w:p>
        </w:tc>
        <w:tc>
          <w:tcPr>
            <w:tcW w:w="0" w:type="auto"/>
            <w:tcBorders>
              <w:top w:val="nil"/>
              <w:left w:val="nil"/>
              <w:bottom w:val="nil"/>
              <w:right w:val="nil"/>
            </w:tcBorders>
            <w:shd w:val="clear" w:color="auto" w:fill="auto"/>
            <w:noWrap/>
          </w:tcPr>
          <w:p w14:paraId="109F4C7D" w14:textId="61127EA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4A46239D" w14:textId="0565C0AA"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0.99</w:t>
            </w:r>
          </w:p>
        </w:tc>
        <w:tc>
          <w:tcPr>
            <w:tcW w:w="0" w:type="auto"/>
            <w:tcBorders>
              <w:top w:val="nil"/>
              <w:left w:val="nil"/>
              <w:bottom w:val="nil"/>
              <w:right w:val="single" w:sz="4" w:space="0" w:color="auto"/>
            </w:tcBorders>
            <w:shd w:val="clear" w:color="auto" w:fill="auto"/>
            <w:noWrap/>
          </w:tcPr>
          <w:p w14:paraId="7FD118F5" w14:textId="2B9CFFA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nil"/>
              <w:bottom w:val="nil"/>
              <w:right w:val="nil"/>
            </w:tcBorders>
            <w:shd w:val="clear" w:color="auto" w:fill="auto"/>
            <w:noWrap/>
          </w:tcPr>
          <w:p w14:paraId="13B76C23" w14:textId="6CA8371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1.01</w:t>
            </w:r>
          </w:p>
        </w:tc>
        <w:tc>
          <w:tcPr>
            <w:tcW w:w="0" w:type="auto"/>
            <w:tcBorders>
              <w:top w:val="nil"/>
              <w:left w:val="nil"/>
              <w:bottom w:val="nil"/>
              <w:right w:val="single" w:sz="4" w:space="0" w:color="auto"/>
            </w:tcBorders>
            <w:shd w:val="clear" w:color="auto" w:fill="auto"/>
            <w:noWrap/>
          </w:tcPr>
          <w:p w14:paraId="7EBC3B60" w14:textId="0C578EC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r>
      <w:tr w:rsidR="00FF604A" w:rsidRPr="00714E84" w14:paraId="65918124" w14:textId="77777777" w:rsidTr="00C474DC">
        <w:tc>
          <w:tcPr>
            <w:tcW w:w="0" w:type="auto"/>
            <w:tcBorders>
              <w:top w:val="nil"/>
              <w:left w:val="single" w:sz="4" w:space="0" w:color="auto"/>
              <w:bottom w:val="nil"/>
              <w:right w:val="nil"/>
            </w:tcBorders>
            <w:shd w:val="clear" w:color="auto" w:fill="auto"/>
            <w:noWrap/>
            <w:vAlign w:val="bottom"/>
            <w:hideMark/>
          </w:tcPr>
          <w:p w14:paraId="01A6CB42"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Before 1990</w:t>
            </w:r>
          </w:p>
        </w:tc>
        <w:tc>
          <w:tcPr>
            <w:tcW w:w="0" w:type="auto"/>
            <w:tcBorders>
              <w:top w:val="nil"/>
              <w:left w:val="single" w:sz="4" w:space="0" w:color="auto"/>
              <w:bottom w:val="nil"/>
              <w:right w:val="nil"/>
            </w:tcBorders>
            <w:shd w:val="clear" w:color="auto" w:fill="auto"/>
            <w:noWrap/>
          </w:tcPr>
          <w:p w14:paraId="76D04DFB" w14:textId="21A6E53A"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0.76</w:t>
            </w:r>
          </w:p>
        </w:tc>
        <w:tc>
          <w:tcPr>
            <w:tcW w:w="0" w:type="auto"/>
            <w:tcBorders>
              <w:top w:val="nil"/>
              <w:left w:val="nil"/>
              <w:bottom w:val="nil"/>
              <w:right w:val="single" w:sz="4" w:space="0" w:color="auto"/>
            </w:tcBorders>
            <w:shd w:val="clear" w:color="auto" w:fill="auto"/>
            <w:noWrap/>
          </w:tcPr>
          <w:p w14:paraId="304CA06E" w14:textId="1AB4979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nil"/>
              <w:bottom w:val="nil"/>
              <w:right w:val="nil"/>
            </w:tcBorders>
            <w:shd w:val="clear" w:color="auto" w:fill="auto"/>
            <w:noWrap/>
          </w:tcPr>
          <w:p w14:paraId="06B35FED" w14:textId="6C4F7F41"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0.78</w:t>
            </w:r>
          </w:p>
        </w:tc>
        <w:tc>
          <w:tcPr>
            <w:tcW w:w="0" w:type="auto"/>
            <w:tcBorders>
              <w:top w:val="nil"/>
              <w:left w:val="nil"/>
              <w:bottom w:val="nil"/>
              <w:right w:val="nil"/>
            </w:tcBorders>
            <w:shd w:val="clear" w:color="auto" w:fill="auto"/>
            <w:noWrap/>
          </w:tcPr>
          <w:p w14:paraId="2A73B0E9" w14:textId="40D1CB2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33569BC2" w14:textId="4C50CCDC"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0.82</w:t>
            </w:r>
          </w:p>
        </w:tc>
        <w:tc>
          <w:tcPr>
            <w:tcW w:w="0" w:type="auto"/>
            <w:tcBorders>
              <w:top w:val="nil"/>
              <w:left w:val="nil"/>
              <w:bottom w:val="nil"/>
              <w:right w:val="single" w:sz="4" w:space="0" w:color="auto"/>
            </w:tcBorders>
            <w:shd w:val="clear" w:color="auto" w:fill="auto"/>
            <w:noWrap/>
          </w:tcPr>
          <w:p w14:paraId="1CA23566" w14:textId="52CFE94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15E74E51" w14:textId="7E54200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0.83</w:t>
            </w:r>
          </w:p>
        </w:tc>
        <w:tc>
          <w:tcPr>
            <w:tcW w:w="0" w:type="auto"/>
            <w:tcBorders>
              <w:top w:val="nil"/>
              <w:left w:val="nil"/>
              <w:bottom w:val="nil"/>
              <w:right w:val="nil"/>
            </w:tcBorders>
            <w:shd w:val="clear" w:color="auto" w:fill="auto"/>
            <w:noWrap/>
          </w:tcPr>
          <w:p w14:paraId="65B43F1B" w14:textId="7C5C939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4EE5EC2A" w14:textId="7D1E7E2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0.81</w:t>
            </w:r>
          </w:p>
        </w:tc>
        <w:tc>
          <w:tcPr>
            <w:tcW w:w="0" w:type="auto"/>
            <w:tcBorders>
              <w:top w:val="nil"/>
              <w:left w:val="nil"/>
              <w:bottom w:val="nil"/>
              <w:right w:val="single" w:sz="4" w:space="0" w:color="auto"/>
            </w:tcBorders>
            <w:shd w:val="clear" w:color="auto" w:fill="auto"/>
            <w:noWrap/>
          </w:tcPr>
          <w:p w14:paraId="65A1DCAD" w14:textId="15DAB74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0D9BB563" w14:textId="1D90C8B9"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0.83</w:t>
            </w:r>
          </w:p>
        </w:tc>
        <w:tc>
          <w:tcPr>
            <w:tcW w:w="0" w:type="auto"/>
            <w:tcBorders>
              <w:top w:val="nil"/>
              <w:left w:val="nil"/>
              <w:bottom w:val="nil"/>
              <w:right w:val="nil"/>
            </w:tcBorders>
            <w:shd w:val="clear" w:color="auto" w:fill="auto"/>
            <w:noWrap/>
          </w:tcPr>
          <w:p w14:paraId="298A56F5" w14:textId="567119B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3B36AD20" w14:textId="410908A8"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single" w:sz="4" w:space="0" w:color="auto"/>
            </w:tcBorders>
            <w:shd w:val="clear" w:color="auto" w:fill="auto"/>
            <w:noWrap/>
          </w:tcPr>
          <w:p w14:paraId="3B9C8056" w14:textId="129DDE1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nil"/>
              <w:bottom w:val="nil"/>
              <w:right w:val="nil"/>
            </w:tcBorders>
            <w:shd w:val="clear" w:color="auto" w:fill="auto"/>
            <w:noWrap/>
          </w:tcPr>
          <w:p w14:paraId="7DF449AA" w14:textId="160D658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0.95</w:t>
            </w:r>
          </w:p>
        </w:tc>
        <w:tc>
          <w:tcPr>
            <w:tcW w:w="0" w:type="auto"/>
            <w:tcBorders>
              <w:top w:val="nil"/>
              <w:left w:val="nil"/>
              <w:bottom w:val="nil"/>
              <w:right w:val="single" w:sz="4" w:space="0" w:color="auto"/>
            </w:tcBorders>
            <w:shd w:val="clear" w:color="auto" w:fill="auto"/>
            <w:noWrap/>
          </w:tcPr>
          <w:p w14:paraId="1FBB0A94" w14:textId="1AFBA6F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r>
      <w:tr w:rsidR="00FF604A" w:rsidRPr="00714E84" w14:paraId="18B0C59E" w14:textId="77777777" w:rsidTr="00C474DC">
        <w:tc>
          <w:tcPr>
            <w:tcW w:w="0" w:type="auto"/>
            <w:tcBorders>
              <w:top w:val="nil"/>
              <w:left w:val="single" w:sz="4" w:space="0" w:color="auto"/>
              <w:bottom w:val="nil"/>
              <w:right w:val="nil"/>
            </w:tcBorders>
            <w:shd w:val="clear" w:color="auto" w:fill="auto"/>
            <w:noWrap/>
            <w:vAlign w:val="bottom"/>
          </w:tcPr>
          <w:p w14:paraId="1A1436D2"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Theme="minorHAnsi" w:eastAsia="Times New Roman" w:hAnsiTheme="minorHAnsi" w:cstheme="minorHAnsi"/>
                <w:iCs/>
                <w:color w:val="000000"/>
                <w:sz w:val="18"/>
                <w:szCs w:val="18"/>
                <w:lang w:val="en-US" w:eastAsia="en-US"/>
              </w:rPr>
              <w:t>1990-2003</w:t>
            </w:r>
          </w:p>
        </w:tc>
        <w:tc>
          <w:tcPr>
            <w:tcW w:w="0" w:type="auto"/>
            <w:tcBorders>
              <w:top w:val="nil"/>
              <w:left w:val="single" w:sz="4" w:space="0" w:color="auto"/>
              <w:bottom w:val="nil"/>
              <w:right w:val="nil"/>
            </w:tcBorders>
            <w:shd w:val="clear" w:color="auto" w:fill="auto"/>
            <w:noWrap/>
          </w:tcPr>
          <w:p w14:paraId="1487C99E" w14:textId="1D278A0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0.65</w:t>
            </w:r>
          </w:p>
        </w:tc>
        <w:tc>
          <w:tcPr>
            <w:tcW w:w="0" w:type="auto"/>
            <w:tcBorders>
              <w:top w:val="nil"/>
              <w:left w:val="nil"/>
              <w:bottom w:val="nil"/>
              <w:right w:val="single" w:sz="4" w:space="0" w:color="auto"/>
            </w:tcBorders>
            <w:shd w:val="clear" w:color="auto" w:fill="auto"/>
            <w:noWrap/>
          </w:tcPr>
          <w:p w14:paraId="384E7622" w14:textId="10E77ED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nil"/>
              <w:bottom w:val="nil"/>
              <w:right w:val="nil"/>
            </w:tcBorders>
            <w:shd w:val="clear" w:color="auto" w:fill="auto"/>
            <w:noWrap/>
          </w:tcPr>
          <w:p w14:paraId="3516D7FC" w14:textId="4B6BC91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0.66</w:t>
            </w:r>
          </w:p>
        </w:tc>
        <w:tc>
          <w:tcPr>
            <w:tcW w:w="0" w:type="auto"/>
            <w:tcBorders>
              <w:top w:val="nil"/>
              <w:left w:val="nil"/>
              <w:bottom w:val="nil"/>
              <w:right w:val="nil"/>
            </w:tcBorders>
            <w:shd w:val="clear" w:color="auto" w:fill="auto"/>
            <w:noWrap/>
          </w:tcPr>
          <w:p w14:paraId="4868AC06" w14:textId="010F9351"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single" w:sz="4" w:space="0" w:color="auto"/>
              <w:bottom w:val="nil"/>
              <w:right w:val="nil"/>
            </w:tcBorders>
            <w:shd w:val="clear" w:color="auto" w:fill="auto"/>
            <w:noWrap/>
          </w:tcPr>
          <w:p w14:paraId="729C34F9" w14:textId="0D34AB46"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0.71</w:t>
            </w:r>
          </w:p>
        </w:tc>
        <w:tc>
          <w:tcPr>
            <w:tcW w:w="0" w:type="auto"/>
            <w:tcBorders>
              <w:top w:val="nil"/>
              <w:left w:val="nil"/>
              <w:bottom w:val="nil"/>
              <w:right w:val="single" w:sz="4" w:space="0" w:color="auto"/>
            </w:tcBorders>
            <w:shd w:val="clear" w:color="auto" w:fill="auto"/>
            <w:noWrap/>
          </w:tcPr>
          <w:p w14:paraId="6DA929A4" w14:textId="389B608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nil"/>
              <w:bottom w:val="nil"/>
              <w:right w:val="nil"/>
            </w:tcBorders>
            <w:shd w:val="clear" w:color="auto" w:fill="auto"/>
            <w:noWrap/>
          </w:tcPr>
          <w:p w14:paraId="0DAF7C15" w14:textId="0697D25E"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0.70</w:t>
            </w:r>
          </w:p>
        </w:tc>
        <w:tc>
          <w:tcPr>
            <w:tcW w:w="0" w:type="auto"/>
            <w:tcBorders>
              <w:top w:val="nil"/>
              <w:left w:val="nil"/>
              <w:bottom w:val="nil"/>
              <w:right w:val="nil"/>
            </w:tcBorders>
            <w:shd w:val="clear" w:color="auto" w:fill="auto"/>
            <w:noWrap/>
          </w:tcPr>
          <w:p w14:paraId="2037DCB7" w14:textId="096E1C0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1A1B1CF8" w14:textId="02B4C95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0.74</w:t>
            </w:r>
          </w:p>
        </w:tc>
        <w:tc>
          <w:tcPr>
            <w:tcW w:w="0" w:type="auto"/>
            <w:tcBorders>
              <w:top w:val="nil"/>
              <w:left w:val="nil"/>
              <w:bottom w:val="nil"/>
              <w:right w:val="single" w:sz="4" w:space="0" w:color="auto"/>
            </w:tcBorders>
            <w:shd w:val="clear" w:color="auto" w:fill="auto"/>
            <w:noWrap/>
          </w:tcPr>
          <w:p w14:paraId="1D330A52" w14:textId="6C9C3C0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nil"/>
              <w:bottom w:val="nil"/>
              <w:right w:val="nil"/>
            </w:tcBorders>
            <w:shd w:val="clear" w:color="auto" w:fill="auto"/>
            <w:noWrap/>
          </w:tcPr>
          <w:p w14:paraId="4A1FB66B" w14:textId="4BF3E69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0.84</w:t>
            </w:r>
          </w:p>
        </w:tc>
        <w:tc>
          <w:tcPr>
            <w:tcW w:w="0" w:type="auto"/>
            <w:tcBorders>
              <w:top w:val="nil"/>
              <w:left w:val="nil"/>
              <w:bottom w:val="nil"/>
              <w:right w:val="nil"/>
            </w:tcBorders>
            <w:shd w:val="clear" w:color="auto" w:fill="auto"/>
            <w:noWrap/>
          </w:tcPr>
          <w:p w14:paraId="3DA5FD6A" w14:textId="66E1B3F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single" w:sz="4" w:space="0" w:color="auto"/>
              <w:bottom w:val="nil"/>
              <w:right w:val="nil"/>
            </w:tcBorders>
            <w:shd w:val="clear" w:color="auto" w:fill="auto"/>
            <w:noWrap/>
          </w:tcPr>
          <w:p w14:paraId="23F79D7B" w14:textId="4D5DCFA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1.24</w:t>
            </w:r>
          </w:p>
        </w:tc>
        <w:tc>
          <w:tcPr>
            <w:tcW w:w="0" w:type="auto"/>
            <w:tcBorders>
              <w:top w:val="nil"/>
              <w:left w:val="nil"/>
              <w:bottom w:val="nil"/>
              <w:right w:val="single" w:sz="4" w:space="0" w:color="auto"/>
            </w:tcBorders>
            <w:shd w:val="clear" w:color="auto" w:fill="auto"/>
            <w:noWrap/>
          </w:tcPr>
          <w:p w14:paraId="6D614695" w14:textId="22F4157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0.10</w:t>
            </w:r>
          </w:p>
        </w:tc>
        <w:tc>
          <w:tcPr>
            <w:tcW w:w="0" w:type="auto"/>
            <w:tcBorders>
              <w:top w:val="nil"/>
              <w:left w:val="nil"/>
              <w:bottom w:val="nil"/>
              <w:right w:val="nil"/>
            </w:tcBorders>
            <w:shd w:val="clear" w:color="auto" w:fill="auto"/>
            <w:noWrap/>
          </w:tcPr>
          <w:p w14:paraId="47DDA63C" w14:textId="4341CFF6"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1.11</w:t>
            </w:r>
          </w:p>
        </w:tc>
        <w:tc>
          <w:tcPr>
            <w:tcW w:w="0" w:type="auto"/>
            <w:tcBorders>
              <w:top w:val="nil"/>
              <w:left w:val="nil"/>
              <w:bottom w:val="nil"/>
              <w:right w:val="single" w:sz="4" w:space="0" w:color="auto"/>
            </w:tcBorders>
            <w:shd w:val="clear" w:color="auto" w:fill="auto"/>
            <w:noWrap/>
          </w:tcPr>
          <w:p w14:paraId="1D3F190D" w14:textId="4ED3F5F8"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r>
      <w:tr w:rsidR="00FF604A" w:rsidRPr="00714E84" w14:paraId="0EC6143A" w14:textId="77777777" w:rsidTr="00C474DC">
        <w:tc>
          <w:tcPr>
            <w:tcW w:w="0" w:type="auto"/>
            <w:tcBorders>
              <w:top w:val="nil"/>
              <w:left w:val="single" w:sz="4" w:space="0" w:color="auto"/>
              <w:bottom w:val="nil"/>
              <w:right w:val="nil"/>
            </w:tcBorders>
            <w:shd w:val="clear" w:color="auto" w:fill="auto"/>
            <w:noWrap/>
            <w:vAlign w:val="bottom"/>
            <w:hideMark/>
          </w:tcPr>
          <w:p w14:paraId="5099F339" w14:textId="77777777" w:rsidR="00FF604A" w:rsidRPr="005558FF" w:rsidRDefault="00FF604A" w:rsidP="00FF604A">
            <w:pPr>
              <w:rPr>
                <w:rFonts w:ascii="Calibri" w:eastAsia="Times New Roman" w:hAnsi="Calibri" w:cs="Calibri"/>
                <w:b/>
                <w:bCs/>
                <w:color w:val="000000"/>
                <w:sz w:val="18"/>
                <w:szCs w:val="20"/>
                <w:lang w:eastAsia="en-GB"/>
              </w:rPr>
            </w:pPr>
            <w:r w:rsidRPr="005558FF">
              <w:rPr>
                <w:rFonts w:ascii="Calibri" w:eastAsia="Times New Roman" w:hAnsi="Calibri" w:cs="Calibri"/>
                <w:b/>
                <w:bCs/>
                <w:color w:val="000000"/>
                <w:sz w:val="18"/>
                <w:szCs w:val="20"/>
                <w:lang w:eastAsia="en-GB"/>
              </w:rPr>
              <w:t>Country UK (England)</w:t>
            </w:r>
          </w:p>
        </w:tc>
        <w:tc>
          <w:tcPr>
            <w:tcW w:w="0" w:type="auto"/>
            <w:tcBorders>
              <w:top w:val="nil"/>
              <w:left w:val="single" w:sz="4" w:space="0" w:color="auto"/>
              <w:bottom w:val="nil"/>
              <w:right w:val="nil"/>
            </w:tcBorders>
            <w:shd w:val="clear" w:color="auto" w:fill="auto"/>
            <w:noWrap/>
            <w:vAlign w:val="bottom"/>
          </w:tcPr>
          <w:p w14:paraId="3D14ADB8" w14:textId="54D00654"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5D5947C8" w14:textId="1BF9FCD0"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452398A0" w14:textId="4D9330DD"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01A30B38" w14:textId="22C66F19" w:rsidR="00FF604A" w:rsidRPr="00714E84" w:rsidRDefault="00FF604A" w:rsidP="00FF604A">
            <w:pPr>
              <w:rPr>
                <w:rFonts w:eastAsia="Times New Roman"/>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single" w:sz="4" w:space="0" w:color="auto"/>
              <w:bottom w:val="nil"/>
              <w:right w:val="nil"/>
            </w:tcBorders>
            <w:shd w:val="clear" w:color="auto" w:fill="auto"/>
            <w:noWrap/>
            <w:vAlign w:val="bottom"/>
          </w:tcPr>
          <w:p w14:paraId="66F215B2" w14:textId="3CA95DC6"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703729E6" w14:textId="0DD19763"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nil"/>
            </w:tcBorders>
            <w:shd w:val="clear" w:color="auto" w:fill="auto"/>
            <w:noWrap/>
            <w:vAlign w:val="bottom"/>
          </w:tcPr>
          <w:p w14:paraId="0F4F58DD" w14:textId="6035A450"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7210D6F2" w14:textId="04ED6942" w:rsidR="00FF604A" w:rsidRPr="00714E84" w:rsidRDefault="00FF604A" w:rsidP="00FF604A">
            <w:pPr>
              <w:rPr>
                <w:rFonts w:eastAsia="Times New Roman"/>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single" w:sz="4" w:space="0" w:color="auto"/>
              <w:bottom w:val="nil"/>
              <w:right w:val="nil"/>
            </w:tcBorders>
            <w:shd w:val="clear" w:color="auto" w:fill="auto"/>
            <w:noWrap/>
            <w:vAlign w:val="bottom"/>
          </w:tcPr>
          <w:p w14:paraId="0B12F8C1" w14:textId="155C37B3"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71DDBAE2" w14:textId="252847EE"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nil"/>
            </w:tcBorders>
            <w:shd w:val="clear" w:color="auto" w:fill="auto"/>
            <w:noWrap/>
            <w:vAlign w:val="bottom"/>
          </w:tcPr>
          <w:p w14:paraId="625767D6" w14:textId="7BC1589A"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nil"/>
            </w:tcBorders>
            <w:shd w:val="clear" w:color="auto" w:fill="auto"/>
            <w:noWrap/>
            <w:vAlign w:val="bottom"/>
          </w:tcPr>
          <w:p w14:paraId="4E3760C5" w14:textId="4370F84B" w:rsidR="00FF604A" w:rsidRPr="00714E84" w:rsidRDefault="00FF604A" w:rsidP="00FF604A">
            <w:pPr>
              <w:rPr>
                <w:rFonts w:eastAsia="Times New Roman"/>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single" w:sz="4" w:space="0" w:color="auto"/>
              <w:bottom w:val="nil"/>
              <w:right w:val="nil"/>
            </w:tcBorders>
            <w:shd w:val="clear" w:color="auto" w:fill="auto"/>
            <w:noWrap/>
            <w:vAlign w:val="bottom"/>
          </w:tcPr>
          <w:p w14:paraId="3D885237" w14:textId="45C156B5"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single" w:sz="4" w:space="0" w:color="auto"/>
            </w:tcBorders>
            <w:shd w:val="clear" w:color="auto" w:fill="auto"/>
            <w:noWrap/>
            <w:vAlign w:val="bottom"/>
          </w:tcPr>
          <w:p w14:paraId="31C6C9FE" w14:textId="5237E7B8" w:rsidR="00FF604A" w:rsidRPr="00714E84" w:rsidRDefault="00FF604A" w:rsidP="00FF604A">
            <w:pPr>
              <w:rPr>
                <w:rFonts w:ascii="Calibri" w:eastAsia="Times New Roman" w:hAnsi="Calibri" w:cs="Calibri"/>
                <w:color w:val="000000"/>
                <w:sz w:val="18"/>
                <w:szCs w:val="20"/>
                <w:lang w:eastAsia="en-GB"/>
              </w:rPr>
            </w:pPr>
          </w:p>
        </w:tc>
        <w:tc>
          <w:tcPr>
            <w:tcW w:w="0" w:type="auto"/>
            <w:tcBorders>
              <w:top w:val="nil"/>
              <w:left w:val="nil"/>
              <w:bottom w:val="nil"/>
              <w:right w:val="nil"/>
            </w:tcBorders>
            <w:shd w:val="clear" w:color="auto" w:fill="auto"/>
            <w:noWrap/>
            <w:vAlign w:val="bottom"/>
          </w:tcPr>
          <w:p w14:paraId="323FF016" w14:textId="3490109F"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tcBorders>
              <w:top w:val="nil"/>
              <w:left w:val="nil"/>
              <w:bottom w:val="nil"/>
              <w:right w:val="single" w:sz="4" w:space="0" w:color="auto"/>
            </w:tcBorders>
            <w:shd w:val="clear" w:color="auto" w:fill="auto"/>
            <w:noWrap/>
            <w:vAlign w:val="bottom"/>
          </w:tcPr>
          <w:p w14:paraId="59EA5B86" w14:textId="15DA8253" w:rsidR="00FF604A" w:rsidRPr="00714E84" w:rsidRDefault="00FF604A" w:rsidP="00FF604A">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r>
      <w:tr w:rsidR="00FF604A" w:rsidRPr="00714E84" w14:paraId="45F534E0" w14:textId="77777777" w:rsidTr="00C474DC">
        <w:tc>
          <w:tcPr>
            <w:tcW w:w="0" w:type="auto"/>
            <w:tcBorders>
              <w:top w:val="nil"/>
              <w:left w:val="single" w:sz="4" w:space="0" w:color="auto"/>
              <w:bottom w:val="nil"/>
              <w:right w:val="nil"/>
            </w:tcBorders>
            <w:shd w:val="clear" w:color="auto" w:fill="auto"/>
            <w:noWrap/>
            <w:vAlign w:val="bottom"/>
            <w:hideMark/>
          </w:tcPr>
          <w:p w14:paraId="6002A1CD"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Wales</w:t>
            </w:r>
          </w:p>
        </w:tc>
        <w:tc>
          <w:tcPr>
            <w:tcW w:w="0" w:type="auto"/>
            <w:tcBorders>
              <w:top w:val="nil"/>
              <w:left w:val="single" w:sz="4" w:space="0" w:color="auto"/>
              <w:bottom w:val="nil"/>
              <w:right w:val="nil"/>
            </w:tcBorders>
            <w:shd w:val="clear" w:color="auto" w:fill="auto"/>
            <w:noWrap/>
          </w:tcPr>
          <w:p w14:paraId="6006202B" w14:textId="606470F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1.13</w:t>
            </w:r>
          </w:p>
        </w:tc>
        <w:tc>
          <w:tcPr>
            <w:tcW w:w="0" w:type="auto"/>
            <w:tcBorders>
              <w:top w:val="nil"/>
              <w:left w:val="nil"/>
              <w:bottom w:val="nil"/>
              <w:right w:val="single" w:sz="4" w:space="0" w:color="auto"/>
            </w:tcBorders>
            <w:shd w:val="clear" w:color="auto" w:fill="auto"/>
            <w:noWrap/>
          </w:tcPr>
          <w:p w14:paraId="660D04A2" w14:textId="084E461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1C77B417" w14:textId="31A0C4BC"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1.10</w:t>
            </w:r>
          </w:p>
        </w:tc>
        <w:tc>
          <w:tcPr>
            <w:tcW w:w="0" w:type="auto"/>
            <w:tcBorders>
              <w:top w:val="nil"/>
              <w:left w:val="nil"/>
              <w:bottom w:val="nil"/>
              <w:right w:val="nil"/>
            </w:tcBorders>
            <w:shd w:val="clear" w:color="auto" w:fill="auto"/>
            <w:noWrap/>
          </w:tcPr>
          <w:p w14:paraId="374485C9" w14:textId="7FA8320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5ACD4908" w14:textId="3BD36C3E"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1.09</w:t>
            </w:r>
          </w:p>
        </w:tc>
        <w:tc>
          <w:tcPr>
            <w:tcW w:w="0" w:type="auto"/>
            <w:tcBorders>
              <w:top w:val="nil"/>
              <w:left w:val="nil"/>
              <w:bottom w:val="nil"/>
              <w:right w:val="single" w:sz="4" w:space="0" w:color="auto"/>
            </w:tcBorders>
            <w:shd w:val="clear" w:color="auto" w:fill="auto"/>
            <w:noWrap/>
          </w:tcPr>
          <w:p w14:paraId="1077B005" w14:textId="38EC65C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5AA869CF" w14:textId="22EBB47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1.16</w:t>
            </w:r>
          </w:p>
        </w:tc>
        <w:tc>
          <w:tcPr>
            <w:tcW w:w="0" w:type="auto"/>
            <w:tcBorders>
              <w:top w:val="nil"/>
              <w:left w:val="nil"/>
              <w:bottom w:val="nil"/>
              <w:right w:val="nil"/>
            </w:tcBorders>
            <w:shd w:val="clear" w:color="auto" w:fill="auto"/>
            <w:noWrap/>
          </w:tcPr>
          <w:p w14:paraId="09F01AAC" w14:textId="4775EDA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5B3BDE3F" w14:textId="40B7F8A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1.20</w:t>
            </w:r>
          </w:p>
        </w:tc>
        <w:tc>
          <w:tcPr>
            <w:tcW w:w="0" w:type="auto"/>
            <w:tcBorders>
              <w:top w:val="nil"/>
              <w:left w:val="nil"/>
              <w:bottom w:val="nil"/>
              <w:right w:val="single" w:sz="4" w:space="0" w:color="auto"/>
            </w:tcBorders>
            <w:shd w:val="clear" w:color="auto" w:fill="auto"/>
            <w:noWrap/>
          </w:tcPr>
          <w:p w14:paraId="22CA05B5" w14:textId="6CCB88F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3B49BD08" w14:textId="5FF221E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1.16</w:t>
            </w:r>
          </w:p>
        </w:tc>
        <w:tc>
          <w:tcPr>
            <w:tcW w:w="0" w:type="auto"/>
            <w:tcBorders>
              <w:top w:val="nil"/>
              <w:left w:val="nil"/>
              <w:bottom w:val="nil"/>
              <w:right w:val="nil"/>
            </w:tcBorders>
            <w:shd w:val="clear" w:color="auto" w:fill="auto"/>
            <w:noWrap/>
          </w:tcPr>
          <w:p w14:paraId="16E5B24D" w14:textId="670B476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04F5F803" w14:textId="08E7F08A"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1.13</w:t>
            </w:r>
          </w:p>
        </w:tc>
        <w:tc>
          <w:tcPr>
            <w:tcW w:w="0" w:type="auto"/>
            <w:tcBorders>
              <w:top w:val="nil"/>
              <w:left w:val="nil"/>
              <w:bottom w:val="nil"/>
              <w:right w:val="single" w:sz="4" w:space="0" w:color="auto"/>
            </w:tcBorders>
            <w:shd w:val="clear" w:color="auto" w:fill="auto"/>
            <w:noWrap/>
          </w:tcPr>
          <w:p w14:paraId="6B383BDE" w14:textId="4503991A"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675D9700" w14:textId="7AC6667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1.10</w:t>
            </w:r>
          </w:p>
        </w:tc>
        <w:tc>
          <w:tcPr>
            <w:tcW w:w="0" w:type="auto"/>
            <w:tcBorders>
              <w:top w:val="nil"/>
              <w:left w:val="nil"/>
              <w:bottom w:val="nil"/>
              <w:right w:val="single" w:sz="4" w:space="0" w:color="auto"/>
            </w:tcBorders>
            <w:shd w:val="clear" w:color="auto" w:fill="auto"/>
            <w:noWrap/>
          </w:tcPr>
          <w:p w14:paraId="0C76D5D0" w14:textId="2855EBE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r>
      <w:tr w:rsidR="00FF604A" w:rsidRPr="00714E84" w14:paraId="5B398022" w14:textId="77777777" w:rsidTr="00C474DC">
        <w:tc>
          <w:tcPr>
            <w:tcW w:w="0" w:type="auto"/>
            <w:tcBorders>
              <w:top w:val="nil"/>
              <w:left w:val="single" w:sz="4" w:space="0" w:color="auto"/>
              <w:right w:val="nil"/>
            </w:tcBorders>
            <w:shd w:val="clear" w:color="auto" w:fill="auto"/>
            <w:noWrap/>
            <w:vAlign w:val="bottom"/>
            <w:hideMark/>
          </w:tcPr>
          <w:p w14:paraId="6AFA4492"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Scotland</w:t>
            </w:r>
          </w:p>
        </w:tc>
        <w:tc>
          <w:tcPr>
            <w:tcW w:w="0" w:type="auto"/>
            <w:tcBorders>
              <w:top w:val="nil"/>
              <w:left w:val="single" w:sz="4" w:space="0" w:color="auto"/>
              <w:right w:val="nil"/>
            </w:tcBorders>
            <w:shd w:val="clear" w:color="auto" w:fill="auto"/>
            <w:noWrap/>
          </w:tcPr>
          <w:p w14:paraId="1E259505" w14:textId="3DE3A71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1.52</w:t>
            </w:r>
          </w:p>
        </w:tc>
        <w:tc>
          <w:tcPr>
            <w:tcW w:w="0" w:type="auto"/>
            <w:tcBorders>
              <w:top w:val="nil"/>
              <w:left w:val="nil"/>
              <w:right w:val="single" w:sz="4" w:space="0" w:color="auto"/>
            </w:tcBorders>
            <w:shd w:val="clear" w:color="auto" w:fill="auto"/>
            <w:noWrap/>
          </w:tcPr>
          <w:p w14:paraId="22D29D96" w14:textId="618DE2D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right w:val="nil"/>
            </w:tcBorders>
            <w:shd w:val="clear" w:color="auto" w:fill="auto"/>
            <w:noWrap/>
          </w:tcPr>
          <w:p w14:paraId="04F442E3" w14:textId="7294B05A"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1.43</w:t>
            </w:r>
          </w:p>
        </w:tc>
        <w:tc>
          <w:tcPr>
            <w:tcW w:w="0" w:type="auto"/>
            <w:tcBorders>
              <w:top w:val="nil"/>
              <w:left w:val="nil"/>
              <w:right w:val="nil"/>
            </w:tcBorders>
            <w:shd w:val="clear" w:color="auto" w:fill="auto"/>
            <w:noWrap/>
          </w:tcPr>
          <w:p w14:paraId="29B6A534" w14:textId="4D3E5D50"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right w:val="nil"/>
            </w:tcBorders>
            <w:shd w:val="clear" w:color="auto" w:fill="auto"/>
            <w:noWrap/>
          </w:tcPr>
          <w:p w14:paraId="5EEC9235" w14:textId="60089825"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1.39</w:t>
            </w:r>
          </w:p>
        </w:tc>
        <w:tc>
          <w:tcPr>
            <w:tcW w:w="0" w:type="auto"/>
            <w:tcBorders>
              <w:top w:val="nil"/>
              <w:left w:val="nil"/>
              <w:right w:val="single" w:sz="4" w:space="0" w:color="auto"/>
            </w:tcBorders>
            <w:shd w:val="clear" w:color="auto" w:fill="auto"/>
            <w:noWrap/>
          </w:tcPr>
          <w:p w14:paraId="34B1DEAF" w14:textId="44C1A70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right w:val="nil"/>
            </w:tcBorders>
            <w:shd w:val="clear" w:color="auto" w:fill="auto"/>
            <w:noWrap/>
          </w:tcPr>
          <w:p w14:paraId="26B8BAD7" w14:textId="122AE5A7"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1.46</w:t>
            </w:r>
          </w:p>
        </w:tc>
        <w:tc>
          <w:tcPr>
            <w:tcW w:w="0" w:type="auto"/>
            <w:tcBorders>
              <w:top w:val="nil"/>
              <w:left w:val="nil"/>
              <w:right w:val="nil"/>
            </w:tcBorders>
            <w:shd w:val="clear" w:color="auto" w:fill="auto"/>
            <w:noWrap/>
          </w:tcPr>
          <w:p w14:paraId="17E486BA" w14:textId="12B9042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right w:val="nil"/>
            </w:tcBorders>
            <w:shd w:val="clear" w:color="auto" w:fill="auto"/>
            <w:noWrap/>
          </w:tcPr>
          <w:p w14:paraId="35113F06" w14:textId="57526B8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1.43</w:t>
            </w:r>
          </w:p>
        </w:tc>
        <w:tc>
          <w:tcPr>
            <w:tcW w:w="0" w:type="auto"/>
            <w:tcBorders>
              <w:top w:val="nil"/>
              <w:left w:val="nil"/>
              <w:right w:val="single" w:sz="4" w:space="0" w:color="auto"/>
            </w:tcBorders>
            <w:shd w:val="clear" w:color="auto" w:fill="auto"/>
            <w:noWrap/>
          </w:tcPr>
          <w:p w14:paraId="71AB9E85" w14:textId="0FF5224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right w:val="nil"/>
            </w:tcBorders>
            <w:shd w:val="clear" w:color="auto" w:fill="auto"/>
            <w:noWrap/>
          </w:tcPr>
          <w:p w14:paraId="5FED503F" w14:textId="36BFF66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1.40</w:t>
            </w:r>
          </w:p>
        </w:tc>
        <w:tc>
          <w:tcPr>
            <w:tcW w:w="0" w:type="auto"/>
            <w:tcBorders>
              <w:top w:val="nil"/>
              <w:left w:val="nil"/>
              <w:right w:val="nil"/>
            </w:tcBorders>
            <w:shd w:val="clear" w:color="auto" w:fill="auto"/>
            <w:noWrap/>
          </w:tcPr>
          <w:p w14:paraId="2E2C6B83" w14:textId="7D5C335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right w:val="nil"/>
            </w:tcBorders>
            <w:shd w:val="clear" w:color="auto" w:fill="auto"/>
            <w:noWrap/>
          </w:tcPr>
          <w:p w14:paraId="79254645" w14:textId="36155269"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1.38</w:t>
            </w:r>
          </w:p>
        </w:tc>
        <w:tc>
          <w:tcPr>
            <w:tcW w:w="0" w:type="auto"/>
            <w:tcBorders>
              <w:top w:val="nil"/>
              <w:left w:val="nil"/>
              <w:right w:val="single" w:sz="4" w:space="0" w:color="auto"/>
            </w:tcBorders>
            <w:shd w:val="clear" w:color="auto" w:fill="auto"/>
            <w:noWrap/>
          </w:tcPr>
          <w:p w14:paraId="2605C26C" w14:textId="6B07696C"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right w:val="nil"/>
            </w:tcBorders>
            <w:shd w:val="clear" w:color="auto" w:fill="auto"/>
            <w:noWrap/>
          </w:tcPr>
          <w:p w14:paraId="46007EBA" w14:textId="0347BC63"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1.26</w:t>
            </w:r>
          </w:p>
        </w:tc>
        <w:tc>
          <w:tcPr>
            <w:tcW w:w="0" w:type="auto"/>
            <w:tcBorders>
              <w:top w:val="nil"/>
              <w:left w:val="nil"/>
              <w:right w:val="single" w:sz="4" w:space="0" w:color="auto"/>
            </w:tcBorders>
            <w:shd w:val="clear" w:color="auto" w:fill="auto"/>
            <w:noWrap/>
          </w:tcPr>
          <w:p w14:paraId="1C0A8914" w14:textId="7212CFAB"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r>
      <w:tr w:rsidR="00FF604A" w:rsidRPr="00714E84" w14:paraId="485DBF83" w14:textId="77777777" w:rsidTr="00C474DC">
        <w:tc>
          <w:tcPr>
            <w:tcW w:w="0" w:type="auto"/>
            <w:tcBorders>
              <w:top w:val="nil"/>
              <w:left w:val="single" w:sz="4" w:space="0" w:color="auto"/>
              <w:bottom w:val="single" w:sz="4" w:space="0" w:color="auto"/>
              <w:right w:val="nil"/>
            </w:tcBorders>
            <w:shd w:val="clear" w:color="auto" w:fill="auto"/>
            <w:noWrap/>
            <w:vAlign w:val="bottom"/>
            <w:hideMark/>
          </w:tcPr>
          <w:p w14:paraId="47F57736" w14:textId="77777777" w:rsidR="00FF604A" w:rsidRPr="005558FF" w:rsidRDefault="00FF604A" w:rsidP="00FF604A">
            <w:pPr>
              <w:rPr>
                <w:rFonts w:ascii="Calibri" w:eastAsia="Times New Roman" w:hAnsi="Calibri" w:cs="Calibri"/>
                <w:color w:val="000000"/>
                <w:sz w:val="18"/>
                <w:szCs w:val="20"/>
                <w:lang w:eastAsia="en-GB"/>
              </w:rPr>
            </w:pPr>
            <w:r w:rsidRPr="005558FF">
              <w:rPr>
                <w:rFonts w:ascii="Calibri" w:eastAsia="Times New Roman" w:hAnsi="Calibri" w:cs="Calibri"/>
                <w:color w:val="000000"/>
                <w:sz w:val="18"/>
                <w:szCs w:val="20"/>
                <w:lang w:eastAsia="en-GB"/>
              </w:rPr>
              <w:t>London</w:t>
            </w:r>
          </w:p>
        </w:tc>
        <w:tc>
          <w:tcPr>
            <w:tcW w:w="0" w:type="auto"/>
            <w:tcBorders>
              <w:top w:val="nil"/>
              <w:left w:val="single" w:sz="4" w:space="0" w:color="auto"/>
              <w:bottom w:val="single" w:sz="4" w:space="0" w:color="auto"/>
              <w:right w:val="nil"/>
            </w:tcBorders>
            <w:shd w:val="clear" w:color="auto" w:fill="auto"/>
            <w:noWrap/>
          </w:tcPr>
          <w:p w14:paraId="2EEB2ACF" w14:textId="1B432E04"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0.91</w:t>
            </w:r>
          </w:p>
        </w:tc>
        <w:tc>
          <w:tcPr>
            <w:tcW w:w="0" w:type="auto"/>
            <w:tcBorders>
              <w:top w:val="nil"/>
              <w:left w:val="nil"/>
              <w:bottom w:val="single" w:sz="4" w:space="0" w:color="auto"/>
              <w:right w:val="single" w:sz="4" w:space="0" w:color="auto"/>
            </w:tcBorders>
            <w:shd w:val="clear" w:color="auto" w:fill="auto"/>
            <w:noWrap/>
          </w:tcPr>
          <w:p w14:paraId="0ED61906" w14:textId="7B490ADE"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single" w:sz="4" w:space="0" w:color="auto"/>
              <w:right w:val="nil"/>
            </w:tcBorders>
            <w:shd w:val="clear" w:color="auto" w:fill="auto"/>
            <w:noWrap/>
          </w:tcPr>
          <w:p w14:paraId="468ABC24" w14:textId="6C8EA033"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0.96</w:t>
            </w:r>
          </w:p>
        </w:tc>
        <w:tc>
          <w:tcPr>
            <w:tcW w:w="0" w:type="auto"/>
            <w:tcBorders>
              <w:top w:val="nil"/>
              <w:left w:val="nil"/>
              <w:bottom w:val="single" w:sz="4" w:space="0" w:color="auto"/>
              <w:right w:val="nil"/>
            </w:tcBorders>
            <w:shd w:val="clear" w:color="auto" w:fill="auto"/>
            <w:noWrap/>
          </w:tcPr>
          <w:p w14:paraId="53609D6C" w14:textId="36A4B213"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single" w:sz="4" w:space="0" w:color="auto"/>
              <w:right w:val="nil"/>
            </w:tcBorders>
            <w:shd w:val="clear" w:color="auto" w:fill="auto"/>
            <w:noWrap/>
          </w:tcPr>
          <w:p w14:paraId="3C842B1A" w14:textId="54315404"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0.96</w:t>
            </w:r>
          </w:p>
        </w:tc>
        <w:tc>
          <w:tcPr>
            <w:tcW w:w="0" w:type="auto"/>
            <w:tcBorders>
              <w:top w:val="nil"/>
              <w:left w:val="nil"/>
              <w:bottom w:val="single" w:sz="4" w:space="0" w:color="auto"/>
              <w:right w:val="single" w:sz="4" w:space="0" w:color="auto"/>
            </w:tcBorders>
            <w:shd w:val="clear" w:color="auto" w:fill="auto"/>
            <w:noWrap/>
          </w:tcPr>
          <w:p w14:paraId="35764961" w14:textId="0370F832"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single" w:sz="4" w:space="0" w:color="auto"/>
              <w:right w:val="nil"/>
            </w:tcBorders>
            <w:shd w:val="clear" w:color="auto" w:fill="auto"/>
            <w:noWrap/>
          </w:tcPr>
          <w:p w14:paraId="15E9EC47" w14:textId="5EE1D0EB"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0.96</w:t>
            </w:r>
          </w:p>
        </w:tc>
        <w:tc>
          <w:tcPr>
            <w:tcW w:w="0" w:type="auto"/>
            <w:tcBorders>
              <w:top w:val="nil"/>
              <w:left w:val="nil"/>
              <w:bottom w:val="single" w:sz="4" w:space="0" w:color="auto"/>
              <w:right w:val="nil"/>
            </w:tcBorders>
            <w:shd w:val="clear" w:color="auto" w:fill="auto"/>
            <w:noWrap/>
          </w:tcPr>
          <w:p w14:paraId="4A1A11B2" w14:textId="1818A56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single" w:sz="4" w:space="0" w:color="auto"/>
              <w:right w:val="nil"/>
            </w:tcBorders>
            <w:shd w:val="clear" w:color="auto" w:fill="auto"/>
            <w:noWrap/>
          </w:tcPr>
          <w:p w14:paraId="6525B274" w14:textId="4A316CD0"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0.91</w:t>
            </w:r>
          </w:p>
        </w:tc>
        <w:tc>
          <w:tcPr>
            <w:tcW w:w="0" w:type="auto"/>
            <w:tcBorders>
              <w:top w:val="nil"/>
              <w:left w:val="nil"/>
              <w:bottom w:val="single" w:sz="4" w:space="0" w:color="auto"/>
              <w:right w:val="single" w:sz="4" w:space="0" w:color="auto"/>
            </w:tcBorders>
            <w:shd w:val="clear" w:color="auto" w:fill="auto"/>
            <w:noWrap/>
          </w:tcPr>
          <w:p w14:paraId="723BEF58" w14:textId="6528520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single" w:sz="4" w:space="0" w:color="auto"/>
              <w:right w:val="nil"/>
            </w:tcBorders>
            <w:shd w:val="clear" w:color="auto" w:fill="auto"/>
            <w:noWrap/>
          </w:tcPr>
          <w:p w14:paraId="0059EFB2" w14:textId="552A88B7"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0.90</w:t>
            </w:r>
          </w:p>
        </w:tc>
        <w:tc>
          <w:tcPr>
            <w:tcW w:w="0" w:type="auto"/>
            <w:tcBorders>
              <w:top w:val="nil"/>
              <w:left w:val="nil"/>
              <w:bottom w:val="single" w:sz="4" w:space="0" w:color="auto"/>
              <w:right w:val="nil"/>
            </w:tcBorders>
            <w:shd w:val="clear" w:color="auto" w:fill="auto"/>
            <w:noWrap/>
          </w:tcPr>
          <w:p w14:paraId="154D225C" w14:textId="5BCBB4E9"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single" w:sz="4" w:space="0" w:color="auto"/>
              <w:right w:val="nil"/>
            </w:tcBorders>
            <w:shd w:val="clear" w:color="auto" w:fill="auto"/>
            <w:noWrap/>
          </w:tcPr>
          <w:p w14:paraId="4B2BDAB8" w14:textId="166447ED"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0.89</w:t>
            </w:r>
          </w:p>
        </w:tc>
        <w:tc>
          <w:tcPr>
            <w:tcW w:w="0" w:type="auto"/>
            <w:tcBorders>
              <w:top w:val="nil"/>
              <w:left w:val="nil"/>
              <w:bottom w:val="single" w:sz="4" w:space="0" w:color="auto"/>
              <w:right w:val="single" w:sz="4" w:space="0" w:color="auto"/>
            </w:tcBorders>
            <w:shd w:val="clear" w:color="auto" w:fill="auto"/>
            <w:noWrap/>
          </w:tcPr>
          <w:p w14:paraId="6C72AEFF" w14:textId="202813F6"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single" w:sz="4" w:space="0" w:color="auto"/>
              <w:right w:val="nil"/>
            </w:tcBorders>
            <w:shd w:val="clear" w:color="auto" w:fill="auto"/>
            <w:noWrap/>
          </w:tcPr>
          <w:p w14:paraId="06B05D1C" w14:textId="56B5CBAF" w:rsidR="00FF604A" w:rsidRPr="00714E84" w:rsidRDefault="00FF604A" w:rsidP="00FF604A">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0.94</w:t>
            </w:r>
          </w:p>
        </w:tc>
        <w:tc>
          <w:tcPr>
            <w:tcW w:w="0" w:type="auto"/>
            <w:tcBorders>
              <w:top w:val="nil"/>
              <w:left w:val="nil"/>
              <w:bottom w:val="single" w:sz="4" w:space="0" w:color="auto"/>
              <w:right w:val="single" w:sz="4" w:space="0" w:color="auto"/>
            </w:tcBorders>
            <w:shd w:val="clear" w:color="auto" w:fill="auto"/>
            <w:noWrap/>
          </w:tcPr>
          <w:p w14:paraId="36F0A103" w14:textId="1753CD05" w:rsidR="00FF604A" w:rsidRPr="00714E84" w:rsidRDefault="00FF604A" w:rsidP="00FF604A">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r>
    </w:tbl>
    <w:p w14:paraId="4F88F31C" w14:textId="77777777" w:rsidR="00C474DC" w:rsidRPr="00714E84" w:rsidRDefault="00C474DC" w:rsidP="00C474DC"/>
    <w:p w14:paraId="53E34FF0" w14:textId="77777777" w:rsidR="00C474DC" w:rsidRPr="00714E84" w:rsidRDefault="00C474DC" w:rsidP="00C474DC">
      <w:pPr>
        <w:pStyle w:val="Caption"/>
        <w:spacing w:after="0"/>
        <w:ind w:firstLine="720"/>
        <w:rPr>
          <w:rFonts w:ascii="Times New Roman" w:hAnsi="Times New Roman" w:cs="Times New Roman"/>
          <w:color w:val="262626" w:themeColor="text1" w:themeTint="D9"/>
          <w:sz w:val="24"/>
          <w:szCs w:val="24"/>
        </w:rPr>
      </w:pPr>
      <w:r w:rsidRPr="00714E84">
        <w:rPr>
          <w:rFonts w:ascii="Times New Roman" w:hAnsi="Times New Roman" w:cs="Times New Roman"/>
          <w:b/>
          <w:bCs/>
          <w:i w:val="0"/>
          <w:iCs w:val="0"/>
          <w:color w:val="262626" w:themeColor="text1" w:themeTint="D9"/>
          <w:sz w:val="24"/>
          <w:szCs w:val="24"/>
        </w:rPr>
        <w:lastRenderedPageBreak/>
        <w:t xml:space="preserve">Table 5. </w:t>
      </w:r>
      <w:r w:rsidRPr="00714E84">
        <w:rPr>
          <w:rFonts w:ascii="Times New Roman" w:hAnsi="Times New Roman" w:cs="Times New Roman"/>
          <w:color w:val="262626" w:themeColor="text1" w:themeTint="D9"/>
          <w:sz w:val="24"/>
          <w:szCs w:val="24"/>
        </w:rPr>
        <w:t xml:space="preserve">continued. </w:t>
      </w:r>
    </w:p>
    <w:tbl>
      <w:tblPr>
        <w:tblW w:w="0" w:type="auto"/>
        <w:tblLook w:val="04A0" w:firstRow="1" w:lastRow="0" w:firstColumn="1" w:lastColumn="0" w:noHBand="0" w:noVBand="1"/>
      </w:tblPr>
      <w:tblGrid>
        <w:gridCol w:w="2966"/>
        <w:gridCol w:w="712"/>
        <w:gridCol w:w="659"/>
        <w:gridCol w:w="713"/>
        <w:gridCol w:w="660"/>
        <w:gridCol w:w="713"/>
        <w:gridCol w:w="660"/>
        <w:gridCol w:w="713"/>
        <w:gridCol w:w="660"/>
        <w:gridCol w:w="713"/>
        <w:gridCol w:w="660"/>
        <w:gridCol w:w="713"/>
        <w:gridCol w:w="660"/>
        <w:gridCol w:w="713"/>
        <w:gridCol w:w="660"/>
        <w:gridCol w:w="713"/>
        <w:gridCol w:w="660"/>
      </w:tblGrid>
      <w:tr w:rsidR="00C474DC" w:rsidRPr="00714E84" w14:paraId="343AEED1" w14:textId="77777777" w:rsidTr="00C474DC">
        <w:tc>
          <w:tcPr>
            <w:tcW w:w="0" w:type="auto"/>
            <w:tcBorders>
              <w:top w:val="single" w:sz="4" w:space="0" w:color="auto"/>
              <w:left w:val="single" w:sz="4" w:space="0" w:color="auto"/>
              <w:bottom w:val="nil"/>
              <w:right w:val="nil"/>
            </w:tcBorders>
            <w:shd w:val="clear" w:color="auto" w:fill="auto"/>
            <w:noWrap/>
            <w:vAlign w:val="bottom"/>
            <w:hideMark/>
          </w:tcPr>
          <w:p w14:paraId="527E9110"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8FFBB6" w14:textId="0B75996C"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2005</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AB85A59" w14:textId="34DE656A"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2006</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D6ECB05" w14:textId="4381A4F5"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2007</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0E6F4B9F" w14:textId="6991CDF8"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2008</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5EB4CD34" w14:textId="6480E468"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2009</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3137CE" w14:textId="5DFAD415"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2010</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5036B399" w14:textId="76F484F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2011</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D94E5A6" w14:textId="5031DE16"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2012</w:t>
            </w:r>
          </w:p>
        </w:tc>
      </w:tr>
      <w:tr w:rsidR="00C474DC" w:rsidRPr="00714E84" w14:paraId="6A804ED1" w14:textId="77777777" w:rsidTr="00C474DC">
        <w:tc>
          <w:tcPr>
            <w:tcW w:w="0" w:type="auto"/>
            <w:tcBorders>
              <w:top w:val="nil"/>
              <w:left w:val="single" w:sz="4" w:space="0" w:color="auto"/>
              <w:bottom w:val="single" w:sz="4" w:space="0" w:color="auto"/>
              <w:right w:val="nil"/>
            </w:tcBorders>
            <w:shd w:val="clear" w:color="auto" w:fill="auto"/>
            <w:hideMark/>
          </w:tcPr>
          <w:p w14:paraId="53E895C6" w14:textId="77777777" w:rsidR="00C474DC" w:rsidRPr="00714E84" w:rsidRDefault="00C474DC" w:rsidP="00C474DC">
            <w:pPr>
              <w:rPr>
                <w:rFonts w:ascii="Calibri" w:eastAsia="Times New Roman" w:hAnsi="Calibri" w:cs="Calibri"/>
                <w:b/>
                <w:bCs/>
                <w:color w:val="000000"/>
                <w:sz w:val="18"/>
                <w:szCs w:val="20"/>
                <w:lang w:eastAsia="en-GB"/>
              </w:rPr>
            </w:pPr>
          </w:p>
        </w:tc>
        <w:tc>
          <w:tcPr>
            <w:tcW w:w="0" w:type="auto"/>
            <w:tcBorders>
              <w:top w:val="nil"/>
              <w:left w:val="single" w:sz="4" w:space="0" w:color="auto"/>
              <w:bottom w:val="single" w:sz="4" w:space="0" w:color="auto"/>
              <w:right w:val="nil"/>
            </w:tcBorders>
            <w:shd w:val="clear" w:color="auto" w:fill="auto"/>
            <w:hideMark/>
          </w:tcPr>
          <w:p w14:paraId="1CC6C292"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10231543"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2CF363FD"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nil"/>
            </w:tcBorders>
            <w:shd w:val="clear" w:color="auto" w:fill="auto"/>
            <w:hideMark/>
          </w:tcPr>
          <w:p w14:paraId="104FA0AD"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single" w:sz="4" w:space="0" w:color="auto"/>
              <w:bottom w:val="single" w:sz="4" w:space="0" w:color="auto"/>
              <w:right w:val="nil"/>
            </w:tcBorders>
            <w:shd w:val="clear" w:color="auto" w:fill="auto"/>
            <w:hideMark/>
          </w:tcPr>
          <w:p w14:paraId="59D3D66D"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2ED5FBAD"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6224DAC9"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nil"/>
            </w:tcBorders>
            <w:shd w:val="clear" w:color="auto" w:fill="auto"/>
            <w:hideMark/>
          </w:tcPr>
          <w:p w14:paraId="3AEA410A"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single" w:sz="4" w:space="0" w:color="auto"/>
              <w:bottom w:val="single" w:sz="4" w:space="0" w:color="auto"/>
              <w:right w:val="nil"/>
            </w:tcBorders>
            <w:shd w:val="clear" w:color="auto" w:fill="auto"/>
            <w:hideMark/>
          </w:tcPr>
          <w:p w14:paraId="47CDE550"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40E30F3F"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61CCADEA"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0438D589"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13648EFC"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13CE2574"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c>
          <w:tcPr>
            <w:tcW w:w="0" w:type="auto"/>
            <w:tcBorders>
              <w:top w:val="nil"/>
              <w:left w:val="nil"/>
              <w:bottom w:val="single" w:sz="4" w:space="0" w:color="auto"/>
              <w:right w:val="nil"/>
            </w:tcBorders>
            <w:shd w:val="clear" w:color="auto" w:fill="auto"/>
            <w:hideMark/>
          </w:tcPr>
          <w:p w14:paraId="667F86B0"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Odds ratio</w:t>
            </w:r>
          </w:p>
        </w:tc>
        <w:tc>
          <w:tcPr>
            <w:tcW w:w="0" w:type="auto"/>
            <w:tcBorders>
              <w:top w:val="nil"/>
              <w:left w:val="nil"/>
              <w:bottom w:val="single" w:sz="4" w:space="0" w:color="auto"/>
              <w:right w:val="single" w:sz="4" w:space="0" w:color="auto"/>
            </w:tcBorders>
            <w:shd w:val="clear" w:color="auto" w:fill="auto"/>
            <w:hideMark/>
          </w:tcPr>
          <w:p w14:paraId="455F0CF1" w14:textId="77777777" w:rsidR="00C474DC" w:rsidRPr="00714E84" w:rsidRDefault="00C474DC" w:rsidP="00C474DC">
            <w:pPr>
              <w:jc w:val="cente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SD Error</w:t>
            </w:r>
          </w:p>
        </w:tc>
      </w:tr>
      <w:tr w:rsidR="00C474DC" w:rsidRPr="00714E84" w14:paraId="5AD0F68E" w14:textId="77777777" w:rsidTr="00C474DC">
        <w:tc>
          <w:tcPr>
            <w:tcW w:w="0" w:type="auto"/>
            <w:tcBorders>
              <w:top w:val="nil"/>
              <w:left w:val="single" w:sz="4" w:space="0" w:color="auto"/>
              <w:bottom w:val="nil"/>
              <w:right w:val="nil"/>
            </w:tcBorders>
            <w:shd w:val="clear" w:color="auto" w:fill="auto"/>
            <w:noWrap/>
            <w:vAlign w:val="bottom"/>
            <w:hideMark/>
          </w:tcPr>
          <w:p w14:paraId="575C9CE3"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Public sector (private)</w:t>
            </w:r>
          </w:p>
        </w:tc>
        <w:tc>
          <w:tcPr>
            <w:tcW w:w="0" w:type="auto"/>
            <w:tcBorders>
              <w:top w:val="nil"/>
              <w:left w:val="single" w:sz="4" w:space="0" w:color="auto"/>
              <w:bottom w:val="nil"/>
              <w:right w:val="nil"/>
            </w:tcBorders>
            <w:shd w:val="clear" w:color="auto" w:fill="auto"/>
            <w:noWrap/>
          </w:tcPr>
          <w:p w14:paraId="16FB9F10" w14:textId="21AC857A"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1.15</w:t>
            </w:r>
          </w:p>
        </w:tc>
        <w:tc>
          <w:tcPr>
            <w:tcW w:w="0" w:type="auto"/>
            <w:tcBorders>
              <w:top w:val="nil"/>
              <w:left w:val="nil"/>
              <w:bottom w:val="nil"/>
              <w:right w:val="single" w:sz="4" w:space="0" w:color="auto"/>
            </w:tcBorders>
            <w:shd w:val="clear" w:color="auto" w:fill="auto"/>
            <w:noWrap/>
          </w:tcPr>
          <w:p w14:paraId="4E11E02F" w14:textId="7289527D"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1ED24DD5" w14:textId="3CE04C0D"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1.21</w:t>
            </w:r>
          </w:p>
        </w:tc>
        <w:tc>
          <w:tcPr>
            <w:tcW w:w="0" w:type="auto"/>
            <w:tcBorders>
              <w:top w:val="nil"/>
              <w:left w:val="nil"/>
              <w:bottom w:val="nil"/>
              <w:right w:val="nil"/>
            </w:tcBorders>
            <w:shd w:val="clear" w:color="auto" w:fill="auto"/>
            <w:noWrap/>
          </w:tcPr>
          <w:p w14:paraId="0500A74B" w14:textId="03D255FC"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051EA398" w14:textId="67CB8CC8"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1.18</w:t>
            </w:r>
          </w:p>
        </w:tc>
        <w:tc>
          <w:tcPr>
            <w:tcW w:w="0" w:type="auto"/>
            <w:tcBorders>
              <w:top w:val="nil"/>
              <w:left w:val="nil"/>
              <w:bottom w:val="nil"/>
              <w:right w:val="single" w:sz="4" w:space="0" w:color="auto"/>
            </w:tcBorders>
            <w:shd w:val="clear" w:color="auto" w:fill="auto"/>
            <w:noWrap/>
          </w:tcPr>
          <w:p w14:paraId="0376AC4E" w14:textId="06E4CEB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7ABCD4A5" w14:textId="725C3A99"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nil"/>
            </w:tcBorders>
            <w:shd w:val="clear" w:color="auto" w:fill="auto"/>
            <w:noWrap/>
          </w:tcPr>
          <w:p w14:paraId="3936B381" w14:textId="5740F5F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0291358E" w14:textId="79F9AC6F"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1.26</w:t>
            </w:r>
          </w:p>
        </w:tc>
        <w:tc>
          <w:tcPr>
            <w:tcW w:w="0" w:type="auto"/>
            <w:tcBorders>
              <w:top w:val="nil"/>
              <w:left w:val="nil"/>
              <w:bottom w:val="nil"/>
              <w:right w:val="single" w:sz="4" w:space="0" w:color="auto"/>
            </w:tcBorders>
            <w:shd w:val="clear" w:color="auto" w:fill="auto"/>
            <w:noWrap/>
          </w:tcPr>
          <w:p w14:paraId="17C04C53" w14:textId="7A59230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473CC76C" w14:textId="283FB922"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nil"/>
            </w:tcBorders>
            <w:shd w:val="clear" w:color="auto" w:fill="auto"/>
            <w:noWrap/>
          </w:tcPr>
          <w:p w14:paraId="01BB5EB8" w14:textId="2FAE2146"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0C2D5C37" w14:textId="2198D97C"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0.93</w:t>
            </w:r>
          </w:p>
        </w:tc>
        <w:tc>
          <w:tcPr>
            <w:tcW w:w="0" w:type="auto"/>
            <w:tcBorders>
              <w:top w:val="nil"/>
              <w:left w:val="nil"/>
              <w:bottom w:val="nil"/>
              <w:right w:val="single" w:sz="4" w:space="0" w:color="auto"/>
            </w:tcBorders>
            <w:shd w:val="clear" w:color="auto" w:fill="auto"/>
            <w:noWrap/>
          </w:tcPr>
          <w:p w14:paraId="43375345" w14:textId="7FDC1F0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3C824BC2" w14:textId="3728AE4E"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0.89</w:t>
            </w:r>
          </w:p>
        </w:tc>
        <w:tc>
          <w:tcPr>
            <w:tcW w:w="0" w:type="auto"/>
            <w:tcBorders>
              <w:top w:val="nil"/>
              <w:left w:val="nil"/>
              <w:bottom w:val="nil"/>
              <w:right w:val="single" w:sz="4" w:space="0" w:color="auto"/>
            </w:tcBorders>
            <w:shd w:val="clear" w:color="auto" w:fill="auto"/>
            <w:noWrap/>
          </w:tcPr>
          <w:p w14:paraId="6DA129E4" w14:textId="2EB3B77C"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r>
      <w:tr w:rsidR="00C474DC" w:rsidRPr="00714E84" w14:paraId="7FF7D8FD" w14:textId="77777777" w:rsidTr="00C474DC">
        <w:tc>
          <w:tcPr>
            <w:tcW w:w="0" w:type="auto"/>
            <w:tcBorders>
              <w:top w:val="nil"/>
              <w:left w:val="single" w:sz="4" w:space="0" w:color="auto"/>
              <w:bottom w:val="nil"/>
              <w:right w:val="nil"/>
            </w:tcBorders>
            <w:shd w:val="clear" w:color="auto" w:fill="auto"/>
            <w:noWrap/>
            <w:vAlign w:val="bottom"/>
            <w:hideMark/>
          </w:tcPr>
          <w:p w14:paraId="1D8F80A0"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Temporary job (permanent)</w:t>
            </w:r>
          </w:p>
        </w:tc>
        <w:tc>
          <w:tcPr>
            <w:tcW w:w="0" w:type="auto"/>
            <w:tcBorders>
              <w:top w:val="nil"/>
              <w:left w:val="single" w:sz="4" w:space="0" w:color="auto"/>
              <w:bottom w:val="nil"/>
              <w:right w:val="nil"/>
            </w:tcBorders>
            <w:shd w:val="clear" w:color="auto" w:fill="auto"/>
            <w:noWrap/>
          </w:tcPr>
          <w:p w14:paraId="25464834" w14:textId="192E75F5"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1.45</w:t>
            </w:r>
          </w:p>
        </w:tc>
        <w:tc>
          <w:tcPr>
            <w:tcW w:w="0" w:type="auto"/>
            <w:tcBorders>
              <w:top w:val="nil"/>
              <w:left w:val="nil"/>
              <w:bottom w:val="nil"/>
              <w:right w:val="single" w:sz="4" w:space="0" w:color="auto"/>
            </w:tcBorders>
            <w:shd w:val="clear" w:color="auto" w:fill="auto"/>
            <w:noWrap/>
          </w:tcPr>
          <w:p w14:paraId="144CB0B6" w14:textId="266FE4E3"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5D23E3F9" w14:textId="37394E0F"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1.58</w:t>
            </w:r>
          </w:p>
        </w:tc>
        <w:tc>
          <w:tcPr>
            <w:tcW w:w="0" w:type="auto"/>
            <w:tcBorders>
              <w:top w:val="nil"/>
              <w:left w:val="nil"/>
              <w:bottom w:val="nil"/>
              <w:right w:val="nil"/>
            </w:tcBorders>
            <w:shd w:val="clear" w:color="auto" w:fill="auto"/>
            <w:noWrap/>
          </w:tcPr>
          <w:p w14:paraId="44EDA797" w14:textId="2C74610E"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6C43276A" w14:textId="12DB1834"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1.55</w:t>
            </w:r>
          </w:p>
        </w:tc>
        <w:tc>
          <w:tcPr>
            <w:tcW w:w="0" w:type="auto"/>
            <w:tcBorders>
              <w:top w:val="nil"/>
              <w:left w:val="nil"/>
              <w:bottom w:val="nil"/>
              <w:right w:val="single" w:sz="4" w:space="0" w:color="auto"/>
            </w:tcBorders>
            <w:shd w:val="clear" w:color="auto" w:fill="auto"/>
            <w:noWrap/>
          </w:tcPr>
          <w:p w14:paraId="674C0C5C" w14:textId="7A3C2E92"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6B831331" w14:textId="722904A1"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1.57</w:t>
            </w:r>
          </w:p>
        </w:tc>
        <w:tc>
          <w:tcPr>
            <w:tcW w:w="0" w:type="auto"/>
            <w:tcBorders>
              <w:top w:val="nil"/>
              <w:left w:val="nil"/>
              <w:bottom w:val="nil"/>
              <w:right w:val="nil"/>
            </w:tcBorders>
            <w:shd w:val="clear" w:color="auto" w:fill="auto"/>
            <w:noWrap/>
          </w:tcPr>
          <w:p w14:paraId="1E841C9D" w14:textId="2AA39704"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4D4A7665" w14:textId="48A16B08"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1.61</w:t>
            </w:r>
          </w:p>
        </w:tc>
        <w:tc>
          <w:tcPr>
            <w:tcW w:w="0" w:type="auto"/>
            <w:tcBorders>
              <w:top w:val="nil"/>
              <w:left w:val="nil"/>
              <w:bottom w:val="nil"/>
              <w:right w:val="single" w:sz="4" w:space="0" w:color="auto"/>
            </w:tcBorders>
            <w:shd w:val="clear" w:color="auto" w:fill="auto"/>
            <w:noWrap/>
          </w:tcPr>
          <w:p w14:paraId="3CACE5D8" w14:textId="7393E141"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4FFA718D" w14:textId="463F3EB0"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1.66</w:t>
            </w:r>
          </w:p>
        </w:tc>
        <w:tc>
          <w:tcPr>
            <w:tcW w:w="0" w:type="auto"/>
            <w:tcBorders>
              <w:top w:val="nil"/>
              <w:left w:val="nil"/>
              <w:bottom w:val="nil"/>
              <w:right w:val="nil"/>
            </w:tcBorders>
            <w:shd w:val="clear" w:color="auto" w:fill="auto"/>
            <w:noWrap/>
          </w:tcPr>
          <w:p w14:paraId="55E2FF25" w14:textId="0354D1FD"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00630EE1" w14:textId="3A9EECC4"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1.53</w:t>
            </w:r>
          </w:p>
        </w:tc>
        <w:tc>
          <w:tcPr>
            <w:tcW w:w="0" w:type="auto"/>
            <w:tcBorders>
              <w:top w:val="nil"/>
              <w:left w:val="nil"/>
              <w:bottom w:val="nil"/>
              <w:right w:val="single" w:sz="4" w:space="0" w:color="auto"/>
            </w:tcBorders>
            <w:shd w:val="clear" w:color="auto" w:fill="auto"/>
            <w:noWrap/>
          </w:tcPr>
          <w:p w14:paraId="733E7872" w14:textId="7DEDEF0B"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3E9F9BC9" w14:textId="3F92DF06"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1.53</w:t>
            </w:r>
          </w:p>
        </w:tc>
        <w:tc>
          <w:tcPr>
            <w:tcW w:w="0" w:type="auto"/>
            <w:tcBorders>
              <w:top w:val="nil"/>
              <w:left w:val="nil"/>
              <w:bottom w:val="nil"/>
              <w:right w:val="single" w:sz="4" w:space="0" w:color="auto"/>
            </w:tcBorders>
            <w:shd w:val="clear" w:color="auto" w:fill="auto"/>
            <w:noWrap/>
          </w:tcPr>
          <w:p w14:paraId="0C284551" w14:textId="0082ADE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r>
      <w:tr w:rsidR="00C474DC" w:rsidRPr="00714E84" w14:paraId="29279415" w14:textId="77777777" w:rsidTr="00C474DC">
        <w:tc>
          <w:tcPr>
            <w:tcW w:w="0" w:type="auto"/>
            <w:tcBorders>
              <w:top w:val="nil"/>
              <w:left w:val="single" w:sz="4" w:space="0" w:color="auto"/>
              <w:bottom w:val="nil"/>
              <w:right w:val="nil"/>
            </w:tcBorders>
            <w:shd w:val="clear" w:color="auto" w:fill="auto"/>
            <w:noWrap/>
            <w:vAlign w:val="bottom"/>
            <w:hideMark/>
          </w:tcPr>
          <w:p w14:paraId="624C5453"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Part-time (full-time)</w:t>
            </w:r>
          </w:p>
        </w:tc>
        <w:tc>
          <w:tcPr>
            <w:tcW w:w="0" w:type="auto"/>
            <w:tcBorders>
              <w:top w:val="nil"/>
              <w:left w:val="single" w:sz="4" w:space="0" w:color="auto"/>
              <w:bottom w:val="nil"/>
              <w:right w:val="nil"/>
            </w:tcBorders>
            <w:shd w:val="clear" w:color="auto" w:fill="auto"/>
            <w:noWrap/>
          </w:tcPr>
          <w:p w14:paraId="254BDC14" w14:textId="2DACAABD"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1.13</w:t>
            </w:r>
          </w:p>
        </w:tc>
        <w:tc>
          <w:tcPr>
            <w:tcW w:w="0" w:type="auto"/>
            <w:tcBorders>
              <w:top w:val="nil"/>
              <w:left w:val="nil"/>
              <w:bottom w:val="nil"/>
              <w:right w:val="single" w:sz="4" w:space="0" w:color="auto"/>
            </w:tcBorders>
            <w:shd w:val="clear" w:color="auto" w:fill="auto"/>
            <w:noWrap/>
          </w:tcPr>
          <w:p w14:paraId="6A46C2A1" w14:textId="541ED912"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37A592C0" w14:textId="07BC1421"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1.16</w:t>
            </w:r>
          </w:p>
        </w:tc>
        <w:tc>
          <w:tcPr>
            <w:tcW w:w="0" w:type="auto"/>
            <w:tcBorders>
              <w:top w:val="nil"/>
              <w:left w:val="nil"/>
              <w:bottom w:val="nil"/>
              <w:right w:val="nil"/>
            </w:tcBorders>
            <w:shd w:val="clear" w:color="auto" w:fill="auto"/>
            <w:noWrap/>
          </w:tcPr>
          <w:p w14:paraId="65FB97AE" w14:textId="555CF8C0"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bottom w:val="nil"/>
              <w:right w:val="nil"/>
            </w:tcBorders>
            <w:shd w:val="clear" w:color="auto" w:fill="auto"/>
            <w:noWrap/>
          </w:tcPr>
          <w:p w14:paraId="7FF6D66F" w14:textId="71D39344"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1.20</w:t>
            </w:r>
          </w:p>
        </w:tc>
        <w:tc>
          <w:tcPr>
            <w:tcW w:w="0" w:type="auto"/>
            <w:tcBorders>
              <w:top w:val="nil"/>
              <w:left w:val="nil"/>
              <w:bottom w:val="nil"/>
              <w:right w:val="single" w:sz="4" w:space="0" w:color="auto"/>
            </w:tcBorders>
            <w:shd w:val="clear" w:color="auto" w:fill="auto"/>
            <w:noWrap/>
          </w:tcPr>
          <w:p w14:paraId="3B8D5391" w14:textId="5CC59E33"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37CBA33D" w14:textId="60E5381D"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1.06</w:t>
            </w:r>
          </w:p>
        </w:tc>
        <w:tc>
          <w:tcPr>
            <w:tcW w:w="0" w:type="auto"/>
            <w:tcBorders>
              <w:top w:val="nil"/>
              <w:left w:val="nil"/>
              <w:bottom w:val="nil"/>
              <w:right w:val="nil"/>
            </w:tcBorders>
            <w:shd w:val="clear" w:color="auto" w:fill="auto"/>
            <w:noWrap/>
          </w:tcPr>
          <w:p w14:paraId="1A423287" w14:textId="54A68B33"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bottom w:val="nil"/>
              <w:right w:val="nil"/>
            </w:tcBorders>
            <w:shd w:val="clear" w:color="auto" w:fill="auto"/>
            <w:noWrap/>
          </w:tcPr>
          <w:p w14:paraId="789936F0" w14:textId="0B35622B"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1.11</w:t>
            </w:r>
          </w:p>
        </w:tc>
        <w:tc>
          <w:tcPr>
            <w:tcW w:w="0" w:type="auto"/>
            <w:tcBorders>
              <w:top w:val="nil"/>
              <w:left w:val="nil"/>
              <w:bottom w:val="nil"/>
              <w:right w:val="single" w:sz="4" w:space="0" w:color="auto"/>
            </w:tcBorders>
            <w:shd w:val="clear" w:color="auto" w:fill="auto"/>
            <w:noWrap/>
          </w:tcPr>
          <w:p w14:paraId="28DD837C" w14:textId="1A03C04C"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5509EDE8" w14:textId="68088789"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1.24</w:t>
            </w:r>
          </w:p>
        </w:tc>
        <w:tc>
          <w:tcPr>
            <w:tcW w:w="0" w:type="auto"/>
            <w:tcBorders>
              <w:top w:val="nil"/>
              <w:left w:val="nil"/>
              <w:bottom w:val="nil"/>
              <w:right w:val="nil"/>
            </w:tcBorders>
            <w:shd w:val="clear" w:color="auto" w:fill="auto"/>
            <w:noWrap/>
          </w:tcPr>
          <w:p w14:paraId="78F8D085" w14:textId="2A448E8E"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bottom w:val="nil"/>
              <w:right w:val="nil"/>
            </w:tcBorders>
            <w:shd w:val="clear" w:color="auto" w:fill="auto"/>
            <w:noWrap/>
          </w:tcPr>
          <w:p w14:paraId="7C646617" w14:textId="2BF88304"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1.06</w:t>
            </w:r>
          </w:p>
        </w:tc>
        <w:tc>
          <w:tcPr>
            <w:tcW w:w="0" w:type="auto"/>
            <w:tcBorders>
              <w:top w:val="nil"/>
              <w:left w:val="nil"/>
              <w:bottom w:val="nil"/>
              <w:right w:val="single" w:sz="4" w:space="0" w:color="auto"/>
            </w:tcBorders>
            <w:shd w:val="clear" w:color="auto" w:fill="auto"/>
            <w:noWrap/>
          </w:tcPr>
          <w:p w14:paraId="32AD7039" w14:textId="77C6FA6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42B71BE4" w14:textId="3055CCF6"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1.10</w:t>
            </w:r>
          </w:p>
        </w:tc>
        <w:tc>
          <w:tcPr>
            <w:tcW w:w="0" w:type="auto"/>
            <w:tcBorders>
              <w:top w:val="nil"/>
              <w:left w:val="nil"/>
              <w:bottom w:val="nil"/>
              <w:right w:val="single" w:sz="4" w:space="0" w:color="auto"/>
            </w:tcBorders>
            <w:shd w:val="clear" w:color="auto" w:fill="auto"/>
            <w:noWrap/>
          </w:tcPr>
          <w:p w14:paraId="05B5C3DC" w14:textId="66A4B7A2"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r>
      <w:tr w:rsidR="00C474DC" w:rsidRPr="00714E84" w14:paraId="7EF35782" w14:textId="77777777" w:rsidTr="00C474DC">
        <w:tc>
          <w:tcPr>
            <w:tcW w:w="0" w:type="auto"/>
            <w:tcBorders>
              <w:top w:val="nil"/>
              <w:left w:val="single" w:sz="4" w:space="0" w:color="auto"/>
              <w:bottom w:val="nil"/>
              <w:right w:val="nil"/>
            </w:tcBorders>
            <w:shd w:val="clear" w:color="auto" w:fill="auto"/>
            <w:noWrap/>
            <w:vAlign w:val="bottom"/>
            <w:hideMark/>
          </w:tcPr>
          <w:p w14:paraId="6E68B634" w14:textId="77777777" w:rsidR="00C474DC" w:rsidRPr="00714E84" w:rsidRDefault="00C474DC" w:rsidP="00C474DC">
            <w:pPr>
              <w:rPr>
                <w:rFonts w:asciiTheme="minorHAnsi" w:eastAsia="Times New Roman" w:hAnsiTheme="minorHAnsi" w:cstheme="minorHAnsi"/>
                <w:i/>
                <w:iCs/>
                <w:color w:val="000000"/>
                <w:sz w:val="18"/>
                <w:szCs w:val="18"/>
                <w:lang w:val="en-US" w:eastAsia="en-US"/>
              </w:rPr>
            </w:pPr>
            <w:r w:rsidRPr="00714E84">
              <w:rPr>
                <w:rFonts w:asciiTheme="minorHAnsi" w:eastAsia="Times New Roman" w:hAnsiTheme="minorHAnsi" w:cstheme="minorHAnsi"/>
                <w:i/>
                <w:iCs/>
                <w:color w:val="000000"/>
                <w:sz w:val="18"/>
                <w:szCs w:val="18"/>
                <w:lang w:val="en-US" w:eastAsia="en-US"/>
              </w:rPr>
              <w:t>Length of continuous employment</w:t>
            </w:r>
          </w:p>
          <w:p w14:paraId="4222DB28"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(in months)</w:t>
            </w:r>
          </w:p>
        </w:tc>
        <w:tc>
          <w:tcPr>
            <w:tcW w:w="0" w:type="auto"/>
            <w:tcBorders>
              <w:top w:val="nil"/>
              <w:left w:val="single" w:sz="4" w:space="0" w:color="auto"/>
              <w:bottom w:val="nil"/>
              <w:right w:val="nil"/>
            </w:tcBorders>
            <w:shd w:val="clear" w:color="auto" w:fill="auto"/>
            <w:noWrap/>
          </w:tcPr>
          <w:p w14:paraId="4E3E6785" w14:textId="3E7A5B29"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0.99</w:t>
            </w:r>
          </w:p>
        </w:tc>
        <w:tc>
          <w:tcPr>
            <w:tcW w:w="0" w:type="auto"/>
            <w:tcBorders>
              <w:top w:val="nil"/>
              <w:left w:val="nil"/>
              <w:bottom w:val="nil"/>
              <w:right w:val="single" w:sz="4" w:space="0" w:color="auto"/>
            </w:tcBorders>
            <w:shd w:val="clear" w:color="auto" w:fill="auto"/>
            <w:noWrap/>
          </w:tcPr>
          <w:p w14:paraId="4B1638ED" w14:textId="770802A4"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nil"/>
              <w:bottom w:val="nil"/>
              <w:right w:val="nil"/>
            </w:tcBorders>
            <w:shd w:val="clear" w:color="auto" w:fill="auto"/>
            <w:noWrap/>
          </w:tcPr>
          <w:p w14:paraId="2E92AD3F" w14:textId="6ABFB184"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0.99</w:t>
            </w:r>
          </w:p>
        </w:tc>
        <w:tc>
          <w:tcPr>
            <w:tcW w:w="0" w:type="auto"/>
            <w:tcBorders>
              <w:top w:val="nil"/>
              <w:left w:val="nil"/>
              <w:bottom w:val="nil"/>
              <w:right w:val="nil"/>
            </w:tcBorders>
            <w:shd w:val="clear" w:color="auto" w:fill="auto"/>
            <w:noWrap/>
          </w:tcPr>
          <w:p w14:paraId="4C0D18DC" w14:textId="570A1800"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single" w:sz="4" w:space="0" w:color="auto"/>
              <w:bottom w:val="nil"/>
              <w:right w:val="nil"/>
            </w:tcBorders>
            <w:shd w:val="clear" w:color="auto" w:fill="auto"/>
            <w:noWrap/>
          </w:tcPr>
          <w:p w14:paraId="2D7F9AFF" w14:textId="2452E62B"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0.99</w:t>
            </w:r>
          </w:p>
        </w:tc>
        <w:tc>
          <w:tcPr>
            <w:tcW w:w="0" w:type="auto"/>
            <w:tcBorders>
              <w:top w:val="nil"/>
              <w:left w:val="nil"/>
              <w:bottom w:val="nil"/>
              <w:right w:val="single" w:sz="4" w:space="0" w:color="auto"/>
            </w:tcBorders>
            <w:shd w:val="clear" w:color="auto" w:fill="auto"/>
            <w:noWrap/>
          </w:tcPr>
          <w:p w14:paraId="1369F1C5" w14:textId="1B54B8B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nil"/>
              <w:bottom w:val="nil"/>
              <w:right w:val="nil"/>
            </w:tcBorders>
            <w:shd w:val="clear" w:color="auto" w:fill="auto"/>
            <w:noWrap/>
          </w:tcPr>
          <w:p w14:paraId="626CD0D4" w14:textId="1436F521"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0.99</w:t>
            </w:r>
          </w:p>
        </w:tc>
        <w:tc>
          <w:tcPr>
            <w:tcW w:w="0" w:type="auto"/>
            <w:tcBorders>
              <w:top w:val="nil"/>
              <w:left w:val="nil"/>
              <w:bottom w:val="nil"/>
              <w:right w:val="nil"/>
            </w:tcBorders>
            <w:shd w:val="clear" w:color="auto" w:fill="auto"/>
            <w:noWrap/>
          </w:tcPr>
          <w:p w14:paraId="0394530D" w14:textId="1B669F0C"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single" w:sz="4" w:space="0" w:color="auto"/>
              <w:bottom w:val="nil"/>
              <w:right w:val="nil"/>
            </w:tcBorders>
            <w:shd w:val="clear" w:color="auto" w:fill="auto"/>
            <w:noWrap/>
          </w:tcPr>
          <w:p w14:paraId="6C42BAC3" w14:textId="1CF4F1B0"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0.99</w:t>
            </w:r>
          </w:p>
        </w:tc>
        <w:tc>
          <w:tcPr>
            <w:tcW w:w="0" w:type="auto"/>
            <w:tcBorders>
              <w:top w:val="nil"/>
              <w:left w:val="nil"/>
              <w:bottom w:val="nil"/>
              <w:right w:val="single" w:sz="4" w:space="0" w:color="auto"/>
            </w:tcBorders>
            <w:shd w:val="clear" w:color="auto" w:fill="auto"/>
            <w:noWrap/>
          </w:tcPr>
          <w:p w14:paraId="5703CF03" w14:textId="7BE8AAC0"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nil"/>
              <w:bottom w:val="nil"/>
              <w:right w:val="nil"/>
            </w:tcBorders>
            <w:shd w:val="clear" w:color="auto" w:fill="auto"/>
            <w:noWrap/>
          </w:tcPr>
          <w:p w14:paraId="48298FD0" w14:textId="231DAAC4"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0.99</w:t>
            </w:r>
          </w:p>
        </w:tc>
        <w:tc>
          <w:tcPr>
            <w:tcW w:w="0" w:type="auto"/>
            <w:tcBorders>
              <w:top w:val="nil"/>
              <w:left w:val="nil"/>
              <w:bottom w:val="nil"/>
              <w:right w:val="nil"/>
            </w:tcBorders>
            <w:shd w:val="clear" w:color="auto" w:fill="auto"/>
            <w:noWrap/>
          </w:tcPr>
          <w:p w14:paraId="7D7F03B6" w14:textId="442CD820"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single" w:sz="4" w:space="0" w:color="auto"/>
              <w:bottom w:val="nil"/>
              <w:right w:val="nil"/>
            </w:tcBorders>
            <w:shd w:val="clear" w:color="auto" w:fill="auto"/>
            <w:noWrap/>
          </w:tcPr>
          <w:p w14:paraId="0CBE6591" w14:textId="27814C56"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0.99</w:t>
            </w:r>
          </w:p>
        </w:tc>
        <w:tc>
          <w:tcPr>
            <w:tcW w:w="0" w:type="auto"/>
            <w:tcBorders>
              <w:top w:val="nil"/>
              <w:left w:val="nil"/>
              <w:bottom w:val="nil"/>
              <w:right w:val="single" w:sz="4" w:space="0" w:color="auto"/>
            </w:tcBorders>
            <w:shd w:val="clear" w:color="auto" w:fill="auto"/>
            <w:noWrap/>
          </w:tcPr>
          <w:p w14:paraId="7F4B164E" w14:textId="265A501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c>
          <w:tcPr>
            <w:tcW w:w="0" w:type="auto"/>
            <w:tcBorders>
              <w:top w:val="nil"/>
              <w:left w:val="nil"/>
              <w:bottom w:val="nil"/>
              <w:right w:val="nil"/>
            </w:tcBorders>
            <w:shd w:val="clear" w:color="auto" w:fill="auto"/>
            <w:noWrap/>
          </w:tcPr>
          <w:p w14:paraId="7EA3BC19" w14:textId="5825A505"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0.99</w:t>
            </w:r>
          </w:p>
        </w:tc>
        <w:tc>
          <w:tcPr>
            <w:tcW w:w="0" w:type="auto"/>
            <w:tcBorders>
              <w:top w:val="nil"/>
              <w:left w:val="nil"/>
              <w:bottom w:val="nil"/>
              <w:right w:val="single" w:sz="4" w:space="0" w:color="auto"/>
            </w:tcBorders>
            <w:shd w:val="clear" w:color="auto" w:fill="auto"/>
            <w:noWrap/>
          </w:tcPr>
          <w:p w14:paraId="6A73FE65" w14:textId="373886D6"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0.00</w:t>
            </w:r>
          </w:p>
        </w:tc>
      </w:tr>
      <w:tr w:rsidR="00C474DC" w:rsidRPr="00714E84" w14:paraId="4044805F" w14:textId="77777777" w:rsidTr="00C474DC">
        <w:tc>
          <w:tcPr>
            <w:tcW w:w="0" w:type="auto"/>
            <w:tcBorders>
              <w:top w:val="nil"/>
              <w:left w:val="single" w:sz="4" w:space="0" w:color="auto"/>
              <w:bottom w:val="nil"/>
              <w:right w:val="nil"/>
            </w:tcBorders>
            <w:shd w:val="clear" w:color="auto" w:fill="auto"/>
            <w:noWrap/>
            <w:vAlign w:val="bottom"/>
          </w:tcPr>
          <w:p w14:paraId="587108DE" w14:textId="77777777" w:rsidR="00C474DC" w:rsidRPr="00714E84" w:rsidRDefault="00C474DC" w:rsidP="00C474DC">
            <w:pPr>
              <w:rPr>
                <w:rFonts w:asciiTheme="minorHAnsi" w:eastAsia="Times New Roman" w:hAnsiTheme="minorHAnsi" w:cstheme="minorHAnsi"/>
                <w:b/>
                <w:bCs/>
                <w:i/>
                <w:iCs/>
                <w:color w:val="000000"/>
                <w:sz w:val="18"/>
                <w:szCs w:val="18"/>
                <w:lang w:val="en-US" w:eastAsia="en-US"/>
              </w:rPr>
            </w:pPr>
            <w:r w:rsidRPr="00714E84">
              <w:rPr>
                <w:rFonts w:asciiTheme="minorHAnsi" w:eastAsia="Times New Roman" w:hAnsiTheme="minorHAnsi" w:cstheme="minorHAnsi"/>
                <w:b/>
                <w:bCs/>
                <w:i/>
                <w:iCs/>
                <w:color w:val="000000"/>
                <w:sz w:val="18"/>
                <w:szCs w:val="18"/>
                <w:lang w:val="en-US" w:eastAsia="en-US"/>
              </w:rPr>
              <w:t xml:space="preserve">Industry Sector main job </w:t>
            </w:r>
          </w:p>
          <w:p w14:paraId="036E0332" w14:textId="77777777" w:rsidR="00C474DC" w:rsidRPr="00714E84" w:rsidRDefault="00C474DC" w:rsidP="00C474DC">
            <w:pPr>
              <w:rPr>
                <w:rFonts w:asciiTheme="minorHAnsi" w:eastAsia="Times New Roman" w:hAnsiTheme="minorHAnsi" w:cstheme="minorHAnsi"/>
                <w:i/>
                <w:iCs/>
                <w:color w:val="000000"/>
                <w:sz w:val="18"/>
                <w:szCs w:val="18"/>
                <w:lang w:val="en-US" w:eastAsia="en-US"/>
              </w:rPr>
            </w:pPr>
            <w:r w:rsidRPr="00714E84">
              <w:rPr>
                <w:rFonts w:asciiTheme="minorHAnsi" w:eastAsia="Times New Roman" w:hAnsiTheme="minorHAnsi" w:cstheme="minorHAnsi"/>
                <w:b/>
                <w:bCs/>
                <w:i/>
                <w:iCs/>
                <w:color w:val="000000"/>
                <w:sz w:val="18"/>
                <w:szCs w:val="18"/>
                <w:lang w:val="en-US" w:eastAsia="en-US"/>
              </w:rPr>
              <w:t>(distribution, hotels and restaurants)</w:t>
            </w:r>
          </w:p>
        </w:tc>
        <w:tc>
          <w:tcPr>
            <w:tcW w:w="0" w:type="auto"/>
            <w:tcBorders>
              <w:top w:val="nil"/>
              <w:left w:val="single" w:sz="4" w:space="0" w:color="auto"/>
              <w:bottom w:val="nil"/>
              <w:right w:val="nil"/>
            </w:tcBorders>
            <w:shd w:val="clear" w:color="auto" w:fill="auto"/>
            <w:noWrap/>
          </w:tcPr>
          <w:p w14:paraId="2E7D40C6"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162ABAD5"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004E3B20"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543EE183"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nil"/>
              <w:right w:val="nil"/>
            </w:tcBorders>
            <w:shd w:val="clear" w:color="auto" w:fill="auto"/>
            <w:noWrap/>
          </w:tcPr>
          <w:p w14:paraId="0B5E42D9"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3A37420B"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74ED7736"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55033CF1"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nil"/>
              <w:right w:val="nil"/>
            </w:tcBorders>
            <w:shd w:val="clear" w:color="auto" w:fill="auto"/>
            <w:noWrap/>
          </w:tcPr>
          <w:p w14:paraId="7845B9CC"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25F5B58E"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5E42D888" w14:textId="77777777" w:rsidR="00C474DC" w:rsidRPr="00714E84" w:rsidRDefault="00C474DC" w:rsidP="00C474DC">
            <w:pPr>
              <w:jc w:val="right"/>
              <w:rPr>
                <w:rFonts w:asciiTheme="minorHAnsi" w:eastAsia="Times New Roman" w:hAnsiTheme="minorHAnsi" w:cstheme="minorHAnsi"/>
                <w:b/>
                <w:bCs/>
                <w:color w:val="000000"/>
                <w:sz w:val="18"/>
                <w:szCs w:val="18"/>
                <w:lang w:val="en-US" w:eastAsia="en-US"/>
              </w:rPr>
            </w:pPr>
          </w:p>
        </w:tc>
        <w:tc>
          <w:tcPr>
            <w:tcW w:w="0" w:type="auto"/>
            <w:tcBorders>
              <w:top w:val="nil"/>
              <w:left w:val="nil"/>
              <w:bottom w:val="nil"/>
              <w:right w:val="nil"/>
            </w:tcBorders>
            <w:shd w:val="clear" w:color="auto" w:fill="auto"/>
            <w:noWrap/>
          </w:tcPr>
          <w:p w14:paraId="4579D257"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nil"/>
              <w:right w:val="nil"/>
            </w:tcBorders>
            <w:shd w:val="clear" w:color="auto" w:fill="auto"/>
            <w:noWrap/>
          </w:tcPr>
          <w:p w14:paraId="6D8733E3" w14:textId="77777777" w:rsidR="00C474DC" w:rsidRPr="00714E84" w:rsidRDefault="00C474DC" w:rsidP="00C474DC">
            <w:pPr>
              <w:jc w:val="right"/>
              <w:rPr>
                <w:rFonts w:asciiTheme="minorHAnsi" w:eastAsia="Times New Roman" w:hAnsiTheme="minorHAnsi" w:cstheme="minorHAnsi"/>
                <w:b/>
                <w:bCs/>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76DE74F6"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nil"/>
            </w:tcBorders>
            <w:shd w:val="clear" w:color="auto" w:fill="auto"/>
            <w:noWrap/>
          </w:tcPr>
          <w:p w14:paraId="4F39F7FA"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nil"/>
              <w:right w:val="single" w:sz="4" w:space="0" w:color="auto"/>
            </w:tcBorders>
            <w:shd w:val="clear" w:color="auto" w:fill="auto"/>
            <w:noWrap/>
          </w:tcPr>
          <w:p w14:paraId="7DEB2056"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r>
      <w:tr w:rsidR="00C474DC" w:rsidRPr="00714E84" w14:paraId="6F81E5F1" w14:textId="77777777" w:rsidTr="00C474DC">
        <w:tc>
          <w:tcPr>
            <w:tcW w:w="0" w:type="auto"/>
            <w:tcBorders>
              <w:top w:val="nil"/>
              <w:left w:val="single" w:sz="4" w:space="0" w:color="auto"/>
              <w:bottom w:val="nil"/>
              <w:right w:val="nil"/>
            </w:tcBorders>
            <w:shd w:val="clear" w:color="auto" w:fill="auto"/>
            <w:noWrap/>
            <w:vAlign w:val="bottom"/>
          </w:tcPr>
          <w:p w14:paraId="1EFDA38A"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Agriculture, forestry and fishing</w:t>
            </w:r>
          </w:p>
        </w:tc>
        <w:tc>
          <w:tcPr>
            <w:tcW w:w="0" w:type="auto"/>
            <w:tcBorders>
              <w:top w:val="nil"/>
              <w:left w:val="single" w:sz="4" w:space="0" w:color="auto"/>
              <w:bottom w:val="nil"/>
              <w:right w:val="nil"/>
            </w:tcBorders>
            <w:shd w:val="clear" w:color="auto" w:fill="auto"/>
            <w:noWrap/>
          </w:tcPr>
          <w:p w14:paraId="0377B59C" w14:textId="638F52FA"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1.54</w:t>
            </w:r>
          </w:p>
        </w:tc>
        <w:tc>
          <w:tcPr>
            <w:tcW w:w="0" w:type="auto"/>
            <w:tcBorders>
              <w:top w:val="nil"/>
              <w:left w:val="nil"/>
              <w:bottom w:val="nil"/>
              <w:right w:val="single" w:sz="4" w:space="0" w:color="auto"/>
            </w:tcBorders>
            <w:shd w:val="clear" w:color="auto" w:fill="auto"/>
            <w:noWrap/>
          </w:tcPr>
          <w:p w14:paraId="227ED84C" w14:textId="0C6F2E8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0.14</w:t>
            </w:r>
          </w:p>
        </w:tc>
        <w:tc>
          <w:tcPr>
            <w:tcW w:w="0" w:type="auto"/>
            <w:tcBorders>
              <w:top w:val="nil"/>
              <w:left w:val="nil"/>
              <w:bottom w:val="nil"/>
              <w:right w:val="nil"/>
            </w:tcBorders>
            <w:shd w:val="clear" w:color="auto" w:fill="auto"/>
            <w:noWrap/>
          </w:tcPr>
          <w:p w14:paraId="773C9F0B" w14:textId="6AEED53A"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1.60</w:t>
            </w:r>
          </w:p>
        </w:tc>
        <w:tc>
          <w:tcPr>
            <w:tcW w:w="0" w:type="auto"/>
            <w:tcBorders>
              <w:top w:val="nil"/>
              <w:left w:val="nil"/>
              <w:bottom w:val="nil"/>
              <w:right w:val="nil"/>
            </w:tcBorders>
            <w:shd w:val="clear" w:color="auto" w:fill="auto"/>
            <w:noWrap/>
          </w:tcPr>
          <w:p w14:paraId="6BAE551E" w14:textId="6776FBB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0.14</w:t>
            </w:r>
          </w:p>
        </w:tc>
        <w:tc>
          <w:tcPr>
            <w:tcW w:w="0" w:type="auto"/>
            <w:tcBorders>
              <w:top w:val="nil"/>
              <w:left w:val="single" w:sz="4" w:space="0" w:color="auto"/>
              <w:bottom w:val="nil"/>
              <w:right w:val="nil"/>
            </w:tcBorders>
            <w:shd w:val="clear" w:color="auto" w:fill="auto"/>
            <w:noWrap/>
          </w:tcPr>
          <w:p w14:paraId="1A043DF0" w14:textId="50601D11"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1.36</w:t>
            </w:r>
          </w:p>
        </w:tc>
        <w:tc>
          <w:tcPr>
            <w:tcW w:w="0" w:type="auto"/>
            <w:tcBorders>
              <w:top w:val="nil"/>
              <w:left w:val="nil"/>
              <w:bottom w:val="nil"/>
              <w:right w:val="single" w:sz="4" w:space="0" w:color="auto"/>
            </w:tcBorders>
            <w:shd w:val="clear" w:color="auto" w:fill="auto"/>
            <w:noWrap/>
          </w:tcPr>
          <w:p w14:paraId="2FC8D22A" w14:textId="1247FA1B"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0.12</w:t>
            </w:r>
          </w:p>
        </w:tc>
        <w:tc>
          <w:tcPr>
            <w:tcW w:w="0" w:type="auto"/>
            <w:tcBorders>
              <w:top w:val="nil"/>
              <w:left w:val="nil"/>
              <w:bottom w:val="nil"/>
              <w:right w:val="nil"/>
            </w:tcBorders>
            <w:shd w:val="clear" w:color="auto" w:fill="auto"/>
            <w:noWrap/>
          </w:tcPr>
          <w:p w14:paraId="46337504" w14:textId="791A3C0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1.50</w:t>
            </w:r>
          </w:p>
        </w:tc>
        <w:tc>
          <w:tcPr>
            <w:tcW w:w="0" w:type="auto"/>
            <w:tcBorders>
              <w:top w:val="nil"/>
              <w:left w:val="nil"/>
              <w:bottom w:val="nil"/>
              <w:right w:val="nil"/>
            </w:tcBorders>
            <w:shd w:val="clear" w:color="auto" w:fill="auto"/>
            <w:noWrap/>
          </w:tcPr>
          <w:p w14:paraId="3F1CF98A" w14:textId="7E7E0660"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0.13</w:t>
            </w:r>
          </w:p>
        </w:tc>
        <w:tc>
          <w:tcPr>
            <w:tcW w:w="0" w:type="auto"/>
            <w:tcBorders>
              <w:top w:val="nil"/>
              <w:left w:val="single" w:sz="4" w:space="0" w:color="auto"/>
              <w:bottom w:val="nil"/>
              <w:right w:val="nil"/>
            </w:tcBorders>
            <w:shd w:val="clear" w:color="auto" w:fill="auto"/>
            <w:noWrap/>
          </w:tcPr>
          <w:p w14:paraId="559DE9DD" w14:textId="1E28AEF8"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2.02</w:t>
            </w:r>
          </w:p>
        </w:tc>
        <w:tc>
          <w:tcPr>
            <w:tcW w:w="0" w:type="auto"/>
            <w:tcBorders>
              <w:top w:val="nil"/>
              <w:left w:val="nil"/>
              <w:bottom w:val="nil"/>
              <w:right w:val="single" w:sz="4" w:space="0" w:color="auto"/>
            </w:tcBorders>
            <w:shd w:val="clear" w:color="auto" w:fill="auto"/>
            <w:noWrap/>
          </w:tcPr>
          <w:p w14:paraId="2621AF1C" w14:textId="19CD1D1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0.21</w:t>
            </w:r>
          </w:p>
        </w:tc>
        <w:tc>
          <w:tcPr>
            <w:tcW w:w="0" w:type="auto"/>
            <w:tcBorders>
              <w:top w:val="nil"/>
              <w:left w:val="nil"/>
              <w:bottom w:val="nil"/>
              <w:right w:val="nil"/>
            </w:tcBorders>
            <w:shd w:val="clear" w:color="auto" w:fill="auto"/>
            <w:noWrap/>
          </w:tcPr>
          <w:p w14:paraId="75478741" w14:textId="4031CD2E"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1.80</w:t>
            </w:r>
          </w:p>
        </w:tc>
        <w:tc>
          <w:tcPr>
            <w:tcW w:w="0" w:type="auto"/>
            <w:tcBorders>
              <w:top w:val="nil"/>
              <w:left w:val="nil"/>
              <w:bottom w:val="nil"/>
              <w:right w:val="nil"/>
            </w:tcBorders>
            <w:shd w:val="clear" w:color="auto" w:fill="auto"/>
            <w:noWrap/>
          </w:tcPr>
          <w:p w14:paraId="541CD0C2" w14:textId="5199310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0.19</w:t>
            </w:r>
          </w:p>
        </w:tc>
        <w:tc>
          <w:tcPr>
            <w:tcW w:w="0" w:type="auto"/>
            <w:tcBorders>
              <w:top w:val="nil"/>
              <w:left w:val="single" w:sz="4" w:space="0" w:color="auto"/>
              <w:bottom w:val="nil"/>
              <w:right w:val="nil"/>
            </w:tcBorders>
            <w:shd w:val="clear" w:color="auto" w:fill="auto"/>
            <w:noWrap/>
          </w:tcPr>
          <w:p w14:paraId="70817DF6" w14:textId="42A6467A"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1.60</w:t>
            </w:r>
          </w:p>
        </w:tc>
        <w:tc>
          <w:tcPr>
            <w:tcW w:w="0" w:type="auto"/>
            <w:tcBorders>
              <w:top w:val="nil"/>
              <w:left w:val="nil"/>
              <w:bottom w:val="nil"/>
              <w:right w:val="single" w:sz="4" w:space="0" w:color="auto"/>
            </w:tcBorders>
            <w:shd w:val="clear" w:color="auto" w:fill="auto"/>
            <w:noWrap/>
          </w:tcPr>
          <w:p w14:paraId="32CA3E41" w14:textId="7FEA9E51"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0.20</w:t>
            </w:r>
          </w:p>
        </w:tc>
        <w:tc>
          <w:tcPr>
            <w:tcW w:w="0" w:type="auto"/>
            <w:tcBorders>
              <w:top w:val="nil"/>
              <w:left w:val="nil"/>
              <w:bottom w:val="nil"/>
              <w:right w:val="nil"/>
            </w:tcBorders>
            <w:shd w:val="clear" w:color="auto" w:fill="auto"/>
            <w:noWrap/>
          </w:tcPr>
          <w:p w14:paraId="13C30F12" w14:textId="7F06B912"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1.84</w:t>
            </w:r>
          </w:p>
        </w:tc>
        <w:tc>
          <w:tcPr>
            <w:tcW w:w="0" w:type="auto"/>
            <w:tcBorders>
              <w:top w:val="nil"/>
              <w:left w:val="nil"/>
              <w:bottom w:val="nil"/>
              <w:right w:val="single" w:sz="4" w:space="0" w:color="auto"/>
            </w:tcBorders>
            <w:shd w:val="clear" w:color="auto" w:fill="auto"/>
            <w:noWrap/>
          </w:tcPr>
          <w:p w14:paraId="3D25D5A5" w14:textId="3FF6D48F"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0.20</w:t>
            </w:r>
          </w:p>
        </w:tc>
      </w:tr>
      <w:tr w:rsidR="00C474DC" w:rsidRPr="00714E84" w14:paraId="07251815" w14:textId="77777777" w:rsidTr="00C474DC">
        <w:tc>
          <w:tcPr>
            <w:tcW w:w="0" w:type="auto"/>
            <w:tcBorders>
              <w:top w:val="nil"/>
              <w:left w:val="single" w:sz="4" w:space="0" w:color="auto"/>
              <w:bottom w:val="nil"/>
              <w:right w:val="nil"/>
            </w:tcBorders>
            <w:shd w:val="clear" w:color="auto" w:fill="auto"/>
            <w:noWrap/>
            <w:vAlign w:val="bottom"/>
          </w:tcPr>
          <w:p w14:paraId="655F47EF"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Energy and water</w:t>
            </w:r>
          </w:p>
        </w:tc>
        <w:tc>
          <w:tcPr>
            <w:tcW w:w="0" w:type="auto"/>
            <w:tcBorders>
              <w:top w:val="nil"/>
              <w:left w:val="single" w:sz="4" w:space="0" w:color="auto"/>
              <w:bottom w:val="nil"/>
              <w:right w:val="nil"/>
            </w:tcBorders>
            <w:shd w:val="clear" w:color="auto" w:fill="auto"/>
            <w:noWrap/>
          </w:tcPr>
          <w:p w14:paraId="13577F8F" w14:textId="205854CC"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1.08</w:t>
            </w:r>
          </w:p>
        </w:tc>
        <w:tc>
          <w:tcPr>
            <w:tcW w:w="0" w:type="auto"/>
            <w:tcBorders>
              <w:top w:val="nil"/>
              <w:left w:val="nil"/>
              <w:bottom w:val="nil"/>
              <w:right w:val="single" w:sz="4" w:space="0" w:color="auto"/>
            </w:tcBorders>
            <w:shd w:val="clear" w:color="auto" w:fill="auto"/>
            <w:noWrap/>
          </w:tcPr>
          <w:p w14:paraId="1EC53B5C" w14:textId="77B9DD9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nil"/>
              <w:bottom w:val="nil"/>
              <w:right w:val="nil"/>
            </w:tcBorders>
            <w:shd w:val="clear" w:color="auto" w:fill="auto"/>
            <w:noWrap/>
          </w:tcPr>
          <w:p w14:paraId="0F830AEC" w14:textId="5AA3A02D"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1.21</w:t>
            </w:r>
          </w:p>
        </w:tc>
        <w:tc>
          <w:tcPr>
            <w:tcW w:w="0" w:type="auto"/>
            <w:tcBorders>
              <w:top w:val="nil"/>
              <w:left w:val="nil"/>
              <w:bottom w:val="nil"/>
              <w:right w:val="nil"/>
            </w:tcBorders>
            <w:shd w:val="clear" w:color="auto" w:fill="auto"/>
            <w:noWrap/>
          </w:tcPr>
          <w:p w14:paraId="3146B2B0" w14:textId="5244D27C"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0.08</w:t>
            </w:r>
          </w:p>
        </w:tc>
        <w:tc>
          <w:tcPr>
            <w:tcW w:w="0" w:type="auto"/>
            <w:tcBorders>
              <w:top w:val="nil"/>
              <w:left w:val="single" w:sz="4" w:space="0" w:color="auto"/>
              <w:bottom w:val="nil"/>
              <w:right w:val="nil"/>
            </w:tcBorders>
            <w:shd w:val="clear" w:color="auto" w:fill="auto"/>
            <w:noWrap/>
          </w:tcPr>
          <w:p w14:paraId="0041D133" w14:textId="6E52AAFB"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single" w:sz="4" w:space="0" w:color="auto"/>
            </w:tcBorders>
            <w:shd w:val="clear" w:color="auto" w:fill="auto"/>
            <w:noWrap/>
          </w:tcPr>
          <w:p w14:paraId="78033B09" w14:textId="747662D4"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nil"/>
              <w:bottom w:val="nil"/>
              <w:right w:val="nil"/>
            </w:tcBorders>
            <w:shd w:val="clear" w:color="auto" w:fill="auto"/>
            <w:noWrap/>
          </w:tcPr>
          <w:p w14:paraId="2EFCBA3D" w14:textId="43C77A4D"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1.05</w:t>
            </w:r>
          </w:p>
        </w:tc>
        <w:tc>
          <w:tcPr>
            <w:tcW w:w="0" w:type="auto"/>
            <w:tcBorders>
              <w:top w:val="nil"/>
              <w:left w:val="nil"/>
              <w:bottom w:val="nil"/>
              <w:right w:val="nil"/>
            </w:tcBorders>
            <w:shd w:val="clear" w:color="auto" w:fill="auto"/>
            <w:noWrap/>
          </w:tcPr>
          <w:p w14:paraId="308182AA" w14:textId="56ABA554"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single" w:sz="4" w:space="0" w:color="auto"/>
              <w:bottom w:val="nil"/>
              <w:right w:val="nil"/>
            </w:tcBorders>
            <w:shd w:val="clear" w:color="auto" w:fill="auto"/>
            <w:noWrap/>
          </w:tcPr>
          <w:p w14:paraId="737E78B0" w14:textId="6CE1A949"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1.30</w:t>
            </w:r>
          </w:p>
        </w:tc>
        <w:tc>
          <w:tcPr>
            <w:tcW w:w="0" w:type="auto"/>
            <w:tcBorders>
              <w:top w:val="nil"/>
              <w:left w:val="nil"/>
              <w:bottom w:val="nil"/>
              <w:right w:val="single" w:sz="4" w:space="0" w:color="auto"/>
            </w:tcBorders>
            <w:shd w:val="clear" w:color="auto" w:fill="auto"/>
            <w:noWrap/>
          </w:tcPr>
          <w:p w14:paraId="55E8FC56" w14:textId="28283C9F"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nil"/>
              <w:bottom w:val="nil"/>
              <w:right w:val="nil"/>
            </w:tcBorders>
            <w:shd w:val="clear" w:color="auto" w:fill="auto"/>
            <w:noWrap/>
          </w:tcPr>
          <w:p w14:paraId="66254795" w14:textId="7CFAD924"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1.13</w:t>
            </w:r>
          </w:p>
        </w:tc>
        <w:tc>
          <w:tcPr>
            <w:tcW w:w="0" w:type="auto"/>
            <w:tcBorders>
              <w:top w:val="nil"/>
              <w:left w:val="nil"/>
              <w:bottom w:val="nil"/>
              <w:right w:val="nil"/>
            </w:tcBorders>
            <w:shd w:val="clear" w:color="auto" w:fill="auto"/>
            <w:noWrap/>
          </w:tcPr>
          <w:p w14:paraId="3F37FEE3" w14:textId="3E69471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single" w:sz="4" w:space="0" w:color="auto"/>
              <w:bottom w:val="nil"/>
              <w:right w:val="nil"/>
            </w:tcBorders>
            <w:shd w:val="clear" w:color="auto" w:fill="auto"/>
            <w:noWrap/>
          </w:tcPr>
          <w:p w14:paraId="623A298C" w14:textId="66C88E1F"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1.06</w:t>
            </w:r>
          </w:p>
        </w:tc>
        <w:tc>
          <w:tcPr>
            <w:tcW w:w="0" w:type="auto"/>
            <w:tcBorders>
              <w:top w:val="nil"/>
              <w:left w:val="nil"/>
              <w:bottom w:val="nil"/>
              <w:right w:val="single" w:sz="4" w:space="0" w:color="auto"/>
            </w:tcBorders>
            <w:shd w:val="clear" w:color="auto" w:fill="auto"/>
            <w:noWrap/>
          </w:tcPr>
          <w:p w14:paraId="6C58CCF4" w14:textId="37012F7A"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0.07</w:t>
            </w:r>
          </w:p>
        </w:tc>
        <w:tc>
          <w:tcPr>
            <w:tcW w:w="0" w:type="auto"/>
            <w:tcBorders>
              <w:top w:val="nil"/>
              <w:left w:val="nil"/>
              <w:bottom w:val="nil"/>
              <w:right w:val="nil"/>
            </w:tcBorders>
            <w:shd w:val="clear" w:color="auto" w:fill="auto"/>
            <w:noWrap/>
          </w:tcPr>
          <w:p w14:paraId="25BB9877" w14:textId="7B4556E0"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1.11</w:t>
            </w:r>
          </w:p>
        </w:tc>
        <w:tc>
          <w:tcPr>
            <w:tcW w:w="0" w:type="auto"/>
            <w:tcBorders>
              <w:top w:val="nil"/>
              <w:left w:val="nil"/>
              <w:bottom w:val="nil"/>
              <w:right w:val="single" w:sz="4" w:space="0" w:color="auto"/>
            </w:tcBorders>
            <w:shd w:val="clear" w:color="auto" w:fill="auto"/>
            <w:noWrap/>
          </w:tcPr>
          <w:p w14:paraId="28D4CF65" w14:textId="2E22C2EA"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r>
      <w:tr w:rsidR="00C474DC" w:rsidRPr="00714E84" w14:paraId="6D9EDAEF" w14:textId="77777777" w:rsidTr="00C474DC">
        <w:tc>
          <w:tcPr>
            <w:tcW w:w="0" w:type="auto"/>
            <w:tcBorders>
              <w:top w:val="nil"/>
              <w:left w:val="single" w:sz="4" w:space="0" w:color="auto"/>
              <w:bottom w:val="nil"/>
              <w:right w:val="nil"/>
            </w:tcBorders>
            <w:shd w:val="clear" w:color="auto" w:fill="auto"/>
            <w:noWrap/>
            <w:vAlign w:val="bottom"/>
          </w:tcPr>
          <w:p w14:paraId="35198E8F"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Manufacturing</w:t>
            </w:r>
          </w:p>
        </w:tc>
        <w:tc>
          <w:tcPr>
            <w:tcW w:w="0" w:type="auto"/>
            <w:tcBorders>
              <w:top w:val="nil"/>
              <w:left w:val="single" w:sz="4" w:space="0" w:color="auto"/>
              <w:bottom w:val="nil"/>
              <w:right w:val="nil"/>
            </w:tcBorders>
            <w:shd w:val="clear" w:color="auto" w:fill="auto"/>
            <w:noWrap/>
          </w:tcPr>
          <w:p w14:paraId="307ECEE1" w14:textId="3076CEA3"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single" w:sz="4" w:space="0" w:color="auto"/>
            </w:tcBorders>
            <w:shd w:val="clear" w:color="auto" w:fill="auto"/>
            <w:noWrap/>
          </w:tcPr>
          <w:p w14:paraId="0BD359CB" w14:textId="58E2028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4628823C" w14:textId="354BCDB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nil"/>
            </w:tcBorders>
            <w:shd w:val="clear" w:color="auto" w:fill="auto"/>
            <w:noWrap/>
          </w:tcPr>
          <w:p w14:paraId="1B190833" w14:textId="381FCA2F"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2A5C3C2F" w14:textId="7CBA64C2"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1.10</w:t>
            </w:r>
          </w:p>
        </w:tc>
        <w:tc>
          <w:tcPr>
            <w:tcW w:w="0" w:type="auto"/>
            <w:tcBorders>
              <w:top w:val="nil"/>
              <w:left w:val="nil"/>
              <w:bottom w:val="nil"/>
              <w:right w:val="single" w:sz="4" w:space="0" w:color="auto"/>
            </w:tcBorders>
            <w:shd w:val="clear" w:color="auto" w:fill="auto"/>
            <w:noWrap/>
          </w:tcPr>
          <w:p w14:paraId="2F7D9EA2" w14:textId="15B86F86"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013B723D" w14:textId="11F25AB0"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1.13</w:t>
            </w:r>
          </w:p>
        </w:tc>
        <w:tc>
          <w:tcPr>
            <w:tcW w:w="0" w:type="auto"/>
            <w:tcBorders>
              <w:top w:val="nil"/>
              <w:left w:val="nil"/>
              <w:bottom w:val="nil"/>
              <w:right w:val="nil"/>
            </w:tcBorders>
            <w:shd w:val="clear" w:color="auto" w:fill="auto"/>
            <w:noWrap/>
          </w:tcPr>
          <w:p w14:paraId="609A4947" w14:textId="198DDD3E"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19FA0EB3" w14:textId="2AAA7734"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1.14</w:t>
            </w:r>
          </w:p>
        </w:tc>
        <w:tc>
          <w:tcPr>
            <w:tcW w:w="0" w:type="auto"/>
            <w:tcBorders>
              <w:top w:val="nil"/>
              <w:left w:val="nil"/>
              <w:bottom w:val="nil"/>
              <w:right w:val="single" w:sz="4" w:space="0" w:color="auto"/>
            </w:tcBorders>
            <w:shd w:val="clear" w:color="auto" w:fill="auto"/>
            <w:noWrap/>
          </w:tcPr>
          <w:p w14:paraId="2912A92B" w14:textId="68ABDEC1"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4BF09CAE" w14:textId="67D937DC"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1.04</w:t>
            </w:r>
          </w:p>
        </w:tc>
        <w:tc>
          <w:tcPr>
            <w:tcW w:w="0" w:type="auto"/>
            <w:tcBorders>
              <w:top w:val="nil"/>
              <w:left w:val="nil"/>
              <w:bottom w:val="nil"/>
              <w:right w:val="nil"/>
            </w:tcBorders>
            <w:shd w:val="clear" w:color="auto" w:fill="auto"/>
            <w:noWrap/>
          </w:tcPr>
          <w:p w14:paraId="68B792AE" w14:textId="1340F274"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65830463" w14:textId="43872A98"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single" w:sz="4" w:space="0" w:color="auto"/>
            </w:tcBorders>
            <w:shd w:val="clear" w:color="auto" w:fill="auto"/>
            <w:noWrap/>
          </w:tcPr>
          <w:p w14:paraId="6E4C285F" w14:textId="3379E9CD"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7AB5BF9E" w14:textId="069C6872"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single" w:sz="4" w:space="0" w:color="auto"/>
            </w:tcBorders>
            <w:shd w:val="clear" w:color="auto" w:fill="auto"/>
            <w:noWrap/>
          </w:tcPr>
          <w:p w14:paraId="2984FB06" w14:textId="395FA44C"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r>
      <w:tr w:rsidR="00C474DC" w:rsidRPr="00714E84" w14:paraId="2BA3040D" w14:textId="77777777" w:rsidTr="00C474DC">
        <w:tc>
          <w:tcPr>
            <w:tcW w:w="0" w:type="auto"/>
            <w:tcBorders>
              <w:top w:val="nil"/>
              <w:left w:val="single" w:sz="4" w:space="0" w:color="auto"/>
              <w:bottom w:val="nil"/>
              <w:right w:val="nil"/>
            </w:tcBorders>
            <w:shd w:val="clear" w:color="auto" w:fill="auto"/>
            <w:noWrap/>
            <w:vAlign w:val="bottom"/>
          </w:tcPr>
          <w:p w14:paraId="02420727"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 xml:space="preserve">Construction </w:t>
            </w:r>
          </w:p>
        </w:tc>
        <w:tc>
          <w:tcPr>
            <w:tcW w:w="0" w:type="auto"/>
            <w:tcBorders>
              <w:top w:val="nil"/>
              <w:left w:val="single" w:sz="4" w:space="0" w:color="auto"/>
              <w:bottom w:val="nil"/>
              <w:right w:val="nil"/>
            </w:tcBorders>
            <w:shd w:val="clear" w:color="auto" w:fill="auto"/>
            <w:noWrap/>
          </w:tcPr>
          <w:p w14:paraId="3A190E41" w14:textId="7187E189"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1.50</w:t>
            </w:r>
          </w:p>
        </w:tc>
        <w:tc>
          <w:tcPr>
            <w:tcW w:w="0" w:type="auto"/>
            <w:tcBorders>
              <w:top w:val="nil"/>
              <w:left w:val="nil"/>
              <w:bottom w:val="nil"/>
              <w:right w:val="single" w:sz="4" w:space="0" w:color="auto"/>
            </w:tcBorders>
            <w:shd w:val="clear" w:color="auto" w:fill="auto"/>
            <w:noWrap/>
          </w:tcPr>
          <w:p w14:paraId="6E449819" w14:textId="04E44593"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0.06</w:t>
            </w:r>
          </w:p>
        </w:tc>
        <w:tc>
          <w:tcPr>
            <w:tcW w:w="0" w:type="auto"/>
            <w:tcBorders>
              <w:top w:val="nil"/>
              <w:left w:val="nil"/>
              <w:bottom w:val="nil"/>
              <w:right w:val="nil"/>
            </w:tcBorders>
            <w:shd w:val="clear" w:color="auto" w:fill="auto"/>
            <w:noWrap/>
          </w:tcPr>
          <w:p w14:paraId="588BE8AC" w14:textId="369C4BB6"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1.45</w:t>
            </w:r>
          </w:p>
        </w:tc>
        <w:tc>
          <w:tcPr>
            <w:tcW w:w="0" w:type="auto"/>
            <w:tcBorders>
              <w:top w:val="nil"/>
              <w:left w:val="nil"/>
              <w:bottom w:val="nil"/>
              <w:right w:val="nil"/>
            </w:tcBorders>
            <w:shd w:val="clear" w:color="auto" w:fill="auto"/>
            <w:noWrap/>
          </w:tcPr>
          <w:p w14:paraId="0A69F66A" w14:textId="2511486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1E1EF183" w14:textId="5F9B23B2"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1.35</w:t>
            </w:r>
          </w:p>
        </w:tc>
        <w:tc>
          <w:tcPr>
            <w:tcW w:w="0" w:type="auto"/>
            <w:tcBorders>
              <w:top w:val="nil"/>
              <w:left w:val="nil"/>
              <w:bottom w:val="nil"/>
              <w:right w:val="single" w:sz="4" w:space="0" w:color="auto"/>
            </w:tcBorders>
            <w:shd w:val="clear" w:color="auto" w:fill="auto"/>
            <w:noWrap/>
          </w:tcPr>
          <w:p w14:paraId="2424007D" w14:textId="5DB5507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14338358" w14:textId="726D5C0D"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1.32</w:t>
            </w:r>
          </w:p>
        </w:tc>
        <w:tc>
          <w:tcPr>
            <w:tcW w:w="0" w:type="auto"/>
            <w:tcBorders>
              <w:top w:val="nil"/>
              <w:left w:val="nil"/>
              <w:bottom w:val="nil"/>
              <w:right w:val="nil"/>
            </w:tcBorders>
            <w:shd w:val="clear" w:color="auto" w:fill="auto"/>
            <w:noWrap/>
          </w:tcPr>
          <w:p w14:paraId="174288D5" w14:textId="68715854"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6E882041" w14:textId="248D7C4A"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1.29</w:t>
            </w:r>
          </w:p>
        </w:tc>
        <w:tc>
          <w:tcPr>
            <w:tcW w:w="0" w:type="auto"/>
            <w:tcBorders>
              <w:top w:val="nil"/>
              <w:left w:val="nil"/>
              <w:bottom w:val="nil"/>
              <w:right w:val="single" w:sz="4" w:space="0" w:color="auto"/>
            </w:tcBorders>
            <w:shd w:val="clear" w:color="auto" w:fill="auto"/>
            <w:noWrap/>
          </w:tcPr>
          <w:p w14:paraId="774A4563" w14:textId="62E5E51E"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7754D6D4" w14:textId="3DA20576"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1.17</w:t>
            </w:r>
          </w:p>
        </w:tc>
        <w:tc>
          <w:tcPr>
            <w:tcW w:w="0" w:type="auto"/>
            <w:tcBorders>
              <w:top w:val="nil"/>
              <w:left w:val="nil"/>
              <w:bottom w:val="nil"/>
              <w:right w:val="nil"/>
            </w:tcBorders>
            <w:shd w:val="clear" w:color="auto" w:fill="auto"/>
            <w:noWrap/>
          </w:tcPr>
          <w:p w14:paraId="0CC28A90" w14:textId="0BB857FD"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bottom w:val="nil"/>
              <w:right w:val="nil"/>
            </w:tcBorders>
            <w:shd w:val="clear" w:color="auto" w:fill="auto"/>
            <w:noWrap/>
          </w:tcPr>
          <w:p w14:paraId="1E4A806B" w14:textId="670B3C7B"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1.10</w:t>
            </w:r>
          </w:p>
        </w:tc>
        <w:tc>
          <w:tcPr>
            <w:tcW w:w="0" w:type="auto"/>
            <w:tcBorders>
              <w:top w:val="nil"/>
              <w:left w:val="nil"/>
              <w:bottom w:val="nil"/>
              <w:right w:val="single" w:sz="4" w:space="0" w:color="auto"/>
            </w:tcBorders>
            <w:shd w:val="clear" w:color="auto" w:fill="auto"/>
            <w:noWrap/>
          </w:tcPr>
          <w:p w14:paraId="2B2D5500" w14:textId="351C20D0"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0522A976" w14:textId="252ECB02"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1.13</w:t>
            </w:r>
          </w:p>
        </w:tc>
        <w:tc>
          <w:tcPr>
            <w:tcW w:w="0" w:type="auto"/>
            <w:tcBorders>
              <w:top w:val="nil"/>
              <w:left w:val="nil"/>
              <w:bottom w:val="nil"/>
              <w:right w:val="single" w:sz="4" w:space="0" w:color="auto"/>
            </w:tcBorders>
            <w:shd w:val="clear" w:color="auto" w:fill="auto"/>
            <w:noWrap/>
          </w:tcPr>
          <w:p w14:paraId="1DCBB9C9" w14:textId="0F2EC593"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r>
      <w:tr w:rsidR="00C474DC" w:rsidRPr="00714E84" w14:paraId="63BA266F" w14:textId="77777777" w:rsidTr="00C474DC">
        <w:tc>
          <w:tcPr>
            <w:tcW w:w="0" w:type="auto"/>
            <w:tcBorders>
              <w:top w:val="nil"/>
              <w:left w:val="single" w:sz="4" w:space="0" w:color="auto"/>
              <w:bottom w:val="nil"/>
              <w:right w:val="nil"/>
            </w:tcBorders>
            <w:shd w:val="clear" w:color="auto" w:fill="auto"/>
            <w:noWrap/>
            <w:vAlign w:val="bottom"/>
          </w:tcPr>
          <w:p w14:paraId="27DF2AC2"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Transport and communication</w:t>
            </w:r>
          </w:p>
        </w:tc>
        <w:tc>
          <w:tcPr>
            <w:tcW w:w="0" w:type="auto"/>
            <w:tcBorders>
              <w:top w:val="nil"/>
              <w:left w:val="single" w:sz="4" w:space="0" w:color="auto"/>
              <w:bottom w:val="nil"/>
              <w:right w:val="nil"/>
            </w:tcBorders>
            <w:shd w:val="clear" w:color="auto" w:fill="auto"/>
            <w:noWrap/>
          </w:tcPr>
          <w:p w14:paraId="37782B9E" w14:textId="444DD52B"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1.41</w:t>
            </w:r>
          </w:p>
        </w:tc>
        <w:tc>
          <w:tcPr>
            <w:tcW w:w="0" w:type="auto"/>
            <w:tcBorders>
              <w:top w:val="nil"/>
              <w:left w:val="nil"/>
              <w:bottom w:val="nil"/>
              <w:right w:val="single" w:sz="4" w:space="0" w:color="auto"/>
            </w:tcBorders>
            <w:shd w:val="clear" w:color="auto" w:fill="auto"/>
            <w:noWrap/>
          </w:tcPr>
          <w:p w14:paraId="182E2FC2" w14:textId="78F7B85F"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3EEAD368" w14:textId="2313759B"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1.43</w:t>
            </w:r>
          </w:p>
        </w:tc>
        <w:tc>
          <w:tcPr>
            <w:tcW w:w="0" w:type="auto"/>
            <w:tcBorders>
              <w:top w:val="nil"/>
              <w:left w:val="nil"/>
              <w:bottom w:val="nil"/>
              <w:right w:val="nil"/>
            </w:tcBorders>
            <w:shd w:val="clear" w:color="auto" w:fill="auto"/>
            <w:noWrap/>
          </w:tcPr>
          <w:p w14:paraId="51BD23E2" w14:textId="3C937B26"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60166C8B" w14:textId="0FDC8ED2"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1.40</w:t>
            </w:r>
          </w:p>
        </w:tc>
        <w:tc>
          <w:tcPr>
            <w:tcW w:w="0" w:type="auto"/>
            <w:tcBorders>
              <w:top w:val="nil"/>
              <w:left w:val="nil"/>
              <w:bottom w:val="nil"/>
              <w:right w:val="single" w:sz="4" w:space="0" w:color="auto"/>
            </w:tcBorders>
            <w:shd w:val="clear" w:color="auto" w:fill="auto"/>
            <w:noWrap/>
          </w:tcPr>
          <w:p w14:paraId="574EE95C" w14:textId="1B5FBA80"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bottom w:val="nil"/>
              <w:right w:val="nil"/>
            </w:tcBorders>
            <w:shd w:val="clear" w:color="auto" w:fill="auto"/>
            <w:noWrap/>
          </w:tcPr>
          <w:p w14:paraId="095B5899" w14:textId="5F568739"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1.40</w:t>
            </w:r>
          </w:p>
        </w:tc>
        <w:tc>
          <w:tcPr>
            <w:tcW w:w="0" w:type="auto"/>
            <w:tcBorders>
              <w:top w:val="nil"/>
              <w:left w:val="nil"/>
              <w:bottom w:val="nil"/>
              <w:right w:val="nil"/>
            </w:tcBorders>
            <w:shd w:val="clear" w:color="auto" w:fill="auto"/>
            <w:noWrap/>
          </w:tcPr>
          <w:p w14:paraId="1062A7D2" w14:textId="158E8773"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bottom w:val="nil"/>
              <w:right w:val="nil"/>
            </w:tcBorders>
            <w:shd w:val="clear" w:color="auto" w:fill="auto"/>
            <w:noWrap/>
          </w:tcPr>
          <w:p w14:paraId="33CCECA5" w14:textId="28939F9E"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1.16</w:t>
            </w:r>
          </w:p>
        </w:tc>
        <w:tc>
          <w:tcPr>
            <w:tcW w:w="0" w:type="auto"/>
            <w:tcBorders>
              <w:top w:val="nil"/>
              <w:left w:val="nil"/>
              <w:bottom w:val="nil"/>
              <w:right w:val="single" w:sz="4" w:space="0" w:color="auto"/>
            </w:tcBorders>
            <w:shd w:val="clear" w:color="auto" w:fill="auto"/>
            <w:noWrap/>
          </w:tcPr>
          <w:p w14:paraId="579F491C" w14:textId="425F4392"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14C4A8D7" w14:textId="3A14296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1.08</w:t>
            </w:r>
          </w:p>
        </w:tc>
        <w:tc>
          <w:tcPr>
            <w:tcW w:w="0" w:type="auto"/>
            <w:tcBorders>
              <w:top w:val="nil"/>
              <w:left w:val="nil"/>
              <w:bottom w:val="nil"/>
              <w:right w:val="nil"/>
            </w:tcBorders>
            <w:shd w:val="clear" w:color="auto" w:fill="auto"/>
            <w:noWrap/>
          </w:tcPr>
          <w:p w14:paraId="578E08A3" w14:textId="32851981"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bottom w:val="nil"/>
              <w:right w:val="nil"/>
            </w:tcBorders>
            <w:shd w:val="clear" w:color="auto" w:fill="auto"/>
            <w:noWrap/>
          </w:tcPr>
          <w:p w14:paraId="7EEE2875" w14:textId="1323952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0.98</w:t>
            </w:r>
          </w:p>
        </w:tc>
        <w:tc>
          <w:tcPr>
            <w:tcW w:w="0" w:type="auto"/>
            <w:tcBorders>
              <w:top w:val="nil"/>
              <w:left w:val="nil"/>
              <w:bottom w:val="nil"/>
              <w:right w:val="single" w:sz="4" w:space="0" w:color="auto"/>
            </w:tcBorders>
            <w:shd w:val="clear" w:color="auto" w:fill="auto"/>
            <w:noWrap/>
          </w:tcPr>
          <w:p w14:paraId="11930924" w14:textId="571D6E2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bottom w:val="nil"/>
              <w:right w:val="nil"/>
            </w:tcBorders>
            <w:shd w:val="clear" w:color="auto" w:fill="auto"/>
            <w:noWrap/>
          </w:tcPr>
          <w:p w14:paraId="50D26EA3" w14:textId="105E5493"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0.95</w:t>
            </w:r>
          </w:p>
        </w:tc>
        <w:tc>
          <w:tcPr>
            <w:tcW w:w="0" w:type="auto"/>
            <w:tcBorders>
              <w:top w:val="nil"/>
              <w:left w:val="nil"/>
              <w:bottom w:val="nil"/>
              <w:right w:val="single" w:sz="4" w:space="0" w:color="auto"/>
            </w:tcBorders>
            <w:shd w:val="clear" w:color="auto" w:fill="auto"/>
            <w:noWrap/>
          </w:tcPr>
          <w:p w14:paraId="33EB44C6" w14:textId="0DDF3969"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r>
      <w:tr w:rsidR="00C474DC" w:rsidRPr="00714E84" w14:paraId="7490B9AD" w14:textId="77777777" w:rsidTr="00C474DC">
        <w:tc>
          <w:tcPr>
            <w:tcW w:w="0" w:type="auto"/>
            <w:tcBorders>
              <w:top w:val="nil"/>
              <w:left w:val="single" w:sz="4" w:space="0" w:color="auto"/>
              <w:bottom w:val="nil"/>
              <w:right w:val="nil"/>
            </w:tcBorders>
            <w:shd w:val="clear" w:color="auto" w:fill="auto"/>
            <w:noWrap/>
            <w:vAlign w:val="bottom"/>
          </w:tcPr>
          <w:p w14:paraId="77616D9A"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Banking and finance</w:t>
            </w:r>
          </w:p>
        </w:tc>
        <w:tc>
          <w:tcPr>
            <w:tcW w:w="0" w:type="auto"/>
            <w:tcBorders>
              <w:top w:val="nil"/>
              <w:left w:val="single" w:sz="4" w:space="0" w:color="auto"/>
              <w:bottom w:val="nil"/>
              <w:right w:val="nil"/>
            </w:tcBorders>
            <w:shd w:val="clear" w:color="auto" w:fill="auto"/>
            <w:noWrap/>
          </w:tcPr>
          <w:p w14:paraId="6FB6A1C2" w14:textId="526907FA"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0.88</w:t>
            </w:r>
          </w:p>
        </w:tc>
        <w:tc>
          <w:tcPr>
            <w:tcW w:w="0" w:type="auto"/>
            <w:tcBorders>
              <w:top w:val="nil"/>
              <w:left w:val="nil"/>
              <w:bottom w:val="nil"/>
              <w:right w:val="single" w:sz="4" w:space="0" w:color="auto"/>
            </w:tcBorders>
            <w:shd w:val="clear" w:color="auto" w:fill="auto"/>
            <w:noWrap/>
          </w:tcPr>
          <w:p w14:paraId="4C687035" w14:textId="2263D83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5DA58E46" w14:textId="00E8315B"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0.84</w:t>
            </w:r>
          </w:p>
        </w:tc>
        <w:tc>
          <w:tcPr>
            <w:tcW w:w="0" w:type="auto"/>
            <w:tcBorders>
              <w:top w:val="nil"/>
              <w:left w:val="nil"/>
              <w:bottom w:val="nil"/>
              <w:right w:val="nil"/>
            </w:tcBorders>
            <w:shd w:val="clear" w:color="auto" w:fill="auto"/>
            <w:noWrap/>
          </w:tcPr>
          <w:p w14:paraId="334FF849" w14:textId="66BA2DA6"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1DF4CEBB" w14:textId="42827A6B"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0.89</w:t>
            </w:r>
          </w:p>
        </w:tc>
        <w:tc>
          <w:tcPr>
            <w:tcW w:w="0" w:type="auto"/>
            <w:tcBorders>
              <w:top w:val="nil"/>
              <w:left w:val="nil"/>
              <w:bottom w:val="nil"/>
              <w:right w:val="single" w:sz="4" w:space="0" w:color="auto"/>
            </w:tcBorders>
            <w:shd w:val="clear" w:color="auto" w:fill="auto"/>
            <w:noWrap/>
          </w:tcPr>
          <w:p w14:paraId="53AB96FA" w14:textId="229F445F"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nil"/>
              <w:bottom w:val="nil"/>
              <w:right w:val="nil"/>
            </w:tcBorders>
            <w:shd w:val="clear" w:color="auto" w:fill="auto"/>
            <w:noWrap/>
          </w:tcPr>
          <w:p w14:paraId="78CBD3C0" w14:textId="17EF164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0.89</w:t>
            </w:r>
          </w:p>
        </w:tc>
        <w:tc>
          <w:tcPr>
            <w:tcW w:w="0" w:type="auto"/>
            <w:tcBorders>
              <w:top w:val="nil"/>
              <w:left w:val="nil"/>
              <w:bottom w:val="nil"/>
              <w:right w:val="nil"/>
            </w:tcBorders>
            <w:shd w:val="clear" w:color="auto" w:fill="auto"/>
            <w:noWrap/>
          </w:tcPr>
          <w:p w14:paraId="3E877246" w14:textId="4A3670EB"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c>
          <w:tcPr>
            <w:tcW w:w="0" w:type="auto"/>
            <w:tcBorders>
              <w:top w:val="nil"/>
              <w:left w:val="single" w:sz="4" w:space="0" w:color="auto"/>
              <w:bottom w:val="nil"/>
              <w:right w:val="nil"/>
            </w:tcBorders>
            <w:shd w:val="clear" w:color="auto" w:fill="auto"/>
            <w:noWrap/>
          </w:tcPr>
          <w:p w14:paraId="6D37B547" w14:textId="5BB00357"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1.01</w:t>
            </w:r>
          </w:p>
        </w:tc>
        <w:tc>
          <w:tcPr>
            <w:tcW w:w="0" w:type="auto"/>
            <w:tcBorders>
              <w:top w:val="nil"/>
              <w:left w:val="nil"/>
              <w:bottom w:val="nil"/>
              <w:right w:val="single" w:sz="4" w:space="0" w:color="auto"/>
            </w:tcBorders>
            <w:shd w:val="clear" w:color="auto" w:fill="auto"/>
            <w:noWrap/>
          </w:tcPr>
          <w:p w14:paraId="0D325A6F" w14:textId="0A7D0F81"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5FC40EB1" w14:textId="37302F79"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0.94</w:t>
            </w:r>
          </w:p>
        </w:tc>
        <w:tc>
          <w:tcPr>
            <w:tcW w:w="0" w:type="auto"/>
            <w:tcBorders>
              <w:top w:val="nil"/>
              <w:left w:val="nil"/>
              <w:bottom w:val="nil"/>
              <w:right w:val="nil"/>
            </w:tcBorders>
            <w:shd w:val="clear" w:color="auto" w:fill="auto"/>
            <w:noWrap/>
          </w:tcPr>
          <w:p w14:paraId="7F74893E" w14:textId="4E9A04FB"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34C213C6" w14:textId="1F17B379"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0.92</w:t>
            </w:r>
          </w:p>
        </w:tc>
        <w:tc>
          <w:tcPr>
            <w:tcW w:w="0" w:type="auto"/>
            <w:tcBorders>
              <w:top w:val="nil"/>
              <w:left w:val="nil"/>
              <w:bottom w:val="nil"/>
              <w:right w:val="single" w:sz="4" w:space="0" w:color="auto"/>
            </w:tcBorders>
            <w:shd w:val="clear" w:color="auto" w:fill="auto"/>
            <w:noWrap/>
          </w:tcPr>
          <w:p w14:paraId="147D5D56" w14:textId="6B4CF29C"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28726DE2" w14:textId="47AA38DA"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0.93</w:t>
            </w:r>
          </w:p>
        </w:tc>
        <w:tc>
          <w:tcPr>
            <w:tcW w:w="0" w:type="auto"/>
            <w:tcBorders>
              <w:top w:val="nil"/>
              <w:left w:val="nil"/>
              <w:bottom w:val="nil"/>
              <w:right w:val="single" w:sz="4" w:space="0" w:color="auto"/>
            </w:tcBorders>
            <w:shd w:val="clear" w:color="auto" w:fill="auto"/>
            <w:noWrap/>
          </w:tcPr>
          <w:p w14:paraId="48EE2F13" w14:textId="6853D683"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r>
      <w:tr w:rsidR="00C474DC" w:rsidRPr="00714E84" w14:paraId="17B4AF8B" w14:textId="77777777" w:rsidTr="00C474DC">
        <w:tc>
          <w:tcPr>
            <w:tcW w:w="0" w:type="auto"/>
            <w:tcBorders>
              <w:top w:val="nil"/>
              <w:left w:val="single" w:sz="4" w:space="0" w:color="auto"/>
              <w:bottom w:val="nil"/>
              <w:right w:val="nil"/>
            </w:tcBorders>
            <w:shd w:val="clear" w:color="auto" w:fill="auto"/>
            <w:noWrap/>
            <w:vAlign w:val="bottom"/>
          </w:tcPr>
          <w:p w14:paraId="6F301084"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Public admin, education and health</w:t>
            </w:r>
          </w:p>
        </w:tc>
        <w:tc>
          <w:tcPr>
            <w:tcW w:w="0" w:type="auto"/>
            <w:tcBorders>
              <w:top w:val="nil"/>
              <w:left w:val="single" w:sz="4" w:space="0" w:color="auto"/>
              <w:bottom w:val="nil"/>
              <w:right w:val="nil"/>
            </w:tcBorders>
            <w:shd w:val="clear" w:color="auto" w:fill="auto"/>
            <w:noWrap/>
          </w:tcPr>
          <w:p w14:paraId="21F67CBC" w14:textId="6B6A7A03"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1.09</w:t>
            </w:r>
          </w:p>
        </w:tc>
        <w:tc>
          <w:tcPr>
            <w:tcW w:w="0" w:type="auto"/>
            <w:tcBorders>
              <w:top w:val="nil"/>
              <w:left w:val="nil"/>
              <w:bottom w:val="nil"/>
              <w:right w:val="single" w:sz="4" w:space="0" w:color="auto"/>
            </w:tcBorders>
            <w:shd w:val="clear" w:color="auto" w:fill="auto"/>
            <w:noWrap/>
          </w:tcPr>
          <w:p w14:paraId="081BF79D" w14:textId="6ED7C29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33F7082B" w14:textId="0F761EFD"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1.06</w:t>
            </w:r>
          </w:p>
        </w:tc>
        <w:tc>
          <w:tcPr>
            <w:tcW w:w="0" w:type="auto"/>
            <w:tcBorders>
              <w:top w:val="nil"/>
              <w:left w:val="nil"/>
              <w:bottom w:val="nil"/>
              <w:right w:val="nil"/>
            </w:tcBorders>
            <w:shd w:val="clear" w:color="auto" w:fill="auto"/>
            <w:noWrap/>
          </w:tcPr>
          <w:p w14:paraId="27013410" w14:textId="418F7B2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74370680" w14:textId="530EC0C2"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1.12</w:t>
            </w:r>
          </w:p>
        </w:tc>
        <w:tc>
          <w:tcPr>
            <w:tcW w:w="0" w:type="auto"/>
            <w:tcBorders>
              <w:top w:val="nil"/>
              <w:left w:val="nil"/>
              <w:bottom w:val="nil"/>
              <w:right w:val="single" w:sz="4" w:space="0" w:color="auto"/>
            </w:tcBorders>
            <w:shd w:val="clear" w:color="auto" w:fill="auto"/>
            <w:noWrap/>
          </w:tcPr>
          <w:p w14:paraId="7E0161A5" w14:textId="7805C0EB"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160BEE9B" w14:textId="2596BA0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1.12</w:t>
            </w:r>
          </w:p>
        </w:tc>
        <w:tc>
          <w:tcPr>
            <w:tcW w:w="0" w:type="auto"/>
            <w:tcBorders>
              <w:top w:val="nil"/>
              <w:left w:val="nil"/>
              <w:bottom w:val="nil"/>
              <w:right w:val="nil"/>
            </w:tcBorders>
            <w:shd w:val="clear" w:color="auto" w:fill="auto"/>
            <w:noWrap/>
          </w:tcPr>
          <w:p w14:paraId="62CD66EE" w14:textId="226B12B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7CF2A242" w14:textId="7AC874BE"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1.11</w:t>
            </w:r>
          </w:p>
        </w:tc>
        <w:tc>
          <w:tcPr>
            <w:tcW w:w="0" w:type="auto"/>
            <w:tcBorders>
              <w:top w:val="nil"/>
              <w:left w:val="nil"/>
              <w:bottom w:val="nil"/>
              <w:right w:val="single" w:sz="4" w:space="0" w:color="auto"/>
            </w:tcBorders>
            <w:shd w:val="clear" w:color="auto" w:fill="auto"/>
            <w:noWrap/>
          </w:tcPr>
          <w:p w14:paraId="0347AA1A" w14:textId="773395A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6F555F1D" w14:textId="05BDEABA"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1.08</w:t>
            </w:r>
          </w:p>
        </w:tc>
        <w:tc>
          <w:tcPr>
            <w:tcW w:w="0" w:type="auto"/>
            <w:tcBorders>
              <w:top w:val="nil"/>
              <w:left w:val="nil"/>
              <w:bottom w:val="nil"/>
              <w:right w:val="nil"/>
            </w:tcBorders>
            <w:shd w:val="clear" w:color="auto" w:fill="auto"/>
            <w:noWrap/>
          </w:tcPr>
          <w:p w14:paraId="392EDA2B" w14:textId="61E2975E"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single" w:sz="4" w:space="0" w:color="auto"/>
              <w:bottom w:val="nil"/>
              <w:right w:val="nil"/>
            </w:tcBorders>
            <w:shd w:val="clear" w:color="auto" w:fill="auto"/>
            <w:noWrap/>
          </w:tcPr>
          <w:p w14:paraId="55746D20" w14:textId="020439B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0.81</w:t>
            </w:r>
          </w:p>
        </w:tc>
        <w:tc>
          <w:tcPr>
            <w:tcW w:w="0" w:type="auto"/>
            <w:tcBorders>
              <w:top w:val="nil"/>
              <w:left w:val="nil"/>
              <w:bottom w:val="nil"/>
              <w:right w:val="single" w:sz="4" w:space="0" w:color="auto"/>
            </w:tcBorders>
            <w:shd w:val="clear" w:color="auto" w:fill="auto"/>
            <w:noWrap/>
          </w:tcPr>
          <w:p w14:paraId="6E8B45BB" w14:textId="772702CF"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0.03</w:t>
            </w:r>
          </w:p>
        </w:tc>
        <w:tc>
          <w:tcPr>
            <w:tcW w:w="0" w:type="auto"/>
            <w:tcBorders>
              <w:top w:val="nil"/>
              <w:left w:val="nil"/>
              <w:bottom w:val="nil"/>
              <w:right w:val="nil"/>
            </w:tcBorders>
            <w:shd w:val="clear" w:color="auto" w:fill="auto"/>
            <w:noWrap/>
          </w:tcPr>
          <w:p w14:paraId="6FFF005B" w14:textId="73595F31"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0.82</w:t>
            </w:r>
          </w:p>
        </w:tc>
        <w:tc>
          <w:tcPr>
            <w:tcW w:w="0" w:type="auto"/>
            <w:tcBorders>
              <w:top w:val="nil"/>
              <w:left w:val="nil"/>
              <w:bottom w:val="nil"/>
              <w:right w:val="single" w:sz="4" w:space="0" w:color="auto"/>
            </w:tcBorders>
            <w:shd w:val="clear" w:color="auto" w:fill="auto"/>
            <w:noWrap/>
          </w:tcPr>
          <w:p w14:paraId="24BD92C7" w14:textId="46A5C174"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0.02</w:t>
            </w:r>
          </w:p>
        </w:tc>
      </w:tr>
      <w:tr w:rsidR="00C474DC" w:rsidRPr="00714E84" w14:paraId="26CE313B" w14:textId="77777777" w:rsidTr="00C474DC">
        <w:tc>
          <w:tcPr>
            <w:tcW w:w="0" w:type="auto"/>
            <w:tcBorders>
              <w:top w:val="nil"/>
              <w:left w:val="single" w:sz="4" w:space="0" w:color="auto"/>
              <w:right w:val="nil"/>
            </w:tcBorders>
            <w:shd w:val="clear" w:color="auto" w:fill="auto"/>
            <w:noWrap/>
            <w:vAlign w:val="bottom"/>
          </w:tcPr>
          <w:p w14:paraId="09BF1368"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Theme="minorHAnsi" w:eastAsia="Times New Roman" w:hAnsiTheme="minorHAnsi" w:cstheme="minorHAnsi"/>
                <w:i/>
                <w:iCs/>
                <w:color w:val="000000"/>
                <w:sz w:val="18"/>
                <w:szCs w:val="18"/>
                <w:lang w:val="en-US" w:eastAsia="en-US"/>
              </w:rPr>
              <w:t xml:space="preserve">Other services </w:t>
            </w:r>
          </w:p>
        </w:tc>
        <w:tc>
          <w:tcPr>
            <w:tcW w:w="0" w:type="auto"/>
            <w:tcBorders>
              <w:top w:val="nil"/>
              <w:left w:val="single" w:sz="4" w:space="0" w:color="auto"/>
              <w:right w:val="nil"/>
            </w:tcBorders>
            <w:shd w:val="clear" w:color="auto" w:fill="auto"/>
            <w:noWrap/>
          </w:tcPr>
          <w:p w14:paraId="02584132" w14:textId="665124A6"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1.26</w:t>
            </w:r>
          </w:p>
        </w:tc>
        <w:tc>
          <w:tcPr>
            <w:tcW w:w="0" w:type="auto"/>
            <w:tcBorders>
              <w:top w:val="nil"/>
              <w:left w:val="nil"/>
              <w:right w:val="single" w:sz="4" w:space="0" w:color="auto"/>
            </w:tcBorders>
            <w:shd w:val="clear" w:color="auto" w:fill="auto"/>
            <w:noWrap/>
          </w:tcPr>
          <w:p w14:paraId="0EC9C86D" w14:textId="51F7CFA4"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right w:val="nil"/>
            </w:tcBorders>
            <w:shd w:val="clear" w:color="auto" w:fill="auto"/>
            <w:noWrap/>
          </w:tcPr>
          <w:p w14:paraId="6E1AA5FC" w14:textId="38740CDD"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1.22</w:t>
            </w:r>
          </w:p>
        </w:tc>
        <w:tc>
          <w:tcPr>
            <w:tcW w:w="0" w:type="auto"/>
            <w:tcBorders>
              <w:top w:val="nil"/>
              <w:left w:val="nil"/>
              <w:right w:val="nil"/>
            </w:tcBorders>
            <w:shd w:val="clear" w:color="auto" w:fill="auto"/>
            <w:noWrap/>
          </w:tcPr>
          <w:p w14:paraId="0F5EA1B8" w14:textId="571E4CA1"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right w:val="nil"/>
            </w:tcBorders>
            <w:shd w:val="clear" w:color="auto" w:fill="auto"/>
            <w:noWrap/>
          </w:tcPr>
          <w:p w14:paraId="3C6EDC59" w14:textId="0FC6ED89"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1.25</w:t>
            </w:r>
          </w:p>
        </w:tc>
        <w:tc>
          <w:tcPr>
            <w:tcW w:w="0" w:type="auto"/>
            <w:tcBorders>
              <w:top w:val="nil"/>
              <w:left w:val="nil"/>
              <w:right w:val="single" w:sz="4" w:space="0" w:color="auto"/>
            </w:tcBorders>
            <w:shd w:val="clear" w:color="auto" w:fill="auto"/>
            <w:noWrap/>
          </w:tcPr>
          <w:p w14:paraId="04080745" w14:textId="5D93657A"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right w:val="nil"/>
            </w:tcBorders>
            <w:shd w:val="clear" w:color="auto" w:fill="auto"/>
            <w:noWrap/>
          </w:tcPr>
          <w:p w14:paraId="430B99BD" w14:textId="00B968C6"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1.22</w:t>
            </w:r>
          </w:p>
        </w:tc>
        <w:tc>
          <w:tcPr>
            <w:tcW w:w="0" w:type="auto"/>
            <w:tcBorders>
              <w:top w:val="nil"/>
              <w:left w:val="nil"/>
              <w:right w:val="nil"/>
            </w:tcBorders>
            <w:shd w:val="clear" w:color="auto" w:fill="auto"/>
            <w:noWrap/>
          </w:tcPr>
          <w:p w14:paraId="2F15BFED" w14:textId="63F51E30"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single" w:sz="4" w:space="0" w:color="auto"/>
              <w:right w:val="nil"/>
            </w:tcBorders>
            <w:shd w:val="clear" w:color="auto" w:fill="auto"/>
            <w:noWrap/>
          </w:tcPr>
          <w:p w14:paraId="7070BFE3" w14:textId="110138F5"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1.07</w:t>
            </w:r>
          </w:p>
        </w:tc>
        <w:tc>
          <w:tcPr>
            <w:tcW w:w="0" w:type="auto"/>
            <w:tcBorders>
              <w:top w:val="nil"/>
              <w:left w:val="nil"/>
              <w:right w:val="single" w:sz="4" w:space="0" w:color="auto"/>
            </w:tcBorders>
            <w:shd w:val="clear" w:color="auto" w:fill="auto"/>
            <w:noWrap/>
          </w:tcPr>
          <w:p w14:paraId="307E4AAC" w14:textId="76F2CA45"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nil"/>
              <w:right w:val="nil"/>
            </w:tcBorders>
            <w:shd w:val="clear" w:color="auto" w:fill="auto"/>
            <w:noWrap/>
          </w:tcPr>
          <w:p w14:paraId="78036ED7" w14:textId="4CD5DB06"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b/>
                <w:bCs/>
                <w:color w:val="000000"/>
                <w:sz w:val="18"/>
                <w:szCs w:val="18"/>
                <w:lang w:val="en-US" w:eastAsia="en-US"/>
              </w:rPr>
              <w:t>1.09</w:t>
            </w:r>
          </w:p>
        </w:tc>
        <w:tc>
          <w:tcPr>
            <w:tcW w:w="0" w:type="auto"/>
            <w:tcBorders>
              <w:top w:val="nil"/>
              <w:left w:val="nil"/>
              <w:right w:val="nil"/>
            </w:tcBorders>
            <w:shd w:val="clear" w:color="auto" w:fill="auto"/>
            <w:noWrap/>
          </w:tcPr>
          <w:p w14:paraId="36C01D73" w14:textId="434041E8"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c>
          <w:tcPr>
            <w:tcW w:w="0" w:type="auto"/>
            <w:tcBorders>
              <w:top w:val="nil"/>
              <w:left w:val="single" w:sz="4" w:space="0" w:color="auto"/>
              <w:right w:val="nil"/>
            </w:tcBorders>
            <w:shd w:val="clear" w:color="auto" w:fill="auto"/>
            <w:noWrap/>
          </w:tcPr>
          <w:p w14:paraId="03369BA0" w14:textId="2EA3BD88"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1.06</w:t>
            </w:r>
          </w:p>
        </w:tc>
        <w:tc>
          <w:tcPr>
            <w:tcW w:w="0" w:type="auto"/>
            <w:tcBorders>
              <w:top w:val="nil"/>
              <w:left w:val="nil"/>
              <w:right w:val="single" w:sz="4" w:space="0" w:color="auto"/>
            </w:tcBorders>
            <w:shd w:val="clear" w:color="auto" w:fill="auto"/>
            <w:noWrap/>
          </w:tcPr>
          <w:p w14:paraId="60FCEA3E" w14:textId="5AAADE66"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0.05</w:t>
            </w:r>
          </w:p>
        </w:tc>
        <w:tc>
          <w:tcPr>
            <w:tcW w:w="0" w:type="auto"/>
            <w:tcBorders>
              <w:top w:val="nil"/>
              <w:left w:val="nil"/>
              <w:right w:val="nil"/>
            </w:tcBorders>
            <w:shd w:val="clear" w:color="auto" w:fill="auto"/>
            <w:noWrap/>
          </w:tcPr>
          <w:p w14:paraId="61B3314D" w14:textId="5FFB5349" w:rsidR="00C474DC" w:rsidRPr="00714E84" w:rsidRDefault="00C474DC" w:rsidP="00C474DC">
            <w:pPr>
              <w:jc w:val="right"/>
              <w:rPr>
                <w:rFonts w:ascii="Calibri" w:eastAsia="Times New Roman" w:hAnsi="Calibri" w:cs="Calibri"/>
                <w:b/>
                <w:bCs/>
                <w:color w:val="000000"/>
                <w:sz w:val="18"/>
                <w:szCs w:val="20"/>
                <w:lang w:eastAsia="en-GB"/>
              </w:rPr>
            </w:pPr>
            <w:r w:rsidRPr="00714E84">
              <w:rPr>
                <w:rFonts w:asciiTheme="minorHAnsi" w:eastAsia="Times New Roman" w:hAnsiTheme="minorHAnsi" w:cstheme="minorHAnsi"/>
                <w:color w:val="000000"/>
                <w:sz w:val="18"/>
                <w:szCs w:val="18"/>
                <w:lang w:val="en-US" w:eastAsia="en-US"/>
              </w:rPr>
              <w:t>1.03</w:t>
            </w:r>
          </w:p>
        </w:tc>
        <w:tc>
          <w:tcPr>
            <w:tcW w:w="0" w:type="auto"/>
            <w:tcBorders>
              <w:top w:val="nil"/>
              <w:left w:val="nil"/>
              <w:right w:val="single" w:sz="4" w:space="0" w:color="auto"/>
            </w:tcBorders>
            <w:shd w:val="clear" w:color="auto" w:fill="auto"/>
            <w:noWrap/>
          </w:tcPr>
          <w:p w14:paraId="32775394" w14:textId="47B6F0AF" w:rsidR="00C474DC" w:rsidRPr="00714E84" w:rsidRDefault="00C474DC" w:rsidP="00C474DC">
            <w:pPr>
              <w:jc w:val="right"/>
              <w:rPr>
                <w:rFonts w:ascii="Calibri" w:eastAsia="Times New Roman" w:hAnsi="Calibri" w:cs="Calibri"/>
                <w:color w:val="000000"/>
                <w:sz w:val="18"/>
                <w:szCs w:val="20"/>
                <w:lang w:eastAsia="en-GB"/>
              </w:rPr>
            </w:pPr>
            <w:r w:rsidRPr="00714E84">
              <w:rPr>
                <w:rFonts w:asciiTheme="minorHAnsi" w:eastAsia="Times New Roman" w:hAnsiTheme="minorHAnsi" w:cstheme="minorHAnsi"/>
                <w:color w:val="000000"/>
                <w:sz w:val="18"/>
                <w:szCs w:val="18"/>
                <w:lang w:val="en-US" w:eastAsia="en-US"/>
              </w:rPr>
              <w:t>0.04</w:t>
            </w:r>
          </w:p>
        </w:tc>
      </w:tr>
      <w:tr w:rsidR="00C474DC" w:rsidRPr="00714E84" w14:paraId="41568C7C" w14:textId="77777777" w:rsidTr="00C474DC">
        <w:tc>
          <w:tcPr>
            <w:tcW w:w="0" w:type="auto"/>
            <w:tcBorders>
              <w:top w:val="nil"/>
              <w:left w:val="single" w:sz="4" w:space="0" w:color="auto"/>
              <w:bottom w:val="single" w:sz="4" w:space="0" w:color="auto"/>
              <w:right w:val="nil"/>
            </w:tcBorders>
            <w:shd w:val="clear" w:color="auto" w:fill="auto"/>
            <w:noWrap/>
            <w:vAlign w:val="bottom"/>
          </w:tcPr>
          <w:p w14:paraId="4F435D74" w14:textId="77777777" w:rsidR="00C474DC" w:rsidRPr="00714E84" w:rsidRDefault="00C474DC" w:rsidP="00C474DC">
            <w:pPr>
              <w:rPr>
                <w:rFonts w:asciiTheme="minorHAnsi" w:eastAsia="Times New Roman" w:hAnsiTheme="minorHAnsi" w:cstheme="minorHAnsi"/>
                <w:i/>
                <w:iCs/>
                <w:color w:val="000000"/>
                <w:sz w:val="18"/>
                <w:szCs w:val="18"/>
                <w:lang w:val="en-US" w:eastAsia="en-US"/>
              </w:rPr>
            </w:pPr>
          </w:p>
        </w:tc>
        <w:tc>
          <w:tcPr>
            <w:tcW w:w="0" w:type="auto"/>
            <w:tcBorders>
              <w:top w:val="nil"/>
              <w:left w:val="single" w:sz="4" w:space="0" w:color="auto"/>
              <w:bottom w:val="single" w:sz="4" w:space="0" w:color="auto"/>
              <w:right w:val="nil"/>
            </w:tcBorders>
            <w:shd w:val="clear" w:color="auto" w:fill="auto"/>
            <w:noWrap/>
          </w:tcPr>
          <w:p w14:paraId="66650DBF"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single" w:sz="4" w:space="0" w:color="auto"/>
            </w:tcBorders>
            <w:shd w:val="clear" w:color="auto" w:fill="auto"/>
            <w:noWrap/>
          </w:tcPr>
          <w:p w14:paraId="4DCD33B9"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nil"/>
            </w:tcBorders>
            <w:shd w:val="clear" w:color="auto" w:fill="auto"/>
            <w:noWrap/>
          </w:tcPr>
          <w:p w14:paraId="54462A28"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nil"/>
            </w:tcBorders>
            <w:shd w:val="clear" w:color="auto" w:fill="auto"/>
            <w:noWrap/>
          </w:tcPr>
          <w:p w14:paraId="22CC143A"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single" w:sz="4" w:space="0" w:color="auto"/>
              <w:right w:val="nil"/>
            </w:tcBorders>
            <w:shd w:val="clear" w:color="auto" w:fill="auto"/>
            <w:noWrap/>
          </w:tcPr>
          <w:p w14:paraId="0A30CACB"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single" w:sz="4" w:space="0" w:color="auto"/>
            </w:tcBorders>
            <w:shd w:val="clear" w:color="auto" w:fill="auto"/>
            <w:noWrap/>
          </w:tcPr>
          <w:p w14:paraId="0CE0796F"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nil"/>
            </w:tcBorders>
            <w:shd w:val="clear" w:color="auto" w:fill="auto"/>
            <w:noWrap/>
          </w:tcPr>
          <w:p w14:paraId="1A9F46D5"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nil"/>
            </w:tcBorders>
            <w:shd w:val="clear" w:color="auto" w:fill="auto"/>
            <w:noWrap/>
          </w:tcPr>
          <w:p w14:paraId="6B6D12FF"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single" w:sz="4" w:space="0" w:color="auto"/>
              <w:right w:val="nil"/>
            </w:tcBorders>
            <w:shd w:val="clear" w:color="auto" w:fill="auto"/>
            <w:noWrap/>
          </w:tcPr>
          <w:p w14:paraId="527EB4A0"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single" w:sz="4" w:space="0" w:color="auto"/>
            </w:tcBorders>
            <w:shd w:val="clear" w:color="auto" w:fill="auto"/>
            <w:noWrap/>
          </w:tcPr>
          <w:p w14:paraId="61E43EDB"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nil"/>
            </w:tcBorders>
            <w:shd w:val="clear" w:color="auto" w:fill="auto"/>
            <w:noWrap/>
          </w:tcPr>
          <w:p w14:paraId="0C4C4482" w14:textId="77777777" w:rsidR="00C474DC" w:rsidRPr="00714E84" w:rsidRDefault="00C474DC" w:rsidP="00C474DC">
            <w:pPr>
              <w:jc w:val="right"/>
              <w:rPr>
                <w:rFonts w:asciiTheme="minorHAnsi" w:eastAsia="Times New Roman" w:hAnsiTheme="minorHAnsi" w:cstheme="minorHAnsi"/>
                <w:b/>
                <w:bCs/>
                <w:color w:val="000000"/>
                <w:sz w:val="18"/>
                <w:szCs w:val="18"/>
                <w:lang w:val="en-US" w:eastAsia="en-US"/>
              </w:rPr>
            </w:pPr>
          </w:p>
        </w:tc>
        <w:tc>
          <w:tcPr>
            <w:tcW w:w="0" w:type="auto"/>
            <w:tcBorders>
              <w:top w:val="nil"/>
              <w:left w:val="nil"/>
              <w:bottom w:val="single" w:sz="4" w:space="0" w:color="auto"/>
              <w:right w:val="nil"/>
            </w:tcBorders>
            <w:shd w:val="clear" w:color="auto" w:fill="auto"/>
            <w:noWrap/>
          </w:tcPr>
          <w:p w14:paraId="64ECE6BF"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single" w:sz="4" w:space="0" w:color="auto"/>
              <w:bottom w:val="single" w:sz="4" w:space="0" w:color="auto"/>
              <w:right w:val="nil"/>
            </w:tcBorders>
            <w:shd w:val="clear" w:color="auto" w:fill="auto"/>
            <w:noWrap/>
          </w:tcPr>
          <w:p w14:paraId="6F5D1E14" w14:textId="77777777" w:rsidR="00C474DC" w:rsidRPr="00714E84" w:rsidRDefault="00C474DC" w:rsidP="00C474DC">
            <w:pPr>
              <w:jc w:val="right"/>
              <w:rPr>
                <w:rFonts w:asciiTheme="minorHAnsi" w:eastAsia="Times New Roman" w:hAnsiTheme="minorHAnsi" w:cstheme="minorHAnsi"/>
                <w:b/>
                <w:bCs/>
                <w:color w:val="000000"/>
                <w:sz w:val="18"/>
                <w:szCs w:val="18"/>
                <w:lang w:val="en-US" w:eastAsia="en-US"/>
              </w:rPr>
            </w:pPr>
          </w:p>
        </w:tc>
        <w:tc>
          <w:tcPr>
            <w:tcW w:w="0" w:type="auto"/>
            <w:tcBorders>
              <w:top w:val="nil"/>
              <w:left w:val="nil"/>
              <w:bottom w:val="single" w:sz="4" w:space="0" w:color="auto"/>
              <w:right w:val="single" w:sz="4" w:space="0" w:color="auto"/>
            </w:tcBorders>
            <w:shd w:val="clear" w:color="auto" w:fill="auto"/>
            <w:noWrap/>
          </w:tcPr>
          <w:p w14:paraId="6257C64C"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nil"/>
            </w:tcBorders>
            <w:shd w:val="clear" w:color="auto" w:fill="auto"/>
            <w:noWrap/>
          </w:tcPr>
          <w:p w14:paraId="5C5F3424"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c>
          <w:tcPr>
            <w:tcW w:w="0" w:type="auto"/>
            <w:tcBorders>
              <w:top w:val="nil"/>
              <w:left w:val="nil"/>
              <w:bottom w:val="single" w:sz="4" w:space="0" w:color="auto"/>
              <w:right w:val="single" w:sz="4" w:space="0" w:color="auto"/>
            </w:tcBorders>
            <w:shd w:val="clear" w:color="auto" w:fill="auto"/>
            <w:noWrap/>
          </w:tcPr>
          <w:p w14:paraId="4B601D72" w14:textId="77777777" w:rsidR="00C474DC" w:rsidRPr="00714E84" w:rsidRDefault="00C474DC" w:rsidP="00C474DC">
            <w:pPr>
              <w:jc w:val="right"/>
              <w:rPr>
                <w:rFonts w:asciiTheme="minorHAnsi" w:eastAsia="Times New Roman" w:hAnsiTheme="minorHAnsi" w:cstheme="minorHAnsi"/>
                <w:color w:val="000000"/>
                <w:sz w:val="18"/>
                <w:szCs w:val="18"/>
                <w:lang w:val="en-US" w:eastAsia="en-US"/>
              </w:rPr>
            </w:pPr>
          </w:p>
        </w:tc>
      </w:tr>
      <w:tr w:rsidR="00C474DC" w:rsidRPr="00714E84" w14:paraId="7234BF95" w14:textId="77777777" w:rsidTr="00C474DC">
        <w:tc>
          <w:tcPr>
            <w:tcW w:w="0" w:type="auto"/>
            <w:tcBorders>
              <w:top w:val="single" w:sz="4" w:space="0" w:color="auto"/>
              <w:left w:val="single" w:sz="4" w:space="0" w:color="auto"/>
              <w:bottom w:val="nil"/>
              <w:right w:val="nil"/>
            </w:tcBorders>
            <w:shd w:val="clear" w:color="auto" w:fill="auto"/>
            <w:noWrap/>
            <w:vAlign w:val="bottom"/>
          </w:tcPr>
          <w:p w14:paraId="3058445E"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N</w:t>
            </w:r>
          </w:p>
        </w:tc>
        <w:tc>
          <w:tcPr>
            <w:tcW w:w="0" w:type="auto"/>
            <w:gridSpan w:val="2"/>
            <w:tcBorders>
              <w:top w:val="single" w:sz="4" w:space="0" w:color="auto"/>
              <w:left w:val="single" w:sz="4" w:space="0" w:color="auto"/>
              <w:right w:val="single" w:sz="4" w:space="0" w:color="auto"/>
            </w:tcBorders>
            <w:shd w:val="clear" w:color="auto" w:fill="auto"/>
            <w:noWrap/>
            <w:vAlign w:val="bottom"/>
          </w:tcPr>
          <w:p w14:paraId="4543A363" w14:textId="0173CE69"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103868</w:t>
            </w:r>
          </w:p>
        </w:tc>
        <w:tc>
          <w:tcPr>
            <w:tcW w:w="0" w:type="auto"/>
            <w:gridSpan w:val="2"/>
            <w:tcBorders>
              <w:top w:val="single" w:sz="4" w:space="0" w:color="auto"/>
              <w:left w:val="single" w:sz="4" w:space="0" w:color="auto"/>
              <w:right w:val="single" w:sz="4" w:space="0" w:color="auto"/>
            </w:tcBorders>
            <w:shd w:val="clear" w:color="auto" w:fill="auto"/>
            <w:vAlign w:val="bottom"/>
          </w:tcPr>
          <w:p w14:paraId="4EDFF39E" w14:textId="02F8D15B"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123699</w:t>
            </w:r>
          </w:p>
        </w:tc>
        <w:tc>
          <w:tcPr>
            <w:tcW w:w="0" w:type="auto"/>
            <w:gridSpan w:val="2"/>
            <w:tcBorders>
              <w:top w:val="single" w:sz="4" w:space="0" w:color="auto"/>
              <w:left w:val="single" w:sz="4" w:space="0" w:color="auto"/>
              <w:right w:val="single" w:sz="4" w:space="0" w:color="auto"/>
            </w:tcBorders>
            <w:shd w:val="clear" w:color="auto" w:fill="auto"/>
            <w:vAlign w:val="bottom"/>
          </w:tcPr>
          <w:p w14:paraId="0091C866" w14:textId="7F4E01AA"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120592</w:t>
            </w:r>
          </w:p>
        </w:tc>
        <w:tc>
          <w:tcPr>
            <w:tcW w:w="0" w:type="auto"/>
            <w:gridSpan w:val="2"/>
            <w:tcBorders>
              <w:top w:val="single" w:sz="4" w:space="0" w:color="auto"/>
              <w:left w:val="single" w:sz="4" w:space="0" w:color="auto"/>
              <w:right w:val="single" w:sz="4" w:space="0" w:color="auto"/>
            </w:tcBorders>
            <w:shd w:val="clear" w:color="auto" w:fill="auto"/>
            <w:vAlign w:val="bottom"/>
          </w:tcPr>
          <w:p w14:paraId="73C195EB" w14:textId="48E99F19"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117002</w:t>
            </w:r>
          </w:p>
        </w:tc>
        <w:tc>
          <w:tcPr>
            <w:tcW w:w="0" w:type="auto"/>
            <w:gridSpan w:val="2"/>
            <w:tcBorders>
              <w:top w:val="single" w:sz="4" w:space="0" w:color="auto"/>
              <w:left w:val="single" w:sz="4" w:space="0" w:color="auto"/>
              <w:right w:val="single" w:sz="4" w:space="0" w:color="auto"/>
            </w:tcBorders>
            <w:shd w:val="clear" w:color="auto" w:fill="auto"/>
            <w:vAlign w:val="bottom"/>
          </w:tcPr>
          <w:p w14:paraId="64A1404C" w14:textId="33B3EFAD"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108758</w:t>
            </w:r>
          </w:p>
        </w:tc>
        <w:tc>
          <w:tcPr>
            <w:tcW w:w="0" w:type="auto"/>
            <w:gridSpan w:val="2"/>
            <w:tcBorders>
              <w:top w:val="single" w:sz="4" w:space="0" w:color="auto"/>
              <w:left w:val="single" w:sz="4" w:space="0" w:color="auto"/>
              <w:right w:val="single" w:sz="4" w:space="0" w:color="auto"/>
            </w:tcBorders>
            <w:shd w:val="clear" w:color="auto" w:fill="auto"/>
            <w:vAlign w:val="bottom"/>
          </w:tcPr>
          <w:p w14:paraId="192C8698" w14:textId="7845BD13"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106661</w:t>
            </w:r>
          </w:p>
        </w:tc>
        <w:tc>
          <w:tcPr>
            <w:tcW w:w="0" w:type="auto"/>
            <w:gridSpan w:val="2"/>
            <w:tcBorders>
              <w:top w:val="single" w:sz="4" w:space="0" w:color="auto"/>
              <w:left w:val="single" w:sz="4" w:space="0" w:color="auto"/>
              <w:right w:val="single" w:sz="4" w:space="0" w:color="auto"/>
            </w:tcBorders>
            <w:shd w:val="clear" w:color="auto" w:fill="auto"/>
            <w:vAlign w:val="bottom"/>
          </w:tcPr>
          <w:p w14:paraId="5C3426AC" w14:textId="1C3FAE7E"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75866</w:t>
            </w:r>
          </w:p>
        </w:tc>
        <w:tc>
          <w:tcPr>
            <w:tcW w:w="0" w:type="auto"/>
            <w:gridSpan w:val="2"/>
            <w:tcBorders>
              <w:top w:val="single" w:sz="4" w:space="0" w:color="auto"/>
              <w:left w:val="single" w:sz="4" w:space="0" w:color="auto"/>
              <w:right w:val="single" w:sz="4" w:space="0" w:color="auto"/>
            </w:tcBorders>
            <w:shd w:val="clear" w:color="auto" w:fill="auto"/>
            <w:vAlign w:val="bottom"/>
          </w:tcPr>
          <w:p w14:paraId="57BC69D4" w14:textId="2D82303C"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102489</w:t>
            </w:r>
          </w:p>
        </w:tc>
      </w:tr>
      <w:tr w:rsidR="00C474DC" w:rsidRPr="00714E84" w14:paraId="50D71966" w14:textId="77777777" w:rsidTr="00C474DC">
        <w:tc>
          <w:tcPr>
            <w:tcW w:w="0" w:type="auto"/>
            <w:tcBorders>
              <w:top w:val="nil"/>
              <w:left w:val="single" w:sz="4" w:space="0" w:color="auto"/>
              <w:bottom w:val="nil"/>
              <w:right w:val="nil"/>
            </w:tcBorders>
            <w:shd w:val="clear" w:color="auto" w:fill="auto"/>
            <w:noWrap/>
            <w:vAlign w:val="bottom"/>
          </w:tcPr>
          <w:p w14:paraId="6CA6A19A"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Wald chi2(27)</w:t>
            </w:r>
          </w:p>
        </w:tc>
        <w:tc>
          <w:tcPr>
            <w:tcW w:w="0" w:type="auto"/>
            <w:gridSpan w:val="2"/>
            <w:tcBorders>
              <w:left w:val="single" w:sz="4" w:space="0" w:color="auto"/>
              <w:right w:val="single" w:sz="4" w:space="0" w:color="auto"/>
            </w:tcBorders>
            <w:shd w:val="clear" w:color="auto" w:fill="auto"/>
            <w:noWrap/>
            <w:vAlign w:val="bottom"/>
          </w:tcPr>
          <w:p w14:paraId="4F926F21" w14:textId="52C2520F"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2665.41</w:t>
            </w:r>
          </w:p>
        </w:tc>
        <w:tc>
          <w:tcPr>
            <w:tcW w:w="0" w:type="auto"/>
            <w:gridSpan w:val="2"/>
            <w:tcBorders>
              <w:left w:val="single" w:sz="4" w:space="0" w:color="auto"/>
              <w:right w:val="single" w:sz="4" w:space="0" w:color="auto"/>
            </w:tcBorders>
            <w:shd w:val="clear" w:color="auto" w:fill="auto"/>
            <w:vAlign w:val="bottom"/>
          </w:tcPr>
          <w:p w14:paraId="3FBE2B44" w14:textId="1E843A78"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3395.02</w:t>
            </w:r>
          </w:p>
        </w:tc>
        <w:tc>
          <w:tcPr>
            <w:tcW w:w="0" w:type="auto"/>
            <w:gridSpan w:val="2"/>
            <w:tcBorders>
              <w:left w:val="single" w:sz="4" w:space="0" w:color="auto"/>
              <w:right w:val="single" w:sz="4" w:space="0" w:color="auto"/>
            </w:tcBorders>
            <w:shd w:val="clear" w:color="auto" w:fill="auto"/>
            <w:vAlign w:val="bottom"/>
          </w:tcPr>
          <w:p w14:paraId="7D8EA737" w14:textId="6EA2E592"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3458.74</w:t>
            </w:r>
          </w:p>
        </w:tc>
        <w:tc>
          <w:tcPr>
            <w:tcW w:w="0" w:type="auto"/>
            <w:gridSpan w:val="2"/>
            <w:tcBorders>
              <w:left w:val="single" w:sz="4" w:space="0" w:color="auto"/>
              <w:right w:val="single" w:sz="4" w:space="0" w:color="auto"/>
            </w:tcBorders>
            <w:shd w:val="clear" w:color="auto" w:fill="auto"/>
            <w:vAlign w:val="bottom"/>
          </w:tcPr>
          <w:p w14:paraId="64B1EF2D" w14:textId="45895A33"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3199.59</w:t>
            </w:r>
          </w:p>
        </w:tc>
        <w:tc>
          <w:tcPr>
            <w:tcW w:w="0" w:type="auto"/>
            <w:gridSpan w:val="2"/>
            <w:tcBorders>
              <w:left w:val="single" w:sz="4" w:space="0" w:color="auto"/>
              <w:right w:val="single" w:sz="4" w:space="0" w:color="auto"/>
            </w:tcBorders>
            <w:shd w:val="clear" w:color="auto" w:fill="auto"/>
            <w:vAlign w:val="bottom"/>
          </w:tcPr>
          <w:p w14:paraId="1931777A" w14:textId="18FE8948"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3082.14</w:t>
            </w:r>
          </w:p>
        </w:tc>
        <w:tc>
          <w:tcPr>
            <w:tcW w:w="0" w:type="auto"/>
            <w:gridSpan w:val="2"/>
            <w:tcBorders>
              <w:left w:val="single" w:sz="4" w:space="0" w:color="auto"/>
              <w:right w:val="single" w:sz="4" w:space="0" w:color="auto"/>
            </w:tcBorders>
            <w:shd w:val="clear" w:color="auto" w:fill="auto"/>
            <w:vAlign w:val="bottom"/>
          </w:tcPr>
          <w:p w14:paraId="19C14CE7" w14:textId="267380FC"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3299.04</w:t>
            </w:r>
          </w:p>
        </w:tc>
        <w:tc>
          <w:tcPr>
            <w:tcW w:w="0" w:type="auto"/>
            <w:gridSpan w:val="2"/>
            <w:tcBorders>
              <w:left w:val="single" w:sz="4" w:space="0" w:color="auto"/>
              <w:right w:val="single" w:sz="4" w:space="0" w:color="auto"/>
            </w:tcBorders>
            <w:shd w:val="clear" w:color="auto" w:fill="auto"/>
            <w:vAlign w:val="bottom"/>
          </w:tcPr>
          <w:p w14:paraId="27AFFBA2" w14:textId="5215DAFC"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2341.58</w:t>
            </w:r>
          </w:p>
        </w:tc>
        <w:tc>
          <w:tcPr>
            <w:tcW w:w="0" w:type="auto"/>
            <w:gridSpan w:val="2"/>
            <w:tcBorders>
              <w:left w:val="single" w:sz="4" w:space="0" w:color="auto"/>
              <w:right w:val="single" w:sz="4" w:space="0" w:color="auto"/>
            </w:tcBorders>
            <w:shd w:val="clear" w:color="auto" w:fill="auto"/>
            <w:vAlign w:val="bottom"/>
          </w:tcPr>
          <w:p w14:paraId="255534CB" w14:textId="7681404A"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3222.98</w:t>
            </w:r>
          </w:p>
        </w:tc>
      </w:tr>
      <w:tr w:rsidR="00C474DC" w:rsidRPr="00714E84" w14:paraId="1C65F23D" w14:textId="77777777" w:rsidTr="00C474DC">
        <w:tc>
          <w:tcPr>
            <w:tcW w:w="0" w:type="auto"/>
            <w:tcBorders>
              <w:top w:val="nil"/>
              <w:left w:val="single" w:sz="4" w:space="0" w:color="auto"/>
              <w:bottom w:val="nil"/>
              <w:right w:val="nil"/>
            </w:tcBorders>
            <w:shd w:val="clear" w:color="auto" w:fill="auto"/>
            <w:noWrap/>
            <w:vAlign w:val="bottom"/>
          </w:tcPr>
          <w:p w14:paraId="66F64D19"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Prob &gt; chi2</w:t>
            </w:r>
          </w:p>
        </w:tc>
        <w:tc>
          <w:tcPr>
            <w:tcW w:w="0" w:type="auto"/>
            <w:gridSpan w:val="2"/>
            <w:tcBorders>
              <w:left w:val="single" w:sz="4" w:space="0" w:color="auto"/>
              <w:right w:val="single" w:sz="4" w:space="0" w:color="auto"/>
            </w:tcBorders>
            <w:shd w:val="clear" w:color="auto" w:fill="auto"/>
            <w:noWrap/>
            <w:vAlign w:val="bottom"/>
          </w:tcPr>
          <w:p w14:paraId="11F89944" w14:textId="03D2E0F8"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w:t>
            </w:r>
          </w:p>
        </w:tc>
        <w:tc>
          <w:tcPr>
            <w:tcW w:w="0" w:type="auto"/>
            <w:gridSpan w:val="2"/>
            <w:tcBorders>
              <w:left w:val="single" w:sz="4" w:space="0" w:color="auto"/>
              <w:right w:val="single" w:sz="4" w:space="0" w:color="auto"/>
            </w:tcBorders>
            <w:shd w:val="clear" w:color="auto" w:fill="auto"/>
            <w:vAlign w:val="bottom"/>
          </w:tcPr>
          <w:p w14:paraId="091C8FBC" w14:textId="51C3E017"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w:t>
            </w:r>
          </w:p>
        </w:tc>
        <w:tc>
          <w:tcPr>
            <w:tcW w:w="0" w:type="auto"/>
            <w:gridSpan w:val="2"/>
            <w:tcBorders>
              <w:left w:val="single" w:sz="4" w:space="0" w:color="auto"/>
              <w:right w:val="single" w:sz="4" w:space="0" w:color="auto"/>
            </w:tcBorders>
            <w:shd w:val="clear" w:color="auto" w:fill="auto"/>
            <w:vAlign w:val="bottom"/>
          </w:tcPr>
          <w:p w14:paraId="27C2E475" w14:textId="7A4DF3F8"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w:t>
            </w:r>
          </w:p>
        </w:tc>
        <w:tc>
          <w:tcPr>
            <w:tcW w:w="0" w:type="auto"/>
            <w:gridSpan w:val="2"/>
            <w:tcBorders>
              <w:left w:val="single" w:sz="4" w:space="0" w:color="auto"/>
              <w:right w:val="single" w:sz="4" w:space="0" w:color="auto"/>
            </w:tcBorders>
            <w:shd w:val="clear" w:color="auto" w:fill="auto"/>
            <w:vAlign w:val="bottom"/>
          </w:tcPr>
          <w:p w14:paraId="7AC32914" w14:textId="41562162"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w:t>
            </w:r>
          </w:p>
        </w:tc>
        <w:tc>
          <w:tcPr>
            <w:tcW w:w="0" w:type="auto"/>
            <w:gridSpan w:val="2"/>
            <w:tcBorders>
              <w:left w:val="single" w:sz="4" w:space="0" w:color="auto"/>
              <w:right w:val="single" w:sz="4" w:space="0" w:color="auto"/>
            </w:tcBorders>
            <w:shd w:val="clear" w:color="auto" w:fill="auto"/>
            <w:vAlign w:val="bottom"/>
          </w:tcPr>
          <w:p w14:paraId="2C0BD688" w14:textId="77E542EE"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w:t>
            </w:r>
          </w:p>
        </w:tc>
        <w:tc>
          <w:tcPr>
            <w:tcW w:w="0" w:type="auto"/>
            <w:gridSpan w:val="2"/>
            <w:tcBorders>
              <w:left w:val="single" w:sz="4" w:space="0" w:color="auto"/>
              <w:right w:val="single" w:sz="4" w:space="0" w:color="auto"/>
            </w:tcBorders>
            <w:shd w:val="clear" w:color="auto" w:fill="auto"/>
            <w:vAlign w:val="bottom"/>
          </w:tcPr>
          <w:p w14:paraId="5D31F965" w14:textId="3827F96C"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w:t>
            </w:r>
          </w:p>
        </w:tc>
        <w:tc>
          <w:tcPr>
            <w:tcW w:w="0" w:type="auto"/>
            <w:gridSpan w:val="2"/>
            <w:tcBorders>
              <w:left w:val="single" w:sz="4" w:space="0" w:color="auto"/>
              <w:right w:val="single" w:sz="4" w:space="0" w:color="auto"/>
            </w:tcBorders>
            <w:shd w:val="clear" w:color="auto" w:fill="auto"/>
            <w:vAlign w:val="bottom"/>
          </w:tcPr>
          <w:p w14:paraId="6139774C" w14:textId="2B7ECCC4"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w:t>
            </w:r>
          </w:p>
        </w:tc>
        <w:tc>
          <w:tcPr>
            <w:tcW w:w="0" w:type="auto"/>
            <w:gridSpan w:val="2"/>
            <w:tcBorders>
              <w:left w:val="single" w:sz="4" w:space="0" w:color="auto"/>
              <w:right w:val="single" w:sz="4" w:space="0" w:color="auto"/>
            </w:tcBorders>
            <w:shd w:val="clear" w:color="auto" w:fill="auto"/>
            <w:vAlign w:val="bottom"/>
          </w:tcPr>
          <w:p w14:paraId="74A2961E" w14:textId="578C568F"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w:t>
            </w:r>
          </w:p>
        </w:tc>
      </w:tr>
      <w:tr w:rsidR="00C474DC" w:rsidRPr="00714E84" w14:paraId="42C9F790" w14:textId="77777777" w:rsidTr="00C474DC">
        <w:tc>
          <w:tcPr>
            <w:tcW w:w="0" w:type="auto"/>
            <w:tcBorders>
              <w:top w:val="nil"/>
              <w:left w:val="single" w:sz="4" w:space="0" w:color="auto"/>
              <w:right w:val="nil"/>
            </w:tcBorders>
            <w:shd w:val="clear" w:color="auto" w:fill="auto"/>
            <w:noWrap/>
            <w:vAlign w:val="bottom"/>
          </w:tcPr>
          <w:p w14:paraId="0E0AD306" w14:textId="77777777" w:rsidR="00C474DC" w:rsidRPr="00714E84" w:rsidRDefault="00C474DC" w:rsidP="00C474DC">
            <w:pPr>
              <w:rPr>
                <w:rFonts w:ascii="Calibri" w:eastAsia="Times New Roman" w:hAnsi="Calibri" w:cs="Calibri"/>
                <w:b/>
                <w:bCs/>
                <w:color w:val="000000"/>
                <w:sz w:val="18"/>
                <w:szCs w:val="20"/>
                <w:lang w:eastAsia="en-GB"/>
              </w:rPr>
            </w:pPr>
            <w:r w:rsidRPr="00714E84">
              <w:rPr>
                <w:rFonts w:ascii="Calibri" w:eastAsia="Times New Roman" w:hAnsi="Calibri" w:cs="Calibri"/>
                <w:color w:val="000000"/>
                <w:sz w:val="18"/>
                <w:szCs w:val="20"/>
                <w:lang w:eastAsia="en-GB"/>
              </w:rPr>
              <w:t>Pseudo R2</w:t>
            </w:r>
          </w:p>
        </w:tc>
        <w:tc>
          <w:tcPr>
            <w:tcW w:w="0" w:type="auto"/>
            <w:gridSpan w:val="2"/>
            <w:tcBorders>
              <w:left w:val="single" w:sz="4" w:space="0" w:color="auto"/>
              <w:right w:val="single" w:sz="4" w:space="0" w:color="auto"/>
            </w:tcBorders>
            <w:shd w:val="clear" w:color="auto" w:fill="auto"/>
            <w:noWrap/>
            <w:vAlign w:val="bottom"/>
          </w:tcPr>
          <w:p w14:paraId="504E3DE2" w14:textId="4C0D4F07"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0.0286</w:t>
            </w:r>
          </w:p>
        </w:tc>
        <w:tc>
          <w:tcPr>
            <w:tcW w:w="0" w:type="auto"/>
            <w:gridSpan w:val="2"/>
            <w:tcBorders>
              <w:left w:val="single" w:sz="4" w:space="0" w:color="auto"/>
              <w:right w:val="single" w:sz="4" w:space="0" w:color="auto"/>
            </w:tcBorders>
            <w:shd w:val="clear" w:color="auto" w:fill="auto"/>
            <w:vAlign w:val="bottom"/>
          </w:tcPr>
          <w:p w14:paraId="64A8E37C" w14:textId="6278C2AC"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0.0304</w:t>
            </w:r>
          </w:p>
        </w:tc>
        <w:tc>
          <w:tcPr>
            <w:tcW w:w="0" w:type="auto"/>
            <w:gridSpan w:val="2"/>
            <w:tcBorders>
              <w:left w:val="single" w:sz="4" w:space="0" w:color="auto"/>
              <w:right w:val="single" w:sz="4" w:space="0" w:color="auto"/>
            </w:tcBorders>
            <w:shd w:val="clear" w:color="auto" w:fill="auto"/>
            <w:vAlign w:val="bottom"/>
          </w:tcPr>
          <w:p w14:paraId="3E2C0AD3" w14:textId="1B955A85"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0.0313</w:t>
            </w:r>
          </w:p>
        </w:tc>
        <w:tc>
          <w:tcPr>
            <w:tcW w:w="0" w:type="auto"/>
            <w:gridSpan w:val="2"/>
            <w:tcBorders>
              <w:left w:val="single" w:sz="4" w:space="0" w:color="auto"/>
              <w:right w:val="single" w:sz="4" w:space="0" w:color="auto"/>
            </w:tcBorders>
            <w:shd w:val="clear" w:color="auto" w:fill="auto"/>
            <w:vAlign w:val="bottom"/>
          </w:tcPr>
          <w:p w14:paraId="3AA82761" w14:textId="204B71B0"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0.0295</w:t>
            </w:r>
          </w:p>
        </w:tc>
        <w:tc>
          <w:tcPr>
            <w:tcW w:w="0" w:type="auto"/>
            <w:gridSpan w:val="2"/>
            <w:tcBorders>
              <w:left w:val="single" w:sz="4" w:space="0" w:color="auto"/>
              <w:right w:val="single" w:sz="4" w:space="0" w:color="auto"/>
            </w:tcBorders>
            <w:shd w:val="clear" w:color="auto" w:fill="auto"/>
            <w:vAlign w:val="bottom"/>
          </w:tcPr>
          <w:p w14:paraId="5FFB8F33" w14:textId="31459202"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0.0306</w:t>
            </w:r>
          </w:p>
        </w:tc>
        <w:tc>
          <w:tcPr>
            <w:tcW w:w="0" w:type="auto"/>
            <w:gridSpan w:val="2"/>
            <w:tcBorders>
              <w:left w:val="single" w:sz="4" w:space="0" w:color="auto"/>
              <w:right w:val="single" w:sz="4" w:space="0" w:color="auto"/>
            </w:tcBorders>
            <w:shd w:val="clear" w:color="auto" w:fill="auto"/>
            <w:vAlign w:val="bottom"/>
          </w:tcPr>
          <w:p w14:paraId="50B184FF" w14:textId="70986EB6"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0.0345</w:t>
            </w:r>
          </w:p>
        </w:tc>
        <w:tc>
          <w:tcPr>
            <w:tcW w:w="0" w:type="auto"/>
            <w:gridSpan w:val="2"/>
            <w:tcBorders>
              <w:left w:val="single" w:sz="4" w:space="0" w:color="auto"/>
              <w:right w:val="single" w:sz="4" w:space="0" w:color="auto"/>
            </w:tcBorders>
            <w:shd w:val="clear" w:color="auto" w:fill="auto"/>
            <w:vAlign w:val="bottom"/>
          </w:tcPr>
          <w:p w14:paraId="454812F0" w14:textId="3A823F2A"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0.0346</w:t>
            </w:r>
          </w:p>
        </w:tc>
        <w:tc>
          <w:tcPr>
            <w:tcW w:w="0" w:type="auto"/>
            <w:gridSpan w:val="2"/>
            <w:tcBorders>
              <w:left w:val="single" w:sz="4" w:space="0" w:color="auto"/>
              <w:right w:val="single" w:sz="4" w:space="0" w:color="auto"/>
            </w:tcBorders>
            <w:shd w:val="clear" w:color="auto" w:fill="auto"/>
            <w:vAlign w:val="bottom"/>
          </w:tcPr>
          <w:p w14:paraId="790B5507" w14:textId="3DE19992"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0.0365</w:t>
            </w:r>
          </w:p>
        </w:tc>
      </w:tr>
      <w:tr w:rsidR="00C474DC" w:rsidRPr="00714E84" w14:paraId="77883FEE" w14:textId="77777777" w:rsidTr="00C474DC">
        <w:tc>
          <w:tcPr>
            <w:tcW w:w="0" w:type="auto"/>
            <w:tcBorders>
              <w:top w:val="nil"/>
              <w:left w:val="single" w:sz="4" w:space="0" w:color="auto"/>
              <w:bottom w:val="single" w:sz="4" w:space="0" w:color="auto"/>
              <w:right w:val="nil"/>
            </w:tcBorders>
            <w:shd w:val="clear" w:color="auto" w:fill="auto"/>
            <w:noWrap/>
            <w:vAlign w:val="bottom"/>
          </w:tcPr>
          <w:p w14:paraId="592B1944" w14:textId="77777777" w:rsidR="00C474DC" w:rsidRPr="00714E84" w:rsidRDefault="00C474DC" w:rsidP="00C474DC">
            <w:pPr>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20"/>
                <w:lang w:eastAsia="en-GB"/>
              </w:rPr>
              <w:t>Log pseudolikelihood</w:t>
            </w:r>
          </w:p>
        </w:tc>
        <w:tc>
          <w:tcPr>
            <w:tcW w:w="0" w:type="auto"/>
            <w:gridSpan w:val="2"/>
            <w:tcBorders>
              <w:left w:val="single" w:sz="4" w:space="0" w:color="auto"/>
              <w:bottom w:val="single" w:sz="4" w:space="0" w:color="auto"/>
              <w:right w:val="single" w:sz="4" w:space="0" w:color="auto"/>
            </w:tcBorders>
            <w:shd w:val="clear" w:color="auto" w:fill="auto"/>
            <w:noWrap/>
            <w:vAlign w:val="bottom"/>
          </w:tcPr>
          <w:p w14:paraId="65752A41" w14:textId="359D9D94"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-8575886</w:t>
            </w:r>
          </w:p>
        </w:tc>
        <w:tc>
          <w:tcPr>
            <w:tcW w:w="0" w:type="auto"/>
            <w:gridSpan w:val="2"/>
            <w:tcBorders>
              <w:left w:val="single" w:sz="4" w:space="0" w:color="auto"/>
              <w:bottom w:val="single" w:sz="4" w:space="0" w:color="auto"/>
              <w:right w:val="single" w:sz="4" w:space="0" w:color="auto"/>
            </w:tcBorders>
            <w:shd w:val="clear" w:color="auto" w:fill="auto"/>
            <w:vAlign w:val="bottom"/>
          </w:tcPr>
          <w:p w14:paraId="5AE2F6AC" w14:textId="4DD1250A"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-1.4E+07</w:t>
            </w:r>
          </w:p>
        </w:tc>
        <w:tc>
          <w:tcPr>
            <w:tcW w:w="0" w:type="auto"/>
            <w:gridSpan w:val="2"/>
            <w:tcBorders>
              <w:left w:val="single" w:sz="4" w:space="0" w:color="auto"/>
              <w:bottom w:val="single" w:sz="4" w:space="0" w:color="auto"/>
              <w:right w:val="single" w:sz="4" w:space="0" w:color="auto"/>
            </w:tcBorders>
            <w:shd w:val="clear" w:color="auto" w:fill="auto"/>
            <w:vAlign w:val="bottom"/>
          </w:tcPr>
          <w:p w14:paraId="501E1660" w14:textId="4BBE69AC"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-1.4E+07</w:t>
            </w:r>
          </w:p>
        </w:tc>
        <w:tc>
          <w:tcPr>
            <w:tcW w:w="0" w:type="auto"/>
            <w:gridSpan w:val="2"/>
            <w:tcBorders>
              <w:left w:val="single" w:sz="4" w:space="0" w:color="auto"/>
              <w:bottom w:val="single" w:sz="4" w:space="0" w:color="auto"/>
              <w:right w:val="single" w:sz="4" w:space="0" w:color="auto"/>
            </w:tcBorders>
            <w:shd w:val="clear" w:color="auto" w:fill="auto"/>
            <w:vAlign w:val="bottom"/>
          </w:tcPr>
          <w:p w14:paraId="2D4D3E50" w14:textId="0955328D"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-1.4E+07</w:t>
            </w:r>
          </w:p>
        </w:tc>
        <w:tc>
          <w:tcPr>
            <w:tcW w:w="0" w:type="auto"/>
            <w:gridSpan w:val="2"/>
            <w:tcBorders>
              <w:left w:val="single" w:sz="4" w:space="0" w:color="auto"/>
              <w:bottom w:val="single" w:sz="4" w:space="0" w:color="auto"/>
              <w:right w:val="single" w:sz="4" w:space="0" w:color="auto"/>
            </w:tcBorders>
            <w:shd w:val="clear" w:color="auto" w:fill="auto"/>
            <w:vAlign w:val="bottom"/>
          </w:tcPr>
          <w:p w14:paraId="075C49F3" w14:textId="54FF1FC8"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-1.4E+07</w:t>
            </w:r>
          </w:p>
        </w:tc>
        <w:tc>
          <w:tcPr>
            <w:tcW w:w="0" w:type="auto"/>
            <w:gridSpan w:val="2"/>
            <w:tcBorders>
              <w:left w:val="single" w:sz="4" w:space="0" w:color="auto"/>
              <w:bottom w:val="single" w:sz="4" w:space="0" w:color="auto"/>
              <w:right w:val="single" w:sz="4" w:space="0" w:color="auto"/>
            </w:tcBorders>
            <w:shd w:val="clear" w:color="auto" w:fill="auto"/>
            <w:vAlign w:val="bottom"/>
          </w:tcPr>
          <w:p w14:paraId="7A8D9C4E" w14:textId="22DC2B17"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-1.4E+07</w:t>
            </w:r>
          </w:p>
        </w:tc>
        <w:tc>
          <w:tcPr>
            <w:tcW w:w="0" w:type="auto"/>
            <w:gridSpan w:val="2"/>
            <w:tcBorders>
              <w:left w:val="single" w:sz="4" w:space="0" w:color="auto"/>
              <w:bottom w:val="single" w:sz="4" w:space="0" w:color="auto"/>
              <w:right w:val="single" w:sz="4" w:space="0" w:color="auto"/>
            </w:tcBorders>
            <w:shd w:val="clear" w:color="auto" w:fill="auto"/>
            <w:vAlign w:val="bottom"/>
          </w:tcPr>
          <w:p w14:paraId="25B262E9" w14:textId="31BDFE6F"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-1E+07</w:t>
            </w:r>
          </w:p>
        </w:tc>
        <w:tc>
          <w:tcPr>
            <w:tcW w:w="0" w:type="auto"/>
            <w:gridSpan w:val="2"/>
            <w:tcBorders>
              <w:left w:val="single" w:sz="4" w:space="0" w:color="auto"/>
              <w:bottom w:val="single" w:sz="4" w:space="0" w:color="auto"/>
              <w:right w:val="single" w:sz="4" w:space="0" w:color="auto"/>
            </w:tcBorders>
            <w:shd w:val="clear" w:color="auto" w:fill="auto"/>
            <w:vAlign w:val="bottom"/>
          </w:tcPr>
          <w:p w14:paraId="478940D0" w14:textId="12CD45EA" w:rsidR="00C474DC" w:rsidRPr="00714E84" w:rsidRDefault="00C474DC" w:rsidP="00C474DC">
            <w:pPr>
              <w:jc w:val="right"/>
              <w:rPr>
                <w:rFonts w:ascii="Calibri" w:eastAsia="Times New Roman" w:hAnsi="Calibri" w:cs="Calibri"/>
                <w:color w:val="000000"/>
                <w:sz w:val="18"/>
                <w:szCs w:val="20"/>
                <w:lang w:eastAsia="en-GB"/>
              </w:rPr>
            </w:pPr>
            <w:r w:rsidRPr="00714E84">
              <w:rPr>
                <w:rFonts w:ascii="Calibri" w:eastAsia="Times New Roman" w:hAnsi="Calibri" w:cs="Calibri"/>
                <w:color w:val="000000"/>
                <w:sz w:val="18"/>
                <w:szCs w:val="18"/>
                <w:lang w:val="en-US" w:eastAsia="en-US"/>
              </w:rPr>
              <w:t>-1.4E+07</w:t>
            </w:r>
          </w:p>
        </w:tc>
      </w:tr>
    </w:tbl>
    <w:p w14:paraId="6A69DB51" w14:textId="77777777" w:rsidR="00C474DC" w:rsidRPr="00714E84" w:rsidRDefault="00C474DC" w:rsidP="007D30C9">
      <w:pPr>
        <w:rPr>
          <w:i/>
          <w:iCs/>
          <w:color w:val="262626" w:themeColor="text1" w:themeTint="D9"/>
        </w:rPr>
      </w:pPr>
      <w:r w:rsidRPr="00714E84">
        <w:rPr>
          <w:i/>
          <w:iCs/>
          <w:color w:val="262626" w:themeColor="text1" w:themeTint="D9"/>
        </w:rPr>
        <w:t>Note: Odds ratios in bold indicate significance levels at p&lt;0.05</w:t>
      </w:r>
    </w:p>
    <w:p w14:paraId="01BCEA75" w14:textId="7A0F9182" w:rsidR="007D30C9" w:rsidRPr="00714E84" w:rsidRDefault="00C474DC" w:rsidP="007D30C9">
      <w:pPr>
        <w:rPr>
          <w:i/>
          <w:iCs/>
          <w:color w:val="262626" w:themeColor="text1" w:themeTint="D9"/>
        </w:rPr>
      </w:pPr>
      <w:r w:rsidRPr="00714E84">
        <w:rPr>
          <w:i/>
          <w:iCs/>
          <w:color w:val="262626" w:themeColor="text1" w:themeTint="D9"/>
        </w:rPr>
        <w:t xml:space="preserve">    </w:t>
      </w:r>
      <w:r w:rsidR="007D30C9" w:rsidRPr="00714E84">
        <w:rPr>
          <w:i/>
          <w:iCs/>
          <w:color w:val="262626" w:themeColor="text1" w:themeTint="D9"/>
        </w:rPr>
        <w:t xml:space="preserve"> </w:t>
      </w:r>
      <w:r w:rsidR="008242D4" w:rsidRPr="00714E84">
        <w:rPr>
          <w:i/>
          <w:iCs/>
          <w:color w:val="262626" w:themeColor="text1" w:themeTint="D9"/>
        </w:rPr>
        <w:t xml:space="preserve">      </w:t>
      </w:r>
    </w:p>
    <w:p w14:paraId="477B409A" w14:textId="3F666AA1" w:rsidR="008242D4" w:rsidRPr="00714E84" w:rsidRDefault="008242D4" w:rsidP="00583171">
      <w:pPr>
        <w:rPr>
          <w:i/>
          <w:iCs/>
          <w:color w:val="262626" w:themeColor="text1" w:themeTint="D9"/>
        </w:rPr>
        <w:sectPr w:rsidR="008242D4" w:rsidRPr="00714E84" w:rsidSect="005A46A8">
          <w:pgSz w:w="16838" w:h="11906" w:orient="landscape"/>
          <w:pgMar w:top="1440" w:right="1440" w:bottom="1440" w:left="1440" w:header="709" w:footer="709" w:gutter="0"/>
          <w:cols w:space="708"/>
          <w:docGrid w:linePitch="360"/>
        </w:sectPr>
      </w:pPr>
    </w:p>
    <w:p w14:paraId="5E6A3354" w14:textId="23876C12" w:rsidR="007D30C9" w:rsidRPr="00AF44D1" w:rsidRDefault="00AF44D1" w:rsidP="008242D4">
      <w:pPr>
        <w:rPr>
          <w:b/>
          <w:bCs/>
        </w:rPr>
      </w:pPr>
      <w:r w:rsidRPr="00714E84">
        <w:rPr>
          <w:b/>
          <w:bCs/>
        </w:rPr>
        <w:lastRenderedPageBreak/>
        <w:t>Notes:</w:t>
      </w:r>
    </w:p>
    <w:sectPr w:rsidR="007D30C9" w:rsidRPr="00AF44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4D035" w14:textId="77777777" w:rsidR="0058799B" w:rsidRDefault="0058799B" w:rsidP="005A46A8">
      <w:r>
        <w:separator/>
      </w:r>
    </w:p>
  </w:endnote>
  <w:endnote w:type="continuationSeparator" w:id="0">
    <w:p w14:paraId="6DF8A80F" w14:textId="77777777" w:rsidR="0058799B" w:rsidRDefault="0058799B" w:rsidP="005A46A8">
      <w:r>
        <w:continuationSeparator/>
      </w:r>
    </w:p>
  </w:endnote>
  <w:endnote w:id="1">
    <w:p w14:paraId="6D2EC67A" w14:textId="7A10B678" w:rsidR="00D05E8E" w:rsidRPr="00D14D91" w:rsidRDefault="00D05E8E" w:rsidP="0034523C">
      <w:pPr>
        <w:pStyle w:val="EndnoteText"/>
      </w:pPr>
      <w:r w:rsidRPr="00D14D91">
        <w:rPr>
          <w:rStyle w:val="EndnoteReference"/>
        </w:rPr>
        <w:endnoteRef/>
      </w:r>
      <w:r w:rsidRPr="00D14D91">
        <w:t xml:space="preserve"> </w:t>
      </w:r>
      <w:r w:rsidRPr="00D14D91">
        <w:rPr>
          <w:lang w:eastAsia="en-GB"/>
        </w:rPr>
        <w:t>The Accession countries are Poland, Czech Republic, Estonia, Hungary, Latvia, Lithuania, Slovakia and Slovenia.</w:t>
      </w:r>
      <w:r w:rsidRPr="00D14D91">
        <w:rPr>
          <w:rFonts w:ascii="Calibri" w:hAnsi="Calibri"/>
          <w:lang w:eastAsia="en-GB"/>
        </w:rPr>
        <w:t xml:space="preserve"> </w:t>
      </w:r>
    </w:p>
  </w:endnote>
  <w:endnote w:id="2">
    <w:p w14:paraId="368122E4" w14:textId="4134635E" w:rsidR="00D05E8E" w:rsidRPr="00D14D91" w:rsidRDefault="00D05E8E" w:rsidP="0034523C">
      <w:pPr>
        <w:pStyle w:val="EndnoteText"/>
      </w:pPr>
      <w:r w:rsidRPr="00644121">
        <w:rPr>
          <w:rStyle w:val="EndnoteReference"/>
        </w:rPr>
        <w:endnoteRef/>
      </w:r>
      <w:r w:rsidRPr="00644121">
        <w:t xml:space="preserve"> All Census data used in this article have been obtained from the ONS (</w:t>
      </w:r>
      <w:hyperlink r:id="rId1" w:history="1">
        <w:r w:rsidRPr="00C32013">
          <w:rPr>
            <w:rStyle w:val="Hyperlink"/>
          </w:rPr>
          <w:t>http://www.nomisweb.co.uk/</w:t>
        </w:r>
      </w:hyperlink>
      <w:r>
        <w:t xml:space="preserve">) and </w:t>
      </w:r>
      <w:r w:rsidRPr="00644121">
        <w:t xml:space="preserve">the Scottish census website </w:t>
      </w:r>
      <w:hyperlink r:id="rId2" w:history="1">
        <w:r w:rsidRPr="00981645">
          <w:rPr>
            <w:rStyle w:val="Hyperlink"/>
          </w:rPr>
          <w:t>www.scotlandscensus.gov.uk</w:t>
        </w:r>
      </w:hyperlink>
      <w:r w:rsidRPr="00644121">
        <w:t>.</w:t>
      </w:r>
    </w:p>
  </w:endnote>
  <w:endnote w:id="3">
    <w:p w14:paraId="13246650" w14:textId="77777777" w:rsidR="00D05E8E" w:rsidRPr="00EC13C3" w:rsidRDefault="00D05E8E" w:rsidP="0034523C">
      <w:pPr>
        <w:pStyle w:val="EndnoteText"/>
      </w:pPr>
      <w:r w:rsidRPr="00EC13C3">
        <w:rPr>
          <w:rStyle w:val="EndnoteReference"/>
        </w:rPr>
        <w:endnoteRef/>
      </w:r>
      <w:r w:rsidRPr="00EC13C3">
        <w:t xml:space="preserve"> </w:t>
      </w:r>
      <w:r w:rsidRPr="00EC13C3">
        <w:rPr>
          <w:rFonts w:asciiTheme="majorBidi" w:hAnsiTheme="majorBidi" w:cstheme="majorBidi"/>
        </w:rPr>
        <w:t xml:space="preserve">Northern Ireland </w:t>
      </w:r>
      <w:r>
        <w:rPr>
          <w:rFonts w:asciiTheme="majorBidi" w:hAnsiTheme="majorBidi" w:cstheme="majorBidi"/>
        </w:rPr>
        <w:t xml:space="preserve">(NI) is excluded </w:t>
      </w:r>
      <w:r w:rsidRPr="00EC13C3">
        <w:rPr>
          <w:rFonts w:asciiTheme="majorBidi" w:hAnsiTheme="majorBidi" w:cstheme="majorBidi"/>
        </w:rPr>
        <w:t xml:space="preserve">from the analysis because of very small numbers of A8 </w:t>
      </w:r>
      <w:r>
        <w:rPr>
          <w:rFonts w:asciiTheme="majorBidi" w:hAnsiTheme="majorBidi" w:cstheme="majorBidi"/>
        </w:rPr>
        <w:t>migrant</w:t>
      </w:r>
      <w:r w:rsidRPr="00EC13C3">
        <w:rPr>
          <w:rFonts w:asciiTheme="majorBidi" w:hAnsiTheme="majorBidi" w:cstheme="majorBidi"/>
        </w:rPr>
        <w:t>s living in NI and differences in ethnic group classification</w:t>
      </w:r>
      <w:r w:rsidRPr="00EC13C3">
        <w:t xml:space="preserve">. </w:t>
      </w:r>
    </w:p>
  </w:endnote>
  <w:endnote w:id="4">
    <w:p w14:paraId="7675CA99" w14:textId="77777777" w:rsidR="00D05E8E" w:rsidRPr="00EC13C3" w:rsidRDefault="00D05E8E" w:rsidP="0034523C">
      <w:pPr>
        <w:pStyle w:val="EndnoteText"/>
      </w:pPr>
      <w:r w:rsidRPr="00EC13C3">
        <w:rPr>
          <w:rStyle w:val="EndnoteReference"/>
        </w:rPr>
        <w:endnoteRef/>
      </w:r>
      <w:r w:rsidRPr="00EC13C3">
        <w:t xml:space="preserve"> </w:t>
      </w:r>
      <w:r>
        <w:t>The n</w:t>
      </w:r>
      <w:r w:rsidRPr="00EC13C3">
        <w:t xml:space="preserve">ationality variable </w:t>
      </w:r>
      <w:r>
        <w:t xml:space="preserve">is chosen over </w:t>
      </w:r>
      <w:r w:rsidRPr="00EC13C3">
        <w:t>the country of birth (COB) to identi</w:t>
      </w:r>
      <w:r>
        <w:t>fy A8 migrants, as the 2007 data</w:t>
      </w:r>
      <w:r w:rsidRPr="00EC13C3">
        <w:t>set did not have all the value labels for the COB,</w:t>
      </w:r>
      <w:r>
        <w:t xml:space="preserve"> thus</w:t>
      </w:r>
      <w:r w:rsidRPr="00EC13C3">
        <w:t xml:space="preserve"> making identification of the </w:t>
      </w:r>
      <w:r>
        <w:t xml:space="preserve">individuals investigated </w:t>
      </w:r>
      <w:r w:rsidRPr="00EC13C3">
        <w:t xml:space="preserve">impossible. </w:t>
      </w:r>
    </w:p>
  </w:endnote>
  <w:endnote w:id="5">
    <w:p w14:paraId="1FEA50FC" w14:textId="77777777" w:rsidR="00D05E8E" w:rsidRDefault="00D05E8E" w:rsidP="0034523C">
      <w:pPr>
        <w:pStyle w:val="EndnoteText"/>
      </w:pPr>
      <w:r w:rsidRPr="00EC13C3">
        <w:rPr>
          <w:rStyle w:val="EndnoteReference"/>
        </w:rPr>
        <w:endnoteRef/>
      </w:r>
      <w:r w:rsidRPr="00EC13C3">
        <w:t xml:space="preserve"> </w:t>
      </w:r>
      <w:r>
        <w:t>C</w:t>
      </w:r>
      <w:r w:rsidRPr="00EC13C3">
        <w:t xml:space="preserve">ovariates to enable comparison over </w:t>
      </w:r>
      <w:r>
        <w:t>eight</w:t>
      </w:r>
      <w:r w:rsidRPr="00EC13C3">
        <w:t xml:space="preserve"> years</w:t>
      </w:r>
      <w:r>
        <w:t xml:space="preserve"> were limited and </w:t>
      </w:r>
      <w:r w:rsidRPr="00EC13C3">
        <w:t>some relevant variables</w:t>
      </w:r>
      <w:r>
        <w:t>,</w:t>
      </w:r>
      <w:r w:rsidRPr="00EC13C3">
        <w:t xml:space="preserve"> such as English language ability</w:t>
      </w:r>
      <w:r>
        <w:t>,</w:t>
      </w:r>
      <w:r w:rsidRPr="00EC13C3">
        <w:t xml:space="preserve"> wh</w:t>
      </w:r>
      <w:r>
        <w:t>ich were only asked for in one data</w:t>
      </w:r>
      <w:r w:rsidRPr="00EC13C3">
        <w:t>set</w:t>
      </w:r>
      <w:r>
        <w:t>,</w:t>
      </w:r>
      <w:r w:rsidRPr="00EC13C3">
        <w:t xml:space="preserve"> c</w:t>
      </w:r>
      <w:r>
        <w:t>an</w:t>
      </w:r>
      <w:r w:rsidRPr="00EC13C3">
        <w:t>not be included</w:t>
      </w:r>
      <w:r>
        <w:t xml:space="preserve"> in the models</w:t>
      </w:r>
      <w:r w:rsidRPr="00EC13C3">
        <w:t>.</w:t>
      </w:r>
    </w:p>
  </w:endnote>
  <w:endnote w:id="6">
    <w:p w14:paraId="7B31A1B2" w14:textId="333C8C1F" w:rsidR="00D05E8E" w:rsidRDefault="00D05E8E" w:rsidP="0034523C">
      <w:pPr>
        <w:pStyle w:val="EndnoteText"/>
      </w:pPr>
      <w:r>
        <w:rPr>
          <w:rStyle w:val="EndnoteReference"/>
        </w:rPr>
        <w:endnoteRef/>
      </w:r>
      <w:r>
        <w:t xml:space="preserve"> Several models were run to observe the effects of the predictor variables on the dependent variable, yet due to space limitations these are not reported here.</w:t>
      </w:r>
      <w:r w:rsidRPr="00937E7F">
        <w:t xml:space="preserve"> Including the employment sector variable</w:t>
      </w:r>
      <w:r>
        <w:t>,</w:t>
      </w:r>
      <w:r w:rsidRPr="00937E7F">
        <w:t xml:space="preserve"> for example</w:t>
      </w:r>
      <w:r>
        <w:t>,</w:t>
      </w:r>
      <w:r w:rsidRPr="00937E7F">
        <w:t xml:space="preserve"> has improved the models overall and ha</w:t>
      </w:r>
      <w:r>
        <w:t>s</w:t>
      </w:r>
      <w:r w:rsidRPr="00937E7F">
        <w:t xml:space="preserve"> reduced the likelihood of A8 migrants being</w:t>
      </w:r>
      <w:r>
        <w:t xml:space="preserve"> classified as</w:t>
      </w:r>
      <w:r w:rsidRPr="00937E7F">
        <w:t xml:space="preserve"> over-qualified, yet as demonstrated in </w:t>
      </w:r>
      <w:r>
        <w:t xml:space="preserve">the </w:t>
      </w:r>
      <w:r w:rsidRPr="00937E7F">
        <w:t>final model, they still remain over-qualified for the year</w:t>
      </w:r>
      <w:r>
        <w:t>s</w:t>
      </w:r>
      <w:r w:rsidRPr="00937E7F">
        <w:t xml:space="preserve"> analysed in this </w:t>
      </w:r>
      <w:r>
        <w:t>article</w:t>
      </w:r>
      <w:r w:rsidRPr="00937E7F">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Book Antiqua"/>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A53CE" w14:textId="77777777" w:rsidR="00D05E8E" w:rsidRPr="00665B2B" w:rsidRDefault="00D05E8E" w:rsidP="00055BDD">
    <w:pPr>
      <w:pStyle w:val="Footer"/>
      <w:pBdr>
        <w:top w:val="none" w:sz="0" w:space="0" w:color="auto"/>
      </w:pBdr>
      <w:jc w:val="left"/>
      <w:rPr>
        <w:rStyle w:val="PageNumber"/>
        <w:kern w:val="0"/>
      </w:rPr>
    </w:pPr>
    <w:r w:rsidRPr="00665B2B">
      <w:rPr>
        <w:rStyle w:val="PageNumber"/>
        <w:b w:val="0"/>
      </w:rPr>
      <w:fldChar w:fldCharType="begin"/>
    </w:r>
    <w:r w:rsidRPr="00665B2B">
      <w:rPr>
        <w:rStyle w:val="PageNumber"/>
        <w:b w:val="0"/>
      </w:rPr>
      <w:instrText xml:space="preserve"> PAGE  </w:instrText>
    </w:r>
    <w:r w:rsidRPr="00665B2B">
      <w:rPr>
        <w:rStyle w:val="PageNumber"/>
        <w:b w:val="0"/>
      </w:rPr>
      <w:fldChar w:fldCharType="separate"/>
    </w:r>
    <w:r>
      <w:rPr>
        <w:rStyle w:val="PageNumber"/>
        <w:b w:val="0"/>
        <w:noProof/>
      </w:rPr>
      <w:t>12</w:t>
    </w:r>
    <w:r w:rsidRPr="00665B2B">
      <w:rPr>
        <w:rStyle w:val="PageNumber"/>
        <w:b w:val="0"/>
      </w:rPr>
      <w:fldChar w:fldCharType="end"/>
    </w:r>
    <w:r w:rsidRPr="00665B2B">
      <w:rPr>
        <w:rStyle w:val="PageNumber"/>
        <w:b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5332"/>
      <w:docPartObj>
        <w:docPartGallery w:val="Page Numbers (Bottom of Page)"/>
        <w:docPartUnique/>
      </w:docPartObj>
    </w:sdtPr>
    <w:sdtEndPr>
      <w:rPr>
        <w:noProof/>
      </w:rPr>
    </w:sdtEndPr>
    <w:sdtContent>
      <w:p w14:paraId="2976BD62" w14:textId="4F9979A1" w:rsidR="00D05E8E" w:rsidRDefault="00D05E8E">
        <w:pPr>
          <w:pStyle w:val="Footer"/>
        </w:pPr>
        <w:r>
          <w:fldChar w:fldCharType="begin"/>
        </w:r>
        <w:r>
          <w:instrText xml:space="preserve"> PAGE   \* MERGEFORMAT </w:instrText>
        </w:r>
        <w:r>
          <w:fldChar w:fldCharType="separate"/>
        </w:r>
        <w:r w:rsidR="00283A71">
          <w:rPr>
            <w:noProof/>
          </w:rPr>
          <w:t>30</w:t>
        </w:r>
        <w:r>
          <w:rPr>
            <w:noProof/>
          </w:rPr>
          <w:fldChar w:fldCharType="end"/>
        </w:r>
      </w:p>
    </w:sdtContent>
  </w:sdt>
  <w:p w14:paraId="4B4C2135" w14:textId="77777777" w:rsidR="00D05E8E" w:rsidRDefault="00D05E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3753B" w14:textId="77777777" w:rsidR="00D05E8E" w:rsidRPr="004803A4" w:rsidRDefault="00D05E8E" w:rsidP="00055BDD">
    <w:pPr>
      <w:rPr>
        <w:sz w:val="16"/>
      </w:rPr>
    </w:pPr>
  </w:p>
  <w:tbl>
    <w:tblPr>
      <w:tblW w:w="9639" w:type="dxa"/>
      <w:tblInd w:w="108" w:type="dxa"/>
      <w:tblBorders>
        <w:top w:val="single" w:sz="4" w:space="0" w:color="auto"/>
      </w:tblBorders>
      <w:tblLook w:val="00A0" w:firstRow="1" w:lastRow="0" w:firstColumn="1" w:lastColumn="0" w:noHBand="0" w:noVBand="0"/>
    </w:tblPr>
    <w:tblGrid>
      <w:gridCol w:w="4678"/>
      <w:gridCol w:w="4961"/>
    </w:tblGrid>
    <w:tr w:rsidR="00D05E8E" w:rsidRPr="00CC5FE5" w14:paraId="72CA3395" w14:textId="77777777" w:rsidTr="00055BDD">
      <w:tc>
        <w:tcPr>
          <w:tcW w:w="4678" w:type="dxa"/>
          <w:tcBorders>
            <w:top w:val="single" w:sz="4" w:space="0" w:color="auto"/>
          </w:tcBorders>
        </w:tcPr>
        <w:p w14:paraId="75E546E0" w14:textId="77777777" w:rsidR="00D05E8E" w:rsidRPr="00CC5FE5" w:rsidRDefault="00D05E8E" w:rsidP="00055BDD">
          <w:pPr>
            <w:pStyle w:val="Footer"/>
            <w:pBdr>
              <w:top w:val="none" w:sz="0" w:space="0" w:color="auto"/>
            </w:pBdr>
            <w:ind w:left="-108"/>
            <w:jc w:val="left"/>
            <w:rPr>
              <w:rStyle w:val="PageNumber"/>
              <w:kern w:val="0"/>
            </w:rPr>
          </w:pPr>
        </w:p>
      </w:tc>
      <w:tc>
        <w:tcPr>
          <w:tcW w:w="4961" w:type="dxa"/>
          <w:tcBorders>
            <w:top w:val="single" w:sz="4" w:space="0" w:color="auto"/>
          </w:tcBorders>
        </w:tcPr>
        <w:p w14:paraId="77DCF5AF" w14:textId="77777777" w:rsidR="00D05E8E" w:rsidRPr="008C5965" w:rsidRDefault="00D05E8E" w:rsidP="00055BDD">
          <w:pPr>
            <w:pStyle w:val="Footer"/>
            <w:pBdr>
              <w:top w:val="none" w:sz="0" w:space="0" w:color="auto"/>
            </w:pBdr>
            <w:ind w:right="-108"/>
            <w:jc w:val="right"/>
            <w:rPr>
              <w:rStyle w:val="PageNumber"/>
            </w:rPr>
          </w:pPr>
        </w:p>
      </w:tc>
    </w:tr>
  </w:tbl>
  <w:p w14:paraId="5229C274" w14:textId="77777777" w:rsidR="00D05E8E" w:rsidRPr="008C5965" w:rsidRDefault="00D05E8E" w:rsidP="00055BDD">
    <w:pP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A7CF9" w14:textId="77777777" w:rsidR="0058799B" w:rsidRDefault="0058799B" w:rsidP="005A46A8">
      <w:r>
        <w:separator/>
      </w:r>
    </w:p>
  </w:footnote>
  <w:footnote w:type="continuationSeparator" w:id="0">
    <w:p w14:paraId="0646E1A8" w14:textId="77777777" w:rsidR="0058799B" w:rsidRDefault="0058799B" w:rsidP="005A4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C84B" w14:textId="77777777" w:rsidR="00D05E8E" w:rsidRPr="00CD36DF" w:rsidRDefault="00D05E8E" w:rsidP="00055BDD">
    <w:pPr>
      <w:pStyle w:val="Header"/>
      <w:pBdr>
        <w:bottom w:val="none" w:sz="0" w:space="0" w:color="auto"/>
      </w:pBdr>
      <w:rPr>
        <w:b w:val="0"/>
        <w:i/>
        <w:sz w:val="20"/>
      </w:rPr>
    </w:pPr>
    <w:r w:rsidRPr="00CD36DF">
      <w:rPr>
        <w:b w:val="0"/>
        <w:i/>
        <w:sz w:val="20"/>
      </w:rPr>
      <w:t>A generative framework for creative learning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C3DD" w14:textId="77777777" w:rsidR="00D05E8E" w:rsidRPr="008C5965" w:rsidRDefault="00D05E8E" w:rsidP="00055BDD">
    <w:pPr>
      <w:pStyle w:val="Header"/>
      <w:pBdr>
        <w:bottom w:val="none" w:sz="0" w:space="0" w:color="auto"/>
      </w:pBdr>
      <w:spacing w:after="120"/>
      <w:jc w:val="right"/>
      <w:rPr>
        <w:b w:val="0"/>
        <w:smallCap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71BE" w14:textId="77777777" w:rsidR="00D05E8E" w:rsidRPr="00996E5C" w:rsidRDefault="00D05E8E" w:rsidP="00055BDD">
    <w:pPr>
      <w:pStyle w:val="Header"/>
      <w:pBdr>
        <w:bottom w:val="none" w:sz="0" w:space="0" w:color="auto"/>
      </w:pBdr>
      <w:rPr>
        <w:color w:val="02422B"/>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01553"/>
    <w:multiLevelType w:val="hybridMultilevel"/>
    <w:tmpl w:val="ED187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C4A86"/>
    <w:multiLevelType w:val="hybridMultilevel"/>
    <w:tmpl w:val="58B4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775ED"/>
    <w:multiLevelType w:val="hybridMultilevel"/>
    <w:tmpl w:val="88A45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8B7AEA"/>
    <w:multiLevelType w:val="hybridMultilevel"/>
    <w:tmpl w:val="91EA6C2C"/>
    <w:lvl w:ilvl="0" w:tplc="08090005">
      <w:start w:val="1"/>
      <w:numFmt w:val="bullet"/>
      <w:lvlText w:val=""/>
      <w:lvlJc w:val="left"/>
      <w:pPr>
        <w:tabs>
          <w:tab w:val="num" w:pos="0"/>
        </w:tabs>
        <w:ind w:hanging="360"/>
      </w:pPr>
      <w:rPr>
        <w:rFonts w:ascii="Wingdings" w:hAnsi="Wingdings"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3C484A2A"/>
    <w:multiLevelType w:val="hybridMultilevel"/>
    <w:tmpl w:val="D638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D0178"/>
    <w:multiLevelType w:val="hybridMultilevel"/>
    <w:tmpl w:val="F6362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BA37B7"/>
    <w:multiLevelType w:val="hybridMultilevel"/>
    <w:tmpl w:val="C02A9C0E"/>
    <w:lvl w:ilvl="0" w:tplc="0409000F">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7" w15:restartNumberingAfterBreak="0">
    <w:nsid w:val="635E4D7C"/>
    <w:multiLevelType w:val="hybridMultilevel"/>
    <w:tmpl w:val="A86251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6BCC3C76"/>
    <w:multiLevelType w:val="hybridMultilevel"/>
    <w:tmpl w:val="6DCC83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7"/>
  </w:num>
  <w:num w:numId="4">
    <w:abstractNumId w:val="5"/>
  </w:num>
  <w:num w:numId="5">
    <w:abstractNumId w:val="0"/>
  </w:num>
  <w:num w:numId="6">
    <w:abstractNumId w:val="2"/>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A8"/>
    <w:rsid w:val="00022A9C"/>
    <w:rsid w:val="00030BD2"/>
    <w:rsid w:val="000338AD"/>
    <w:rsid w:val="00037078"/>
    <w:rsid w:val="0004516C"/>
    <w:rsid w:val="0005349D"/>
    <w:rsid w:val="000540DB"/>
    <w:rsid w:val="00055BDD"/>
    <w:rsid w:val="0006117F"/>
    <w:rsid w:val="00064776"/>
    <w:rsid w:val="0006619B"/>
    <w:rsid w:val="00083784"/>
    <w:rsid w:val="00083AE7"/>
    <w:rsid w:val="0008790D"/>
    <w:rsid w:val="000A5196"/>
    <w:rsid w:val="000C11DE"/>
    <w:rsid w:val="000C2111"/>
    <w:rsid w:val="000C47C5"/>
    <w:rsid w:val="000C5C5C"/>
    <w:rsid w:val="000D2032"/>
    <w:rsid w:val="000D38B0"/>
    <w:rsid w:val="000F0271"/>
    <w:rsid w:val="000F445C"/>
    <w:rsid w:val="00103AE6"/>
    <w:rsid w:val="0010529D"/>
    <w:rsid w:val="00114A40"/>
    <w:rsid w:val="00121D64"/>
    <w:rsid w:val="0012586F"/>
    <w:rsid w:val="001312F0"/>
    <w:rsid w:val="00136F61"/>
    <w:rsid w:val="001540DC"/>
    <w:rsid w:val="00154DA3"/>
    <w:rsid w:val="00167B32"/>
    <w:rsid w:val="00173992"/>
    <w:rsid w:val="00177948"/>
    <w:rsid w:val="001826C0"/>
    <w:rsid w:val="00183AE0"/>
    <w:rsid w:val="00185480"/>
    <w:rsid w:val="00190816"/>
    <w:rsid w:val="00193D4E"/>
    <w:rsid w:val="0019494F"/>
    <w:rsid w:val="001B4306"/>
    <w:rsid w:val="001B4F51"/>
    <w:rsid w:val="001D09CC"/>
    <w:rsid w:val="001D3ED4"/>
    <w:rsid w:val="001D6D87"/>
    <w:rsid w:val="001F321B"/>
    <w:rsid w:val="00200A06"/>
    <w:rsid w:val="002068C1"/>
    <w:rsid w:val="002100EE"/>
    <w:rsid w:val="00214898"/>
    <w:rsid w:val="00215A5A"/>
    <w:rsid w:val="00216507"/>
    <w:rsid w:val="00221E76"/>
    <w:rsid w:val="00222C0D"/>
    <w:rsid w:val="00224F12"/>
    <w:rsid w:val="00233C87"/>
    <w:rsid w:val="00261880"/>
    <w:rsid w:val="00265A73"/>
    <w:rsid w:val="00267C02"/>
    <w:rsid w:val="002700FF"/>
    <w:rsid w:val="002745A2"/>
    <w:rsid w:val="00276DD0"/>
    <w:rsid w:val="00277F0D"/>
    <w:rsid w:val="00282ACF"/>
    <w:rsid w:val="00283A71"/>
    <w:rsid w:val="00284547"/>
    <w:rsid w:val="00285AC7"/>
    <w:rsid w:val="00292DBF"/>
    <w:rsid w:val="00297DB8"/>
    <w:rsid w:val="002B2376"/>
    <w:rsid w:val="002E13CD"/>
    <w:rsid w:val="002F7A28"/>
    <w:rsid w:val="0030087F"/>
    <w:rsid w:val="00312291"/>
    <w:rsid w:val="00315D53"/>
    <w:rsid w:val="00320B5B"/>
    <w:rsid w:val="00321FF5"/>
    <w:rsid w:val="00324ED9"/>
    <w:rsid w:val="0034523C"/>
    <w:rsid w:val="0036551B"/>
    <w:rsid w:val="003A01E3"/>
    <w:rsid w:val="003A03D9"/>
    <w:rsid w:val="003A6E50"/>
    <w:rsid w:val="003B7BDC"/>
    <w:rsid w:val="003D20EC"/>
    <w:rsid w:val="003E5004"/>
    <w:rsid w:val="003F1598"/>
    <w:rsid w:val="003F480D"/>
    <w:rsid w:val="003F6595"/>
    <w:rsid w:val="003F791D"/>
    <w:rsid w:val="004149C6"/>
    <w:rsid w:val="004267F8"/>
    <w:rsid w:val="004357A5"/>
    <w:rsid w:val="004374D8"/>
    <w:rsid w:val="00452323"/>
    <w:rsid w:val="00460993"/>
    <w:rsid w:val="00464021"/>
    <w:rsid w:val="00464022"/>
    <w:rsid w:val="004664BE"/>
    <w:rsid w:val="00480690"/>
    <w:rsid w:val="004851F3"/>
    <w:rsid w:val="00492AF2"/>
    <w:rsid w:val="00493B40"/>
    <w:rsid w:val="00497FE6"/>
    <w:rsid w:val="004A0576"/>
    <w:rsid w:val="004A5977"/>
    <w:rsid w:val="004A5AB6"/>
    <w:rsid w:val="004A73D9"/>
    <w:rsid w:val="004B1F98"/>
    <w:rsid w:val="004B45B4"/>
    <w:rsid w:val="004C19F6"/>
    <w:rsid w:val="004C5747"/>
    <w:rsid w:val="004D1993"/>
    <w:rsid w:val="004D70B7"/>
    <w:rsid w:val="004D7481"/>
    <w:rsid w:val="004D78C2"/>
    <w:rsid w:val="004E337A"/>
    <w:rsid w:val="004F4F94"/>
    <w:rsid w:val="00500A8C"/>
    <w:rsid w:val="00507AC9"/>
    <w:rsid w:val="005174A9"/>
    <w:rsid w:val="00521359"/>
    <w:rsid w:val="00535C84"/>
    <w:rsid w:val="0053650B"/>
    <w:rsid w:val="00537D4E"/>
    <w:rsid w:val="00541BA4"/>
    <w:rsid w:val="00546B67"/>
    <w:rsid w:val="005558FF"/>
    <w:rsid w:val="0056004B"/>
    <w:rsid w:val="00563008"/>
    <w:rsid w:val="00570E59"/>
    <w:rsid w:val="00573829"/>
    <w:rsid w:val="00583171"/>
    <w:rsid w:val="00583AF6"/>
    <w:rsid w:val="0058799B"/>
    <w:rsid w:val="00587F18"/>
    <w:rsid w:val="00591E0A"/>
    <w:rsid w:val="00592443"/>
    <w:rsid w:val="00592B44"/>
    <w:rsid w:val="00595B00"/>
    <w:rsid w:val="005976BE"/>
    <w:rsid w:val="005A108D"/>
    <w:rsid w:val="005A2362"/>
    <w:rsid w:val="005A46A8"/>
    <w:rsid w:val="005A4FDC"/>
    <w:rsid w:val="005B3CC8"/>
    <w:rsid w:val="005B786C"/>
    <w:rsid w:val="005D092B"/>
    <w:rsid w:val="005D12E9"/>
    <w:rsid w:val="005E2A52"/>
    <w:rsid w:val="00604B7C"/>
    <w:rsid w:val="006060DD"/>
    <w:rsid w:val="00635256"/>
    <w:rsid w:val="00643F56"/>
    <w:rsid w:val="0064519D"/>
    <w:rsid w:val="0064549C"/>
    <w:rsid w:val="006507DC"/>
    <w:rsid w:val="00652157"/>
    <w:rsid w:val="00652B41"/>
    <w:rsid w:val="00656313"/>
    <w:rsid w:val="00661413"/>
    <w:rsid w:val="00665552"/>
    <w:rsid w:val="006729CE"/>
    <w:rsid w:val="00673A01"/>
    <w:rsid w:val="006832A9"/>
    <w:rsid w:val="00695C61"/>
    <w:rsid w:val="006A2033"/>
    <w:rsid w:val="006A33F2"/>
    <w:rsid w:val="006A3F3B"/>
    <w:rsid w:val="006A4969"/>
    <w:rsid w:val="006A66DE"/>
    <w:rsid w:val="006B2980"/>
    <w:rsid w:val="006B3ACE"/>
    <w:rsid w:val="006B45AE"/>
    <w:rsid w:val="006C32DB"/>
    <w:rsid w:val="006E3681"/>
    <w:rsid w:val="006F5D32"/>
    <w:rsid w:val="00702731"/>
    <w:rsid w:val="00714BD1"/>
    <w:rsid w:val="00714E84"/>
    <w:rsid w:val="007212FB"/>
    <w:rsid w:val="00722136"/>
    <w:rsid w:val="00723A1D"/>
    <w:rsid w:val="0073770F"/>
    <w:rsid w:val="00745B5A"/>
    <w:rsid w:val="007522F8"/>
    <w:rsid w:val="00756933"/>
    <w:rsid w:val="00770416"/>
    <w:rsid w:val="00771397"/>
    <w:rsid w:val="00795464"/>
    <w:rsid w:val="007B203F"/>
    <w:rsid w:val="007C1AB9"/>
    <w:rsid w:val="007C2481"/>
    <w:rsid w:val="007C2A28"/>
    <w:rsid w:val="007C2ED2"/>
    <w:rsid w:val="007C3837"/>
    <w:rsid w:val="007C6730"/>
    <w:rsid w:val="007D30C9"/>
    <w:rsid w:val="007D772E"/>
    <w:rsid w:val="007E5E47"/>
    <w:rsid w:val="007F1EE0"/>
    <w:rsid w:val="007F53A7"/>
    <w:rsid w:val="00803D9B"/>
    <w:rsid w:val="00813179"/>
    <w:rsid w:val="00813804"/>
    <w:rsid w:val="008237C8"/>
    <w:rsid w:val="00823C3D"/>
    <w:rsid w:val="008242D4"/>
    <w:rsid w:val="008373AE"/>
    <w:rsid w:val="00874C36"/>
    <w:rsid w:val="008879A5"/>
    <w:rsid w:val="0089658D"/>
    <w:rsid w:val="008B2D5A"/>
    <w:rsid w:val="008C1B0A"/>
    <w:rsid w:val="008D41BB"/>
    <w:rsid w:val="008E5CE7"/>
    <w:rsid w:val="008E64C1"/>
    <w:rsid w:val="008F2B30"/>
    <w:rsid w:val="00904C2A"/>
    <w:rsid w:val="00910FA9"/>
    <w:rsid w:val="00912E9A"/>
    <w:rsid w:val="00922F96"/>
    <w:rsid w:val="0093658D"/>
    <w:rsid w:val="00937E7F"/>
    <w:rsid w:val="009411B8"/>
    <w:rsid w:val="009460BF"/>
    <w:rsid w:val="00954780"/>
    <w:rsid w:val="00956D8C"/>
    <w:rsid w:val="00960212"/>
    <w:rsid w:val="00966981"/>
    <w:rsid w:val="00966A4E"/>
    <w:rsid w:val="0097149E"/>
    <w:rsid w:val="00992CC5"/>
    <w:rsid w:val="009A0551"/>
    <w:rsid w:val="009A4A6C"/>
    <w:rsid w:val="009A7B86"/>
    <w:rsid w:val="009B2950"/>
    <w:rsid w:val="009B36EE"/>
    <w:rsid w:val="009B6B71"/>
    <w:rsid w:val="009B7AC6"/>
    <w:rsid w:val="009D5F23"/>
    <w:rsid w:val="009D7DBE"/>
    <w:rsid w:val="009E1DF1"/>
    <w:rsid w:val="009F0BFE"/>
    <w:rsid w:val="009F4DB8"/>
    <w:rsid w:val="009F668E"/>
    <w:rsid w:val="00A16483"/>
    <w:rsid w:val="00A232D5"/>
    <w:rsid w:val="00A34381"/>
    <w:rsid w:val="00A567DB"/>
    <w:rsid w:val="00A77BA7"/>
    <w:rsid w:val="00A85829"/>
    <w:rsid w:val="00A91827"/>
    <w:rsid w:val="00AA0264"/>
    <w:rsid w:val="00AA7F94"/>
    <w:rsid w:val="00AC404D"/>
    <w:rsid w:val="00AC50AB"/>
    <w:rsid w:val="00AC7F85"/>
    <w:rsid w:val="00AD1C6F"/>
    <w:rsid w:val="00AE5299"/>
    <w:rsid w:val="00AF2D62"/>
    <w:rsid w:val="00AF3262"/>
    <w:rsid w:val="00AF44D1"/>
    <w:rsid w:val="00B0328A"/>
    <w:rsid w:val="00B1276C"/>
    <w:rsid w:val="00B267E6"/>
    <w:rsid w:val="00B4790B"/>
    <w:rsid w:val="00B57BA1"/>
    <w:rsid w:val="00B855FA"/>
    <w:rsid w:val="00B92F9D"/>
    <w:rsid w:val="00B937E4"/>
    <w:rsid w:val="00B9772E"/>
    <w:rsid w:val="00B97FEF"/>
    <w:rsid w:val="00BA0A5C"/>
    <w:rsid w:val="00BB3379"/>
    <w:rsid w:val="00BB6A84"/>
    <w:rsid w:val="00BC0256"/>
    <w:rsid w:val="00BC4D3A"/>
    <w:rsid w:val="00BD3CA1"/>
    <w:rsid w:val="00BE6916"/>
    <w:rsid w:val="00BE7341"/>
    <w:rsid w:val="00BF17A1"/>
    <w:rsid w:val="00C145C1"/>
    <w:rsid w:val="00C279FA"/>
    <w:rsid w:val="00C4655D"/>
    <w:rsid w:val="00C474DC"/>
    <w:rsid w:val="00C650B0"/>
    <w:rsid w:val="00C65BFC"/>
    <w:rsid w:val="00C75B04"/>
    <w:rsid w:val="00C85E15"/>
    <w:rsid w:val="00CA454E"/>
    <w:rsid w:val="00CA70B1"/>
    <w:rsid w:val="00CB2B33"/>
    <w:rsid w:val="00CC046D"/>
    <w:rsid w:val="00CC0B6F"/>
    <w:rsid w:val="00CD051A"/>
    <w:rsid w:val="00CE06EE"/>
    <w:rsid w:val="00D013B4"/>
    <w:rsid w:val="00D05E8E"/>
    <w:rsid w:val="00D1580C"/>
    <w:rsid w:val="00D239C2"/>
    <w:rsid w:val="00D35E5E"/>
    <w:rsid w:val="00D469AE"/>
    <w:rsid w:val="00D671B1"/>
    <w:rsid w:val="00D714D5"/>
    <w:rsid w:val="00D72535"/>
    <w:rsid w:val="00D7381C"/>
    <w:rsid w:val="00D8685F"/>
    <w:rsid w:val="00DA222B"/>
    <w:rsid w:val="00DB1ACD"/>
    <w:rsid w:val="00DC1C80"/>
    <w:rsid w:val="00DC4888"/>
    <w:rsid w:val="00DF11A7"/>
    <w:rsid w:val="00DF1C82"/>
    <w:rsid w:val="00E10652"/>
    <w:rsid w:val="00E14CB8"/>
    <w:rsid w:val="00E2561F"/>
    <w:rsid w:val="00E26EB2"/>
    <w:rsid w:val="00E27066"/>
    <w:rsid w:val="00E3206A"/>
    <w:rsid w:val="00E32D99"/>
    <w:rsid w:val="00E3465F"/>
    <w:rsid w:val="00E423D4"/>
    <w:rsid w:val="00E518D1"/>
    <w:rsid w:val="00E632FF"/>
    <w:rsid w:val="00E65EE9"/>
    <w:rsid w:val="00E67FE4"/>
    <w:rsid w:val="00E70F25"/>
    <w:rsid w:val="00E74436"/>
    <w:rsid w:val="00E745EC"/>
    <w:rsid w:val="00E77BD8"/>
    <w:rsid w:val="00E77CE4"/>
    <w:rsid w:val="00E81069"/>
    <w:rsid w:val="00E8534D"/>
    <w:rsid w:val="00E86B1C"/>
    <w:rsid w:val="00E90963"/>
    <w:rsid w:val="00E91201"/>
    <w:rsid w:val="00E91B6D"/>
    <w:rsid w:val="00EB00F2"/>
    <w:rsid w:val="00EB6A24"/>
    <w:rsid w:val="00ED23B3"/>
    <w:rsid w:val="00ED2FDB"/>
    <w:rsid w:val="00EE125A"/>
    <w:rsid w:val="00EE2643"/>
    <w:rsid w:val="00EE2674"/>
    <w:rsid w:val="00EF07BA"/>
    <w:rsid w:val="00EF5647"/>
    <w:rsid w:val="00F07B8A"/>
    <w:rsid w:val="00F110E3"/>
    <w:rsid w:val="00F1121D"/>
    <w:rsid w:val="00F36B2E"/>
    <w:rsid w:val="00F37286"/>
    <w:rsid w:val="00F416B9"/>
    <w:rsid w:val="00F442EB"/>
    <w:rsid w:val="00F45120"/>
    <w:rsid w:val="00F463CE"/>
    <w:rsid w:val="00F53F30"/>
    <w:rsid w:val="00F54C30"/>
    <w:rsid w:val="00F6307E"/>
    <w:rsid w:val="00F81C33"/>
    <w:rsid w:val="00F928E5"/>
    <w:rsid w:val="00FA01AE"/>
    <w:rsid w:val="00FA046B"/>
    <w:rsid w:val="00FA0654"/>
    <w:rsid w:val="00FA15D9"/>
    <w:rsid w:val="00FA26BA"/>
    <w:rsid w:val="00FB3AE3"/>
    <w:rsid w:val="00FB57F5"/>
    <w:rsid w:val="00FC4884"/>
    <w:rsid w:val="00FD621C"/>
    <w:rsid w:val="00FD6F27"/>
    <w:rsid w:val="00FE0661"/>
    <w:rsid w:val="00FE619C"/>
    <w:rsid w:val="00FE6C2A"/>
    <w:rsid w:val="00FF604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C3D"/>
    <w:pPr>
      <w:spacing w:after="0" w:line="240" w:lineRule="auto"/>
    </w:pPr>
    <w:rPr>
      <w:rFonts w:ascii="Times New Roman" w:eastAsiaTheme="minorEastAsia" w:hAnsi="Times New Roman" w:cs="Times New Roman"/>
      <w:sz w:val="24"/>
      <w:szCs w:val="24"/>
      <w:lang w:eastAsia="zh-TW"/>
    </w:rPr>
  </w:style>
  <w:style w:type="paragraph" w:styleId="Heading1">
    <w:name w:val="heading 1"/>
    <w:basedOn w:val="Normal"/>
    <w:next w:val="Normal"/>
    <w:link w:val="Heading1Char"/>
    <w:uiPriority w:val="9"/>
    <w:qFormat/>
    <w:rsid w:val="005A46A8"/>
    <w:pPr>
      <w:keepNext/>
      <w:keepLines/>
      <w:spacing w:before="480" w:line="276" w:lineRule="auto"/>
      <w:outlineLvl w:val="0"/>
    </w:pPr>
    <w:rPr>
      <w:rFonts w:ascii="Cambria" w:eastAsia="PMingLiU" w:hAnsi="Cambria"/>
      <w:b/>
      <w:bCs/>
      <w:color w:val="365F91"/>
      <w:sz w:val="28"/>
      <w:szCs w:val="28"/>
      <w:lang w:eastAsia="en-GB"/>
    </w:rPr>
  </w:style>
  <w:style w:type="paragraph" w:styleId="Heading2">
    <w:name w:val="heading 2"/>
    <w:basedOn w:val="Normal"/>
    <w:next w:val="Normal"/>
    <w:link w:val="Heading2Char"/>
    <w:uiPriority w:val="9"/>
    <w:unhideWhenUsed/>
    <w:qFormat/>
    <w:rsid w:val="005A46A8"/>
    <w:pPr>
      <w:keepNext/>
      <w:keepLines/>
      <w:spacing w:before="200" w:line="276" w:lineRule="auto"/>
      <w:outlineLvl w:val="1"/>
    </w:pPr>
    <w:rPr>
      <w:rFonts w:ascii="Cambria" w:eastAsia="PMingLiU" w:hAnsi="Cambria"/>
      <w:b/>
      <w:bCs/>
      <w:color w:val="4F81BD"/>
      <w:sz w:val="26"/>
      <w:szCs w:val="26"/>
    </w:rPr>
  </w:style>
  <w:style w:type="paragraph" w:styleId="Heading3">
    <w:name w:val="heading 3"/>
    <w:basedOn w:val="Normal"/>
    <w:next w:val="Normal"/>
    <w:link w:val="Heading3Char"/>
    <w:uiPriority w:val="9"/>
    <w:semiHidden/>
    <w:unhideWhenUsed/>
    <w:qFormat/>
    <w:rsid w:val="005A46A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6A8"/>
    <w:rPr>
      <w:rFonts w:ascii="Cambria" w:eastAsia="PMingLiU" w:hAnsi="Cambria" w:cs="Times New Roman"/>
      <w:b/>
      <w:bCs/>
      <w:color w:val="365F91"/>
      <w:sz w:val="28"/>
      <w:szCs w:val="28"/>
      <w:lang w:eastAsia="en-GB"/>
    </w:rPr>
  </w:style>
  <w:style w:type="character" w:customStyle="1" w:styleId="Heading2Char">
    <w:name w:val="Heading 2 Char"/>
    <w:basedOn w:val="DefaultParagraphFont"/>
    <w:link w:val="Heading2"/>
    <w:uiPriority w:val="9"/>
    <w:rsid w:val="005A46A8"/>
    <w:rPr>
      <w:rFonts w:ascii="Cambria" w:eastAsia="PMingLiU" w:hAnsi="Cambria" w:cs="Times New Roman"/>
      <w:b/>
      <w:bCs/>
      <w:color w:val="4F81BD"/>
      <w:sz w:val="26"/>
      <w:szCs w:val="26"/>
      <w:lang w:eastAsia="zh-TW"/>
    </w:rPr>
  </w:style>
  <w:style w:type="character" w:customStyle="1" w:styleId="Heading3Char">
    <w:name w:val="Heading 3 Char"/>
    <w:basedOn w:val="DefaultParagraphFont"/>
    <w:link w:val="Heading3"/>
    <w:uiPriority w:val="9"/>
    <w:semiHidden/>
    <w:rsid w:val="005A46A8"/>
    <w:rPr>
      <w:rFonts w:asciiTheme="majorHAnsi" w:eastAsiaTheme="majorEastAsia" w:hAnsiTheme="majorHAnsi" w:cstheme="majorBidi"/>
      <w:b/>
      <w:bCs/>
      <w:color w:val="5B9BD5" w:themeColor="accent1"/>
      <w:sz w:val="24"/>
      <w:szCs w:val="24"/>
      <w:lang w:eastAsia="zh-TW"/>
    </w:rPr>
  </w:style>
  <w:style w:type="paragraph" w:styleId="Footer">
    <w:name w:val="footer"/>
    <w:basedOn w:val="Normal"/>
    <w:link w:val="FooterChar"/>
    <w:uiPriority w:val="99"/>
    <w:rsid w:val="005A46A8"/>
    <w:pPr>
      <w:pBdr>
        <w:top w:val="single" w:sz="4" w:space="1" w:color="auto"/>
      </w:pBdr>
      <w:tabs>
        <w:tab w:val="center" w:pos="5040"/>
        <w:tab w:val="left" w:pos="8820"/>
      </w:tabs>
      <w:jc w:val="center"/>
    </w:pPr>
    <w:rPr>
      <w:kern w:val="18"/>
      <w:sz w:val="16"/>
    </w:rPr>
  </w:style>
  <w:style w:type="character" w:customStyle="1" w:styleId="FooterChar">
    <w:name w:val="Footer Char"/>
    <w:basedOn w:val="DefaultParagraphFont"/>
    <w:link w:val="Footer"/>
    <w:uiPriority w:val="99"/>
    <w:rsid w:val="005A46A8"/>
    <w:rPr>
      <w:rFonts w:ascii="Times New Roman" w:eastAsiaTheme="minorEastAsia" w:hAnsi="Times New Roman" w:cs="Times New Roman"/>
      <w:kern w:val="18"/>
      <w:sz w:val="16"/>
      <w:szCs w:val="24"/>
      <w:lang w:eastAsia="zh-TW"/>
    </w:rPr>
  </w:style>
  <w:style w:type="paragraph" w:styleId="BodyText">
    <w:name w:val="Body Text"/>
    <w:aliases w:val="RFQ Text"/>
    <w:basedOn w:val="Normal"/>
    <w:link w:val="BodyTextChar"/>
    <w:uiPriority w:val="99"/>
    <w:rsid w:val="005A46A8"/>
    <w:rPr>
      <w:sz w:val="18"/>
    </w:rPr>
  </w:style>
  <w:style w:type="character" w:customStyle="1" w:styleId="BodyTextChar">
    <w:name w:val="Body Text Char"/>
    <w:aliases w:val="RFQ Text Char"/>
    <w:basedOn w:val="DefaultParagraphFont"/>
    <w:link w:val="BodyText"/>
    <w:uiPriority w:val="99"/>
    <w:rsid w:val="005A46A8"/>
    <w:rPr>
      <w:rFonts w:ascii="Times New Roman" w:eastAsiaTheme="minorEastAsia" w:hAnsi="Times New Roman" w:cs="Times New Roman"/>
      <w:sz w:val="18"/>
      <w:szCs w:val="24"/>
      <w:lang w:eastAsia="zh-TW"/>
    </w:rPr>
  </w:style>
  <w:style w:type="paragraph" w:styleId="Header">
    <w:name w:val="header"/>
    <w:basedOn w:val="Normal"/>
    <w:link w:val="HeaderChar"/>
    <w:uiPriority w:val="99"/>
    <w:rsid w:val="005A46A8"/>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uiPriority w:val="99"/>
    <w:rsid w:val="005A46A8"/>
    <w:rPr>
      <w:rFonts w:ascii="Times New Roman" w:eastAsiaTheme="minorEastAsia" w:hAnsi="Times New Roman" w:cs="Times New Roman"/>
      <w:b/>
      <w:kern w:val="18"/>
      <w:sz w:val="24"/>
      <w:szCs w:val="24"/>
      <w:lang w:eastAsia="zh-TW"/>
    </w:rPr>
  </w:style>
  <w:style w:type="character" w:styleId="PageNumber">
    <w:name w:val="page number"/>
    <w:basedOn w:val="DefaultParagraphFont"/>
    <w:uiPriority w:val="99"/>
    <w:rsid w:val="005A46A8"/>
    <w:rPr>
      <w:rFonts w:ascii="Times New Roman" w:hAnsi="Times New Roman" w:cs="Times New Roman"/>
      <w:b/>
      <w:sz w:val="20"/>
    </w:rPr>
  </w:style>
  <w:style w:type="paragraph" w:styleId="FootnoteText">
    <w:name w:val="footnote text"/>
    <w:basedOn w:val="Normal"/>
    <w:link w:val="FootnoteTextChar"/>
    <w:uiPriority w:val="99"/>
    <w:rsid w:val="005A46A8"/>
    <w:pPr>
      <w:jc w:val="both"/>
    </w:pPr>
    <w:rPr>
      <w:color w:val="000000"/>
      <w:sz w:val="18"/>
    </w:rPr>
  </w:style>
  <w:style w:type="character" w:customStyle="1" w:styleId="FootnoteTextChar">
    <w:name w:val="Footnote Text Char"/>
    <w:basedOn w:val="DefaultParagraphFont"/>
    <w:link w:val="FootnoteText"/>
    <w:uiPriority w:val="99"/>
    <w:rsid w:val="005A46A8"/>
    <w:rPr>
      <w:rFonts w:ascii="Times New Roman" w:eastAsiaTheme="minorEastAsia" w:hAnsi="Times New Roman" w:cs="Times New Roman"/>
      <w:color w:val="000000"/>
      <w:sz w:val="18"/>
      <w:szCs w:val="24"/>
      <w:lang w:eastAsia="zh-TW"/>
    </w:rPr>
  </w:style>
  <w:style w:type="character" w:styleId="FootnoteReference">
    <w:name w:val="footnote reference"/>
    <w:basedOn w:val="DefaultParagraphFont"/>
    <w:uiPriority w:val="99"/>
    <w:rsid w:val="005A46A8"/>
    <w:rPr>
      <w:rFonts w:cs="Times New Roman"/>
      <w:vertAlign w:val="superscript"/>
    </w:rPr>
  </w:style>
  <w:style w:type="character" w:customStyle="1" w:styleId="goohl0">
    <w:name w:val="goohl0"/>
    <w:uiPriority w:val="99"/>
    <w:rsid w:val="005A46A8"/>
  </w:style>
  <w:style w:type="character" w:customStyle="1" w:styleId="goohl1">
    <w:name w:val="goohl1"/>
    <w:uiPriority w:val="99"/>
    <w:rsid w:val="005A46A8"/>
  </w:style>
  <w:style w:type="character" w:styleId="Emphasis">
    <w:name w:val="Emphasis"/>
    <w:basedOn w:val="DefaultParagraphFont"/>
    <w:uiPriority w:val="20"/>
    <w:qFormat/>
    <w:rsid w:val="005A46A8"/>
    <w:rPr>
      <w:rFonts w:cs="Times New Roman"/>
      <w:i/>
    </w:rPr>
  </w:style>
  <w:style w:type="paragraph" w:styleId="BalloonText">
    <w:name w:val="Balloon Text"/>
    <w:basedOn w:val="Normal"/>
    <w:link w:val="BalloonTextChar"/>
    <w:uiPriority w:val="99"/>
    <w:semiHidden/>
    <w:rsid w:val="005A46A8"/>
    <w:rPr>
      <w:rFonts w:ascii="Tahoma" w:hAnsi="Tahoma" w:cs="Tahoma"/>
      <w:sz w:val="16"/>
      <w:szCs w:val="16"/>
    </w:rPr>
  </w:style>
  <w:style w:type="character" w:customStyle="1" w:styleId="BalloonTextChar">
    <w:name w:val="Balloon Text Char"/>
    <w:basedOn w:val="DefaultParagraphFont"/>
    <w:link w:val="BalloonText"/>
    <w:uiPriority w:val="99"/>
    <w:semiHidden/>
    <w:rsid w:val="005A46A8"/>
    <w:rPr>
      <w:rFonts w:ascii="Tahoma" w:eastAsiaTheme="minorEastAsia" w:hAnsi="Tahoma" w:cs="Tahoma"/>
      <w:sz w:val="16"/>
      <w:szCs w:val="16"/>
      <w:lang w:eastAsia="zh-TW"/>
    </w:rPr>
  </w:style>
  <w:style w:type="character" w:styleId="Hyperlink">
    <w:name w:val="Hyperlink"/>
    <w:basedOn w:val="DefaultParagraphFont"/>
    <w:uiPriority w:val="99"/>
    <w:rsid w:val="005A46A8"/>
    <w:rPr>
      <w:rFonts w:cs="Times New Roman"/>
      <w:color w:val="0000FF"/>
      <w:u w:val="single"/>
    </w:rPr>
  </w:style>
  <w:style w:type="paragraph" w:customStyle="1" w:styleId="ReferencelistHarvard">
    <w:name w:val="Reference list Harvard"/>
    <w:basedOn w:val="Normal"/>
    <w:next w:val="Normal"/>
    <w:uiPriority w:val="99"/>
    <w:rsid w:val="005A46A8"/>
    <w:pPr>
      <w:widowControl w:val="0"/>
      <w:tabs>
        <w:tab w:val="left" w:pos="425"/>
        <w:tab w:val="left" w:pos="560"/>
        <w:tab w:val="left" w:pos="1120"/>
        <w:tab w:val="left" w:pos="1680"/>
        <w:tab w:val="left" w:pos="1843"/>
        <w:tab w:val="left" w:pos="2240"/>
        <w:tab w:val="left" w:pos="2800"/>
        <w:tab w:val="left" w:pos="3360"/>
        <w:tab w:val="left" w:pos="3686"/>
        <w:tab w:val="left" w:pos="3920"/>
        <w:tab w:val="left" w:pos="4480"/>
        <w:tab w:val="left" w:pos="5040"/>
        <w:tab w:val="left" w:pos="5528"/>
        <w:tab w:val="left" w:pos="5600"/>
        <w:tab w:val="left" w:pos="6160"/>
        <w:tab w:val="left" w:pos="6720"/>
      </w:tabs>
      <w:autoSpaceDE w:val="0"/>
      <w:autoSpaceDN w:val="0"/>
      <w:adjustRightInd w:val="0"/>
    </w:pPr>
    <w:rPr>
      <w:sz w:val="18"/>
      <w:szCs w:val="26"/>
    </w:rPr>
  </w:style>
  <w:style w:type="character" w:styleId="CommentReference">
    <w:name w:val="annotation reference"/>
    <w:basedOn w:val="DefaultParagraphFont"/>
    <w:uiPriority w:val="99"/>
    <w:semiHidden/>
    <w:rsid w:val="005A46A8"/>
    <w:rPr>
      <w:rFonts w:cs="Times New Roman"/>
      <w:sz w:val="18"/>
    </w:rPr>
  </w:style>
  <w:style w:type="paragraph" w:styleId="CommentText">
    <w:name w:val="annotation text"/>
    <w:basedOn w:val="Normal"/>
    <w:link w:val="CommentTextChar"/>
    <w:uiPriority w:val="99"/>
    <w:semiHidden/>
    <w:rsid w:val="005A46A8"/>
  </w:style>
  <w:style w:type="character" w:customStyle="1" w:styleId="CommentTextChar">
    <w:name w:val="Comment Text Char"/>
    <w:basedOn w:val="DefaultParagraphFont"/>
    <w:link w:val="CommentText"/>
    <w:uiPriority w:val="99"/>
    <w:semiHidden/>
    <w:rsid w:val="005A46A8"/>
    <w:rPr>
      <w:rFonts w:ascii="Times New Roman" w:eastAsiaTheme="minorEastAsia" w:hAnsi="Times New Roman" w:cs="Times New Roman"/>
      <w:sz w:val="24"/>
      <w:szCs w:val="24"/>
      <w:lang w:eastAsia="zh-TW"/>
    </w:rPr>
  </w:style>
  <w:style w:type="paragraph" w:styleId="CommentSubject">
    <w:name w:val="annotation subject"/>
    <w:basedOn w:val="CommentText"/>
    <w:next w:val="CommentText"/>
    <w:link w:val="CommentSubjectChar"/>
    <w:uiPriority w:val="99"/>
    <w:semiHidden/>
    <w:rsid w:val="005A46A8"/>
    <w:rPr>
      <w:sz w:val="22"/>
      <w:szCs w:val="22"/>
    </w:rPr>
  </w:style>
  <w:style w:type="character" w:customStyle="1" w:styleId="CommentSubjectChar">
    <w:name w:val="Comment Subject Char"/>
    <w:basedOn w:val="CommentTextChar"/>
    <w:link w:val="CommentSubject"/>
    <w:uiPriority w:val="99"/>
    <w:semiHidden/>
    <w:rsid w:val="005A46A8"/>
    <w:rPr>
      <w:rFonts w:ascii="Times New Roman" w:eastAsiaTheme="minorEastAsia" w:hAnsi="Times New Roman" w:cs="Times New Roman"/>
      <w:sz w:val="24"/>
      <w:szCs w:val="24"/>
      <w:lang w:eastAsia="zh-TW"/>
    </w:rPr>
  </w:style>
  <w:style w:type="paragraph" w:styleId="NormalWeb">
    <w:name w:val="Normal (Web)"/>
    <w:basedOn w:val="Normal"/>
    <w:uiPriority w:val="99"/>
    <w:rsid w:val="005A46A8"/>
    <w:pPr>
      <w:spacing w:before="100" w:beforeAutospacing="1" w:line="360" w:lineRule="auto"/>
    </w:pPr>
    <w:rPr>
      <w:color w:val="000000"/>
      <w:lang w:eastAsia="en-GB"/>
    </w:rPr>
  </w:style>
  <w:style w:type="table" w:styleId="TableGrid">
    <w:name w:val="Table Grid"/>
    <w:basedOn w:val="TableNormal"/>
    <w:uiPriority w:val="59"/>
    <w:rsid w:val="005A46A8"/>
    <w:pPr>
      <w:spacing w:after="0" w:line="240" w:lineRule="auto"/>
    </w:pPr>
    <w:rPr>
      <w:rFonts w:ascii="Calibri" w:eastAsiaTheme="minorEastAsia"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46A8"/>
    <w:pPr>
      <w:spacing w:after="0" w:line="240" w:lineRule="auto"/>
    </w:pPr>
    <w:rPr>
      <w:rFonts w:ascii="Times New Roman" w:eastAsiaTheme="minorEastAsia" w:hAnsi="Times New Roman" w:cs="Times New Roman"/>
      <w:sz w:val="24"/>
      <w:szCs w:val="24"/>
      <w:lang w:eastAsia="zh-TW"/>
    </w:rPr>
  </w:style>
  <w:style w:type="paragraph" w:styleId="Quote">
    <w:name w:val="Quote"/>
    <w:basedOn w:val="Normal"/>
    <w:next w:val="Normal"/>
    <w:link w:val="QuoteChar"/>
    <w:uiPriority w:val="29"/>
    <w:qFormat/>
    <w:rsid w:val="005A46A8"/>
    <w:rPr>
      <w:i/>
      <w:iCs/>
      <w:color w:val="000000" w:themeColor="text1"/>
    </w:rPr>
  </w:style>
  <w:style w:type="character" w:customStyle="1" w:styleId="QuoteChar">
    <w:name w:val="Quote Char"/>
    <w:basedOn w:val="DefaultParagraphFont"/>
    <w:link w:val="Quote"/>
    <w:uiPriority w:val="29"/>
    <w:rsid w:val="005A46A8"/>
    <w:rPr>
      <w:rFonts w:ascii="Times New Roman" w:eastAsiaTheme="minorEastAsia" w:hAnsi="Times New Roman" w:cs="Times New Roman"/>
      <w:i/>
      <w:iCs/>
      <w:color w:val="000000" w:themeColor="text1"/>
      <w:sz w:val="24"/>
      <w:szCs w:val="24"/>
      <w:lang w:eastAsia="zh-TW"/>
    </w:rPr>
  </w:style>
  <w:style w:type="character" w:customStyle="1" w:styleId="apple-style-span">
    <w:name w:val="apple-style-span"/>
    <w:rsid w:val="005A46A8"/>
  </w:style>
  <w:style w:type="character" w:customStyle="1" w:styleId="apple-converted-space">
    <w:name w:val="apple-converted-space"/>
    <w:rsid w:val="005A46A8"/>
  </w:style>
  <w:style w:type="character" w:customStyle="1" w:styleId="citation">
    <w:name w:val="citation"/>
    <w:rsid w:val="005A46A8"/>
  </w:style>
  <w:style w:type="paragraph" w:styleId="ListParagraph">
    <w:name w:val="List Paragraph"/>
    <w:basedOn w:val="Normal"/>
    <w:uiPriority w:val="34"/>
    <w:qFormat/>
    <w:rsid w:val="005A46A8"/>
    <w:pPr>
      <w:spacing w:after="200" w:line="276" w:lineRule="auto"/>
      <w:ind w:left="720"/>
      <w:contextualSpacing/>
    </w:pPr>
    <w:rPr>
      <w:rFonts w:ascii="Calibri" w:eastAsia="Calibri" w:hAnsi="Calibri" w:cs="Courier New"/>
      <w:sz w:val="22"/>
      <w:szCs w:val="22"/>
      <w:lang w:eastAsia="en-US"/>
    </w:rPr>
  </w:style>
  <w:style w:type="character" w:customStyle="1" w:styleId="cell-data">
    <w:name w:val="cell-data"/>
    <w:basedOn w:val="DefaultParagraphFont"/>
    <w:rsid w:val="005A46A8"/>
  </w:style>
  <w:style w:type="paragraph" w:styleId="Caption">
    <w:name w:val="caption"/>
    <w:basedOn w:val="Normal"/>
    <w:next w:val="Normal"/>
    <w:uiPriority w:val="35"/>
    <w:unhideWhenUsed/>
    <w:qFormat/>
    <w:rsid w:val="005A46A8"/>
    <w:pPr>
      <w:spacing w:after="200"/>
    </w:pPr>
    <w:rPr>
      <w:rFonts w:asciiTheme="minorHAnsi" w:eastAsiaTheme="minorHAnsi" w:hAnsiTheme="minorHAnsi" w:cstheme="minorBidi"/>
      <w:i/>
      <w:iCs/>
      <w:color w:val="44546A" w:themeColor="text2"/>
      <w:sz w:val="18"/>
      <w:szCs w:val="18"/>
      <w:lang w:eastAsia="en-US"/>
    </w:rPr>
  </w:style>
  <w:style w:type="character" w:customStyle="1" w:styleId="personname">
    <w:name w:val="person_name"/>
    <w:basedOn w:val="DefaultParagraphFont"/>
    <w:rsid w:val="005A46A8"/>
  </w:style>
  <w:style w:type="paragraph" w:customStyle="1" w:styleId="Bullets">
    <w:name w:val="Bullets"/>
    <w:uiPriority w:val="99"/>
    <w:rsid w:val="005A46A8"/>
    <w:pPr>
      <w:autoSpaceDE w:val="0"/>
      <w:autoSpaceDN w:val="0"/>
      <w:adjustRightInd w:val="0"/>
      <w:spacing w:after="0" w:line="240" w:lineRule="auto"/>
      <w:ind w:left="431" w:hanging="431"/>
    </w:pPr>
    <w:rPr>
      <w:rFonts w:ascii="Palatino-Roman" w:eastAsiaTheme="minorEastAsia" w:hAnsi="Palatino-Roman" w:cs="Palatino-Roman"/>
      <w:sz w:val="24"/>
      <w:szCs w:val="24"/>
    </w:rPr>
  </w:style>
  <w:style w:type="character" w:styleId="FollowedHyperlink">
    <w:name w:val="FollowedHyperlink"/>
    <w:basedOn w:val="DefaultParagraphFont"/>
    <w:uiPriority w:val="99"/>
    <w:semiHidden/>
    <w:unhideWhenUsed/>
    <w:rsid w:val="00103AE6"/>
    <w:rPr>
      <w:color w:val="954F72" w:themeColor="followedHyperlink"/>
      <w:u w:val="single"/>
    </w:rPr>
  </w:style>
  <w:style w:type="paragraph" w:styleId="EndnoteText">
    <w:name w:val="endnote text"/>
    <w:basedOn w:val="Normal"/>
    <w:link w:val="EndnoteTextChar"/>
    <w:uiPriority w:val="99"/>
    <w:semiHidden/>
    <w:unhideWhenUsed/>
    <w:rsid w:val="00AF44D1"/>
    <w:rPr>
      <w:sz w:val="20"/>
      <w:szCs w:val="20"/>
    </w:rPr>
  </w:style>
  <w:style w:type="character" w:customStyle="1" w:styleId="EndnoteTextChar">
    <w:name w:val="Endnote Text Char"/>
    <w:basedOn w:val="DefaultParagraphFont"/>
    <w:link w:val="EndnoteText"/>
    <w:uiPriority w:val="99"/>
    <w:semiHidden/>
    <w:rsid w:val="00AF44D1"/>
    <w:rPr>
      <w:rFonts w:ascii="Times New Roman" w:eastAsiaTheme="minorEastAsia" w:hAnsi="Times New Roman" w:cs="Times New Roman"/>
      <w:sz w:val="20"/>
      <w:szCs w:val="20"/>
      <w:lang w:eastAsia="zh-TW"/>
    </w:rPr>
  </w:style>
  <w:style w:type="character" w:styleId="EndnoteReference">
    <w:name w:val="endnote reference"/>
    <w:basedOn w:val="DefaultParagraphFont"/>
    <w:uiPriority w:val="99"/>
    <w:semiHidden/>
    <w:unhideWhenUsed/>
    <w:rsid w:val="00AF4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3769">
      <w:bodyDiv w:val="1"/>
      <w:marLeft w:val="0"/>
      <w:marRight w:val="0"/>
      <w:marTop w:val="0"/>
      <w:marBottom w:val="0"/>
      <w:divBdr>
        <w:top w:val="none" w:sz="0" w:space="0" w:color="auto"/>
        <w:left w:val="none" w:sz="0" w:space="0" w:color="auto"/>
        <w:bottom w:val="none" w:sz="0" w:space="0" w:color="auto"/>
        <w:right w:val="none" w:sz="0" w:space="0" w:color="auto"/>
      </w:divBdr>
    </w:div>
    <w:div w:id="37702964">
      <w:bodyDiv w:val="1"/>
      <w:marLeft w:val="0"/>
      <w:marRight w:val="0"/>
      <w:marTop w:val="0"/>
      <w:marBottom w:val="0"/>
      <w:divBdr>
        <w:top w:val="none" w:sz="0" w:space="0" w:color="auto"/>
        <w:left w:val="none" w:sz="0" w:space="0" w:color="auto"/>
        <w:bottom w:val="none" w:sz="0" w:space="0" w:color="auto"/>
        <w:right w:val="none" w:sz="0" w:space="0" w:color="auto"/>
      </w:divBdr>
    </w:div>
    <w:div w:id="214003879">
      <w:bodyDiv w:val="1"/>
      <w:marLeft w:val="0"/>
      <w:marRight w:val="0"/>
      <w:marTop w:val="0"/>
      <w:marBottom w:val="0"/>
      <w:divBdr>
        <w:top w:val="none" w:sz="0" w:space="0" w:color="auto"/>
        <w:left w:val="none" w:sz="0" w:space="0" w:color="auto"/>
        <w:bottom w:val="none" w:sz="0" w:space="0" w:color="auto"/>
        <w:right w:val="none" w:sz="0" w:space="0" w:color="auto"/>
      </w:divBdr>
    </w:div>
    <w:div w:id="221336719">
      <w:bodyDiv w:val="1"/>
      <w:marLeft w:val="0"/>
      <w:marRight w:val="0"/>
      <w:marTop w:val="0"/>
      <w:marBottom w:val="0"/>
      <w:divBdr>
        <w:top w:val="none" w:sz="0" w:space="0" w:color="auto"/>
        <w:left w:val="none" w:sz="0" w:space="0" w:color="auto"/>
        <w:bottom w:val="none" w:sz="0" w:space="0" w:color="auto"/>
        <w:right w:val="none" w:sz="0" w:space="0" w:color="auto"/>
      </w:divBdr>
    </w:div>
    <w:div w:id="322316463">
      <w:bodyDiv w:val="1"/>
      <w:marLeft w:val="0"/>
      <w:marRight w:val="0"/>
      <w:marTop w:val="0"/>
      <w:marBottom w:val="0"/>
      <w:divBdr>
        <w:top w:val="none" w:sz="0" w:space="0" w:color="auto"/>
        <w:left w:val="none" w:sz="0" w:space="0" w:color="auto"/>
        <w:bottom w:val="none" w:sz="0" w:space="0" w:color="auto"/>
        <w:right w:val="none" w:sz="0" w:space="0" w:color="auto"/>
      </w:divBdr>
    </w:div>
    <w:div w:id="352727510">
      <w:bodyDiv w:val="1"/>
      <w:marLeft w:val="0"/>
      <w:marRight w:val="0"/>
      <w:marTop w:val="0"/>
      <w:marBottom w:val="0"/>
      <w:divBdr>
        <w:top w:val="none" w:sz="0" w:space="0" w:color="auto"/>
        <w:left w:val="none" w:sz="0" w:space="0" w:color="auto"/>
        <w:bottom w:val="none" w:sz="0" w:space="0" w:color="auto"/>
        <w:right w:val="none" w:sz="0" w:space="0" w:color="auto"/>
      </w:divBdr>
    </w:div>
    <w:div w:id="974408279">
      <w:bodyDiv w:val="1"/>
      <w:marLeft w:val="0"/>
      <w:marRight w:val="0"/>
      <w:marTop w:val="0"/>
      <w:marBottom w:val="0"/>
      <w:divBdr>
        <w:top w:val="none" w:sz="0" w:space="0" w:color="auto"/>
        <w:left w:val="none" w:sz="0" w:space="0" w:color="auto"/>
        <w:bottom w:val="none" w:sz="0" w:space="0" w:color="auto"/>
        <w:right w:val="none" w:sz="0" w:space="0" w:color="auto"/>
      </w:divBdr>
    </w:div>
    <w:div w:id="1517579060">
      <w:bodyDiv w:val="1"/>
      <w:marLeft w:val="0"/>
      <w:marRight w:val="0"/>
      <w:marTop w:val="0"/>
      <w:marBottom w:val="0"/>
      <w:divBdr>
        <w:top w:val="none" w:sz="0" w:space="0" w:color="auto"/>
        <w:left w:val="none" w:sz="0" w:space="0" w:color="auto"/>
        <w:bottom w:val="none" w:sz="0" w:space="0" w:color="auto"/>
        <w:right w:val="none" w:sz="0" w:space="0" w:color="auto"/>
      </w:divBdr>
    </w:div>
    <w:div w:id="1672367312">
      <w:bodyDiv w:val="1"/>
      <w:marLeft w:val="0"/>
      <w:marRight w:val="0"/>
      <w:marTop w:val="0"/>
      <w:marBottom w:val="0"/>
      <w:divBdr>
        <w:top w:val="none" w:sz="0" w:space="0" w:color="auto"/>
        <w:left w:val="none" w:sz="0" w:space="0" w:color="auto"/>
        <w:bottom w:val="none" w:sz="0" w:space="0" w:color="auto"/>
        <w:right w:val="none" w:sz="0" w:space="0" w:color="auto"/>
      </w:divBdr>
    </w:div>
    <w:div w:id="2098162851">
      <w:bodyDiv w:val="1"/>
      <w:marLeft w:val="0"/>
      <w:marRight w:val="0"/>
      <w:marTop w:val="0"/>
      <w:marBottom w:val="0"/>
      <w:divBdr>
        <w:top w:val="none" w:sz="0" w:space="0" w:color="auto"/>
        <w:left w:val="none" w:sz="0" w:space="0" w:color="auto"/>
        <w:bottom w:val="none" w:sz="0" w:space="0" w:color="auto"/>
        <w:right w:val="none" w:sz="0" w:space="0" w:color="auto"/>
      </w:divBdr>
      <w:divsChild>
        <w:div w:id="341705156">
          <w:marLeft w:val="0"/>
          <w:marRight w:val="0"/>
          <w:marTop w:val="0"/>
          <w:marBottom w:val="0"/>
          <w:divBdr>
            <w:top w:val="none" w:sz="0" w:space="0" w:color="auto"/>
            <w:left w:val="none" w:sz="0" w:space="0" w:color="auto"/>
            <w:bottom w:val="none" w:sz="0" w:space="0" w:color="auto"/>
            <w:right w:val="none" w:sz="0" w:space="0" w:color="auto"/>
          </w:divBdr>
        </w:div>
        <w:div w:id="770392575">
          <w:marLeft w:val="0"/>
          <w:marRight w:val="0"/>
          <w:marTop w:val="0"/>
          <w:marBottom w:val="0"/>
          <w:divBdr>
            <w:top w:val="none" w:sz="0" w:space="0" w:color="auto"/>
            <w:left w:val="none" w:sz="0" w:space="0" w:color="auto"/>
            <w:bottom w:val="none" w:sz="0" w:space="0" w:color="auto"/>
            <w:right w:val="none" w:sz="0" w:space="0" w:color="auto"/>
          </w:divBdr>
        </w:div>
        <w:div w:id="872572217">
          <w:marLeft w:val="0"/>
          <w:marRight w:val="0"/>
          <w:marTop w:val="0"/>
          <w:marBottom w:val="0"/>
          <w:divBdr>
            <w:top w:val="none" w:sz="0" w:space="0" w:color="auto"/>
            <w:left w:val="none" w:sz="0" w:space="0" w:color="auto"/>
            <w:bottom w:val="none" w:sz="0" w:space="0" w:color="auto"/>
            <w:right w:val="none" w:sz="0" w:space="0" w:color="auto"/>
          </w:divBdr>
        </w:div>
        <w:div w:id="1006520645">
          <w:marLeft w:val="0"/>
          <w:marRight w:val="0"/>
          <w:marTop w:val="0"/>
          <w:marBottom w:val="0"/>
          <w:divBdr>
            <w:top w:val="none" w:sz="0" w:space="0" w:color="auto"/>
            <w:left w:val="none" w:sz="0" w:space="0" w:color="auto"/>
            <w:bottom w:val="none" w:sz="0" w:space="0" w:color="auto"/>
            <w:right w:val="none" w:sz="0" w:space="0" w:color="auto"/>
          </w:divBdr>
        </w:div>
        <w:div w:id="1397313471">
          <w:marLeft w:val="0"/>
          <w:marRight w:val="0"/>
          <w:marTop w:val="0"/>
          <w:marBottom w:val="0"/>
          <w:divBdr>
            <w:top w:val="none" w:sz="0" w:space="0" w:color="auto"/>
            <w:left w:val="none" w:sz="0" w:space="0" w:color="auto"/>
            <w:bottom w:val="none" w:sz="0" w:space="0" w:color="auto"/>
            <w:right w:val="none" w:sz="0" w:space="0" w:color="auto"/>
          </w:divBdr>
        </w:div>
        <w:div w:id="1460684249">
          <w:marLeft w:val="0"/>
          <w:marRight w:val="0"/>
          <w:marTop w:val="0"/>
          <w:marBottom w:val="0"/>
          <w:divBdr>
            <w:top w:val="none" w:sz="0" w:space="0" w:color="auto"/>
            <w:left w:val="none" w:sz="0" w:space="0" w:color="auto"/>
            <w:bottom w:val="none" w:sz="0" w:space="0" w:color="auto"/>
            <w:right w:val="none" w:sz="0" w:space="0" w:color="auto"/>
          </w:divBdr>
        </w:div>
        <w:div w:id="1589804632">
          <w:marLeft w:val="0"/>
          <w:marRight w:val="0"/>
          <w:marTop w:val="0"/>
          <w:marBottom w:val="0"/>
          <w:divBdr>
            <w:top w:val="none" w:sz="0" w:space="0" w:color="auto"/>
            <w:left w:val="none" w:sz="0" w:space="0" w:color="auto"/>
            <w:bottom w:val="none" w:sz="0" w:space="0" w:color="auto"/>
            <w:right w:val="none" w:sz="0" w:space="0" w:color="auto"/>
          </w:divBdr>
        </w:div>
        <w:div w:id="1617370724">
          <w:marLeft w:val="0"/>
          <w:marRight w:val="0"/>
          <w:marTop w:val="0"/>
          <w:marBottom w:val="0"/>
          <w:divBdr>
            <w:top w:val="none" w:sz="0" w:space="0" w:color="auto"/>
            <w:left w:val="none" w:sz="0" w:space="0" w:color="auto"/>
            <w:bottom w:val="none" w:sz="0" w:space="0" w:color="auto"/>
            <w:right w:val="none" w:sz="0" w:space="0" w:color="auto"/>
          </w:divBdr>
        </w:div>
        <w:div w:id="1810317845">
          <w:marLeft w:val="0"/>
          <w:marRight w:val="0"/>
          <w:marTop w:val="0"/>
          <w:marBottom w:val="0"/>
          <w:divBdr>
            <w:top w:val="none" w:sz="0" w:space="0" w:color="auto"/>
            <w:left w:val="none" w:sz="0" w:space="0" w:color="auto"/>
            <w:bottom w:val="none" w:sz="0" w:space="0" w:color="auto"/>
            <w:right w:val="none" w:sz="0" w:space="0" w:color="auto"/>
          </w:divBdr>
        </w:div>
        <w:div w:id="1872107323">
          <w:marLeft w:val="0"/>
          <w:marRight w:val="0"/>
          <w:marTop w:val="0"/>
          <w:marBottom w:val="0"/>
          <w:divBdr>
            <w:top w:val="none" w:sz="0" w:space="0" w:color="auto"/>
            <w:left w:val="none" w:sz="0" w:space="0" w:color="auto"/>
            <w:bottom w:val="none" w:sz="0" w:space="0" w:color="auto"/>
            <w:right w:val="none" w:sz="0" w:space="0" w:color="auto"/>
          </w:divBdr>
        </w:div>
        <w:div w:id="204108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1fife.org.uk/uploadfiles/publications/c64_MigrantWorkersSurveyKnowFifeFindingsV1_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mrc.gov.uk/manuals/ccmmanual/ccm20110.htm" TargetMode="External"/><Relationship Id="rId4" Type="http://schemas.openxmlformats.org/officeDocument/2006/relationships/settings" Target="settings.xml"/><Relationship Id="rId9" Type="http://schemas.openxmlformats.org/officeDocument/2006/relationships/hyperlink" Target="http://www.newport.gov.uk/stellent/groups/public/documents/report/cont311225.pdf"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www.scotlandscensus.gov.uk" TargetMode="External"/><Relationship Id="rId1" Type="http://schemas.openxmlformats.org/officeDocument/2006/relationships/hyperlink" Target="http://www.nomiswe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4BE1-1C10-4CCC-B219-29BCB5B8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8012</Words>
  <Characters>45675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2017-04-02T16:47:00Z</dcterms:created>
  <dcterms:modified xsi:type="dcterms:W3CDTF">2017-10-01T06:56:00Z</dcterms:modified>
</cp:coreProperties>
</file>