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74A3" w14:textId="12FA9752" w:rsidR="00332A93" w:rsidRPr="00332A93" w:rsidRDefault="00332A93" w:rsidP="00332A93">
      <w:pPr>
        <w:widowControl w:val="0"/>
        <w:autoSpaceDE w:val="0"/>
        <w:autoSpaceDN w:val="0"/>
        <w:adjustRightInd w:val="0"/>
        <w:rPr>
          <w:rStyle w:val="Hyperlink"/>
          <w:sz w:val="20"/>
          <w:szCs w:val="20"/>
        </w:rPr>
      </w:pPr>
      <w:bookmarkStart w:id="0" w:name="_Toc253833418"/>
      <w:r w:rsidRPr="00332A93">
        <w:rPr>
          <w:rFonts w:ascii="Times New Roman" w:eastAsia="Times New Roman" w:hAnsi="Times New Roman" w:cs="Times New Roman"/>
          <w:sz w:val="20"/>
          <w:szCs w:val="20"/>
          <w:lang w:val="en-AU" w:eastAsia="en-US"/>
        </w:rPr>
        <w:t xml:space="preserve">Accepted version of </w:t>
      </w:r>
      <w:r w:rsidRPr="00332A93">
        <w:rPr>
          <w:rFonts w:ascii="Times New Roman" w:eastAsia="Times New Roman" w:hAnsi="Times New Roman" w:cs="Times New Roman"/>
          <w:sz w:val="20"/>
          <w:szCs w:val="20"/>
          <w:lang w:val="en-AU" w:eastAsia="en-US"/>
        </w:rPr>
        <w:t>Jillian L. Clarke &amp; David Boud (2016): Refocusing portfolio assessment:</w:t>
      </w:r>
      <w:r w:rsidRPr="00332A93">
        <w:rPr>
          <w:rFonts w:ascii="Times New Roman" w:eastAsia="Times New Roman" w:hAnsi="Times New Roman" w:cs="Times New Roman"/>
          <w:sz w:val="20"/>
          <w:szCs w:val="20"/>
          <w:lang w:val="en-AU" w:eastAsia="en-US"/>
        </w:rPr>
        <w:t xml:space="preserve"> c</w:t>
      </w:r>
      <w:r w:rsidRPr="00332A93">
        <w:rPr>
          <w:rFonts w:ascii="Times New Roman" w:eastAsia="Times New Roman" w:hAnsi="Times New Roman" w:cs="Times New Roman"/>
          <w:sz w:val="20"/>
          <w:szCs w:val="20"/>
          <w:lang w:val="en-AU" w:eastAsia="en-US"/>
        </w:rPr>
        <w:t xml:space="preserve">urating for feedback and portrayal, </w:t>
      </w:r>
      <w:r w:rsidRPr="00332A93">
        <w:rPr>
          <w:rFonts w:ascii="Times New Roman" w:eastAsia="Times New Roman" w:hAnsi="Times New Roman" w:cs="Times New Roman"/>
          <w:i/>
          <w:sz w:val="20"/>
          <w:szCs w:val="20"/>
          <w:lang w:val="en-AU" w:eastAsia="en-US"/>
        </w:rPr>
        <w:t>Innovations in Education and Teaching International</w:t>
      </w:r>
      <w:r w:rsidRPr="00332A93">
        <w:rPr>
          <w:rFonts w:ascii="Times New Roman" w:eastAsia="Times New Roman" w:hAnsi="Times New Roman" w:cs="Times New Roman"/>
          <w:sz w:val="20"/>
          <w:szCs w:val="20"/>
          <w:lang w:val="en-AU" w:eastAsia="en-US"/>
        </w:rPr>
        <w:t>, DOI:</w:t>
      </w:r>
      <w:hyperlink r:id="rId7" w:history="1">
        <w:r w:rsidRPr="00332A93">
          <w:rPr>
            <w:rStyle w:val="Hyperlink"/>
            <w:sz w:val="20"/>
            <w:szCs w:val="20"/>
          </w:rPr>
          <w:t>http://dx.doi.org/10.1080/14703297.2016.1250664</w:t>
        </w:r>
      </w:hyperlink>
    </w:p>
    <w:p w14:paraId="4B4DDD20" w14:textId="77777777" w:rsidR="00332A93" w:rsidRDefault="00332A93" w:rsidP="00332A93">
      <w:pPr>
        <w:widowControl w:val="0"/>
        <w:autoSpaceDE w:val="0"/>
        <w:autoSpaceDN w:val="0"/>
        <w:adjustRightInd w:val="0"/>
        <w:rPr>
          <w:rStyle w:val="Hyperlink"/>
        </w:rPr>
      </w:pPr>
    </w:p>
    <w:p w14:paraId="0528F104" w14:textId="77777777" w:rsidR="00332A93" w:rsidRPr="00332A93" w:rsidRDefault="00332A93" w:rsidP="00332A93">
      <w:pPr>
        <w:widowControl w:val="0"/>
        <w:autoSpaceDE w:val="0"/>
        <w:autoSpaceDN w:val="0"/>
        <w:adjustRightInd w:val="0"/>
        <w:rPr>
          <w:rFonts w:ascii="Times New Roman" w:hAnsi="Times New Roman" w:cs="Times New Roman"/>
          <w:lang w:eastAsia="en-US"/>
        </w:rPr>
      </w:pPr>
    </w:p>
    <w:p w14:paraId="145745B4" w14:textId="77777777" w:rsidR="0056639F" w:rsidRPr="000D07E6" w:rsidRDefault="0056639F" w:rsidP="00332A93">
      <w:pPr>
        <w:pStyle w:val="Articletitle"/>
        <w:rPr>
          <w:color w:val="auto"/>
          <w:lang w:val="en-GB" w:eastAsia="en-US"/>
        </w:rPr>
      </w:pPr>
      <w:r w:rsidRPr="000D07E6">
        <w:rPr>
          <w:color w:val="auto"/>
          <w:lang w:val="en-GB" w:eastAsia="en-US"/>
        </w:rPr>
        <w:t xml:space="preserve">Refocussing Portfolio Assessment: Curating for Feedback </w:t>
      </w:r>
      <w:r w:rsidR="005B1456" w:rsidRPr="000D07E6">
        <w:rPr>
          <w:color w:val="auto"/>
          <w:lang w:val="en-GB" w:eastAsia="en-US"/>
        </w:rPr>
        <w:t>and Portrayal</w:t>
      </w:r>
      <w:r w:rsidRPr="000D07E6">
        <w:rPr>
          <w:color w:val="auto"/>
          <w:lang w:val="en-GB" w:eastAsia="en-US"/>
        </w:rPr>
        <w:t xml:space="preserve"> </w:t>
      </w:r>
    </w:p>
    <w:p w14:paraId="7319D611" w14:textId="77777777" w:rsidR="0056639F" w:rsidRPr="006F12E0" w:rsidRDefault="0008351C" w:rsidP="00332A93">
      <w:pPr>
        <w:pStyle w:val="Paragraph"/>
        <w:spacing w:before="0"/>
        <w:rPr>
          <w:vertAlign w:val="superscript"/>
        </w:rPr>
      </w:pPr>
      <w:r>
        <w:t>Jillian L Clarke</w:t>
      </w:r>
      <w:r w:rsidR="006F12E0" w:rsidRPr="006F12E0">
        <w:rPr>
          <w:rStyle w:val="FootnoteReference"/>
        </w:rPr>
        <w:footnoteReference w:customMarkFollows="1" w:id="1"/>
        <w:sym w:font="Symbol" w:char="F02A"/>
      </w:r>
      <w:r w:rsidRPr="0008351C">
        <w:rPr>
          <w:vertAlign w:val="superscript"/>
        </w:rPr>
        <w:t>a</w:t>
      </w:r>
      <w:r>
        <w:t xml:space="preserve"> and David Boud</w:t>
      </w:r>
      <w:r w:rsidRPr="0008351C">
        <w:rPr>
          <w:vertAlign w:val="superscript"/>
        </w:rPr>
        <w:t>b</w:t>
      </w:r>
    </w:p>
    <w:p w14:paraId="4136358C" w14:textId="77777777" w:rsidR="0072291F" w:rsidRDefault="004F6B47" w:rsidP="00332A93">
      <w:pPr>
        <w:pStyle w:val="Paragraph"/>
        <w:spacing w:before="0"/>
      </w:pPr>
      <w:r w:rsidRPr="004F6B47">
        <w:rPr>
          <w:vertAlign w:val="superscript"/>
        </w:rPr>
        <w:t>a</w:t>
      </w:r>
      <w:r w:rsidR="008A3F2F">
        <w:t>Discipline of M</w:t>
      </w:r>
      <w:r w:rsidR="0008351C">
        <w:t xml:space="preserve">edical Radiation Sciences, University </w:t>
      </w:r>
      <w:r w:rsidR="008A3F2F">
        <w:t>of Sydney, Lidcombe, Australia</w:t>
      </w:r>
      <w:r w:rsidR="0072291F">
        <w:t>;</w:t>
      </w:r>
    </w:p>
    <w:p w14:paraId="57B120F0" w14:textId="77777777" w:rsidR="0072291F" w:rsidRDefault="0072291F" w:rsidP="00332A93">
      <w:pPr>
        <w:pStyle w:val="Paragraph"/>
        <w:spacing w:before="0"/>
      </w:pPr>
      <w:r w:rsidRPr="004F6B47">
        <w:rPr>
          <w:vertAlign w:val="superscript"/>
        </w:rPr>
        <w:t>b</w:t>
      </w:r>
      <w:r>
        <w:t xml:space="preserve">Centre for Research in Assessment and Digital Learning, Deakin University, Geelong, Australia; </w:t>
      </w:r>
      <w:r w:rsidRPr="004F6B47">
        <w:t>Faculty of Arts and Social Sciences, University of Technology Sydney</w:t>
      </w:r>
      <w:r>
        <w:t xml:space="preserve">; </w:t>
      </w:r>
      <w:r w:rsidRPr="004F6B47">
        <w:t>Institute for Work-Based Learning, Middlesex University, London</w:t>
      </w:r>
      <w:r>
        <w:t xml:space="preserve"> </w:t>
      </w:r>
    </w:p>
    <w:p w14:paraId="162E9E7D" w14:textId="77777777" w:rsidR="002F4AD1" w:rsidRDefault="002F4AD1" w:rsidP="00332A93">
      <w:pPr>
        <w:pStyle w:val="Paragraph"/>
        <w:spacing w:before="0"/>
      </w:pPr>
    </w:p>
    <w:p w14:paraId="328BEDB2" w14:textId="77777777" w:rsidR="00332A93" w:rsidRPr="00332A93" w:rsidRDefault="00332A93" w:rsidP="00332A93">
      <w:pPr>
        <w:ind w:left="340" w:right="340"/>
        <w:rPr>
          <w:rFonts w:ascii="Times New Roman" w:hAnsi="Times New Roman"/>
          <w:b/>
          <w:sz w:val="22"/>
          <w:lang w:val="en-GB"/>
        </w:rPr>
      </w:pPr>
      <w:r w:rsidRPr="00332A93">
        <w:rPr>
          <w:rFonts w:ascii="Times New Roman" w:hAnsi="Times New Roman"/>
          <w:b/>
          <w:sz w:val="22"/>
          <w:lang w:val="en-GB"/>
        </w:rPr>
        <w:t>Abstract</w:t>
      </w:r>
    </w:p>
    <w:p w14:paraId="30D8848E" w14:textId="3D2A9563" w:rsidR="0056639F" w:rsidRPr="006F12E0" w:rsidRDefault="0056639F" w:rsidP="00332A93">
      <w:pPr>
        <w:ind w:left="340" w:right="340"/>
        <w:rPr>
          <w:rFonts w:ascii="Times New Roman" w:hAnsi="Times New Roman"/>
          <w:sz w:val="22"/>
          <w:lang w:val="en-GB" w:eastAsia="en-US"/>
        </w:rPr>
      </w:pPr>
      <w:r w:rsidRPr="006F12E0">
        <w:rPr>
          <w:rFonts w:ascii="Times New Roman" w:hAnsi="Times New Roman"/>
          <w:sz w:val="22"/>
          <w:lang w:val="en-GB"/>
        </w:rPr>
        <w:t>Portfolios are embraced extensively in higher professional</w:t>
      </w:r>
      <w:r w:rsidR="00680768" w:rsidRPr="006F12E0">
        <w:rPr>
          <w:rFonts w:ascii="Times New Roman" w:hAnsi="Times New Roman"/>
          <w:sz w:val="22"/>
          <w:lang w:val="en-GB"/>
        </w:rPr>
        <w:t xml:space="preserve"> education as effective tools for students to</w:t>
      </w:r>
      <w:r w:rsidRPr="006F12E0">
        <w:rPr>
          <w:rFonts w:ascii="Times New Roman" w:hAnsi="Times New Roman"/>
          <w:sz w:val="22"/>
          <w:lang w:val="en-GB"/>
        </w:rPr>
        <w:t xml:space="preserve"> represent </w:t>
      </w:r>
      <w:r w:rsidR="00680768" w:rsidRPr="006F12E0">
        <w:rPr>
          <w:rFonts w:ascii="Times New Roman" w:hAnsi="Times New Roman"/>
          <w:sz w:val="22"/>
          <w:lang w:val="en-GB"/>
        </w:rPr>
        <w:t xml:space="preserve">their </w:t>
      </w:r>
      <w:r w:rsidR="00FE5E97" w:rsidRPr="006F12E0">
        <w:rPr>
          <w:rFonts w:ascii="Times New Roman" w:hAnsi="Times New Roman"/>
          <w:sz w:val="22"/>
          <w:lang w:val="en-GB"/>
        </w:rPr>
        <w:t>learning and</w:t>
      </w:r>
      <w:r w:rsidR="00372CFB" w:rsidRPr="006F12E0">
        <w:rPr>
          <w:rFonts w:ascii="Times New Roman" w:hAnsi="Times New Roman"/>
          <w:sz w:val="22"/>
          <w:lang w:val="en-GB"/>
        </w:rPr>
        <w:t xml:space="preserve"> </w:t>
      </w:r>
      <w:r w:rsidR="00FE5E97" w:rsidRPr="006F12E0">
        <w:rPr>
          <w:rFonts w:ascii="Times New Roman" w:hAnsi="Times New Roman"/>
          <w:sz w:val="22"/>
          <w:lang w:val="en-GB"/>
        </w:rPr>
        <w:t xml:space="preserve">help </w:t>
      </w:r>
      <w:r w:rsidRPr="006F12E0">
        <w:rPr>
          <w:rFonts w:ascii="Times New Roman" w:hAnsi="Times New Roman"/>
          <w:sz w:val="22"/>
          <w:lang w:val="en-GB"/>
        </w:rPr>
        <w:t xml:space="preserve">prepare them for future practice. </w:t>
      </w:r>
      <w:r w:rsidR="00726211" w:rsidRPr="006F12E0">
        <w:rPr>
          <w:rFonts w:ascii="Times New Roman" w:hAnsi="Times New Roman"/>
          <w:sz w:val="22"/>
          <w:lang w:val="en-GB"/>
        </w:rPr>
        <w:t>They are very diverse, used</w:t>
      </w:r>
      <w:r w:rsidR="00372CFB" w:rsidRPr="006F12E0">
        <w:rPr>
          <w:rFonts w:ascii="Times New Roman" w:hAnsi="Times New Roman"/>
          <w:sz w:val="22"/>
          <w:lang w:val="en-GB"/>
        </w:rPr>
        <w:t xml:space="preserve"> </w:t>
      </w:r>
      <w:r w:rsidRPr="006F12E0">
        <w:rPr>
          <w:rFonts w:ascii="Times New Roman" w:hAnsi="Times New Roman"/>
          <w:sz w:val="22"/>
          <w:lang w:val="en-GB"/>
        </w:rPr>
        <w:t xml:space="preserve">for both formative and summative purposes, </w:t>
      </w:r>
      <w:r w:rsidR="00726211" w:rsidRPr="006F12E0">
        <w:rPr>
          <w:rFonts w:ascii="Times New Roman" w:hAnsi="Times New Roman"/>
          <w:sz w:val="22"/>
          <w:lang w:val="en-GB"/>
        </w:rPr>
        <w:t xml:space="preserve">however </w:t>
      </w:r>
      <w:r w:rsidRPr="006F12E0">
        <w:rPr>
          <w:rFonts w:ascii="Times New Roman" w:hAnsi="Times New Roman"/>
          <w:sz w:val="22"/>
          <w:lang w:val="en-GB"/>
        </w:rPr>
        <w:t xml:space="preserve">concerns </w:t>
      </w:r>
      <w:r w:rsidR="00726211" w:rsidRPr="006F12E0">
        <w:rPr>
          <w:rFonts w:ascii="Times New Roman" w:hAnsi="Times New Roman"/>
          <w:sz w:val="22"/>
          <w:lang w:val="en-GB"/>
        </w:rPr>
        <w:t xml:space="preserve">are raised </w:t>
      </w:r>
      <w:r w:rsidRPr="006F12E0">
        <w:rPr>
          <w:rFonts w:ascii="Times New Roman" w:hAnsi="Times New Roman"/>
          <w:sz w:val="22"/>
          <w:lang w:val="en-GB"/>
        </w:rPr>
        <w:t>that the current emphasis on academic standards and/or the focus on employability</w:t>
      </w:r>
      <w:r w:rsidR="00726211" w:rsidRPr="006F12E0">
        <w:rPr>
          <w:rFonts w:ascii="Times New Roman" w:hAnsi="Times New Roman"/>
          <w:sz w:val="22"/>
          <w:lang w:val="en-GB"/>
        </w:rPr>
        <w:t xml:space="preserve"> </w:t>
      </w:r>
      <w:r w:rsidR="00FE5E97" w:rsidRPr="006F12E0">
        <w:rPr>
          <w:rFonts w:ascii="Times New Roman" w:hAnsi="Times New Roman"/>
          <w:sz w:val="22"/>
          <w:lang w:val="en-GB"/>
        </w:rPr>
        <w:t>may lead to the perception of</w:t>
      </w:r>
      <w:r w:rsidR="00372CFB" w:rsidRPr="006F12E0">
        <w:rPr>
          <w:rFonts w:ascii="Times New Roman" w:hAnsi="Times New Roman"/>
          <w:sz w:val="22"/>
          <w:lang w:val="en-GB"/>
        </w:rPr>
        <w:t xml:space="preserve"> </w:t>
      </w:r>
      <w:r w:rsidRPr="006F12E0">
        <w:rPr>
          <w:rFonts w:ascii="Times New Roman" w:hAnsi="Times New Roman"/>
          <w:sz w:val="22"/>
          <w:lang w:val="en-GB"/>
        </w:rPr>
        <w:t xml:space="preserve">portfolios </w:t>
      </w:r>
      <w:r w:rsidR="00372CFB" w:rsidRPr="006F12E0">
        <w:rPr>
          <w:rFonts w:ascii="Times New Roman" w:hAnsi="Times New Roman"/>
          <w:sz w:val="22"/>
          <w:lang w:val="en-GB"/>
        </w:rPr>
        <w:t xml:space="preserve">simply </w:t>
      </w:r>
      <w:r w:rsidRPr="006F12E0">
        <w:rPr>
          <w:rFonts w:ascii="Times New Roman" w:hAnsi="Times New Roman"/>
          <w:sz w:val="22"/>
          <w:lang w:val="en-GB"/>
        </w:rPr>
        <w:t xml:space="preserve">as </w:t>
      </w:r>
      <w:r w:rsidR="002F1E21" w:rsidRPr="006F12E0">
        <w:rPr>
          <w:rFonts w:ascii="Times New Roman" w:hAnsi="Times New Roman"/>
          <w:sz w:val="22"/>
          <w:lang w:val="en-GB"/>
        </w:rPr>
        <w:t xml:space="preserve">means </w:t>
      </w:r>
      <w:r w:rsidR="00372CFB" w:rsidRPr="006F12E0">
        <w:rPr>
          <w:rFonts w:ascii="Times New Roman" w:hAnsi="Times New Roman"/>
          <w:sz w:val="22"/>
          <w:lang w:val="en-GB"/>
        </w:rPr>
        <w:t xml:space="preserve">to </w:t>
      </w:r>
      <w:r w:rsidR="00216DF0" w:rsidRPr="006F12E0">
        <w:rPr>
          <w:rFonts w:ascii="Times New Roman" w:hAnsi="Times New Roman"/>
          <w:sz w:val="22"/>
          <w:lang w:val="en-GB"/>
        </w:rPr>
        <w:t>portray</w:t>
      </w:r>
      <w:r w:rsidRPr="006F12E0">
        <w:rPr>
          <w:rFonts w:ascii="Times New Roman" w:hAnsi="Times New Roman"/>
          <w:sz w:val="22"/>
          <w:lang w:val="en-GB"/>
        </w:rPr>
        <w:t xml:space="preserve"> achievements</w:t>
      </w:r>
      <w:r w:rsidR="00372CFB" w:rsidRPr="006F12E0">
        <w:rPr>
          <w:rFonts w:ascii="Times New Roman" w:hAnsi="Times New Roman"/>
          <w:sz w:val="22"/>
          <w:lang w:val="en-GB"/>
        </w:rPr>
        <w:t>. This paper</w:t>
      </w:r>
      <w:r w:rsidRPr="006F12E0">
        <w:rPr>
          <w:rFonts w:ascii="Times New Roman" w:hAnsi="Times New Roman"/>
          <w:sz w:val="22"/>
          <w:lang w:val="en-GB"/>
        </w:rPr>
        <w:t xml:space="preserve"> argue</w:t>
      </w:r>
      <w:r w:rsidR="00372CFB" w:rsidRPr="006F12E0">
        <w:rPr>
          <w:rFonts w:ascii="Times New Roman" w:hAnsi="Times New Roman"/>
          <w:sz w:val="22"/>
          <w:lang w:val="en-GB"/>
        </w:rPr>
        <w:t>s</w:t>
      </w:r>
      <w:r w:rsidR="00216DF0" w:rsidRPr="006F12E0">
        <w:rPr>
          <w:rFonts w:ascii="Times New Roman" w:hAnsi="Times New Roman"/>
          <w:sz w:val="22"/>
          <w:lang w:val="en-GB"/>
        </w:rPr>
        <w:t xml:space="preserve"> </w:t>
      </w:r>
      <w:r w:rsidRPr="006F12E0">
        <w:rPr>
          <w:rFonts w:ascii="Times New Roman" w:hAnsi="Times New Roman"/>
          <w:sz w:val="22"/>
          <w:lang w:val="en-GB"/>
        </w:rPr>
        <w:t>that contemporary portfolios in digital environments can readily facilitate both</w:t>
      </w:r>
      <w:r w:rsidR="00372CFB" w:rsidRPr="006F12E0">
        <w:rPr>
          <w:rFonts w:ascii="Times New Roman" w:hAnsi="Times New Roman"/>
          <w:sz w:val="22"/>
          <w:lang w:val="en-GB"/>
        </w:rPr>
        <w:t xml:space="preserve"> purposes</w:t>
      </w:r>
      <w:r w:rsidR="00216DF0" w:rsidRPr="006F12E0">
        <w:rPr>
          <w:rFonts w:ascii="Times New Roman" w:hAnsi="Times New Roman"/>
          <w:sz w:val="22"/>
          <w:lang w:val="en-GB"/>
        </w:rPr>
        <w:t>. It conceptualises</w:t>
      </w:r>
      <w:r w:rsidR="004614B6" w:rsidRPr="006F12E0">
        <w:rPr>
          <w:rFonts w:ascii="Times New Roman" w:hAnsi="Times New Roman"/>
          <w:sz w:val="22"/>
          <w:lang w:val="en-GB"/>
        </w:rPr>
        <w:t xml:space="preserve"> a whole-of-</w:t>
      </w:r>
      <w:r w:rsidR="00FE5E97" w:rsidRPr="006F12E0">
        <w:rPr>
          <w:rFonts w:ascii="Times New Roman" w:hAnsi="Times New Roman"/>
          <w:sz w:val="22"/>
          <w:lang w:val="en-GB"/>
        </w:rPr>
        <w:t>program</w:t>
      </w:r>
      <w:r w:rsidR="004614B6" w:rsidRPr="006F12E0">
        <w:rPr>
          <w:rFonts w:ascii="Times New Roman" w:hAnsi="Times New Roman"/>
          <w:sz w:val="22"/>
          <w:lang w:val="en-GB"/>
        </w:rPr>
        <w:t xml:space="preserve"> approach</w:t>
      </w:r>
      <w:r w:rsidR="00216DF0" w:rsidRPr="006F12E0">
        <w:rPr>
          <w:rFonts w:ascii="Times New Roman" w:hAnsi="Times New Roman"/>
          <w:sz w:val="22"/>
          <w:lang w:val="en-GB"/>
        </w:rPr>
        <w:t xml:space="preserve"> to the use of portfolios in which c</w:t>
      </w:r>
      <w:r w:rsidR="004614B6" w:rsidRPr="006F12E0">
        <w:rPr>
          <w:rFonts w:ascii="Times New Roman" w:hAnsi="Times New Roman"/>
          <w:sz w:val="22"/>
          <w:lang w:val="en-GB"/>
        </w:rPr>
        <w:t xml:space="preserve">onsideration is given to the need to bring </w:t>
      </w:r>
      <w:r w:rsidR="00D27C9F" w:rsidRPr="006F12E0">
        <w:rPr>
          <w:rFonts w:ascii="Times New Roman" w:hAnsi="Times New Roman"/>
          <w:sz w:val="22"/>
          <w:lang w:val="en-GB"/>
        </w:rPr>
        <w:t xml:space="preserve">curation skills and </w:t>
      </w:r>
      <w:r w:rsidRPr="006F12E0">
        <w:rPr>
          <w:rFonts w:ascii="Times New Roman" w:hAnsi="Times New Roman"/>
          <w:sz w:val="22"/>
          <w:lang w:val="en-GB"/>
        </w:rPr>
        <w:t>fe</w:t>
      </w:r>
      <w:r w:rsidR="00680768" w:rsidRPr="006F12E0">
        <w:rPr>
          <w:rFonts w:ascii="Times New Roman" w:hAnsi="Times New Roman"/>
          <w:sz w:val="22"/>
          <w:lang w:val="en-GB"/>
        </w:rPr>
        <w:t>edback processes</w:t>
      </w:r>
      <w:r w:rsidR="004614B6" w:rsidRPr="006F12E0">
        <w:rPr>
          <w:rFonts w:ascii="Times New Roman" w:hAnsi="Times New Roman"/>
          <w:sz w:val="22"/>
          <w:lang w:val="en-GB"/>
        </w:rPr>
        <w:t xml:space="preserve"> to the forefront of portfolio practice</w:t>
      </w:r>
      <w:r w:rsidRPr="006F12E0">
        <w:rPr>
          <w:rFonts w:ascii="Times New Roman" w:hAnsi="Times New Roman"/>
          <w:sz w:val="22"/>
          <w:lang w:val="en-GB"/>
        </w:rPr>
        <w:t xml:space="preserve">s. </w:t>
      </w:r>
      <w:r w:rsidR="00680768" w:rsidRPr="006F12E0">
        <w:rPr>
          <w:rFonts w:ascii="Times New Roman" w:hAnsi="Times New Roman"/>
          <w:sz w:val="22"/>
          <w:lang w:val="en-GB"/>
        </w:rPr>
        <w:t>For teachers considering these issues, a</w:t>
      </w:r>
      <w:r w:rsidRPr="006F12E0">
        <w:rPr>
          <w:rFonts w:ascii="Times New Roman" w:hAnsi="Times New Roman"/>
          <w:sz w:val="22"/>
          <w:lang w:val="en-GB"/>
        </w:rPr>
        <w:t xml:space="preserve"> planning framework for the design of program-wide portfolios </w:t>
      </w:r>
      <w:r w:rsidR="00680768" w:rsidRPr="006F12E0">
        <w:rPr>
          <w:rFonts w:ascii="Times New Roman" w:hAnsi="Times New Roman"/>
          <w:sz w:val="22"/>
          <w:lang w:val="en-GB"/>
        </w:rPr>
        <w:t>is proposed</w:t>
      </w:r>
      <w:r w:rsidRPr="006F12E0">
        <w:rPr>
          <w:rFonts w:ascii="Times New Roman" w:hAnsi="Times New Roman"/>
          <w:sz w:val="22"/>
          <w:lang w:val="en-GB"/>
        </w:rPr>
        <w:t>.</w:t>
      </w:r>
    </w:p>
    <w:p w14:paraId="2B60361C" w14:textId="25B1DAFF" w:rsidR="002F4AD1" w:rsidRPr="00332A93" w:rsidRDefault="0056639F" w:rsidP="00332A93">
      <w:pPr>
        <w:pStyle w:val="Abstract"/>
        <w:spacing w:line="240" w:lineRule="atLeast"/>
        <w:ind w:left="340" w:right="340"/>
        <w:rPr>
          <w:sz w:val="20"/>
          <w:szCs w:val="20"/>
          <w:lang w:val="en-GB"/>
        </w:rPr>
      </w:pPr>
      <w:bookmarkStart w:id="1" w:name="_GoBack"/>
      <w:r w:rsidRPr="00332A93">
        <w:rPr>
          <w:b/>
          <w:sz w:val="20"/>
          <w:szCs w:val="20"/>
          <w:lang w:val="en-GB"/>
        </w:rPr>
        <w:t>Keywords</w:t>
      </w:r>
      <w:r w:rsidRPr="00332A93">
        <w:rPr>
          <w:sz w:val="20"/>
          <w:szCs w:val="20"/>
          <w:lang w:val="en-GB"/>
        </w:rPr>
        <w:t>: Portfolios; portfolio assessment; formative assessment; feedback, professional education; higher education, curati</w:t>
      </w:r>
      <w:r w:rsidR="008F0722" w:rsidRPr="00332A93">
        <w:rPr>
          <w:sz w:val="20"/>
          <w:szCs w:val="20"/>
          <w:lang w:val="en-GB"/>
        </w:rPr>
        <w:t>on for learning</w:t>
      </w:r>
      <w:bookmarkEnd w:id="0"/>
    </w:p>
    <w:bookmarkEnd w:id="1"/>
    <w:p w14:paraId="3B3C412D" w14:textId="77777777" w:rsidR="0056639F" w:rsidRPr="0072291F" w:rsidRDefault="0072291F" w:rsidP="00332A93">
      <w:pPr>
        <w:pStyle w:val="Abstract"/>
        <w:spacing w:line="240" w:lineRule="atLeast"/>
        <w:ind w:left="340" w:right="340" w:hanging="340"/>
        <w:rPr>
          <w:b/>
          <w:lang w:val="en-GB"/>
        </w:rPr>
      </w:pPr>
      <w:r w:rsidRPr="0072291F">
        <w:rPr>
          <w:b/>
          <w:lang w:val="en-GB"/>
        </w:rPr>
        <w:t>Introduction</w:t>
      </w:r>
    </w:p>
    <w:p w14:paraId="119D34D1" w14:textId="77777777" w:rsidR="007B2E73" w:rsidRDefault="00680768" w:rsidP="00332A93">
      <w:pPr>
        <w:pStyle w:val="Paragraph"/>
        <w:spacing w:line="240" w:lineRule="atLeast"/>
        <w:rPr>
          <w:lang w:val="en-GB"/>
        </w:rPr>
      </w:pPr>
      <w:r w:rsidRPr="0072291F">
        <w:rPr>
          <w:lang w:val="en-GB"/>
        </w:rPr>
        <w:t>W</w:t>
      </w:r>
      <w:r w:rsidR="0056639F" w:rsidRPr="0072291F">
        <w:rPr>
          <w:lang w:val="en-GB"/>
        </w:rPr>
        <w:t>ell</w:t>
      </w:r>
      <w:r w:rsidRPr="0072291F">
        <w:rPr>
          <w:lang w:val="en-GB"/>
        </w:rPr>
        <w:t xml:space="preserve"> known in arts and architecture</w:t>
      </w:r>
      <w:r w:rsidR="0056639F" w:rsidRPr="0072291F">
        <w:rPr>
          <w:lang w:val="en-GB"/>
        </w:rPr>
        <w:t xml:space="preserve"> contexts, </w:t>
      </w:r>
      <w:r w:rsidRPr="0072291F">
        <w:rPr>
          <w:lang w:val="en-GB"/>
        </w:rPr>
        <w:t xml:space="preserve">portfolios, in more text-based formats </w:t>
      </w:r>
      <w:r w:rsidR="0056639F" w:rsidRPr="0072291F">
        <w:rPr>
          <w:lang w:val="en-GB"/>
        </w:rPr>
        <w:t>have</w:t>
      </w:r>
      <w:r w:rsidR="0056639F" w:rsidRPr="00C73051">
        <w:rPr>
          <w:lang w:val="en-GB"/>
        </w:rPr>
        <w:t xml:space="preserve"> long been </w:t>
      </w:r>
      <w:r w:rsidRPr="00C73051">
        <w:rPr>
          <w:lang w:val="en-GB"/>
        </w:rPr>
        <w:t>used</w:t>
      </w:r>
      <w:r w:rsidR="0056639F" w:rsidRPr="00C73051">
        <w:rPr>
          <w:lang w:val="en-GB"/>
        </w:rPr>
        <w:t xml:space="preserve"> in higher professional education as valuable tools to </w:t>
      </w:r>
      <w:r w:rsidRPr="00C73051">
        <w:rPr>
          <w:lang w:val="en-GB"/>
        </w:rPr>
        <w:t>support</w:t>
      </w:r>
      <w:r w:rsidR="0056639F" w:rsidRPr="00C73051">
        <w:rPr>
          <w:lang w:val="en-GB"/>
        </w:rPr>
        <w:t xml:space="preserve"> student learning. Growth in portfol</w:t>
      </w:r>
      <w:r w:rsidR="00292021" w:rsidRPr="00C73051">
        <w:rPr>
          <w:lang w:val="en-GB"/>
        </w:rPr>
        <w:t>io use is evident. F</w:t>
      </w:r>
      <w:r w:rsidR="0056639F" w:rsidRPr="00C73051">
        <w:rPr>
          <w:lang w:val="en-GB"/>
        </w:rPr>
        <w:t>or example, two reviews of the effectiveness</w:t>
      </w:r>
      <w:r w:rsidR="009E57CA" w:rsidRPr="00C73051">
        <w:rPr>
          <w:lang w:val="en-GB"/>
        </w:rPr>
        <w:t xml:space="preserve"> of portfolios</w:t>
      </w:r>
      <w:r w:rsidR="0056639F" w:rsidRPr="00C73051">
        <w:rPr>
          <w:lang w:val="en-GB"/>
        </w:rPr>
        <w:t xml:space="preserve"> found some 5000 initial citations in undergraduate and postgraduate </w:t>
      </w:r>
      <w:r w:rsidR="00925EB6" w:rsidRPr="00C73051">
        <w:rPr>
          <w:lang w:val="en-GB"/>
        </w:rPr>
        <w:t>program</w:t>
      </w:r>
      <w:r w:rsidR="0056639F" w:rsidRPr="00C73051">
        <w:rPr>
          <w:lang w:val="en-GB"/>
        </w:rPr>
        <w:t xml:space="preserve">s in the health professions alone (Buckley et al., 2009; Tochel et al., 2009). This uptake has been attributed </w:t>
      </w:r>
      <w:r w:rsidR="009E57CA" w:rsidRPr="00C73051">
        <w:rPr>
          <w:lang w:val="en-GB"/>
        </w:rPr>
        <w:t>to their authenticity, validity and</w:t>
      </w:r>
      <w:r w:rsidR="0056639F" w:rsidRPr="00C73051">
        <w:rPr>
          <w:lang w:val="en-GB"/>
        </w:rPr>
        <w:t xml:space="preserve"> credibility </w:t>
      </w:r>
      <w:r w:rsidR="009E57CA" w:rsidRPr="00C73051">
        <w:rPr>
          <w:lang w:val="en-GB"/>
        </w:rPr>
        <w:t>as well as</w:t>
      </w:r>
      <w:r w:rsidR="0056639F" w:rsidRPr="00C73051">
        <w:rPr>
          <w:lang w:val="en-GB"/>
        </w:rPr>
        <w:t xml:space="preserve"> the richness of the information they supply (Driessen, Van Der Vleuten, Schuwirth, Van </w:t>
      </w:r>
      <w:r w:rsidR="0056639F" w:rsidRPr="00C73051">
        <w:t>Tartwijk</w:t>
      </w:r>
      <w:r w:rsidR="0056639F" w:rsidRPr="00C73051">
        <w:rPr>
          <w:lang w:val="en-GB"/>
        </w:rPr>
        <w:t>, &amp; Vermunt, 2005, p. 215).</w:t>
      </w:r>
    </w:p>
    <w:p w14:paraId="56FFE4C1" w14:textId="77777777" w:rsidR="007B2E73" w:rsidRDefault="0072291F" w:rsidP="00332A93">
      <w:pPr>
        <w:pStyle w:val="Paragraph"/>
        <w:spacing w:line="240" w:lineRule="atLeast"/>
      </w:pPr>
      <w:r>
        <w:tab/>
      </w:r>
      <w:r w:rsidR="007B2E73">
        <w:t>Portfolios, however</w:t>
      </w:r>
      <w:r w:rsidR="00D20766">
        <w:t>,</w:t>
      </w:r>
      <w:r w:rsidR="007B2E73">
        <w:t xml:space="preserve"> represent a diverse set of </w:t>
      </w:r>
      <w:r w:rsidR="007B2E73" w:rsidRPr="00821D60">
        <w:t xml:space="preserve">tools </w:t>
      </w:r>
      <w:r w:rsidR="007B2E73">
        <w:t>with a wide</w:t>
      </w:r>
      <w:r w:rsidR="007B2E73" w:rsidRPr="00821D60">
        <w:t xml:space="preserve"> array of pedag</w:t>
      </w:r>
      <w:r w:rsidR="007B2E73">
        <w:t>ogical intentions. In</w:t>
      </w:r>
      <w:r w:rsidR="007B2E73" w:rsidRPr="00821D60">
        <w:t xml:space="preserve"> teacher education for example, </w:t>
      </w:r>
      <w:r w:rsidR="007B2E73">
        <w:rPr>
          <w:noProof/>
        </w:rPr>
        <w:t>Meeus, Van Looy, and Van Petegem (2006)</w:t>
      </w:r>
      <w:r w:rsidR="007B2E73">
        <w:t xml:space="preserve"> </w:t>
      </w:r>
      <w:r w:rsidR="007B2E73" w:rsidRPr="00821D60">
        <w:lastRenderedPageBreak/>
        <w:t xml:space="preserve">express exasperation with ‘at least 49 different nomenclatures used to describe particular types of portfolio … and 28 different classifications’ (p. 129). </w:t>
      </w:r>
      <w:r w:rsidR="007B2E73">
        <w:t>Ranging</w:t>
      </w:r>
      <w:r w:rsidR="007B2E73" w:rsidRPr="00821D60">
        <w:t xml:space="preserve"> from simple repositories of </w:t>
      </w:r>
      <w:r w:rsidR="007B2E73">
        <w:t xml:space="preserve">learning </w:t>
      </w:r>
      <w:r w:rsidR="007B2E73" w:rsidRPr="00821D60">
        <w:t>artefacts to deeply refle</w:t>
      </w:r>
      <w:r w:rsidR="00CB65EE">
        <w:t>ct</w:t>
      </w:r>
      <w:r w:rsidR="007B2E73" w:rsidRPr="00821D60">
        <w:t>ive personal</w:t>
      </w:r>
      <w:r w:rsidR="007B2E73">
        <w:t xml:space="preserve"> journals to promotional accounts of professional achievement, portfolio use is driven by a range of influences from individual reflective practice to mandatory professional requirements</w:t>
      </w:r>
      <w:r w:rsidR="007B2E73" w:rsidRPr="00821D60">
        <w:t xml:space="preserve">. </w:t>
      </w:r>
      <w:r w:rsidR="007B2E73">
        <w:t>In p</w:t>
      </w:r>
      <w:r w:rsidR="007B2E73" w:rsidRPr="00821D60">
        <w:t xml:space="preserve">reparing </w:t>
      </w:r>
      <w:r w:rsidR="007B2E73">
        <w:t>university students for professional life</w:t>
      </w:r>
      <w:r w:rsidR="007B2E73" w:rsidRPr="00821D60">
        <w:t>,</w:t>
      </w:r>
      <w:r w:rsidR="007B2E73">
        <w:t xml:space="preserve"> the use of portfolios</w:t>
      </w:r>
      <w:r w:rsidR="007B2E73" w:rsidRPr="00821D60">
        <w:t xml:space="preserve"> has been explored across </w:t>
      </w:r>
      <w:r w:rsidR="007B2E73">
        <w:t xml:space="preserve">all </w:t>
      </w:r>
      <w:r w:rsidR="007B2E73" w:rsidRPr="00821D60">
        <w:t xml:space="preserve">levels, from undergraduate education, where </w:t>
      </w:r>
      <w:r w:rsidR="007B2E73">
        <w:t>it</w:t>
      </w:r>
      <w:r w:rsidR="007B2E73" w:rsidRPr="00821D60">
        <w:t xml:space="preserve"> has </w:t>
      </w:r>
      <w:r w:rsidR="007B2E73">
        <w:t xml:space="preserve">improved </w:t>
      </w:r>
      <w:r w:rsidR="007B2E73" w:rsidRPr="00821D60">
        <w:t xml:space="preserve">students’ ability ‘to integrate theory with practice’ </w:t>
      </w:r>
      <w:r w:rsidR="007B2E73">
        <w:rPr>
          <w:noProof/>
        </w:rPr>
        <w:t>(Buckley, Coleman, &amp; Khan, 2010, p. 187)</w:t>
      </w:r>
      <w:r w:rsidR="007B2E73" w:rsidRPr="00821D60">
        <w:t xml:space="preserve">, to postgraduate </w:t>
      </w:r>
      <w:r w:rsidR="007B2E73">
        <w:t xml:space="preserve">and research </w:t>
      </w:r>
      <w:r w:rsidR="007B2E73" w:rsidRPr="00821D60">
        <w:t xml:space="preserve">education, where </w:t>
      </w:r>
      <w:r w:rsidR="007B2E73">
        <w:t>portfolio use</w:t>
      </w:r>
      <w:r w:rsidR="007B2E73" w:rsidRPr="00821D60">
        <w:t xml:space="preserve"> ‘</w:t>
      </w:r>
      <w:r w:rsidR="007B2E73" w:rsidRPr="00B22E38">
        <w:t>recognises the breadth of expertise that an extended professional requires</w:t>
      </w:r>
      <w:r w:rsidR="007B2E73" w:rsidRPr="00821D60">
        <w:t xml:space="preserve">’ </w:t>
      </w:r>
      <w:r w:rsidR="007B2E73">
        <w:rPr>
          <w:noProof/>
        </w:rPr>
        <w:t>(Maxwell &amp; Kupczyk-Romanczuk, 2009, p.141)</w:t>
      </w:r>
      <w:r w:rsidR="007B2E73" w:rsidRPr="00821D60">
        <w:t>.</w:t>
      </w:r>
      <w:r w:rsidR="007B2E73">
        <w:t xml:space="preserve"> </w:t>
      </w:r>
    </w:p>
    <w:p w14:paraId="31F7AE1C" w14:textId="77777777" w:rsidR="0056639F" w:rsidRPr="00C73051" w:rsidRDefault="0072291F" w:rsidP="00332A93">
      <w:pPr>
        <w:pStyle w:val="Paragraph"/>
        <w:spacing w:line="240" w:lineRule="atLeast"/>
      </w:pPr>
      <w:r>
        <w:rPr>
          <w:lang w:val="en-GB"/>
        </w:rPr>
        <w:tab/>
      </w:r>
      <w:r w:rsidR="0056639F" w:rsidRPr="00C73051">
        <w:rPr>
          <w:lang w:val="en-GB"/>
        </w:rPr>
        <w:t xml:space="preserve">Some </w:t>
      </w:r>
      <w:r w:rsidR="007B2E73">
        <w:rPr>
          <w:lang w:val="en-GB"/>
        </w:rPr>
        <w:t xml:space="preserve">portfolios </w:t>
      </w:r>
      <w:r w:rsidR="0056639F" w:rsidRPr="00C73051">
        <w:rPr>
          <w:lang w:val="en-GB"/>
        </w:rPr>
        <w:t>emphasis</w:t>
      </w:r>
      <w:r w:rsidR="009E57CA" w:rsidRPr="00C73051">
        <w:rPr>
          <w:lang w:val="en-GB"/>
        </w:rPr>
        <w:t>e</w:t>
      </w:r>
      <w:r w:rsidR="0056639F" w:rsidRPr="00C73051">
        <w:rPr>
          <w:lang w:val="en-GB"/>
        </w:rPr>
        <w:t xml:space="preserve"> formative aspects</w:t>
      </w:r>
      <w:r w:rsidR="009E57CA" w:rsidRPr="00C73051">
        <w:rPr>
          <w:lang w:val="en-GB"/>
        </w:rPr>
        <w:t xml:space="preserve">, such as </w:t>
      </w:r>
      <w:r w:rsidR="0056639F" w:rsidRPr="00C73051">
        <w:rPr>
          <w:lang w:val="en-GB"/>
        </w:rPr>
        <w:t>Lam’s (2014) approach to self-regulated learning through ‘iterative feedback proc</w:t>
      </w:r>
      <w:r w:rsidR="009E57CA" w:rsidRPr="00C73051">
        <w:rPr>
          <w:lang w:val="en-GB"/>
        </w:rPr>
        <w:t xml:space="preserve">esses’ (p 699). Others </w:t>
      </w:r>
      <w:r w:rsidR="007B2E73" w:rsidRPr="007B2E73">
        <w:rPr>
          <w:lang w:val="en-GB"/>
        </w:rPr>
        <w:t xml:space="preserve">follow a growing trend to use portfolios to demonstrate achievements or outcomes, </w:t>
      </w:r>
      <w:r w:rsidR="00D20766" w:rsidRPr="007B2E73">
        <w:rPr>
          <w:lang w:val="en-GB"/>
        </w:rPr>
        <w:t xml:space="preserve">often </w:t>
      </w:r>
      <w:r w:rsidR="007B2E73" w:rsidRPr="007B2E73">
        <w:rPr>
          <w:lang w:val="en-GB"/>
        </w:rPr>
        <w:t>driven by the increasing push to codify levels and articulate outcomes with explicit educational standards, and represent student achievements for purposes of em</w:t>
      </w:r>
      <w:r>
        <w:rPr>
          <w:lang w:val="en-GB"/>
        </w:rPr>
        <w:t>ployability (e.g. Chetcuti</w:t>
      </w:r>
      <w:r w:rsidR="007B2E73" w:rsidRPr="007B2E73">
        <w:rPr>
          <w:lang w:val="en-GB"/>
        </w:rPr>
        <w:t>,</w:t>
      </w:r>
      <w:r>
        <w:rPr>
          <w:lang w:val="en-GB"/>
        </w:rPr>
        <w:t xml:space="preserve"> Murphy &amp; Grima,</w:t>
      </w:r>
      <w:r w:rsidR="007B2E73" w:rsidRPr="007B2E73">
        <w:rPr>
          <w:lang w:val="en-GB"/>
        </w:rPr>
        <w:t xml:space="preserve"> 2006, p. 98).</w:t>
      </w:r>
      <w:r w:rsidR="007B2E73">
        <w:rPr>
          <w:lang w:val="en-GB"/>
        </w:rPr>
        <w:t xml:space="preserve"> </w:t>
      </w:r>
      <w:r w:rsidR="007B2E73">
        <w:t>I</w:t>
      </w:r>
      <w:r w:rsidR="0056639F" w:rsidRPr="00821D60">
        <w:t>n their comparison of reflective learning fostered by portfolios</w:t>
      </w:r>
      <w:r w:rsidR="003447A7">
        <w:t>, Groom &amp; Maunonen-Eskelinen</w:t>
      </w:r>
      <w:r w:rsidR="0056639F" w:rsidRPr="00821D60">
        <w:t xml:space="preserve"> (2006) emphasised that unless </w:t>
      </w:r>
      <w:r w:rsidR="00925EB6">
        <w:t>program</w:t>
      </w:r>
      <w:r w:rsidR="0056639F" w:rsidRPr="00821D60">
        <w:t xml:space="preserve"> structures </w:t>
      </w:r>
      <w:r w:rsidR="00AC38BA">
        <w:t>provide</w:t>
      </w:r>
      <w:r w:rsidR="0056639F" w:rsidRPr="00821D60">
        <w:t xml:space="preserve"> alternative</w:t>
      </w:r>
      <w:r w:rsidR="00AC38BA">
        <w:t>s</w:t>
      </w:r>
      <w:r w:rsidR="0056639F" w:rsidRPr="00821D60">
        <w:t xml:space="preserve">, </w:t>
      </w:r>
      <w:r w:rsidR="00AC38BA">
        <w:t>students</w:t>
      </w:r>
      <w:r w:rsidR="0056639F" w:rsidRPr="00821D60">
        <w:t xml:space="preserve"> may perceive portfolios </w:t>
      </w:r>
      <w:r w:rsidR="00AC38BA">
        <w:t>as mere</w:t>
      </w:r>
      <w:r w:rsidR="0056639F" w:rsidRPr="00821D60">
        <w:t xml:space="preserve"> tool</w:t>
      </w:r>
      <w:r w:rsidR="00AC38BA">
        <w:t>s</w:t>
      </w:r>
      <w:r w:rsidR="0056639F" w:rsidRPr="00821D60">
        <w:t xml:space="preserve"> for collating competency standards (p. 298). </w:t>
      </w:r>
      <w:r w:rsidR="004110D6">
        <w:t xml:space="preserve">The issue with </w:t>
      </w:r>
      <w:r w:rsidR="002F1E21">
        <w:t xml:space="preserve">such </w:t>
      </w:r>
      <w:r w:rsidR="007B2E73">
        <w:t xml:space="preserve">summative </w:t>
      </w:r>
      <w:r w:rsidR="004110D6">
        <w:t>approaches</w:t>
      </w:r>
      <w:r w:rsidR="003447A7">
        <w:t xml:space="preserve"> is that </w:t>
      </w:r>
      <w:r w:rsidR="007B2E73">
        <w:t>student</w:t>
      </w:r>
      <w:r w:rsidR="007B2E73" w:rsidRPr="00C73051">
        <w:t xml:space="preserve"> </w:t>
      </w:r>
      <w:r w:rsidR="0056639F" w:rsidRPr="00C73051">
        <w:t xml:space="preserve">work is </w:t>
      </w:r>
      <w:r w:rsidR="00A265CF" w:rsidRPr="00C73051">
        <w:t xml:space="preserve">typically </w:t>
      </w:r>
      <w:r w:rsidR="002F1E21">
        <w:t>recognised</w:t>
      </w:r>
      <w:r w:rsidR="0056639F" w:rsidRPr="00C73051">
        <w:t xml:space="preserve"> with marks or grades</w:t>
      </w:r>
      <w:r w:rsidR="00A265CF" w:rsidRPr="00C73051">
        <w:t>,</w:t>
      </w:r>
      <w:r w:rsidR="0056639F" w:rsidRPr="00C73051">
        <w:t xml:space="preserve"> which </w:t>
      </w:r>
      <w:r w:rsidR="00A265CF" w:rsidRPr="00C73051">
        <w:t xml:space="preserve">do not sufficiently explain </w:t>
      </w:r>
      <w:r w:rsidR="0056639F" w:rsidRPr="00C73051">
        <w:t xml:space="preserve">the rationale behind the mark, rarely </w:t>
      </w:r>
      <w:r w:rsidR="00A265CF" w:rsidRPr="00C73051">
        <w:t>indicate</w:t>
      </w:r>
      <w:r w:rsidR="0056639F" w:rsidRPr="00C73051">
        <w:t xml:space="preserve"> why criteria </w:t>
      </w:r>
      <w:r w:rsidR="00A265CF" w:rsidRPr="00C73051">
        <w:t>have</w:t>
      </w:r>
      <w:r w:rsidR="0056639F" w:rsidRPr="00C73051">
        <w:t xml:space="preserve"> not </w:t>
      </w:r>
      <w:r w:rsidR="00A265CF" w:rsidRPr="00C73051">
        <w:t xml:space="preserve">been </w:t>
      </w:r>
      <w:r w:rsidR="0056639F" w:rsidRPr="00C73051">
        <w:t xml:space="preserve">met, </w:t>
      </w:r>
      <w:r w:rsidR="00A265CF" w:rsidRPr="00C73051">
        <w:t>and fail to</w:t>
      </w:r>
      <w:r w:rsidR="0056639F" w:rsidRPr="00C73051">
        <w:t xml:space="preserve"> suggest how students might identify </w:t>
      </w:r>
      <w:r w:rsidR="00A265CF" w:rsidRPr="00C73051">
        <w:t>and fill gaps in their understanding</w:t>
      </w:r>
      <w:r w:rsidR="003447A7" w:rsidRPr="00C73051">
        <w:t xml:space="preserve">. Portfolios </w:t>
      </w:r>
      <w:r w:rsidR="004110D6" w:rsidRPr="00C73051">
        <w:t xml:space="preserve">aimed at these ends may neglect to focus on </w:t>
      </w:r>
      <w:r w:rsidR="00887528" w:rsidRPr="00C73051">
        <w:t xml:space="preserve">fostering </w:t>
      </w:r>
      <w:r w:rsidR="004110D6" w:rsidRPr="00C73051">
        <w:t xml:space="preserve">learning. </w:t>
      </w:r>
    </w:p>
    <w:p w14:paraId="05DF3487" w14:textId="77777777" w:rsidR="00690A43" w:rsidRDefault="0072291F" w:rsidP="00332A93">
      <w:pPr>
        <w:pStyle w:val="Paragraph"/>
        <w:spacing w:line="240" w:lineRule="atLeast"/>
      </w:pPr>
      <w:r>
        <w:tab/>
      </w:r>
      <w:r w:rsidR="007B2E73" w:rsidRPr="00C802B7">
        <w:t xml:space="preserve">In times of limited resources in higher education, it is rarely viable to conduct separate sets of activities </w:t>
      </w:r>
      <w:r w:rsidR="007B2E73">
        <w:t xml:space="preserve">for </w:t>
      </w:r>
      <w:r w:rsidR="007B2E73" w:rsidRPr="00C802B7">
        <w:t>formative</w:t>
      </w:r>
      <w:r w:rsidR="007B2E73">
        <w:t>,</w:t>
      </w:r>
      <w:r w:rsidR="007B2E73" w:rsidRPr="00C802B7">
        <w:t xml:space="preserve"> summative</w:t>
      </w:r>
      <w:r w:rsidR="007B2E73">
        <w:t xml:space="preserve"> and sustainable purposes:</w:t>
      </w:r>
      <w:r w:rsidR="007B2E73" w:rsidRPr="00C802B7">
        <w:t xml:space="preserve"> thus</w:t>
      </w:r>
      <w:r w:rsidR="007B2E73">
        <w:t>,</w:t>
      </w:r>
      <w:r w:rsidR="007B2E73" w:rsidRPr="00C802B7">
        <w:t xml:space="preserve"> assessments </w:t>
      </w:r>
      <w:r w:rsidR="007B2E73">
        <w:t>must</w:t>
      </w:r>
      <w:r w:rsidR="007B2E73" w:rsidRPr="00C802B7">
        <w:t xml:space="preserve"> encompass </w:t>
      </w:r>
      <w:r w:rsidR="002F1E21">
        <w:t xml:space="preserve">aspects of </w:t>
      </w:r>
      <w:r w:rsidR="007B2E73">
        <w:t>all</w:t>
      </w:r>
      <w:r w:rsidR="007B2E73" w:rsidRPr="00C802B7">
        <w:t xml:space="preserve"> </w:t>
      </w:r>
      <w:r w:rsidR="007B2E73">
        <w:rPr>
          <w:noProof/>
        </w:rPr>
        <w:t>(Boud &amp; Soler, 201</w:t>
      </w:r>
      <w:r w:rsidR="00701FCD">
        <w:rPr>
          <w:noProof/>
        </w:rPr>
        <w:t>6</w:t>
      </w:r>
      <w:r w:rsidR="007B2E73">
        <w:rPr>
          <w:noProof/>
        </w:rPr>
        <w:t>)</w:t>
      </w:r>
      <w:r w:rsidR="007B2E73" w:rsidRPr="00C802B7">
        <w:t xml:space="preserve">. </w:t>
      </w:r>
      <w:r w:rsidR="00690A43">
        <w:t>I</w:t>
      </w:r>
      <w:r w:rsidR="00690A43" w:rsidRPr="00C802B7">
        <w:t>ncreasingly</w:t>
      </w:r>
      <w:r w:rsidR="00690A43">
        <w:t>,</w:t>
      </w:r>
      <w:r w:rsidR="00690A43" w:rsidRPr="00C802B7">
        <w:t xml:space="preserve"> sophisticated electronic portfolio platforms support </w:t>
      </w:r>
      <w:r w:rsidR="00690A43">
        <w:t>the adaptation of</w:t>
      </w:r>
      <w:r w:rsidR="00690A43" w:rsidRPr="00C802B7">
        <w:t xml:space="preserve"> </w:t>
      </w:r>
      <w:r w:rsidR="00690A43">
        <w:t xml:space="preserve">portfolio </w:t>
      </w:r>
      <w:r w:rsidR="00690A43" w:rsidRPr="00C802B7">
        <w:t xml:space="preserve">material to </w:t>
      </w:r>
      <w:r w:rsidR="00690A43">
        <w:t>many</w:t>
      </w:r>
      <w:r w:rsidR="00690A43" w:rsidRPr="00C802B7">
        <w:t xml:space="preserve"> purposes. </w:t>
      </w:r>
      <w:r w:rsidR="00690A43">
        <w:t>The ease with which</w:t>
      </w:r>
      <w:r w:rsidR="00690A43" w:rsidRPr="00C802B7">
        <w:t xml:space="preserve"> learning art</w:t>
      </w:r>
      <w:r w:rsidR="00690A43">
        <w:t>e</w:t>
      </w:r>
      <w:r w:rsidR="00690A43" w:rsidRPr="00C802B7">
        <w:t xml:space="preserve">facts </w:t>
      </w:r>
      <w:r w:rsidR="00690A43">
        <w:t xml:space="preserve">can be stored and retrieved </w:t>
      </w:r>
      <w:r w:rsidR="00690A43" w:rsidRPr="00C802B7">
        <w:t xml:space="preserve">allows students </w:t>
      </w:r>
      <w:r w:rsidR="00690A43">
        <w:t>to keep, manipulate and selectively share their work,</w:t>
      </w:r>
      <w:r w:rsidR="00690A43" w:rsidRPr="00C802B7">
        <w:t xml:space="preserve"> </w:t>
      </w:r>
      <w:r w:rsidR="00690A43" w:rsidRPr="00821D60">
        <w:t xml:space="preserve">revealing it selectively </w:t>
      </w:r>
      <w:r w:rsidR="00690A43" w:rsidRPr="00C802B7">
        <w:t>for any desired purpose</w:t>
      </w:r>
      <w:r w:rsidR="00690A43">
        <w:t>. Although p</w:t>
      </w:r>
      <w:r w:rsidR="00690A43" w:rsidRPr="00C802B7">
        <w:t xml:space="preserve">ortfolios </w:t>
      </w:r>
      <w:r w:rsidR="00690A43">
        <w:t xml:space="preserve">provide an adaptable vehicle for multipurpose functions, care must be taken to ensure that students do not receive contradictory messages and that they are not expected to pursue incompatible </w:t>
      </w:r>
      <w:r w:rsidR="002F1E21">
        <w:t xml:space="preserve">purposes within any given </w:t>
      </w:r>
      <w:r w:rsidR="00690A43">
        <w:t xml:space="preserve">task. </w:t>
      </w:r>
      <w:r w:rsidR="00690A43" w:rsidRPr="00C802B7">
        <w:t xml:space="preserve">The nature of high stakes assessment dictates that students </w:t>
      </w:r>
      <w:r w:rsidR="00690A43">
        <w:t>present</w:t>
      </w:r>
      <w:r w:rsidR="00690A43" w:rsidRPr="00C802B7">
        <w:t xml:space="preserve"> their </w:t>
      </w:r>
      <w:r w:rsidR="00690A43" w:rsidRPr="00821D60">
        <w:t>best</w:t>
      </w:r>
      <w:r w:rsidR="00690A43" w:rsidRPr="00C802B7">
        <w:t xml:space="preserve"> achievements </w:t>
      </w:r>
      <w:r w:rsidR="002F1E21">
        <w:t>to gain</w:t>
      </w:r>
      <w:r w:rsidR="00690A43" w:rsidRPr="00C802B7">
        <w:t xml:space="preserve"> the </w:t>
      </w:r>
      <w:r w:rsidR="00690A43" w:rsidRPr="00821D60">
        <w:t>highest</w:t>
      </w:r>
      <w:r w:rsidR="00690A43" w:rsidRPr="00C802B7">
        <w:t xml:space="preserve"> possible grades, </w:t>
      </w:r>
      <w:r w:rsidR="00690A43">
        <w:t>as</w:t>
      </w:r>
      <w:r w:rsidR="00690A43" w:rsidRPr="00C802B7">
        <w:t xml:space="preserve"> these are </w:t>
      </w:r>
      <w:r w:rsidR="00690A43">
        <w:t xml:space="preserve">the </w:t>
      </w:r>
      <w:r w:rsidR="00690A43" w:rsidRPr="00C802B7">
        <w:t>gateways to f</w:t>
      </w:r>
      <w:r w:rsidR="00690A43">
        <w:t xml:space="preserve">uture studies or employment. Thus, a summative </w:t>
      </w:r>
      <w:r w:rsidR="00690A43" w:rsidRPr="00C802B7">
        <w:t xml:space="preserve">portfolio </w:t>
      </w:r>
      <w:r w:rsidR="00690A43">
        <w:t xml:space="preserve">providing </w:t>
      </w:r>
      <w:r w:rsidR="00690A43" w:rsidRPr="00C802B7">
        <w:t>evidence of achievement</w:t>
      </w:r>
      <w:r w:rsidR="00690A43">
        <w:t xml:space="preserve"> should demonstrate the student’s best efforts. Conversely, a portfolio created for learning purposes </w:t>
      </w:r>
      <w:r w:rsidR="002F1E21">
        <w:t>may well</w:t>
      </w:r>
      <w:r w:rsidR="00690A43">
        <w:t xml:space="preserve"> </w:t>
      </w:r>
      <w:r w:rsidR="00690A43" w:rsidRPr="00C802B7">
        <w:t xml:space="preserve">include draft </w:t>
      </w:r>
      <w:r w:rsidR="00690A43">
        <w:t xml:space="preserve">or incomplete </w:t>
      </w:r>
      <w:r w:rsidR="00690A43" w:rsidRPr="00C802B7">
        <w:t>work for feedback</w:t>
      </w:r>
      <w:r w:rsidR="00690A43">
        <w:t xml:space="preserve"> or reflection,</w:t>
      </w:r>
      <w:r w:rsidR="00690A43" w:rsidRPr="00C802B7">
        <w:t xml:space="preserve"> so</w:t>
      </w:r>
      <w:r w:rsidR="00690A43">
        <w:t xml:space="preserve"> that it may be improved</w:t>
      </w:r>
      <w:r w:rsidR="00690A43" w:rsidRPr="00C802B7">
        <w:t xml:space="preserve">. </w:t>
      </w:r>
      <w:r w:rsidR="00690A43">
        <w:t xml:space="preserve">In FitzPatrick and Spiller’s </w:t>
      </w:r>
      <w:r w:rsidR="00690A43">
        <w:rPr>
          <w:noProof/>
        </w:rPr>
        <w:t>(2010)</w:t>
      </w:r>
      <w:r w:rsidR="00690A43" w:rsidRPr="00C802B7">
        <w:t xml:space="preserve"> </w:t>
      </w:r>
      <w:r w:rsidR="00690A43">
        <w:t xml:space="preserve">example </w:t>
      </w:r>
      <w:r w:rsidR="00690A43" w:rsidRPr="00C802B7">
        <w:t xml:space="preserve">of </w:t>
      </w:r>
      <w:r w:rsidR="00690A43">
        <w:t>the tensions that arise from</w:t>
      </w:r>
      <w:r w:rsidR="00690A43" w:rsidRPr="00C802B7">
        <w:t xml:space="preserve"> </w:t>
      </w:r>
      <w:r w:rsidR="00690A43">
        <w:t xml:space="preserve">using a </w:t>
      </w:r>
      <w:r w:rsidR="00690A43" w:rsidRPr="00C802B7">
        <w:t>portfolio</w:t>
      </w:r>
      <w:r w:rsidR="00690A43">
        <w:t xml:space="preserve"> </w:t>
      </w:r>
      <w:r w:rsidR="00690A43" w:rsidRPr="00C802B7">
        <w:t>for both</w:t>
      </w:r>
      <w:r w:rsidR="00690A43">
        <w:t xml:space="preserve"> critical self-reflection and the demonstration of achievement,</w:t>
      </w:r>
      <w:r w:rsidR="00690A43" w:rsidRPr="00C802B7">
        <w:t xml:space="preserve"> students </w:t>
      </w:r>
      <w:r w:rsidR="00690A43">
        <w:t>felt bewildered</w:t>
      </w:r>
      <w:r w:rsidR="00690A43" w:rsidRPr="00C802B7">
        <w:t xml:space="preserve"> and angry over the uncertainty generated by multiple purposes </w:t>
      </w:r>
      <w:r w:rsidR="00690A43">
        <w:rPr>
          <w:noProof/>
        </w:rPr>
        <w:t>(p. 168</w:t>
      </w:r>
      <w:r w:rsidR="00690A43" w:rsidRPr="00C802B7">
        <w:rPr>
          <w:noProof/>
        </w:rPr>
        <w:t>)</w:t>
      </w:r>
      <w:r w:rsidR="00690A43" w:rsidRPr="00C802B7">
        <w:t xml:space="preserve">. The authors </w:t>
      </w:r>
      <w:r w:rsidR="00690A43">
        <w:t>suggest</w:t>
      </w:r>
      <w:r w:rsidR="00690A43" w:rsidRPr="00C802B7">
        <w:t xml:space="preserve"> </w:t>
      </w:r>
      <w:r w:rsidR="00690A43">
        <w:t>providing</w:t>
      </w:r>
      <w:r w:rsidR="00690A43" w:rsidRPr="00C802B7">
        <w:t xml:space="preserve"> private portfolio spaces where difficult</w:t>
      </w:r>
      <w:r w:rsidR="00690A43">
        <w:t>ies</w:t>
      </w:r>
      <w:r w:rsidR="00690A43" w:rsidRPr="00C802B7">
        <w:t xml:space="preserve"> can be worked </w:t>
      </w:r>
      <w:r w:rsidR="00690A43">
        <w:t>out before public presentation</w:t>
      </w:r>
      <w:r w:rsidR="00690A43" w:rsidRPr="00C802B7">
        <w:t>.</w:t>
      </w:r>
      <w:r w:rsidR="00690A43">
        <w:t xml:space="preserve"> While acknowledging</w:t>
      </w:r>
      <w:r w:rsidR="00690A43" w:rsidRPr="00C802B7">
        <w:t xml:space="preserve"> there is little doubt of </w:t>
      </w:r>
      <w:r w:rsidR="00690A43">
        <w:t>these</w:t>
      </w:r>
      <w:r w:rsidR="00690A43" w:rsidRPr="00C802B7">
        <w:t xml:space="preserve"> tensions, Wiliam (2000) nonetheless demands</w:t>
      </w:r>
      <w:r w:rsidR="00690A43">
        <w:t xml:space="preserve"> that</w:t>
      </w:r>
      <w:r w:rsidR="00690A43" w:rsidRPr="00C802B7">
        <w:t xml:space="preserve"> ‘we must refuse to</w:t>
      </w:r>
      <w:r w:rsidR="00690A43">
        <w:t xml:space="preserve"> accept the incompatibility of “</w:t>
      </w:r>
      <w:r w:rsidR="00690A43" w:rsidRPr="00C802B7">
        <w:t>s</w:t>
      </w:r>
      <w:r w:rsidR="00690A43">
        <w:t>ummative” and “formative”</w:t>
      </w:r>
      <w:r w:rsidR="00690A43" w:rsidRPr="00C802B7">
        <w:t xml:space="preserve"> assessment. Instead, we must find ways of mitigating that tension, by whatever means we can.’ </w:t>
      </w:r>
      <w:r w:rsidR="00690A43">
        <w:rPr>
          <w:noProof/>
        </w:rPr>
        <w:t>(p. 16</w:t>
      </w:r>
      <w:r w:rsidR="00690A43" w:rsidRPr="00C802B7">
        <w:rPr>
          <w:noProof/>
        </w:rPr>
        <w:t>)</w:t>
      </w:r>
      <w:r w:rsidR="00690A43" w:rsidRPr="00C802B7">
        <w:t xml:space="preserve">. </w:t>
      </w:r>
    </w:p>
    <w:p w14:paraId="5EEED60A" w14:textId="77777777" w:rsidR="00D93229" w:rsidRDefault="004110D6" w:rsidP="00332A93">
      <w:pPr>
        <w:pStyle w:val="Newparagraph"/>
        <w:spacing w:line="240" w:lineRule="atLeast"/>
        <w:rPr>
          <w:lang w:val="en-US"/>
        </w:rPr>
      </w:pPr>
      <w:r>
        <w:t xml:space="preserve">Based on existing literature and </w:t>
      </w:r>
      <w:r w:rsidRPr="00821D60">
        <w:t xml:space="preserve">our own engagement with </w:t>
      </w:r>
      <w:r>
        <w:t>this topic</w:t>
      </w:r>
      <w:r w:rsidRPr="00821D60">
        <w:t xml:space="preserve">, </w:t>
      </w:r>
      <w:r w:rsidR="00B7642A">
        <w:t>this paper argues</w:t>
      </w:r>
      <w:r>
        <w:t xml:space="preserve"> that </w:t>
      </w:r>
      <w:r w:rsidR="00D93229">
        <w:t xml:space="preserve">contemporary </w:t>
      </w:r>
      <w:r>
        <w:t xml:space="preserve">portfolios </w:t>
      </w:r>
      <w:r w:rsidR="00D93229">
        <w:t xml:space="preserve">can </w:t>
      </w:r>
      <w:r>
        <w:t xml:space="preserve">be refocused towards learning </w:t>
      </w:r>
      <w:r w:rsidR="00BB6B59">
        <w:t xml:space="preserve">development </w:t>
      </w:r>
      <w:r>
        <w:t>while ultimately serving the need for summative assessment</w:t>
      </w:r>
      <w:r w:rsidR="008E4B78" w:rsidRPr="00E9069E">
        <w:rPr>
          <w:lang w:val="en-US"/>
        </w:rPr>
        <w:t>, at least in our areas of teacher and health professional education</w:t>
      </w:r>
      <w:r w:rsidRPr="00E9069E">
        <w:t>.</w:t>
      </w:r>
      <w:r>
        <w:t xml:space="preserve"> </w:t>
      </w:r>
      <w:r w:rsidR="00D93229" w:rsidRPr="00D93229">
        <w:rPr>
          <w:lang w:val="en-US"/>
        </w:rPr>
        <w:t xml:space="preserve">It suggests six basic elements of portfolio design and conceptualises a planning framework for a whole-of-program portfolio to facilitate both the development of learning and </w:t>
      </w:r>
      <w:r w:rsidR="00797226">
        <w:rPr>
          <w:lang w:val="en-US"/>
        </w:rPr>
        <w:t xml:space="preserve">the </w:t>
      </w:r>
      <w:r w:rsidR="00D93229" w:rsidRPr="00D93229">
        <w:rPr>
          <w:lang w:val="en-US"/>
        </w:rPr>
        <w:t>achievement of discipline specific goals, equally supporting formative and summative assessment. It discusses the need to facilitate skills in curation of content, and the importance of enhancing portfolios to facilitate effective feedback processes.</w:t>
      </w:r>
    </w:p>
    <w:p w14:paraId="0B9623EA" w14:textId="77777777" w:rsidR="00D93229" w:rsidRDefault="00D93229" w:rsidP="00332A93">
      <w:pPr>
        <w:pStyle w:val="Newparagraph"/>
        <w:spacing w:line="240" w:lineRule="atLeast"/>
      </w:pPr>
      <w:r w:rsidRPr="00D93229">
        <w:t xml:space="preserve"> </w:t>
      </w:r>
      <w:r>
        <w:t xml:space="preserve">To achieve this, portfolio task briefings and instructions must explain explicitly what portfolios do and how they do it. No portfolio is generic in form or content and each related </w:t>
      </w:r>
      <w:r w:rsidRPr="00B7642A">
        <w:t>undertaking</w:t>
      </w:r>
      <w:r>
        <w:t xml:space="preserve"> must serve an obvious, specific purpose. The student’s task is to draw together appropriate pieces of evidence and justify their inclusion for different purposes (e.g. to demonstrate learning outcomes or to attract prospective employers).</w:t>
      </w:r>
      <w:r w:rsidRPr="00D93229">
        <w:t xml:space="preserve"> </w:t>
      </w:r>
      <w:r w:rsidRPr="00C802B7">
        <w:t xml:space="preserve">It </w:t>
      </w:r>
      <w:r>
        <w:t xml:space="preserve">is crucial for both students and staff to know </w:t>
      </w:r>
      <w:r w:rsidRPr="00C802B7">
        <w:t>which mechanism is in place</w:t>
      </w:r>
      <w:r>
        <w:t xml:space="preserve"> and what is being revealed for what purposes at any given time</w:t>
      </w:r>
      <w:r w:rsidRPr="00C802B7">
        <w:t>.</w:t>
      </w:r>
      <w:r w:rsidR="00D64AF8" w:rsidRPr="00D64AF8">
        <w:t xml:space="preserve"> </w:t>
      </w:r>
      <w:r w:rsidR="00D64AF8">
        <w:t>We suggest the purposes of program-wide portfolios may necessarily vary from the particularly formative in the early stages of the program to the exclusively summative, providing evidence of achievement, in the closing stages.</w:t>
      </w:r>
    </w:p>
    <w:p w14:paraId="7AA93A9F" w14:textId="77777777" w:rsidR="006F12E0" w:rsidRPr="006F12E0" w:rsidRDefault="006F12E0" w:rsidP="00332A93">
      <w:pPr>
        <w:pStyle w:val="Paragraph"/>
        <w:spacing w:line="240" w:lineRule="atLeast"/>
        <w:rPr>
          <w:b/>
        </w:rPr>
      </w:pPr>
      <w:r w:rsidRPr="006F12E0">
        <w:rPr>
          <w:b/>
        </w:rPr>
        <w:t>Portfolio elements</w:t>
      </w:r>
    </w:p>
    <w:p w14:paraId="493ACEBC" w14:textId="77777777" w:rsidR="00D64AF8" w:rsidRPr="00B7538E" w:rsidRDefault="00D64AF8" w:rsidP="00332A93">
      <w:pPr>
        <w:pStyle w:val="Paragraph"/>
        <w:spacing w:line="240" w:lineRule="atLeast"/>
      </w:pPr>
      <w:r>
        <w:t>Having discussed the diversity of portfolios and ways to accommodate the different purposes of assessment, we frame their functions with the following six elements:</w:t>
      </w:r>
    </w:p>
    <w:p w14:paraId="7019EE91" w14:textId="77777777" w:rsidR="00D64AF8" w:rsidRPr="004021CF" w:rsidRDefault="00D64AF8" w:rsidP="00332A93">
      <w:pPr>
        <w:pStyle w:val="Numberedlist"/>
        <w:numPr>
          <w:ilvl w:val="0"/>
          <w:numId w:val="31"/>
        </w:numPr>
        <w:spacing w:line="240" w:lineRule="atLeast"/>
      </w:pPr>
      <w:r w:rsidRPr="004021CF">
        <w:t xml:space="preserve">The repository: A collection of all artefacts of a student’s work, including </w:t>
      </w:r>
      <w:r w:rsidR="00797226">
        <w:t xml:space="preserve">all </w:t>
      </w:r>
      <w:r w:rsidRPr="004021CF">
        <w:t>academic assignments</w:t>
      </w:r>
      <w:r w:rsidR="00797226">
        <w:t xml:space="preserve"> and materials,</w:t>
      </w:r>
      <w:r w:rsidRPr="00D81382">
        <w:t xml:space="preserve"> </w:t>
      </w:r>
      <w:r w:rsidR="00797226">
        <w:t>including those</w:t>
      </w:r>
      <w:r>
        <w:t xml:space="preserve"> related to fieldwork / clinical supervision, etc.; any</w:t>
      </w:r>
      <w:r w:rsidRPr="00D81382">
        <w:t xml:space="preserve"> relevant </w:t>
      </w:r>
      <w:r w:rsidR="002F1E21">
        <w:t xml:space="preserve">materials about </w:t>
      </w:r>
      <w:r>
        <w:t>extracurricular activities</w:t>
      </w:r>
      <w:r w:rsidRPr="00D81382">
        <w:t xml:space="preserve"> and, progressively, items generated from </w:t>
      </w:r>
      <w:r>
        <w:t xml:space="preserve">other </w:t>
      </w:r>
      <w:r w:rsidR="00F000B4">
        <w:t>program</w:t>
      </w:r>
      <w:r>
        <w:t xml:space="preserve"> activities</w:t>
      </w:r>
      <w:r w:rsidRPr="00D81382">
        <w:t>. It is n</w:t>
      </w:r>
      <w:r>
        <w:t>ot assessed (although items within it may have been) and remains private to the student.</w:t>
      </w:r>
    </w:p>
    <w:p w14:paraId="2DE21C93" w14:textId="77777777" w:rsidR="00D64AF8" w:rsidRPr="00136A32" w:rsidRDefault="00D64AF8" w:rsidP="00332A93">
      <w:pPr>
        <w:pStyle w:val="Numberedlist"/>
        <w:numPr>
          <w:ilvl w:val="0"/>
          <w:numId w:val="31"/>
        </w:numPr>
        <w:spacing w:line="240" w:lineRule="atLeast"/>
      </w:pPr>
      <w:r w:rsidRPr="004021CF">
        <w:t xml:space="preserve">Portfolio tasks: A structured continuous task or sets of tasks that regularly engages the student in some educational work, </w:t>
      </w:r>
      <w:r w:rsidR="002F1E21">
        <w:t>perhaps</w:t>
      </w:r>
      <w:r w:rsidRPr="004021CF">
        <w:t xml:space="preserve"> each week, through their entire program. This ‘portfolio entry’ might consist of an ongoing reflective journal piece relating broadly to an educational experience of significance to the student, </w:t>
      </w:r>
      <w:r w:rsidRPr="00D81382">
        <w:t xml:space="preserve">a blog, a feedback task or </w:t>
      </w:r>
      <w:r>
        <w:t xml:space="preserve">a </w:t>
      </w:r>
      <w:r w:rsidRPr="00D81382">
        <w:t xml:space="preserve">reflection on an item </w:t>
      </w:r>
      <w:r>
        <w:t xml:space="preserve">of coursework. </w:t>
      </w:r>
      <w:r w:rsidRPr="00E9069E">
        <w:t xml:space="preserve">In our work, the weekly portfolio task is to write half a page of </w:t>
      </w:r>
      <w:r w:rsidR="008E4B78" w:rsidRPr="00E9069E">
        <w:t xml:space="preserve">self-assessment </w:t>
      </w:r>
      <w:r w:rsidRPr="00E9069E">
        <w:t>on any piece of submitted work from the previous four weeks, to build their capacity to judge their work over time.</w:t>
      </w:r>
      <w:r>
        <w:t xml:space="preserve"> </w:t>
      </w:r>
    </w:p>
    <w:p w14:paraId="566EFC75" w14:textId="77777777" w:rsidR="00D64AF8" w:rsidRPr="004021CF" w:rsidRDefault="00D64AF8" w:rsidP="00332A93">
      <w:pPr>
        <w:pStyle w:val="Numberedlist"/>
        <w:numPr>
          <w:ilvl w:val="0"/>
          <w:numId w:val="31"/>
        </w:numPr>
        <w:spacing w:line="240" w:lineRule="atLeast"/>
      </w:pPr>
      <w:r w:rsidRPr="004021CF">
        <w:t xml:space="preserve">Coursework: All students’ </w:t>
      </w:r>
      <w:r w:rsidR="007D690B">
        <w:t xml:space="preserve">coursework </w:t>
      </w:r>
      <w:r w:rsidRPr="004021CF">
        <w:t xml:space="preserve">tasks contribute to the portfolio repository. </w:t>
      </w:r>
      <w:r w:rsidR="007D690B">
        <w:t>They</w:t>
      </w:r>
      <w:r w:rsidRPr="004021CF">
        <w:t xml:space="preserve"> can </w:t>
      </w:r>
      <w:r w:rsidR="007D690B">
        <w:t xml:space="preserve">then </w:t>
      </w:r>
      <w:r w:rsidRPr="004021CF">
        <w:t xml:space="preserve">use any repository items (or combine new materials and repository items) to curate a collection supporting </w:t>
      </w:r>
      <w:r w:rsidR="002F1E21">
        <w:t>the</w:t>
      </w:r>
      <w:r w:rsidRPr="004021CF">
        <w:t xml:space="preserve"> particular learning outcomes</w:t>
      </w:r>
      <w:r w:rsidR="002F1E21">
        <w:t xml:space="preserve"> for the course or course unit</w:t>
      </w:r>
      <w:r w:rsidRPr="004021CF">
        <w:t xml:space="preserve">. </w:t>
      </w:r>
    </w:p>
    <w:p w14:paraId="7AD7F229" w14:textId="77777777" w:rsidR="00D64AF8" w:rsidRPr="004021CF" w:rsidRDefault="00D64AF8" w:rsidP="00332A93">
      <w:pPr>
        <w:pStyle w:val="Numberedlist"/>
        <w:numPr>
          <w:ilvl w:val="0"/>
          <w:numId w:val="31"/>
        </w:numPr>
        <w:spacing w:line="240" w:lineRule="atLeast"/>
      </w:pPr>
      <w:r w:rsidRPr="004021CF">
        <w:t xml:space="preserve">Competencies: Students add proof of competence in various attributes to the repository as they are attained. They can then draw from it, progressively over the </w:t>
      </w:r>
      <w:r w:rsidR="00F000B4">
        <w:t>program</w:t>
      </w:r>
      <w:r w:rsidRPr="004021CF">
        <w:t xml:space="preserve">, to curate collections evidencing development in both their professional competencies as well as their learning </w:t>
      </w:r>
      <w:r w:rsidR="00797226">
        <w:t>skills</w:t>
      </w:r>
      <w:r w:rsidRPr="004021CF">
        <w:t xml:space="preserve">. At interim levels they can be formatively assessed and </w:t>
      </w:r>
      <w:r w:rsidR="002F1E21">
        <w:t xml:space="preserve">aspects of the collection </w:t>
      </w:r>
      <w:r w:rsidRPr="004021CF">
        <w:t>opened up for feedback. After working with the feedback and considered complete, these can serve as records of achievement.</w:t>
      </w:r>
    </w:p>
    <w:p w14:paraId="4972110B" w14:textId="77777777" w:rsidR="00D64AF8" w:rsidRPr="004021CF" w:rsidRDefault="00D64AF8" w:rsidP="00332A93">
      <w:pPr>
        <w:pStyle w:val="Numberedlist"/>
        <w:numPr>
          <w:ilvl w:val="0"/>
          <w:numId w:val="31"/>
        </w:numPr>
        <w:spacing w:line="240" w:lineRule="atLeast"/>
      </w:pPr>
      <w:r w:rsidRPr="004021CF">
        <w:t xml:space="preserve">Feedback: An ongoing collection where feedback comments from all assessment tasks, whether graded or not, can be easily accessed and built up over time, and where giving, receiving and working with feedback from teachers, peers and others is required, valued, evidenced and included at some point(s) in the assessments. </w:t>
      </w:r>
    </w:p>
    <w:p w14:paraId="3804C078" w14:textId="77777777" w:rsidR="00D64AF8" w:rsidRPr="004021CF" w:rsidRDefault="00D64AF8" w:rsidP="00332A93">
      <w:pPr>
        <w:pStyle w:val="Numberedlist"/>
        <w:numPr>
          <w:ilvl w:val="0"/>
          <w:numId w:val="31"/>
        </w:numPr>
        <w:spacing w:line="240" w:lineRule="atLeast"/>
      </w:pPr>
      <w:r w:rsidRPr="004021CF">
        <w:t xml:space="preserve">Curated collections of evidence: Students draw relevant evidence from the repository and explain how this demonstrates a particular feature of their learning. These include </w:t>
      </w:r>
      <w:r w:rsidRPr="00654D4D">
        <w:t xml:space="preserve">learning </w:t>
      </w:r>
      <w:r w:rsidR="00797226">
        <w:t>skills</w:t>
      </w:r>
      <w:r w:rsidRPr="00654D4D">
        <w:t xml:space="preserve"> such</w:t>
      </w:r>
      <w:r w:rsidR="00CB65EE">
        <w:t xml:space="preserve"> as</w:t>
      </w:r>
      <w:r w:rsidRPr="00654D4D">
        <w:t xml:space="preserve"> </w:t>
      </w:r>
      <w:r>
        <w:t>reflection,</w:t>
      </w:r>
      <w:r w:rsidRPr="00654D4D">
        <w:t xml:space="preserve"> self-assess</w:t>
      </w:r>
      <w:r>
        <w:t xml:space="preserve">ment and feedback, as well as </w:t>
      </w:r>
      <w:r w:rsidRPr="004021CF">
        <w:t xml:space="preserve">evidence of professional competencies such as </w:t>
      </w:r>
      <w:r w:rsidRPr="00654D4D">
        <w:t>clinical judgement</w:t>
      </w:r>
      <w:r>
        <w:t xml:space="preserve"> and</w:t>
      </w:r>
      <w:r w:rsidRPr="004021CF">
        <w:t xml:space="preserve"> professional requirements, </w:t>
      </w:r>
      <w:r>
        <w:t>at increasingly complex levels</w:t>
      </w:r>
      <w:r w:rsidRPr="00654D4D">
        <w:t xml:space="preserve">. </w:t>
      </w:r>
      <w:r w:rsidR="007D690B" w:rsidRPr="004021CF">
        <w:t xml:space="preserve">Curated collections </w:t>
      </w:r>
      <w:r w:rsidR="00FE6F27">
        <w:t xml:space="preserve">or parts thereof </w:t>
      </w:r>
      <w:r w:rsidR="007D690B" w:rsidRPr="004021CF">
        <w:t xml:space="preserve">may be assessed, or form the basis for an assessment. </w:t>
      </w:r>
      <w:r w:rsidRPr="004021CF">
        <w:t>This is the place to demonstrate and display achievement in increasingly public contexts, such as creating a professional curriculum vitae (CV), especially towards the end of a program.</w:t>
      </w:r>
    </w:p>
    <w:p w14:paraId="29587D88" w14:textId="77777777" w:rsidR="001C1874" w:rsidRPr="001C1874" w:rsidRDefault="00D64AF8" w:rsidP="00332A93">
      <w:pPr>
        <w:pStyle w:val="Newparagraph"/>
        <w:spacing w:line="240" w:lineRule="atLeast"/>
        <w:rPr>
          <w:lang w:val="en-US"/>
        </w:rPr>
      </w:pPr>
      <w:r>
        <w:t xml:space="preserve">These </w:t>
      </w:r>
      <w:r w:rsidR="007D690B">
        <w:t>elements</w:t>
      </w:r>
      <w:r>
        <w:t xml:space="preserve"> can form the basis of </w:t>
      </w:r>
      <w:r w:rsidR="00FE6F27">
        <w:t>a</w:t>
      </w:r>
      <w:r>
        <w:t xml:space="preserve"> program-wide portfolio focussed as much on facilitating learning as it is on presenting achievements</w:t>
      </w:r>
      <w:r w:rsidR="007D690B">
        <w:t>, embra</w:t>
      </w:r>
      <w:r w:rsidR="00FE6F27">
        <w:t>c</w:t>
      </w:r>
      <w:r w:rsidR="007D690B">
        <w:t>ing</w:t>
      </w:r>
      <w:r>
        <w:t xml:space="preserve"> </w:t>
      </w:r>
      <w:r w:rsidR="007D690B">
        <w:rPr>
          <w:noProof/>
        </w:rPr>
        <w:t>Klenowski, Askew, and Carnell’s (2006)</w:t>
      </w:r>
      <w:r w:rsidR="007D690B" w:rsidRPr="00821D60">
        <w:t xml:space="preserve"> conten</w:t>
      </w:r>
      <w:r w:rsidR="007D690B">
        <w:t>tion that</w:t>
      </w:r>
      <w:r w:rsidR="007D690B" w:rsidRPr="00821D60">
        <w:t xml:space="preserve">, </w:t>
      </w:r>
      <w:r w:rsidR="007D690B">
        <w:t>since portfolio use is consist</w:t>
      </w:r>
      <w:r w:rsidR="007D690B" w:rsidRPr="00821D60">
        <w:t>ent with particular beliefs about effect</w:t>
      </w:r>
      <w:r w:rsidR="007D690B">
        <w:t>ive learning, ‘it cannot be an “add-on”</w:t>
      </w:r>
      <w:r w:rsidR="007D690B" w:rsidRPr="00821D60">
        <w:t xml:space="preserve"> to a course but must be at its very core’ </w:t>
      </w:r>
      <w:r w:rsidR="007D690B" w:rsidRPr="00821D60">
        <w:rPr>
          <w:noProof/>
        </w:rPr>
        <w:t>(p. 284)</w:t>
      </w:r>
      <w:r w:rsidR="007D690B">
        <w:rPr>
          <w:noProof/>
        </w:rPr>
        <w:t xml:space="preserve">. </w:t>
      </w:r>
      <w:r w:rsidR="00725DDE">
        <w:rPr>
          <w:noProof/>
        </w:rPr>
        <w:t xml:space="preserve">Using </w:t>
      </w:r>
      <w:r w:rsidR="00725DDE">
        <w:t>t</w:t>
      </w:r>
      <w:r w:rsidR="00725DDE" w:rsidRPr="00821D60">
        <w:t xml:space="preserve">hese ideas </w:t>
      </w:r>
      <w:r w:rsidR="00725DDE">
        <w:t>we offer a</w:t>
      </w:r>
      <w:r w:rsidR="00725DDE" w:rsidRPr="00821D60">
        <w:t xml:space="preserve"> planning framework</w:t>
      </w:r>
      <w:r w:rsidR="00725DDE">
        <w:t xml:space="preserve"> that could be used to upgrade an existing portfolio approach or identify and prompt</w:t>
      </w:r>
      <w:r w:rsidR="00725DDE" w:rsidRPr="00821D60">
        <w:t xml:space="preserve"> decision points within a new portfolio</w:t>
      </w:r>
      <w:r w:rsidR="00725DDE">
        <w:t xml:space="preserve"> (</w:t>
      </w:r>
      <w:r w:rsidR="00D20766">
        <w:t xml:space="preserve">Table </w:t>
      </w:r>
      <w:r w:rsidR="00725DDE">
        <w:t>1).</w:t>
      </w:r>
      <w:r w:rsidR="001C1874">
        <w:t xml:space="preserve"> </w:t>
      </w:r>
      <w:r w:rsidR="001C1874" w:rsidRPr="00E9069E">
        <w:rPr>
          <w:lang w:val="en-AU"/>
        </w:rPr>
        <w:t xml:space="preserve">This has been developed from an ongoing evaluation of the design of a portfolio over the last </w:t>
      </w:r>
      <w:r w:rsidR="00FE6F27" w:rsidRPr="00E9069E">
        <w:rPr>
          <w:lang w:val="en-AU"/>
        </w:rPr>
        <w:t>seven</w:t>
      </w:r>
      <w:r w:rsidR="001C1874" w:rsidRPr="00E9069E">
        <w:rPr>
          <w:lang w:val="en-AU"/>
        </w:rPr>
        <w:t xml:space="preserve"> years in a program for health professionals.</w:t>
      </w:r>
    </w:p>
    <w:p w14:paraId="42D49E40" w14:textId="77777777" w:rsidR="006F12E0" w:rsidRDefault="006F12E0" w:rsidP="00332A93">
      <w:pPr>
        <w:pStyle w:val="Newparagraph"/>
      </w:pPr>
    </w:p>
    <w:p w14:paraId="1DB82543" w14:textId="77777777" w:rsidR="002F4AD1" w:rsidRPr="00332A93" w:rsidRDefault="002F4AD1" w:rsidP="00332A93">
      <w:pPr>
        <w:pStyle w:val="Tabletitle"/>
        <w:rPr>
          <w:sz w:val="20"/>
          <w:szCs w:val="20"/>
          <w:lang w:val="en-GB"/>
        </w:rPr>
      </w:pPr>
      <w:r w:rsidRPr="00332A93">
        <w:rPr>
          <w:sz w:val="20"/>
          <w:szCs w:val="20"/>
          <w:lang w:val="en-GB"/>
        </w:rPr>
        <w:t>Table 1. Planning framework for feedback and curation activities in a professional practice portfolio.</w:t>
      </w:r>
    </w:p>
    <w:tbl>
      <w:tblPr>
        <w:tblStyle w:val="TableGrid"/>
        <w:tblW w:w="9612" w:type="dxa"/>
        <w:tblLayout w:type="fixed"/>
        <w:tblLook w:val="04A0" w:firstRow="1" w:lastRow="0" w:firstColumn="1" w:lastColumn="0" w:noHBand="0" w:noVBand="1"/>
      </w:tblPr>
      <w:tblGrid>
        <w:gridCol w:w="1384"/>
        <w:gridCol w:w="1511"/>
        <w:gridCol w:w="1608"/>
        <w:gridCol w:w="1559"/>
        <w:gridCol w:w="1559"/>
        <w:gridCol w:w="1991"/>
      </w:tblGrid>
      <w:tr w:rsidR="002F4AD1" w:rsidRPr="00332A93" w14:paraId="1AA5E38E" w14:textId="77777777" w:rsidTr="002D484F">
        <w:tc>
          <w:tcPr>
            <w:tcW w:w="1384" w:type="dxa"/>
          </w:tcPr>
          <w:p w14:paraId="3C7A2B5F" w14:textId="77777777" w:rsidR="002F4AD1" w:rsidRPr="00332A93" w:rsidRDefault="002F4AD1" w:rsidP="00332A93">
            <w:pPr>
              <w:spacing w:before="120"/>
              <w:rPr>
                <w:rFonts w:ascii="Times New Roman" w:hAnsi="Times New Roman" w:cs="Times New Roman"/>
                <w:b/>
                <w:sz w:val="20"/>
                <w:szCs w:val="20"/>
                <w:lang w:val="en-GB"/>
              </w:rPr>
            </w:pPr>
            <w:r w:rsidRPr="00332A93">
              <w:rPr>
                <w:rFonts w:ascii="Times New Roman" w:hAnsi="Times New Roman" w:cs="Times New Roman"/>
                <w:b/>
                <w:sz w:val="20"/>
                <w:szCs w:val="20"/>
                <w:lang w:val="en-GB"/>
              </w:rPr>
              <w:t>Progress Trajectory</w:t>
            </w:r>
          </w:p>
        </w:tc>
        <w:tc>
          <w:tcPr>
            <w:tcW w:w="1511" w:type="dxa"/>
          </w:tcPr>
          <w:p w14:paraId="35DE9F8C" w14:textId="77777777" w:rsidR="002F4AD1" w:rsidRPr="00332A93" w:rsidRDefault="002F4AD1" w:rsidP="00332A93">
            <w:pPr>
              <w:pStyle w:val="APATableText"/>
              <w:rPr>
                <w:sz w:val="20"/>
                <w:szCs w:val="20"/>
                <w:lang w:val="en-GB" w:eastAsia="en-US"/>
              </w:rPr>
            </w:pPr>
            <w:r w:rsidRPr="00332A93">
              <w:rPr>
                <w:sz w:val="20"/>
                <w:szCs w:val="20"/>
                <w:lang w:val="en-GB" w:eastAsia="en-US"/>
              </w:rPr>
              <w:t>Orientation</w:t>
            </w:r>
          </w:p>
        </w:tc>
        <w:tc>
          <w:tcPr>
            <w:tcW w:w="1608" w:type="dxa"/>
          </w:tcPr>
          <w:p w14:paraId="389B9500" w14:textId="77777777" w:rsidR="002F4AD1" w:rsidRPr="00332A93" w:rsidRDefault="002F4AD1" w:rsidP="00332A93">
            <w:pPr>
              <w:pStyle w:val="APATableText"/>
              <w:rPr>
                <w:sz w:val="20"/>
                <w:szCs w:val="20"/>
                <w:lang w:val="en-GB" w:eastAsia="en-US"/>
              </w:rPr>
            </w:pPr>
            <w:r w:rsidRPr="00332A93">
              <w:rPr>
                <w:sz w:val="20"/>
                <w:szCs w:val="20"/>
                <w:lang w:val="en-GB" w:eastAsia="en-US"/>
              </w:rPr>
              <w:t xml:space="preserve">Novice </w:t>
            </w:r>
          </w:p>
        </w:tc>
        <w:tc>
          <w:tcPr>
            <w:tcW w:w="1559" w:type="dxa"/>
          </w:tcPr>
          <w:p w14:paraId="43B0045B" w14:textId="77777777" w:rsidR="002F4AD1" w:rsidRPr="00332A93" w:rsidRDefault="002F4AD1" w:rsidP="00332A93">
            <w:pPr>
              <w:pStyle w:val="APATableText"/>
              <w:rPr>
                <w:sz w:val="20"/>
                <w:szCs w:val="20"/>
                <w:lang w:val="en-GB" w:eastAsia="en-US"/>
              </w:rPr>
            </w:pPr>
            <w:r w:rsidRPr="00332A93">
              <w:rPr>
                <w:sz w:val="20"/>
                <w:szCs w:val="20"/>
                <w:lang w:val="en-GB" w:eastAsia="en-US"/>
              </w:rPr>
              <w:t>Advanced Beginner</w:t>
            </w:r>
          </w:p>
        </w:tc>
        <w:tc>
          <w:tcPr>
            <w:tcW w:w="1559" w:type="dxa"/>
          </w:tcPr>
          <w:p w14:paraId="52A3EB5A" w14:textId="77777777" w:rsidR="002F4AD1" w:rsidRPr="00332A93" w:rsidRDefault="002F4AD1" w:rsidP="00332A93">
            <w:pPr>
              <w:pStyle w:val="APATableText"/>
              <w:rPr>
                <w:sz w:val="20"/>
                <w:szCs w:val="20"/>
                <w:lang w:val="en-GB" w:eastAsia="en-US"/>
              </w:rPr>
            </w:pPr>
            <w:r w:rsidRPr="00332A93">
              <w:rPr>
                <w:sz w:val="20"/>
                <w:szCs w:val="20"/>
                <w:lang w:val="en-GB" w:eastAsia="en-US"/>
              </w:rPr>
              <w:t>Approaching Competence</w:t>
            </w:r>
          </w:p>
        </w:tc>
        <w:tc>
          <w:tcPr>
            <w:tcW w:w="1991" w:type="dxa"/>
          </w:tcPr>
          <w:p w14:paraId="7588C2CB" w14:textId="77777777" w:rsidR="002F4AD1" w:rsidRPr="00332A93" w:rsidRDefault="002F4AD1" w:rsidP="00332A93">
            <w:pPr>
              <w:pStyle w:val="APATableText"/>
              <w:rPr>
                <w:sz w:val="20"/>
                <w:szCs w:val="20"/>
                <w:lang w:val="en-GB" w:eastAsia="en-US"/>
              </w:rPr>
            </w:pPr>
            <w:r w:rsidRPr="00332A93">
              <w:rPr>
                <w:sz w:val="20"/>
                <w:szCs w:val="20"/>
                <w:lang w:val="en-GB" w:eastAsia="en-US"/>
              </w:rPr>
              <w:t>Graduation / Entry to Profession</w:t>
            </w:r>
          </w:p>
        </w:tc>
      </w:tr>
      <w:tr w:rsidR="002F4AD1" w:rsidRPr="00332A93" w14:paraId="392129F5" w14:textId="77777777" w:rsidTr="002D484F">
        <w:tc>
          <w:tcPr>
            <w:tcW w:w="1384" w:type="dxa"/>
          </w:tcPr>
          <w:p w14:paraId="69177129" w14:textId="77777777" w:rsidR="002F4AD1" w:rsidRPr="00332A93" w:rsidRDefault="002F4AD1" w:rsidP="00332A93">
            <w:pPr>
              <w:spacing w:before="120"/>
              <w:rPr>
                <w:rFonts w:ascii="Times New Roman" w:hAnsi="Times New Roman" w:cs="Times New Roman"/>
                <w:b/>
                <w:sz w:val="20"/>
                <w:szCs w:val="20"/>
                <w:lang w:val="en-GB"/>
              </w:rPr>
            </w:pPr>
            <w:r w:rsidRPr="00332A93">
              <w:rPr>
                <w:rFonts w:ascii="Times New Roman" w:hAnsi="Times New Roman" w:cs="Times New Roman"/>
                <w:b/>
                <w:sz w:val="20"/>
                <w:szCs w:val="20"/>
                <w:lang w:val="en-GB"/>
              </w:rPr>
              <w:t>Pedagogic Intentions</w:t>
            </w:r>
          </w:p>
        </w:tc>
        <w:tc>
          <w:tcPr>
            <w:tcW w:w="1511" w:type="dxa"/>
          </w:tcPr>
          <w:p w14:paraId="435D2309" w14:textId="77777777" w:rsidR="002F4AD1" w:rsidRPr="00332A93" w:rsidRDefault="002F4AD1" w:rsidP="00332A93">
            <w:pPr>
              <w:pStyle w:val="APATableText"/>
              <w:rPr>
                <w:sz w:val="20"/>
                <w:szCs w:val="20"/>
                <w:lang w:val="en-GB" w:eastAsia="en-US"/>
              </w:rPr>
            </w:pPr>
            <w:r w:rsidRPr="00332A93">
              <w:rPr>
                <w:sz w:val="20"/>
                <w:szCs w:val="20"/>
                <w:lang w:val="en-GB" w:eastAsia="en-US"/>
              </w:rPr>
              <w:t xml:space="preserve">Transition to HE/ orientation / early and frequent engagement </w:t>
            </w:r>
          </w:p>
        </w:tc>
        <w:tc>
          <w:tcPr>
            <w:tcW w:w="1608" w:type="dxa"/>
          </w:tcPr>
          <w:p w14:paraId="6715F4BF" w14:textId="77777777" w:rsidR="002F4AD1" w:rsidRPr="00332A93" w:rsidRDefault="002F4AD1" w:rsidP="00332A93">
            <w:pPr>
              <w:pStyle w:val="APATableText"/>
              <w:rPr>
                <w:sz w:val="20"/>
                <w:szCs w:val="20"/>
                <w:lang w:val="en-GB" w:eastAsia="en-US"/>
              </w:rPr>
            </w:pPr>
            <w:r w:rsidRPr="00332A93">
              <w:rPr>
                <w:sz w:val="20"/>
                <w:szCs w:val="20"/>
                <w:lang w:val="en-GB" w:eastAsia="en-US"/>
              </w:rPr>
              <w:t>Learning / understand and work with criteria and standards</w:t>
            </w:r>
          </w:p>
        </w:tc>
        <w:tc>
          <w:tcPr>
            <w:tcW w:w="1559" w:type="dxa"/>
          </w:tcPr>
          <w:p w14:paraId="505B337B" w14:textId="77777777" w:rsidR="002F4AD1" w:rsidRPr="00332A93" w:rsidRDefault="002F4AD1" w:rsidP="00332A93">
            <w:pPr>
              <w:pStyle w:val="APATableText"/>
              <w:rPr>
                <w:sz w:val="20"/>
                <w:szCs w:val="20"/>
                <w:lang w:val="en-GB" w:eastAsia="en-US"/>
              </w:rPr>
            </w:pPr>
            <w:r w:rsidRPr="00332A93">
              <w:rPr>
                <w:sz w:val="20"/>
                <w:szCs w:val="20"/>
                <w:lang w:val="en-GB" w:eastAsia="en-US"/>
              </w:rPr>
              <w:t>Learning / starting to meet criteria /standards / early competence</w:t>
            </w:r>
          </w:p>
        </w:tc>
        <w:tc>
          <w:tcPr>
            <w:tcW w:w="1559" w:type="dxa"/>
          </w:tcPr>
          <w:p w14:paraId="55D2C555" w14:textId="77777777" w:rsidR="002F4AD1" w:rsidRPr="00332A93" w:rsidRDefault="002F4AD1" w:rsidP="00332A93">
            <w:pPr>
              <w:pStyle w:val="APATableText"/>
              <w:rPr>
                <w:sz w:val="20"/>
                <w:szCs w:val="20"/>
                <w:lang w:val="en-GB" w:eastAsia="en-US"/>
              </w:rPr>
            </w:pPr>
            <w:r w:rsidRPr="00332A93">
              <w:rPr>
                <w:sz w:val="20"/>
                <w:szCs w:val="20"/>
                <w:lang w:val="en-GB" w:eastAsia="en-US"/>
              </w:rPr>
              <w:t>Learning/ demonstrate standards / increasing competence/ emerging professional capabilities</w:t>
            </w:r>
          </w:p>
        </w:tc>
        <w:tc>
          <w:tcPr>
            <w:tcW w:w="1991" w:type="dxa"/>
          </w:tcPr>
          <w:p w14:paraId="11E92AF1" w14:textId="77777777" w:rsidR="002F4AD1" w:rsidRPr="00332A93" w:rsidRDefault="002F4AD1" w:rsidP="00332A93">
            <w:pPr>
              <w:pStyle w:val="APATableText"/>
              <w:rPr>
                <w:sz w:val="20"/>
                <w:szCs w:val="20"/>
                <w:lang w:val="en-GB" w:eastAsia="en-US"/>
              </w:rPr>
            </w:pPr>
            <w:r w:rsidRPr="00332A93">
              <w:rPr>
                <w:sz w:val="20"/>
                <w:szCs w:val="20"/>
                <w:lang w:val="en-GB" w:eastAsia="en-US"/>
              </w:rPr>
              <w:t>Summative evidence / standards met / competencies met / employability / longer-term learning</w:t>
            </w:r>
          </w:p>
        </w:tc>
      </w:tr>
      <w:tr w:rsidR="002F4AD1" w:rsidRPr="00332A93" w14:paraId="595F51F6" w14:textId="77777777" w:rsidTr="002D484F">
        <w:tc>
          <w:tcPr>
            <w:tcW w:w="1384" w:type="dxa"/>
          </w:tcPr>
          <w:p w14:paraId="48535DA4" w14:textId="77777777" w:rsidR="002F4AD1" w:rsidRPr="00332A93" w:rsidRDefault="002F4AD1" w:rsidP="00332A93">
            <w:pPr>
              <w:spacing w:before="120"/>
              <w:rPr>
                <w:rFonts w:ascii="Times New Roman" w:hAnsi="Times New Roman" w:cs="Times New Roman"/>
                <w:b/>
                <w:sz w:val="20"/>
                <w:szCs w:val="20"/>
                <w:lang w:val="en-GB"/>
              </w:rPr>
            </w:pPr>
            <w:r w:rsidRPr="00332A93">
              <w:rPr>
                <w:rFonts w:ascii="Times New Roman" w:hAnsi="Times New Roman" w:cs="Times New Roman"/>
                <w:b/>
                <w:sz w:val="20"/>
                <w:szCs w:val="20"/>
                <w:lang w:val="en-GB"/>
              </w:rPr>
              <w:t>Portfolio tasks</w:t>
            </w:r>
          </w:p>
          <w:p w14:paraId="413C3AEA" w14:textId="77777777" w:rsidR="002F4AD1" w:rsidRPr="00332A93" w:rsidRDefault="002F4AD1" w:rsidP="00332A93">
            <w:pPr>
              <w:spacing w:before="120"/>
              <w:rPr>
                <w:rFonts w:ascii="Times New Roman" w:hAnsi="Times New Roman" w:cs="Times New Roman"/>
                <w:b/>
                <w:sz w:val="20"/>
                <w:szCs w:val="20"/>
                <w:lang w:val="en-GB"/>
              </w:rPr>
            </w:pPr>
          </w:p>
        </w:tc>
        <w:tc>
          <w:tcPr>
            <w:tcW w:w="1511" w:type="dxa"/>
          </w:tcPr>
          <w:p w14:paraId="3EACF0C9" w14:textId="77777777" w:rsidR="002F4AD1" w:rsidRPr="00332A93" w:rsidRDefault="002F4AD1" w:rsidP="00332A93">
            <w:pPr>
              <w:pStyle w:val="APATableText"/>
              <w:rPr>
                <w:sz w:val="20"/>
                <w:szCs w:val="20"/>
                <w:lang w:val="en-GB" w:eastAsia="en-US"/>
              </w:rPr>
            </w:pPr>
            <w:r w:rsidRPr="00332A93">
              <w:rPr>
                <w:sz w:val="20"/>
                <w:szCs w:val="20"/>
                <w:lang w:val="en-GB" w:eastAsia="en-US"/>
              </w:rPr>
              <w:t xml:space="preserve">Portfolio Induction / Exemplars / Introductory activities </w:t>
            </w:r>
          </w:p>
        </w:tc>
        <w:tc>
          <w:tcPr>
            <w:tcW w:w="1608" w:type="dxa"/>
          </w:tcPr>
          <w:p w14:paraId="0B9E1754" w14:textId="77777777" w:rsidR="002F4AD1" w:rsidRPr="00332A93" w:rsidRDefault="002F4AD1" w:rsidP="00332A93">
            <w:pPr>
              <w:pStyle w:val="APATableText"/>
              <w:rPr>
                <w:sz w:val="20"/>
                <w:szCs w:val="20"/>
                <w:lang w:val="en-GB" w:eastAsia="en-US"/>
              </w:rPr>
            </w:pPr>
            <w:r w:rsidRPr="00332A93">
              <w:rPr>
                <w:sz w:val="20"/>
                <w:szCs w:val="20"/>
                <w:lang w:val="en-GB" w:eastAsia="en-US"/>
              </w:rPr>
              <w:t xml:space="preserve">Continuous portfolio tasks. All activities have a place in the portfolio. </w:t>
            </w:r>
          </w:p>
        </w:tc>
        <w:tc>
          <w:tcPr>
            <w:tcW w:w="1559" w:type="dxa"/>
          </w:tcPr>
          <w:p w14:paraId="4AF1AFDB" w14:textId="77777777" w:rsidR="002F4AD1" w:rsidRPr="00332A93" w:rsidRDefault="002F4AD1" w:rsidP="00332A93">
            <w:pPr>
              <w:pStyle w:val="APATableText"/>
              <w:rPr>
                <w:sz w:val="20"/>
                <w:szCs w:val="20"/>
                <w:lang w:val="en-GB" w:eastAsia="en-US"/>
              </w:rPr>
            </w:pPr>
            <w:r w:rsidRPr="00332A93">
              <w:rPr>
                <w:sz w:val="20"/>
                <w:szCs w:val="20"/>
                <w:lang w:val="en-GB" w:eastAsia="en-US"/>
              </w:rPr>
              <w:t>Foster learning skills e.g. reflection, self-assessment</w:t>
            </w:r>
          </w:p>
        </w:tc>
        <w:tc>
          <w:tcPr>
            <w:tcW w:w="1559" w:type="dxa"/>
          </w:tcPr>
          <w:p w14:paraId="34F44332" w14:textId="77777777" w:rsidR="002F4AD1" w:rsidRPr="00332A93" w:rsidRDefault="002F4AD1" w:rsidP="00332A93">
            <w:pPr>
              <w:pStyle w:val="APATableText"/>
              <w:rPr>
                <w:sz w:val="20"/>
                <w:szCs w:val="20"/>
                <w:lang w:val="en-GB" w:eastAsia="en-US"/>
              </w:rPr>
            </w:pPr>
            <w:r w:rsidRPr="00332A93">
              <w:rPr>
                <w:sz w:val="20"/>
                <w:szCs w:val="20"/>
                <w:lang w:val="en-GB" w:eastAsia="en-US"/>
              </w:rPr>
              <w:t xml:space="preserve">Focus on self-management, professional and learning competencies </w:t>
            </w:r>
          </w:p>
        </w:tc>
        <w:tc>
          <w:tcPr>
            <w:tcW w:w="1991" w:type="dxa"/>
          </w:tcPr>
          <w:p w14:paraId="19C29874" w14:textId="77777777" w:rsidR="002F4AD1" w:rsidRPr="00332A93" w:rsidRDefault="002F4AD1" w:rsidP="00332A93">
            <w:pPr>
              <w:pStyle w:val="APATableText"/>
              <w:rPr>
                <w:sz w:val="20"/>
                <w:szCs w:val="20"/>
                <w:lang w:val="en-GB" w:eastAsia="en-US"/>
              </w:rPr>
            </w:pPr>
            <w:r w:rsidRPr="00332A93">
              <w:rPr>
                <w:sz w:val="20"/>
                <w:szCs w:val="20"/>
                <w:lang w:val="en-GB" w:eastAsia="en-US"/>
              </w:rPr>
              <w:t xml:space="preserve">Preparing / displaying / fine-tuning summative evidence </w:t>
            </w:r>
          </w:p>
        </w:tc>
      </w:tr>
      <w:tr w:rsidR="002F4AD1" w:rsidRPr="00332A93" w14:paraId="2F71F537" w14:textId="77777777" w:rsidTr="002D484F">
        <w:tc>
          <w:tcPr>
            <w:tcW w:w="1384" w:type="dxa"/>
            <w:tcBorders>
              <w:bottom w:val="single" w:sz="4" w:space="0" w:color="000000" w:themeColor="text1"/>
            </w:tcBorders>
          </w:tcPr>
          <w:p w14:paraId="38D83092" w14:textId="77777777" w:rsidR="002F4AD1" w:rsidRPr="00332A93" w:rsidRDefault="002F4AD1" w:rsidP="00332A93">
            <w:pPr>
              <w:spacing w:before="120"/>
              <w:rPr>
                <w:rFonts w:ascii="Times New Roman" w:hAnsi="Times New Roman" w:cs="Times New Roman"/>
                <w:b/>
                <w:sz w:val="20"/>
                <w:szCs w:val="20"/>
                <w:lang w:val="en-GB"/>
              </w:rPr>
            </w:pPr>
            <w:r w:rsidRPr="00332A93">
              <w:rPr>
                <w:rFonts w:ascii="Times New Roman" w:hAnsi="Times New Roman" w:cs="Times New Roman"/>
                <w:b/>
                <w:sz w:val="20"/>
                <w:szCs w:val="20"/>
                <w:lang w:val="en-GB"/>
              </w:rPr>
              <w:t>Curation for feedback</w:t>
            </w:r>
          </w:p>
        </w:tc>
        <w:tc>
          <w:tcPr>
            <w:tcW w:w="1511" w:type="dxa"/>
            <w:tcBorders>
              <w:bottom w:val="single" w:sz="4" w:space="0" w:color="000000" w:themeColor="text1"/>
            </w:tcBorders>
          </w:tcPr>
          <w:p w14:paraId="58CC2196" w14:textId="77777777" w:rsidR="002F4AD1" w:rsidRPr="00332A93" w:rsidRDefault="002F4AD1" w:rsidP="00332A93">
            <w:pPr>
              <w:pStyle w:val="APATableText"/>
              <w:rPr>
                <w:sz w:val="20"/>
                <w:szCs w:val="20"/>
                <w:lang w:val="en-GB" w:eastAsia="en-US"/>
              </w:rPr>
            </w:pPr>
            <w:r w:rsidRPr="00332A93">
              <w:rPr>
                <w:sz w:val="20"/>
                <w:szCs w:val="20"/>
                <w:lang w:val="en-GB" w:eastAsia="en-US"/>
              </w:rPr>
              <w:t>Introduce and practice curation of portfolio content. Introduce and practice giving, receiving and implementing feedback</w:t>
            </w:r>
          </w:p>
        </w:tc>
        <w:tc>
          <w:tcPr>
            <w:tcW w:w="1608" w:type="dxa"/>
            <w:tcBorders>
              <w:bottom w:val="single" w:sz="4" w:space="0" w:color="000000" w:themeColor="text1"/>
            </w:tcBorders>
          </w:tcPr>
          <w:p w14:paraId="2A315B73" w14:textId="77777777" w:rsidR="002F4AD1" w:rsidRPr="00332A93" w:rsidRDefault="002F4AD1" w:rsidP="00332A93">
            <w:pPr>
              <w:pStyle w:val="APATableText"/>
              <w:rPr>
                <w:sz w:val="20"/>
                <w:szCs w:val="20"/>
                <w:lang w:val="en-GB" w:eastAsia="en-US"/>
              </w:rPr>
            </w:pPr>
            <w:r w:rsidRPr="00332A93">
              <w:rPr>
                <w:sz w:val="20"/>
                <w:szCs w:val="20"/>
                <w:lang w:val="en-GB" w:eastAsia="en-US"/>
              </w:rPr>
              <w:t>Familiarisation with curation, making curatorial commentaries. Students begin to engage with feedback comments and responses</w:t>
            </w:r>
          </w:p>
          <w:p w14:paraId="428E0A18" w14:textId="77777777" w:rsidR="002F4AD1" w:rsidRPr="00332A93" w:rsidRDefault="002F4AD1" w:rsidP="00332A93">
            <w:pPr>
              <w:pStyle w:val="APATableText"/>
              <w:rPr>
                <w:sz w:val="20"/>
                <w:szCs w:val="20"/>
                <w:lang w:val="en-GB" w:eastAsia="en-US"/>
              </w:rPr>
            </w:pPr>
          </w:p>
        </w:tc>
        <w:tc>
          <w:tcPr>
            <w:tcW w:w="1559" w:type="dxa"/>
            <w:tcBorders>
              <w:bottom w:val="single" w:sz="4" w:space="0" w:color="000000" w:themeColor="text1"/>
            </w:tcBorders>
          </w:tcPr>
          <w:p w14:paraId="5E2600DA" w14:textId="77777777" w:rsidR="002F4AD1" w:rsidRPr="00332A93" w:rsidRDefault="002F4AD1" w:rsidP="00332A93">
            <w:pPr>
              <w:pStyle w:val="APATableText"/>
              <w:rPr>
                <w:sz w:val="20"/>
                <w:szCs w:val="20"/>
                <w:lang w:val="en-GB" w:eastAsia="en-US"/>
              </w:rPr>
            </w:pPr>
            <w:r w:rsidRPr="00332A93">
              <w:rPr>
                <w:sz w:val="20"/>
                <w:szCs w:val="20"/>
                <w:lang w:val="en-GB" w:eastAsia="en-US"/>
              </w:rPr>
              <w:t>Curation for feedback increasingly introduced. Students discover for self and others what is known and not known. Curation for feedback increasingly challenging against criteria, standards and/or self-assessment.</w:t>
            </w:r>
          </w:p>
        </w:tc>
        <w:tc>
          <w:tcPr>
            <w:tcW w:w="1559" w:type="dxa"/>
            <w:tcBorders>
              <w:bottom w:val="single" w:sz="4" w:space="0" w:color="000000" w:themeColor="text1"/>
            </w:tcBorders>
          </w:tcPr>
          <w:p w14:paraId="72FB85A2" w14:textId="77777777" w:rsidR="002F4AD1" w:rsidRPr="00332A93" w:rsidRDefault="002F4AD1" w:rsidP="00332A93">
            <w:pPr>
              <w:pStyle w:val="APATableText"/>
              <w:rPr>
                <w:sz w:val="20"/>
                <w:szCs w:val="20"/>
                <w:lang w:val="en-GB" w:eastAsia="en-US"/>
              </w:rPr>
            </w:pPr>
            <w:r w:rsidRPr="00332A93">
              <w:rPr>
                <w:sz w:val="20"/>
                <w:szCs w:val="20"/>
                <w:lang w:val="en-GB" w:eastAsia="en-US"/>
              </w:rPr>
              <w:t>Increasingly curation becomes summative / for public portrayal of competencies and learning. Feedback communications become increasingly sophisticated and responsive</w:t>
            </w:r>
          </w:p>
        </w:tc>
        <w:tc>
          <w:tcPr>
            <w:tcW w:w="1991" w:type="dxa"/>
            <w:tcBorders>
              <w:bottom w:val="single" w:sz="4" w:space="0" w:color="000000" w:themeColor="text1"/>
            </w:tcBorders>
          </w:tcPr>
          <w:p w14:paraId="36427AE8" w14:textId="77777777" w:rsidR="002F4AD1" w:rsidRPr="00332A93" w:rsidRDefault="002F4AD1" w:rsidP="00332A93">
            <w:pPr>
              <w:pStyle w:val="APATableText"/>
              <w:rPr>
                <w:sz w:val="20"/>
                <w:szCs w:val="20"/>
                <w:lang w:val="en-GB" w:eastAsia="en-US"/>
              </w:rPr>
            </w:pPr>
            <w:r w:rsidRPr="00332A93">
              <w:rPr>
                <w:sz w:val="20"/>
                <w:szCs w:val="20"/>
                <w:lang w:val="en-GB" w:eastAsia="en-US"/>
              </w:rPr>
              <w:t>Curation for feedback in preparation for employment. When refined, can be made public. Feedback can be in relation to standards, competencies, employer expectations, or other summative reasons. Reflection on the value of feedback is evident in summative products</w:t>
            </w:r>
          </w:p>
        </w:tc>
      </w:tr>
    </w:tbl>
    <w:p w14:paraId="784DCDF3" w14:textId="77777777" w:rsidR="002F4AD1" w:rsidRDefault="002F4AD1" w:rsidP="00332A93">
      <w:pPr>
        <w:pStyle w:val="Newparagraph"/>
      </w:pPr>
    </w:p>
    <w:p w14:paraId="3B23517C" w14:textId="77777777" w:rsidR="006F12E0" w:rsidRPr="006F12E0" w:rsidRDefault="006F12E0" w:rsidP="00332A93">
      <w:pPr>
        <w:pStyle w:val="Newparagraph"/>
        <w:spacing w:line="240" w:lineRule="atLeast"/>
        <w:ind w:firstLine="0"/>
        <w:rPr>
          <w:b/>
        </w:rPr>
      </w:pPr>
      <w:r w:rsidRPr="006F12E0">
        <w:rPr>
          <w:b/>
        </w:rPr>
        <w:t>Planning framework</w:t>
      </w:r>
    </w:p>
    <w:p w14:paraId="54F9C8B4" w14:textId="77777777" w:rsidR="00725DDE" w:rsidRDefault="00725DDE" w:rsidP="00332A93">
      <w:pPr>
        <w:pStyle w:val="Newparagraph"/>
        <w:spacing w:line="240" w:lineRule="atLeast"/>
        <w:ind w:firstLine="0"/>
      </w:pPr>
      <w:r>
        <w:t xml:space="preserve">Our planning framework sees students moving through a trajectory of progressive stages (we use the term ‘progress’ in the top row of </w:t>
      </w:r>
      <w:r w:rsidR="00D20766">
        <w:t xml:space="preserve">Table </w:t>
      </w:r>
      <w:r>
        <w:t xml:space="preserve">1), starting at the commencement of their program with orientation, through to novice, advanced beginner, approaching competence, and finally graduation. At each stage, the overarching pedagogical intentions for learning are outlined, the portfolio tasks to facilitate this described, and opportunities to include curation for feedback are outlined. </w:t>
      </w:r>
    </w:p>
    <w:p w14:paraId="0D95863F" w14:textId="77777777" w:rsidR="00725DDE" w:rsidRDefault="006F12E0" w:rsidP="00332A93">
      <w:pPr>
        <w:pStyle w:val="Paragraph"/>
        <w:spacing w:line="240" w:lineRule="atLeast"/>
      </w:pPr>
      <w:r>
        <w:tab/>
      </w:r>
      <w:r w:rsidR="00725DDE">
        <w:t>At the commencement of most programs, pedagogical intentions include facilitating the transition to university, providing orientation and promoting early engagement. This</w:t>
      </w:r>
      <w:r w:rsidR="00725DDE" w:rsidRPr="00821D60">
        <w:t xml:space="preserve"> </w:t>
      </w:r>
      <w:r w:rsidR="00725DDE">
        <w:t>corresponds to an</w:t>
      </w:r>
      <w:r w:rsidR="00725DDE" w:rsidRPr="00821D60">
        <w:t xml:space="preserve"> in</w:t>
      </w:r>
      <w:r w:rsidR="00725DDE">
        <w:t>tro</w:t>
      </w:r>
      <w:r w:rsidR="00725DDE" w:rsidRPr="00821D60">
        <w:t xml:space="preserve">duction to the portfolio </w:t>
      </w:r>
      <w:r w:rsidR="00725DDE">
        <w:t>as an activity with</w:t>
      </w:r>
      <w:r w:rsidR="00725DDE" w:rsidRPr="00821D60">
        <w:t>i</w:t>
      </w:r>
      <w:r w:rsidR="00725DDE">
        <w:t xml:space="preserve">n the orientation program or an appropriate commencing </w:t>
      </w:r>
      <w:r w:rsidR="00FE6F27">
        <w:t>course unit</w:t>
      </w:r>
      <w:r w:rsidR="00725DDE">
        <w:t xml:space="preserve">. Careful induction of the student in the portfolio processes is vital </w:t>
      </w:r>
      <w:r w:rsidR="00725DDE">
        <w:rPr>
          <w:noProof/>
        </w:rPr>
        <w:t>(Van Tartwijk, Driessen, Van der Vleuten, &amp; Stokking, 2007)</w:t>
      </w:r>
      <w:r w:rsidR="00725DDE">
        <w:t xml:space="preserve"> and involves early and frequent introductory portfolio tasks that promote engagement while waiting for the first coursework assignment(s) to start. Subsequently, increasingly challenging portfolio tasks are </w:t>
      </w:r>
      <w:r w:rsidR="00FE6F27">
        <w:t>scheduled</w:t>
      </w:r>
      <w:r w:rsidR="00725DDE">
        <w:t xml:space="preserve"> throughout the </w:t>
      </w:r>
      <w:r w:rsidR="00F000B4">
        <w:t>program</w:t>
      </w:r>
      <w:r w:rsidR="00725DDE">
        <w:t>, with consistent support</w:t>
      </w:r>
      <w:r w:rsidR="00797226">
        <w:t xml:space="preserve"> at the appropriate level</w:t>
      </w:r>
      <w:r w:rsidR="00725DDE">
        <w:t xml:space="preserve">. </w:t>
      </w:r>
    </w:p>
    <w:p w14:paraId="3C4BE518" w14:textId="77777777" w:rsidR="00725DDE" w:rsidRDefault="00725DDE" w:rsidP="00332A93">
      <w:pPr>
        <w:pStyle w:val="Newparagraph"/>
        <w:spacing w:line="240" w:lineRule="atLeast"/>
      </w:pPr>
      <w:r>
        <w:t xml:space="preserve">As students progress through each stage, the intent is to develop academic learning, engage students with criteria and standards and facilitate increasingly challenging professional competencies and capabilities. The portfolio </w:t>
      </w:r>
      <w:r w:rsidRPr="00821D60">
        <w:t xml:space="preserve">tasks provide </w:t>
      </w:r>
      <w:r>
        <w:t xml:space="preserve">regular </w:t>
      </w:r>
      <w:r w:rsidRPr="00821D60">
        <w:t>oppor</w:t>
      </w:r>
      <w:r>
        <w:t>tunities for active learning,</w:t>
      </w:r>
      <w:r w:rsidRPr="00821D60">
        <w:t xml:space="preserve"> participation</w:t>
      </w:r>
      <w:r>
        <w:t xml:space="preserve">, and reflections to go into the repository, and feedback to contribute to the feedback stream. Students are taught to curate their artefacts, practice this often and for multiple purposes, and increasingly demonstrate their abilities of self-management and consolidation. </w:t>
      </w:r>
    </w:p>
    <w:p w14:paraId="46A0AB20" w14:textId="77777777" w:rsidR="00546723" w:rsidRDefault="00725DDE" w:rsidP="00332A93">
      <w:pPr>
        <w:pStyle w:val="Newparagraph"/>
        <w:spacing w:line="240" w:lineRule="atLeast"/>
      </w:pPr>
      <w:r>
        <w:t xml:space="preserve">In the latter stages portfolio tasks encourage students to </w:t>
      </w:r>
      <w:r w:rsidR="00023CF3">
        <w:t xml:space="preserve">progressively </w:t>
      </w:r>
      <w:r>
        <w:t xml:space="preserve">demonstrate </w:t>
      </w:r>
      <w:r w:rsidRPr="00821D60">
        <w:t xml:space="preserve">well-developed </w:t>
      </w:r>
      <w:r>
        <w:t xml:space="preserve">professional and learning competencies that will carry them </w:t>
      </w:r>
      <w:r w:rsidRPr="00821D60">
        <w:t xml:space="preserve">into practice and continuing </w:t>
      </w:r>
      <w:r>
        <w:t xml:space="preserve">professional </w:t>
      </w:r>
      <w:r w:rsidRPr="00821D60">
        <w:t>learning</w:t>
      </w:r>
      <w:r w:rsidR="00023CF3">
        <w:t>, with the final stage reflecting achievement, as outlined.</w:t>
      </w:r>
      <w:r w:rsidRPr="00821D60">
        <w:t xml:space="preserve"> </w:t>
      </w:r>
      <w:r>
        <w:t>It should be n</w:t>
      </w:r>
      <w:r w:rsidRPr="00821D60">
        <w:t>ote</w:t>
      </w:r>
      <w:r>
        <w:t>d</w:t>
      </w:r>
      <w:r w:rsidRPr="00821D60">
        <w:t xml:space="preserve"> that although </w:t>
      </w:r>
      <w:r>
        <w:t xml:space="preserve">progress </w:t>
      </w:r>
      <w:r w:rsidR="00797226">
        <w:t xml:space="preserve">(in </w:t>
      </w:r>
      <w:r w:rsidR="00E75D2C">
        <w:t>Table</w:t>
      </w:r>
      <w:r w:rsidR="00797226">
        <w:t xml:space="preserve"> 1) </w:t>
      </w:r>
      <w:r>
        <w:t xml:space="preserve">is depicted linearly it </w:t>
      </w:r>
      <w:r w:rsidRPr="00821D60">
        <w:t>may be</w:t>
      </w:r>
      <w:r>
        <w:t xml:space="preserve"> otherwise</w:t>
      </w:r>
      <w:r w:rsidRPr="00821D60">
        <w:t>, and the number of stages could be reduced</w:t>
      </w:r>
      <w:r>
        <w:t xml:space="preserve"> or increased. Further, despite being </w:t>
      </w:r>
      <w:r w:rsidR="00FE6F27">
        <w:t>later</w:t>
      </w:r>
      <w:r>
        <w:t xml:space="preserve"> in the program,</w:t>
      </w:r>
      <w:r w:rsidRPr="00821D60">
        <w:t xml:space="preserve"> a difficult topic might </w:t>
      </w:r>
      <w:r w:rsidR="00023CF3">
        <w:t>be considered at a lower level</w:t>
      </w:r>
      <w:r>
        <w:t xml:space="preserve"> if</w:t>
      </w:r>
      <w:r w:rsidRPr="00821D60">
        <w:t xml:space="preserve"> it builds on a number of previously developed skills. </w:t>
      </w:r>
    </w:p>
    <w:p w14:paraId="1CD1C990" w14:textId="77777777" w:rsidR="00310AB6" w:rsidRPr="00310AB6" w:rsidRDefault="00310AB6" w:rsidP="00332A93">
      <w:pPr>
        <w:pStyle w:val="Newparagraph"/>
        <w:spacing w:line="240" w:lineRule="atLeast"/>
      </w:pPr>
      <w:r w:rsidRPr="00310AB6">
        <w:t xml:space="preserve">Two functions of our portfolio conceptualisation require further consideration: feedback and </w:t>
      </w:r>
      <w:r w:rsidR="00AC4D87" w:rsidRPr="00310AB6">
        <w:t>its</w:t>
      </w:r>
      <w:r w:rsidRPr="00310AB6">
        <w:t xml:space="preserve"> development through the portfolio, and curating collections for </w:t>
      </w:r>
      <w:r w:rsidR="00FE6F27">
        <w:t>various purposes</w:t>
      </w:r>
      <w:r w:rsidRPr="00310AB6">
        <w:t xml:space="preserve">. </w:t>
      </w:r>
    </w:p>
    <w:p w14:paraId="2A1D57B7" w14:textId="77777777" w:rsidR="006F12E0" w:rsidRDefault="006F12E0" w:rsidP="00332A93">
      <w:pPr>
        <w:pStyle w:val="Newparagraph"/>
        <w:spacing w:line="240" w:lineRule="atLeast"/>
        <w:ind w:firstLine="0"/>
      </w:pPr>
    </w:p>
    <w:p w14:paraId="42BAC9F1" w14:textId="77777777" w:rsidR="006F12E0" w:rsidRPr="006F12E0" w:rsidRDefault="006F12E0" w:rsidP="00332A93">
      <w:pPr>
        <w:pStyle w:val="Newparagraph"/>
        <w:spacing w:line="240" w:lineRule="atLeast"/>
        <w:ind w:firstLine="0"/>
        <w:rPr>
          <w:b/>
        </w:rPr>
      </w:pPr>
      <w:r w:rsidRPr="006F12E0">
        <w:rPr>
          <w:b/>
        </w:rPr>
        <w:t>Feedback</w:t>
      </w:r>
    </w:p>
    <w:p w14:paraId="12E200D0" w14:textId="77777777" w:rsidR="00310AB6" w:rsidRPr="00821D60" w:rsidRDefault="00310AB6" w:rsidP="00332A93">
      <w:pPr>
        <w:pStyle w:val="Newparagraph"/>
        <w:spacing w:line="240" w:lineRule="atLeast"/>
        <w:ind w:firstLine="0"/>
      </w:pPr>
      <w:r>
        <w:t>Feedback</w:t>
      </w:r>
      <w:r w:rsidR="00FE6F27">
        <w:t xml:space="preserve"> processes</w:t>
      </w:r>
      <w:r>
        <w:t xml:space="preserve"> </w:t>
      </w:r>
      <w:r w:rsidR="00FE6F27">
        <w:t xml:space="preserve">can </w:t>
      </w:r>
      <w:r>
        <w:t>enhance learning not only through the information provided to students by teachers, but also through the ways that students frame what they do, what they need and how they respond</w:t>
      </w:r>
      <w:r w:rsidRPr="00821D60">
        <w:t xml:space="preserve"> </w:t>
      </w:r>
      <w:r>
        <w:t xml:space="preserve">to </w:t>
      </w:r>
      <w:r w:rsidR="00FE6F27">
        <w:t xml:space="preserve">the </w:t>
      </w:r>
      <w:r>
        <w:t xml:space="preserve">information they receive. </w:t>
      </w:r>
      <w:r w:rsidRPr="00821D60">
        <w:t>The tension</w:t>
      </w:r>
      <w:r>
        <w:t>s, discussed in the introduction,</w:t>
      </w:r>
      <w:r w:rsidRPr="00821D60">
        <w:t xml:space="preserve"> between formative and summative purposes </w:t>
      </w:r>
      <w:r w:rsidR="00797226">
        <w:t>are</w:t>
      </w:r>
      <w:r w:rsidRPr="00821D60">
        <w:t xml:space="preserve"> diminished </w:t>
      </w:r>
      <w:r>
        <w:t>by</w:t>
      </w:r>
      <w:r w:rsidRPr="00821D60">
        <w:t xml:space="preserve"> positioning a portfolio as a continuous work in progress containing curated collections that are predominantly formative at earlier stages and which can become summative at the end of a program through the deliberatio</w:t>
      </w:r>
      <w:r>
        <w:t>n and choice of the learner. Thus, the either/or tension changes</w:t>
      </w:r>
      <w:r w:rsidRPr="00821D60">
        <w:t xml:space="preserve"> to a staged progression </w:t>
      </w:r>
      <w:r w:rsidR="00FE1464">
        <w:t xml:space="preserve">over time </w:t>
      </w:r>
      <w:r w:rsidRPr="00821D60">
        <w:t>from formative to summative.</w:t>
      </w:r>
    </w:p>
    <w:p w14:paraId="0345F260" w14:textId="77777777" w:rsidR="00310AB6" w:rsidRPr="00817BED" w:rsidRDefault="006F12E0" w:rsidP="00332A93">
      <w:pPr>
        <w:pStyle w:val="Paragraph"/>
        <w:spacing w:line="240" w:lineRule="atLeast"/>
      </w:pPr>
      <w:r>
        <w:tab/>
      </w:r>
      <w:r w:rsidR="00310AB6">
        <w:t>Portfolios can be particularly useful devices to enable feedback processes (Barbera, 2009). Regular portfolio engagement across a program provides a means for ongoing feedback communications that the usual string of course modules typically does not. U</w:t>
      </w:r>
      <w:r w:rsidR="00310AB6" w:rsidRPr="00821D60">
        <w:t>nivers</w:t>
      </w:r>
      <w:r w:rsidR="00310AB6">
        <w:t>ities</w:t>
      </w:r>
      <w:r w:rsidR="00310AB6" w:rsidRPr="00821D60">
        <w:t xml:space="preserve"> </w:t>
      </w:r>
      <w:r w:rsidR="00310AB6">
        <w:t>are increasingly looking to improve student perception of feedback,</w:t>
      </w:r>
      <w:r w:rsidR="00310AB6" w:rsidRPr="00821D60">
        <w:t xml:space="preserve"> not only because students consistently </w:t>
      </w:r>
      <w:r w:rsidR="00310AB6">
        <w:t>rate this</w:t>
      </w:r>
      <w:r w:rsidR="00310AB6" w:rsidRPr="00821D60">
        <w:t xml:space="preserve"> as one of the least satisfactory aspects of their university experience, but </w:t>
      </w:r>
      <w:r w:rsidR="00310AB6">
        <w:t xml:space="preserve">also because teachers </w:t>
      </w:r>
      <w:r w:rsidR="00310AB6" w:rsidRPr="00821D60">
        <w:t>struggle with it</w:t>
      </w:r>
      <w:r w:rsidR="00310AB6">
        <w:t xml:space="preserve"> as well.</w:t>
      </w:r>
      <w:r w:rsidR="00310AB6" w:rsidRPr="00821D60">
        <w:t xml:space="preserve"> </w:t>
      </w:r>
      <w:r w:rsidR="00310AB6">
        <w:t>Further,</w:t>
      </w:r>
      <w:r w:rsidR="00310AB6" w:rsidRPr="00821D60">
        <w:t xml:space="preserve"> </w:t>
      </w:r>
      <w:r w:rsidR="00310AB6">
        <w:t xml:space="preserve">feedback is often </w:t>
      </w:r>
      <w:r w:rsidR="00310AB6" w:rsidRPr="00821D60">
        <w:t xml:space="preserve">the only </w:t>
      </w:r>
      <w:r w:rsidR="00310AB6">
        <w:t>part of the curriculum individually tailored</w:t>
      </w:r>
      <w:r w:rsidR="00310AB6" w:rsidRPr="00821D60">
        <w:t xml:space="preserve"> </w:t>
      </w:r>
      <w:r w:rsidR="00310AB6">
        <w:t xml:space="preserve">to each student and is the chief mechanism for </w:t>
      </w:r>
      <w:r w:rsidR="00310AB6" w:rsidRPr="00821D60">
        <w:t xml:space="preserve">communication between </w:t>
      </w:r>
      <w:r w:rsidR="00310AB6">
        <w:t xml:space="preserve">teachers and students (Jolly &amp; Boud, 2013). </w:t>
      </w:r>
      <w:r w:rsidR="00310AB6">
        <w:rPr>
          <w:noProof/>
        </w:rPr>
        <w:t>Nicol (2010</w:t>
      </w:r>
      <w:r w:rsidR="00E75D2C">
        <w:rPr>
          <w:noProof/>
        </w:rPr>
        <w:t>)</w:t>
      </w:r>
      <w:r w:rsidR="00310AB6" w:rsidRPr="00821D60">
        <w:t xml:space="preserve"> advocates pedagogic</w:t>
      </w:r>
      <w:r w:rsidR="00310AB6">
        <w:t>al</w:t>
      </w:r>
      <w:r w:rsidR="00310AB6" w:rsidRPr="00821D60">
        <w:t xml:space="preserve"> strategies to </w:t>
      </w:r>
      <w:r w:rsidR="00310AB6">
        <w:t>help students to</w:t>
      </w:r>
      <w:r w:rsidR="00310AB6" w:rsidRPr="00821D60">
        <w:t xml:space="preserve"> practice giving and receiving feedback, and actively working with it to make judgements about the quality of their work. </w:t>
      </w:r>
      <w:r w:rsidR="00310AB6">
        <w:t xml:space="preserve">Molloy &amp; Boud </w:t>
      </w:r>
      <w:r w:rsidR="00310AB6" w:rsidRPr="00821D60">
        <w:rPr>
          <w:noProof/>
        </w:rPr>
        <w:t>(2013)</w:t>
      </w:r>
      <w:r w:rsidR="00310AB6" w:rsidRPr="00821D60">
        <w:t xml:space="preserve"> </w:t>
      </w:r>
      <w:r w:rsidR="00310AB6">
        <w:t>further suggest</w:t>
      </w:r>
      <w:r w:rsidR="00310AB6" w:rsidRPr="00821D60">
        <w:t xml:space="preserve"> that students </w:t>
      </w:r>
      <w:r w:rsidR="00310AB6">
        <w:t xml:space="preserve">must be positioned </w:t>
      </w:r>
      <w:r w:rsidR="00310AB6" w:rsidRPr="00821D60">
        <w:t>as active agents in m</w:t>
      </w:r>
      <w:r w:rsidR="00310AB6">
        <w:t>anaging feedback information. They identify feedback ‘</w:t>
      </w:r>
      <w:r w:rsidR="00310AB6" w:rsidRPr="00821D60">
        <w:t xml:space="preserve">as a complex </w:t>
      </w:r>
      <w:r w:rsidR="00310AB6" w:rsidRPr="00821D60">
        <w:rPr>
          <w:i/>
        </w:rPr>
        <w:t>system</w:t>
      </w:r>
      <w:r w:rsidR="00310AB6" w:rsidRPr="00821D60">
        <w:t xml:space="preserve"> that needs to permeate the curriculum, rather than an activity that appears within it from time to time’ </w:t>
      </w:r>
      <w:r w:rsidR="00310AB6" w:rsidRPr="00821D60">
        <w:rPr>
          <w:noProof/>
        </w:rPr>
        <w:t>(p. 25, italics in original)</w:t>
      </w:r>
      <w:r w:rsidR="00310AB6" w:rsidRPr="00821D60">
        <w:t>.</w:t>
      </w:r>
    </w:p>
    <w:p w14:paraId="2D6FF2F1" w14:textId="77777777" w:rsidR="00763196" w:rsidRDefault="006F12E0" w:rsidP="00332A93">
      <w:pPr>
        <w:pStyle w:val="Paragraph"/>
        <w:spacing w:line="240" w:lineRule="atLeast"/>
      </w:pPr>
      <w:r>
        <w:tab/>
      </w:r>
      <w:r w:rsidR="00310AB6">
        <w:t xml:space="preserve">Portfolios can facilitate this complex feedback system through ready access to </w:t>
      </w:r>
      <w:r w:rsidR="00310AB6" w:rsidRPr="00821D60">
        <w:t>pri</w:t>
      </w:r>
      <w:r w:rsidR="00310AB6">
        <w:t xml:space="preserve">or feedback comments, </w:t>
      </w:r>
      <w:r w:rsidR="00310AB6" w:rsidRPr="00821D60">
        <w:t xml:space="preserve">without having to </w:t>
      </w:r>
      <w:r w:rsidR="00310AB6">
        <w:t>navigate</w:t>
      </w:r>
      <w:r w:rsidR="00310AB6" w:rsidRPr="00821D60">
        <w:t xml:space="preserve"> a </w:t>
      </w:r>
      <w:r w:rsidR="00310AB6">
        <w:t>vast amount</w:t>
      </w:r>
      <w:r w:rsidR="00310AB6" w:rsidRPr="00821D60">
        <w:t xml:space="preserve"> of material</w:t>
      </w:r>
      <w:r w:rsidR="00310AB6">
        <w:t>,</w:t>
      </w:r>
      <w:r w:rsidR="00310AB6" w:rsidRPr="00821D60">
        <w:t xml:space="preserve"> </w:t>
      </w:r>
      <w:r w:rsidR="00310AB6">
        <w:t xml:space="preserve">allowing students and teachers to see if previous comments have been </w:t>
      </w:r>
      <w:r w:rsidR="00CB65EE">
        <w:t xml:space="preserve">satisfactorily </w:t>
      </w:r>
      <w:r w:rsidR="00310AB6">
        <w:t>addressed. Feedback m</w:t>
      </w:r>
      <w:r w:rsidR="00310AB6" w:rsidRPr="00821D60">
        <w:t xml:space="preserve">onitoring </w:t>
      </w:r>
      <w:r w:rsidR="00310AB6">
        <w:t>can also unveil different understandings about</w:t>
      </w:r>
      <w:r w:rsidR="00310AB6" w:rsidRPr="00821D60">
        <w:t xml:space="preserve"> feedback from </w:t>
      </w:r>
      <w:r w:rsidR="00310AB6">
        <w:t xml:space="preserve">both </w:t>
      </w:r>
      <w:r w:rsidR="00310AB6" w:rsidRPr="00821D60">
        <w:t xml:space="preserve">staff and student perspectives (e.g. </w:t>
      </w:r>
      <w:r w:rsidR="00310AB6">
        <w:rPr>
          <w:noProof/>
        </w:rPr>
        <w:t>Adcroft (2011)</w:t>
      </w:r>
      <w:r w:rsidR="00763196">
        <w:rPr>
          <w:noProof/>
        </w:rPr>
        <w:t>).</w:t>
      </w:r>
      <w:r w:rsidR="00310AB6">
        <w:t xml:space="preserve"> Portfolio tasks may be designed to encourage students</w:t>
      </w:r>
      <w:r w:rsidR="00310AB6" w:rsidRPr="00821D60">
        <w:t xml:space="preserve"> to elicit their </w:t>
      </w:r>
      <w:r w:rsidR="00310AB6">
        <w:t xml:space="preserve">own feedback (from peers, group </w:t>
      </w:r>
      <w:r w:rsidR="00310AB6" w:rsidRPr="00821D60">
        <w:t xml:space="preserve">work and </w:t>
      </w:r>
      <w:r w:rsidR="00310AB6">
        <w:t xml:space="preserve">previous </w:t>
      </w:r>
      <w:r w:rsidR="00310AB6" w:rsidRPr="00821D60">
        <w:t>self-a</w:t>
      </w:r>
      <w:r w:rsidR="00310AB6">
        <w:t>ssessment</w:t>
      </w:r>
      <w:r w:rsidR="00310AB6" w:rsidRPr="00821D60">
        <w:t xml:space="preserve">) and </w:t>
      </w:r>
      <w:r w:rsidR="00763196">
        <w:t xml:space="preserve">can </w:t>
      </w:r>
      <w:r w:rsidR="00310AB6">
        <w:t>support ways of engaging students</w:t>
      </w:r>
      <w:r w:rsidR="00763196">
        <w:t>,</w:t>
      </w:r>
      <w:r w:rsidR="00310AB6">
        <w:t xml:space="preserve"> such as releasing grades only when feedback has been subject to reflection and future goal setting </w:t>
      </w:r>
      <w:r w:rsidR="00310AB6">
        <w:rPr>
          <w:noProof/>
        </w:rPr>
        <w:t>(Irwin, Hepplestone, Holden, Parkin, &amp; Thorpe, 2012)</w:t>
      </w:r>
      <w:r w:rsidR="00310AB6" w:rsidRPr="00821D60">
        <w:t xml:space="preserve">. </w:t>
      </w:r>
      <w:r w:rsidR="00310AB6">
        <w:rPr>
          <w:noProof/>
        </w:rPr>
        <w:t>Carless, Salter, Yang, and Lam (2011)</w:t>
      </w:r>
      <w:r w:rsidR="00310AB6" w:rsidRPr="00821D60">
        <w:t xml:space="preserve"> find</w:t>
      </w:r>
      <w:r w:rsidR="00310AB6">
        <w:t xml:space="preserve"> that</w:t>
      </w:r>
      <w:r w:rsidR="00310AB6" w:rsidRPr="00821D60">
        <w:t xml:space="preserve"> ‘multistage’ as</w:t>
      </w:r>
      <w:r w:rsidR="00310AB6">
        <w:t>signments such as portfolios ‘</w:t>
      </w:r>
      <w:r w:rsidR="00310AB6" w:rsidRPr="00821D60">
        <w:t xml:space="preserve">facilitate sustainable feedback when … processes support students in self-monitoring their work while it is being developed’ </w:t>
      </w:r>
      <w:r w:rsidR="00310AB6" w:rsidRPr="00821D60">
        <w:rPr>
          <w:noProof/>
        </w:rPr>
        <w:t>(p. 398)</w:t>
      </w:r>
      <w:r w:rsidR="00310AB6" w:rsidRPr="00821D60">
        <w:t xml:space="preserve">. Portfolios can </w:t>
      </w:r>
      <w:r w:rsidR="00763196">
        <w:t xml:space="preserve">also </w:t>
      </w:r>
      <w:r w:rsidR="00310AB6" w:rsidRPr="00821D60">
        <w:t xml:space="preserve">facilitate </w:t>
      </w:r>
      <w:r w:rsidR="00310AB6">
        <w:t xml:space="preserve">feed-forward into the next task </w:t>
      </w:r>
      <w:r w:rsidR="00310AB6">
        <w:rPr>
          <w:noProof/>
        </w:rPr>
        <w:t>(</w:t>
      </w:r>
      <w:r>
        <w:rPr>
          <w:noProof/>
          <w:lang w:val="en-GB"/>
        </w:rPr>
        <w:t>Quinton &amp;</w:t>
      </w:r>
      <w:r w:rsidR="00763196" w:rsidRPr="00763196">
        <w:rPr>
          <w:noProof/>
          <w:lang w:val="en-GB"/>
        </w:rPr>
        <w:t xml:space="preserve"> Smallbone, 2010</w:t>
      </w:r>
      <w:r w:rsidR="00310AB6">
        <w:rPr>
          <w:noProof/>
        </w:rPr>
        <w:t>)</w:t>
      </w:r>
      <w:r w:rsidR="00763196">
        <w:t xml:space="preserve">, </w:t>
      </w:r>
      <w:r w:rsidR="00310AB6">
        <w:t>help</w:t>
      </w:r>
      <w:r w:rsidR="00763196">
        <w:t>ing</w:t>
      </w:r>
      <w:r w:rsidR="00310AB6">
        <w:t xml:space="preserve"> students </w:t>
      </w:r>
      <w:r w:rsidR="00310AB6" w:rsidRPr="00821D60">
        <w:t>active</w:t>
      </w:r>
      <w:r w:rsidR="00310AB6">
        <w:t>ly</w:t>
      </w:r>
      <w:r w:rsidR="00310AB6" w:rsidRPr="00821D60">
        <w:t xml:space="preserve"> </w:t>
      </w:r>
      <w:r w:rsidR="00310AB6">
        <w:t>participate</w:t>
      </w:r>
      <w:r w:rsidR="00310AB6" w:rsidRPr="00821D60">
        <w:t xml:space="preserve"> in </w:t>
      </w:r>
      <w:r w:rsidR="00310AB6">
        <w:t xml:space="preserve">managing </w:t>
      </w:r>
      <w:r w:rsidR="00310AB6" w:rsidRPr="00821D60">
        <w:t>feedback</w:t>
      </w:r>
      <w:r w:rsidR="00310AB6">
        <w:t xml:space="preserve">. </w:t>
      </w:r>
      <w:r w:rsidR="002776ED" w:rsidRPr="00E9069E">
        <w:rPr>
          <w:lang w:val="en-GB"/>
        </w:rPr>
        <w:t xml:space="preserve">This is done in one of our programs by setting an intermittent portfolio task (twice per semester) asking students to collate and critique (curate) teacher and ‘respected other’ feedback on recent work, with a reflective response regarding actions to be taken. Additionally, there is a </w:t>
      </w:r>
      <w:r w:rsidR="008B67D3">
        <w:rPr>
          <w:lang w:val="en-GB"/>
        </w:rPr>
        <w:t>reflection</w:t>
      </w:r>
      <w:r w:rsidR="002776ED" w:rsidRPr="00E9069E">
        <w:rPr>
          <w:lang w:val="en-GB"/>
        </w:rPr>
        <w:t xml:space="preserve"> on all four tasks at the </w:t>
      </w:r>
      <w:r w:rsidR="008B67D3">
        <w:rPr>
          <w:lang w:val="en-GB"/>
        </w:rPr>
        <w:t xml:space="preserve">year </w:t>
      </w:r>
      <w:r w:rsidR="002776ED" w:rsidRPr="00E9069E">
        <w:rPr>
          <w:lang w:val="en-GB"/>
        </w:rPr>
        <w:t>end.</w:t>
      </w:r>
      <w:r w:rsidR="002776ED">
        <w:rPr>
          <w:lang w:val="en-GB"/>
        </w:rPr>
        <w:t xml:space="preserve"> </w:t>
      </w:r>
      <w:r w:rsidR="00310AB6">
        <w:t>S</w:t>
      </w:r>
      <w:r w:rsidR="00310AB6" w:rsidRPr="00821D60">
        <w:t xml:space="preserve">tudents and teachers </w:t>
      </w:r>
      <w:r w:rsidR="00310AB6">
        <w:t xml:space="preserve">have </w:t>
      </w:r>
      <w:r w:rsidR="00763196">
        <w:t>greater</w:t>
      </w:r>
      <w:r w:rsidR="00310AB6">
        <w:t xml:space="preserve"> opportunit</w:t>
      </w:r>
      <w:r w:rsidR="00763196">
        <w:t>y</w:t>
      </w:r>
      <w:r w:rsidR="00310AB6" w:rsidRPr="00821D60">
        <w:t xml:space="preserve"> to close the feedback loop</w:t>
      </w:r>
      <w:r w:rsidR="00310AB6">
        <w:t xml:space="preserve"> </w:t>
      </w:r>
      <w:r w:rsidR="00763196">
        <w:t>in</w:t>
      </w:r>
      <w:r w:rsidR="00310AB6">
        <w:t xml:space="preserve"> a structured feedback communication space in which </w:t>
      </w:r>
      <w:r w:rsidR="008B67D3" w:rsidRPr="008B67D3">
        <w:rPr>
          <w:lang w:val="en-US"/>
        </w:rPr>
        <w:t>comments, responses and exchanges can be expected</w:t>
      </w:r>
      <w:r w:rsidR="00310AB6">
        <w:t>.</w:t>
      </w:r>
      <w:r w:rsidR="00763196" w:rsidRPr="00763196">
        <w:t xml:space="preserve"> </w:t>
      </w:r>
      <w:r w:rsidR="00763196">
        <w:t xml:space="preserve">While individual </w:t>
      </w:r>
      <w:r w:rsidR="008B67D3">
        <w:t xml:space="preserve">feedback </w:t>
      </w:r>
      <w:r w:rsidR="00763196">
        <w:t xml:space="preserve">episodes by different lecturers at different times may not readily identify </w:t>
      </w:r>
      <w:r w:rsidR="008B67D3">
        <w:t xml:space="preserve">learning </w:t>
      </w:r>
      <w:r w:rsidR="00763196">
        <w:t>gaps, repeated instances over time visible in the portfolio can be a powerful alert to both students and teachers to take remedial action.</w:t>
      </w:r>
    </w:p>
    <w:p w14:paraId="1CF1521D" w14:textId="0B82533B" w:rsidR="00096B89" w:rsidRDefault="00763196" w:rsidP="00332A93">
      <w:pPr>
        <w:pStyle w:val="Newparagraph"/>
        <w:spacing w:line="240" w:lineRule="atLeast"/>
      </w:pPr>
      <w:r>
        <w:t>To maximise the</w:t>
      </w:r>
      <w:r w:rsidRPr="00821D60">
        <w:t xml:space="preserve"> portfolio’s potential </w:t>
      </w:r>
      <w:r>
        <w:t>to contribute to learning through the feedback stream, a</w:t>
      </w:r>
      <w:r w:rsidRPr="00821D60">
        <w:t>n aligned system of instruction</w:t>
      </w:r>
      <w:r>
        <w:t xml:space="preserve"> is desirable</w:t>
      </w:r>
      <w:r w:rsidRPr="00821D60">
        <w:t xml:space="preserve"> </w:t>
      </w:r>
      <w:r>
        <w:rPr>
          <w:noProof/>
        </w:rPr>
        <w:t>(Biggs, 2012)</w:t>
      </w:r>
      <w:r w:rsidRPr="00821D60">
        <w:t xml:space="preserve">, with a fit for purpose, ‘programmatic approach’ to assessment </w:t>
      </w:r>
      <w:r>
        <w:rPr>
          <w:noProof/>
        </w:rPr>
        <w:t>(van der Vleuten et al., 2012, p. 205)</w:t>
      </w:r>
      <w:r w:rsidRPr="00821D60">
        <w:t xml:space="preserve">. </w:t>
      </w:r>
      <w:r>
        <w:t>Towards the</w:t>
      </w:r>
      <w:r w:rsidRPr="00821D60">
        <w:t xml:space="preserve"> end</w:t>
      </w:r>
      <w:r>
        <w:t xml:space="preserve"> of the program, </w:t>
      </w:r>
      <w:r w:rsidRPr="00821D60">
        <w:t xml:space="preserve">students are well placed to prepare and display summative achievements </w:t>
      </w:r>
      <w:r>
        <w:t>based on the</w:t>
      </w:r>
      <w:r w:rsidRPr="00821D60">
        <w:t xml:space="preserve"> accumulated </w:t>
      </w:r>
      <w:r w:rsidR="008B67D3" w:rsidRPr="00821D60">
        <w:t>portfolio</w:t>
      </w:r>
      <w:r w:rsidR="008B67D3">
        <w:t xml:space="preserve"> </w:t>
      </w:r>
      <w:r>
        <w:t xml:space="preserve">evidence. Feedback at this point </w:t>
      </w:r>
      <w:r w:rsidRPr="00821D60">
        <w:t xml:space="preserve">might be </w:t>
      </w:r>
      <w:r>
        <w:t>solicited through a portfolio task asking students to examine their work against</w:t>
      </w:r>
      <w:r w:rsidRPr="00821D60">
        <w:t xml:space="preserve"> professional standa</w:t>
      </w:r>
      <w:r>
        <w:t>rds or employer expectations of</w:t>
      </w:r>
      <w:r w:rsidRPr="00821D60">
        <w:t xml:space="preserve"> new graduates.</w:t>
      </w:r>
    </w:p>
    <w:p w14:paraId="70E7F15B" w14:textId="77777777" w:rsidR="00096B89" w:rsidRPr="006F12E0" w:rsidRDefault="00096B89" w:rsidP="00332A93">
      <w:pPr>
        <w:spacing w:line="240" w:lineRule="atLeast"/>
      </w:pPr>
    </w:p>
    <w:p w14:paraId="0D233390" w14:textId="77777777" w:rsidR="006F12E0" w:rsidRPr="006F12E0" w:rsidRDefault="006F12E0" w:rsidP="00332A93">
      <w:pPr>
        <w:pStyle w:val="Paragraph"/>
        <w:spacing w:line="240" w:lineRule="atLeast"/>
        <w:rPr>
          <w:b/>
        </w:rPr>
      </w:pPr>
      <w:r w:rsidRPr="006F12E0">
        <w:rPr>
          <w:b/>
        </w:rPr>
        <w:t>Curating portfolio collections</w:t>
      </w:r>
    </w:p>
    <w:p w14:paraId="1A7DC666" w14:textId="77777777" w:rsidR="00C0446F" w:rsidRDefault="00530570" w:rsidP="00332A93">
      <w:pPr>
        <w:pStyle w:val="Paragraph"/>
        <w:spacing w:line="240" w:lineRule="atLeast"/>
      </w:pPr>
      <w:r w:rsidRPr="00821D60">
        <w:t>One</w:t>
      </w:r>
      <w:r>
        <w:t xml:space="preserve"> of the major criticisms of portfolio assessments</w:t>
      </w:r>
      <w:r w:rsidRPr="00821D60">
        <w:t xml:space="preserve"> is that</w:t>
      </w:r>
      <w:r>
        <w:t>, unless carefully curated,</w:t>
      </w:r>
      <w:r w:rsidRPr="00821D60">
        <w:t xml:space="preserve"> they can contain vast volumes of material </w:t>
      </w:r>
      <w:r>
        <w:t>that</w:t>
      </w:r>
      <w:r w:rsidRPr="00821D60">
        <w:t xml:space="preserve"> </w:t>
      </w:r>
      <w:r>
        <w:t>cannot be managed by either</w:t>
      </w:r>
      <w:r w:rsidRPr="00821D60">
        <w:t xml:space="preserve"> student </w:t>
      </w:r>
      <w:r w:rsidR="00FE1464">
        <w:t>or</w:t>
      </w:r>
      <w:r>
        <w:t xml:space="preserve"> assessor</w:t>
      </w:r>
      <w:r w:rsidRPr="00821D60">
        <w:t xml:space="preserve"> </w:t>
      </w:r>
      <w:r>
        <w:rPr>
          <w:noProof/>
        </w:rPr>
        <w:t>(Driessen, 2009)</w:t>
      </w:r>
      <w:r w:rsidRPr="00821D60">
        <w:t>.</w:t>
      </w:r>
      <w:r>
        <w:t xml:space="preserve"> </w:t>
      </w:r>
      <w:r w:rsidR="00FE1464">
        <w:t>We</w:t>
      </w:r>
      <w:r w:rsidR="00C0446F">
        <w:t xml:space="preserve"> suggest that any portfolio content accessible to anyone other than the student (such as a teacher or peer) </w:t>
      </w:r>
      <w:r w:rsidR="00FE1464">
        <w:t xml:space="preserve">necessarily </w:t>
      </w:r>
      <w:r w:rsidR="00C0446F">
        <w:t xml:space="preserve">needs to be curated for </w:t>
      </w:r>
      <w:r w:rsidR="006D12B4">
        <w:t>a</w:t>
      </w:r>
      <w:r w:rsidR="00C0446F">
        <w:t xml:space="preserve"> particular purpose, as viewing portfolios as mere repositories is to obscure their important function as devices for active learning and multipurpose portrayals</w:t>
      </w:r>
      <w:r w:rsidR="00944702">
        <w:t xml:space="preserve"> that achieve what they are designed to achi</w:t>
      </w:r>
      <w:r w:rsidR="00A16691">
        <w:t>e</w:t>
      </w:r>
      <w:r w:rsidR="00944702">
        <w:t>ve without overloading the recipient</w:t>
      </w:r>
      <w:r w:rsidR="00C0446F">
        <w:t>.</w:t>
      </w:r>
      <w:r w:rsidR="00C0446F" w:rsidRPr="00821D60">
        <w:t xml:space="preserve"> </w:t>
      </w:r>
      <w:r w:rsidR="002B34BF">
        <w:t>Like the</w:t>
      </w:r>
      <w:r w:rsidR="00C0446F" w:rsidRPr="00821D60">
        <w:t xml:space="preserve"> curator</w:t>
      </w:r>
      <w:r w:rsidR="00C0446F">
        <w:t xml:space="preserve"> of a museum exhibit</w:t>
      </w:r>
      <w:r w:rsidR="00C0446F" w:rsidRPr="00821D60">
        <w:t xml:space="preserve">, </w:t>
      </w:r>
      <w:r w:rsidR="00C0446F">
        <w:t>students</w:t>
      </w:r>
      <w:r w:rsidR="00C0446F" w:rsidRPr="00821D60">
        <w:t xml:space="preserve"> must create a clear theme or purpo</w:t>
      </w:r>
      <w:r w:rsidR="00C0446F">
        <w:t>se, carefully select pieces for display while</w:t>
      </w:r>
      <w:r w:rsidR="00C0446F" w:rsidRPr="00821D60">
        <w:t xml:space="preserve"> forgo</w:t>
      </w:r>
      <w:r w:rsidR="00C0446F">
        <w:t>ing others, edit</w:t>
      </w:r>
      <w:r w:rsidR="00C0446F" w:rsidRPr="00821D60">
        <w:t xml:space="preserve"> </w:t>
      </w:r>
      <w:r w:rsidR="00C0446F">
        <w:t xml:space="preserve">their work </w:t>
      </w:r>
      <w:r w:rsidR="00C0446F" w:rsidRPr="00821D60">
        <w:t xml:space="preserve">and construct a discourse </w:t>
      </w:r>
      <w:r w:rsidR="00C0446F">
        <w:t>that communicates a</w:t>
      </w:r>
      <w:r w:rsidR="00AD0C6F">
        <w:t xml:space="preserve">nd / or justifies </w:t>
      </w:r>
      <w:r w:rsidR="009C3B34">
        <w:t>the theme</w:t>
      </w:r>
      <w:r w:rsidR="00AD0C6F" w:rsidRPr="00821D60">
        <w:t xml:space="preserve"> to succi</w:t>
      </w:r>
      <w:r w:rsidR="00AD0C6F">
        <w:t>nctly guide the reader to make</w:t>
      </w:r>
      <w:r w:rsidR="00AD0C6F" w:rsidRPr="00821D60">
        <w:t xml:space="preserve"> sense of </w:t>
      </w:r>
      <w:r w:rsidR="00AD0C6F">
        <w:t>what is presented and direct their attention to the salient features that require a response.</w:t>
      </w:r>
    </w:p>
    <w:p w14:paraId="6630FB8A" w14:textId="77777777" w:rsidR="00C0446F" w:rsidRDefault="00954DD4" w:rsidP="00332A93">
      <w:pPr>
        <w:pStyle w:val="Newparagraph"/>
        <w:spacing w:line="240" w:lineRule="atLeast"/>
      </w:pPr>
      <w:r>
        <w:t>C</w:t>
      </w:r>
      <w:r w:rsidR="00C0446F">
        <w:t>uration</w:t>
      </w:r>
      <w:r w:rsidR="009B0415">
        <w:t xml:space="preserve"> </w:t>
      </w:r>
      <w:r w:rsidR="00C0446F">
        <w:t xml:space="preserve">has </w:t>
      </w:r>
      <w:r w:rsidR="00C0446F" w:rsidRPr="00821D60">
        <w:t xml:space="preserve">become </w:t>
      </w:r>
      <w:r w:rsidR="006D12B4">
        <w:t xml:space="preserve">a </w:t>
      </w:r>
      <w:r w:rsidR="00C0446F">
        <w:t>particularly</w:t>
      </w:r>
      <w:r w:rsidR="00C0446F" w:rsidRPr="00821D60">
        <w:t xml:space="preserve"> important </w:t>
      </w:r>
      <w:r w:rsidR="006D12B4">
        <w:t>skill</w:t>
      </w:r>
      <w:r w:rsidR="00C0446F" w:rsidRPr="00821D60">
        <w:t xml:space="preserve"> for </w:t>
      </w:r>
      <w:r w:rsidR="009B0415">
        <w:t>managing the increasingly complex demands o</w:t>
      </w:r>
      <w:r w:rsidR="008B67D3">
        <w:t>n professional</w:t>
      </w:r>
      <w:r w:rsidR="009B0415">
        <w:t xml:space="preserve"> digital environments</w:t>
      </w:r>
      <w:r w:rsidR="00C0446F">
        <w:t xml:space="preserve">. </w:t>
      </w:r>
      <w:r w:rsidR="00C0446F" w:rsidRPr="00821D60">
        <w:t xml:space="preserve">As </w:t>
      </w:r>
      <w:r w:rsidR="00C0446F">
        <w:rPr>
          <w:noProof/>
        </w:rPr>
        <w:t>Fl</w:t>
      </w:r>
      <w:r w:rsidR="009B0415">
        <w:rPr>
          <w:noProof/>
        </w:rPr>
        <w:t xml:space="preserve">intoff, Mellow &amp; Clark (2014) </w:t>
      </w:r>
      <w:r w:rsidR="00C0446F" w:rsidRPr="00821D60">
        <w:t>argue, ‘Curators add a level of q</w:t>
      </w:r>
      <w:r w:rsidR="00B7642A">
        <w:t>uality control around a topic</w:t>
      </w:r>
      <w:r w:rsidR="00B244B0">
        <w:t xml:space="preserve"> [and]</w:t>
      </w:r>
      <w:r w:rsidR="00C0446F" w:rsidRPr="00821D60">
        <w:t xml:space="preserve"> context to the found </w:t>
      </w:r>
      <w:r w:rsidR="00C0446F">
        <w:t>artefact</w:t>
      </w:r>
      <w:r w:rsidR="00C0446F" w:rsidRPr="00821D60">
        <w:t xml:space="preserve"> sharing experience and ideas … givin</w:t>
      </w:r>
      <w:r w:rsidR="00C0446F">
        <w:t>g readers a frame of reference</w:t>
      </w:r>
      <w:r w:rsidR="00C0446F" w:rsidRPr="00821D60">
        <w:t xml:space="preserve">’ </w:t>
      </w:r>
      <w:r w:rsidR="00C0446F">
        <w:rPr>
          <w:noProof/>
        </w:rPr>
        <w:t>(p. 1)</w:t>
      </w:r>
      <w:r w:rsidR="00C0446F">
        <w:t>. These authors</w:t>
      </w:r>
      <w:r w:rsidR="00C0446F" w:rsidRPr="00821D60">
        <w:t xml:space="preserve"> also point out the growing trend of collaborative curation, where re</w:t>
      </w:r>
      <w:r>
        <w:t>aders’ comments develop</w:t>
      </w:r>
      <w:r w:rsidR="00C0446F" w:rsidRPr="00821D60">
        <w:t xml:space="preserve"> a collaborative experience </w:t>
      </w:r>
      <w:r w:rsidR="00C0446F">
        <w:t xml:space="preserve">and </w:t>
      </w:r>
      <w:r>
        <w:t>create</w:t>
      </w:r>
      <w:r w:rsidR="00C0446F" w:rsidRPr="00821D60">
        <w:t xml:space="preserve"> a medium for ‘rich engaging learning activities’ </w:t>
      </w:r>
      <w:r w:rsidR="00C0446F" w:rsidRPr="00821D60">
        <w:rPr>
          <w:noProof/>
        </w:rPr>
        <w:t>(p. 3)</w:t>
      </w:r>
      <w:r>
        <w:t xml:space="preserve">, </w:t>
      </w:r>
      <w:r w:rsidR="00F30199">
        <w:t>useful in</w:t>
      </w:r>
      <w:r w:rsidR="00C0446F">
        <w:t xml:space="preserve"> group-work</w:t>
      </w:r>
      <w:r w:rsidR="00C0446F" w:rsidRPr="00AA5E48">
        <w:t xml:space="preserve"> </w:t>
      </w:r>
      <w:r w:rsidR="00F30199">
        <w:t>assessments</w:t>
      </w:r>
      <w:r w:rsidR="00C0446F">
        <w:t xml:space="preserve">. </w:t>
      </w:r>
      <w:r w:rsidR="00771A86">
        <w:t>Curation</w:t>
      </w:r>
      <w:r w:rsidR="001655F3">
        <w:t xml:space="preserve"> skills can </w:t>
      </w:r>
      <w:r w:rsidR="000E163F">
        <w:t>be</w:t>
      </w:r>
      <w:r w:rsidR="006A4DA5">
        <w:t xml:space="preserve"> introduce</w:t>
      </w:r>
      <w:r w:rsidR="000E163F">
        <w:t>d</w:t>
      </w:r>
      <w:r w:rsidR="006A4DA5">
        <w:t xml:space="preserve"> </w:t>
      </w:r>
      <w:r w:rsidR="009C3B34">
        <w:t>and facilitated</w:t>
      </w:r>
      <w:r w:rsidR="006A4DA5">
        <w:t xml:space="preserve"> </w:t>
      </w:r>
      <w:r w:rsidR="001655F3">
        <w:t>as students work</w:t>
      </w:r>
      <w:r w:rsidR="000E163F">
        <w:t xml:space="preserve"> with portfolio items on a regular basis</w:t>
      </w:r>
      <w:r w:rsidR="006A4DA5">
        <w:t>.</w:t>
      </w:r>
      <w:r w:rsidR="00530570">
        <w:t xml:space="preserve"> </w:t>
      </w:r>
      <w:r w:rsidR="00637FDA" w:rsidRPr="00E9069E">
        <w:rPr>
          <w:lang w:val="en-US"/>
        </w:rPr>
        <w:t xml:space="preserve">In one of our health programs we do this through a portfolio task during a work-integrated learning placement, asking </w:t>
      </w:r>
      <w:r w:rsidR="00E50E5D" w:rsidRPr="00E9069E">
        <w:rPr>
          <w:lang w:val="en-US"/>
        </w:rPr>
        <w:t>students</w:t>
      </w:r>
      <w:r w:rsidR="00637FDA" w:rsidRPr="00E9069E">
        <w:rPr>
          <w:lang w:val="en-US"/>
        </w:rPr>
        <w:t xml:space="preserve"> to record daily activities in their repository, then curating this into a brief account </w:t>
      </w:r>
      <w:r w:rsidR="00FE1464" w:rsidRPr="00E9069E">
        <w:rPr>
          <w:lang w:val="en-US"/>
        </w:rPr>
        <w:t xml:space="preserve">explicitly addressing </w:t>
      </w:r>
      <w:r w:rsidR="00637FDA" w:rsidRPr="00E9069E">
        <w:rPr>
          <w:lang w:val="en-US"/>
        </w:rPr>
        <w:t>outcomes in terms of professional and personal learning.</w:t>
      </w:r>
      <w:r w:rsidR="0007467E">
        <w:t xml:space="preserve"> </w:t>
      </w:r>
      <w:r w:rsidR="00C0446F">
        <w:t>As summed up by Wilhelm (2000),</w:t>
      </w:r>
      <w:r w:rsidR="00C0446F" w:rsidRPr="00821D60">
        <w:t xml:space="preserve"> ‘portfolios should be curatorial collections of the processes and p</w:t>
      </w:r>
      <w:r w:rsidR="00C0446F">
        <w:t>roducts of [educational] design</w:t>
      </w:r>
      <w:r w:rsidR="00C0446F" w:rsidRPr="00821D60">
        <w:t xml:space="preserve">’ (p 18). </w:t>
      </w:r>
    </w:p>
    <w:p w14:paraId="1B4AFED7" w14:textId="77777777" w:rsidR="006F12E0" w:rsidRDefault="006F12E0" w:rsidP="00332A93">
      <w:pPr>
        <w:pStyle w:val="Newparagraph"/>
        <w:tabs>
          <w:tab w:val="left" w:pos="709"/>
        </w:tabs>
        <w:spacing w:line="240" w:lineRule="atLeast"/>
        <w:ind w:firstLine="0"/>
      </w:pPr>
    </w:p>
    <w:p w14:paraId="271F2E4A" w14:textId="77777777" w:rsidR="006F12E0" w:rsidRPr="006F12E0" w:rsidRDefault="006F12E0" w:rsidP="00332A93">
      <w:pPr>
        <w:pStyle w:val="Newparagraph"/>
        <w:tabs>
          <w:tab w:val="left" w:pos="709"/>
        </w:tabs>
        <w:spacing w:line="240" w:lineRule="atLeast"/>
        <w:ind w:firstLine="0"/>
        <w:rPr>
          <w:b/>
        </w:rPr>
      </w:pPr>
      <w:r w:rsidRPr="006F12E0">
        <w:rPr>
          <w:b/>
        </w:rPr>
        <w:t>Curating for feedback</w:t>
      </w:r>
    </w:p>
    <w:p w14:paraId="723F86E0" w14:textId="77777777" w:rsidR="00CD46F5" w:rsidRDefault="003B46B8" w:rsidP="00332A93">
      <w:pPr>
        <w:pStyle w:val="Newparagraph"/>
        <w:tabs>
          <w:tab w:val="left" w:pos="709"/>
        </w:tabs>
        <w:spacing w:line="240" w:lineRule="atLeast"/>
        <w:ind w:firstLine="0"/>
      </w:pPr>
      <w:r>
        <w:t>Taking this a critical step further, we include</w:t>
      </w:r>
      <w:r w:rsidR="00E633E1">
        <w:t xml:space="preserve"> </w:t>
      </w:r>
      <w:r w:rsidR="00A55C78">
        <w:t xml:space="preserve">curation </w:t>
      </w:r>
      <w:r w:rsidR="00A55C78" w:rsidRPr="00A55C78">
        <w:rPr>
          <w:i/>
        </w:rPr>
        <w:t>for</w:t>
      </w:r>
      <w:r w:rsidR="00A55C78">
        <w:t xml:space="preserve"> feedback</w:t>
      </w:r>
      <w:r w:rsidR="00925EB6">
        <w:t xml:space="preserve"> in the </w:t>
      </w:r>
      <w:r>
        <w:t>planning framework</w:t>
      </w:r>
      <w:r w:rsidR="00EB10AE">
        <w:t xml:space="preserve">, </w:t>
      </w:r>
      <w:r>
        <w:t>where students transform individual feedback instances into an overview or create a commentary requesting feedback on specific points of a piece they are working on</w:t>
      </w:r>
      <w:r w:rsidR="00A55C78">
        <w:t xml:space="preserve">. </w:t>
      </w:r>
      <w:r>
        <w:t>To do</w:t>
      </w:r>
      <w:r w:rsidRPr="00821D60">
        <w:t xml:space="preserve"> </w:t>
      </w:r>
      <w:r w:rsidR="00E633E1">
        <w:t>this,</w:t>
      </w:r>
      <w:r w:rsidR="00F53A29">
        <w:t xml:space="preserve"> </w:t>
      </w:r>
      <w:r w:rsidR="0056639F" w:rsidRPr="00821D60">
        <w:t xml:space="preserve">students must curate </w:t>
      </w:r>
      <w:r w:rsidR="0056639F">
        <w:t>somewhat differently</w:t>
      </w:r>
      <w:r w:rsidR="00F53A29">
        <w:t xml:space="preserve"> and focus</w:t>
      </w:r>
      <w:r w:rsidR="0056639F" w:rsidRPr="00821D60">
        <w:t xml:space="preserve"> on demonstrating learning processes and pathways.</w:t>
      </w:r>
      <w:r w:rsidR="00A639CC">
        <w:t xml:space="preserve"> </w:t>
      </w:r>
      <w:r>
        <w:t>Curation for feedback moments can be made progressively challenging and sophisticated until they become</w:t>
      </w:r>
      <w:r w:rsidRPr="00821D60">
        <w:t xml:space="preserve"> part of an ongoing </w:t>
      </w:r>
      <w:r w:rsidRPr="00E63AB9">
        <w:t>communication</w:t>
      </w:r>
      <w:r w:rsidRPr="00614B2A">
        <w:t xml:space="preserve"> </w:t>
      </w:r>
      <w:r>
        <w:t>in which students can identify</w:t>
      </w:r>
      <w:r w:rsidRPr="00821D60">
        <w:t xml:space="preserve"> </w:t>
      </w:r>
      <w:r>
        <w:t xml:space="preserve">knowledge </w:t>
      </w:r>
      <w:r w:rsidRPr="00821D60">
        <w:t>gaps for themselves and each other</w:t>
      </w:r>
      <w:r>
        <w:t>.</w:t>
      </w:r>
    </w:p>
    <w:p w14:paraId="0A262FD9" w14:textId="77777777" w:rsidR="0056639F" w:rsidRPr="00821D60" w:rsidRDefault="005F40DC" w:rsidP="00332A93">
      <w:pPr>
        <w:pStyle w:val="Newparagraph"/>
        <w:spacing w:line="240" w:lineRule="atLeast"/>
      </w:pPr>
      <w:r>
        <w:t>C</w:t>
      </w:r>
      <w:r w:rsidR="0056639F">
        <w:t xml:space="preserve">urating for feedback </w:t>
      </w:r>
      <w:r>
        <w:t xml:space="preserve">over time </w:t>
      </w:r>
      <w:r w:rsidR="001B36CC">
        <w:t>can help students</w:t>
      </w:r>
      <w:r w:rsidR="0056639F" w:rsidRPr="00821D60">
        <w:t xml:space="preserve"> judge the quality of their work against standards, criteria or peers</w:t>
      </w:r>
      <w:r w:rsidR="00782BAD">
        <w:t>,</w:t>
      </w:r>
      <w:r w:rsidR="0056639F" w:rsidRPr="00821D60">
        <w:t xml:space="preserve"> and </w:t>
      </w:r>
      <w:r w:rsidR="00675713">
        <w:t>can</w:t>
      </w:r>
      <w:r w:rsidR="00782BAD">
        <w:t xml:space="preserve"> facilitate</w:t>
      </w:r>
      <w:r w:rsidR="0056639F" w:rsidRPr="00821D60">
        <w:t xml:space="preserve"> any combination of self, peer or teacher feedback:</w:t>
      </w:r>
    </w:p>
    <w:p w14:paraId="76063DAB" w14:textId="77777777" w:rsidR="0056639F" w:rsidRPr="00170141" w:rsidRDefault="001B36CC" w:rsidP="00332A93">
      <w:pPr>
        <w:pStyle w:val="Numberedlist"/>
        <w:numPr>
          <w:ilvl w:val="0"/>
          <w:numId w:val="33"/>
        </w:numPr>
        <w:spacing w:line="240" w:lineRule="atLeast"/>
      </w:pPr>
      <w:r>
        <w:t xml:space="preserve">Self-assessment: </w:t>
      </w:r>
      <w:r w:rsidR="00A57916">
        <w:t>Portfolio tasks</w:t>
      </w:r>
      <w:r w:rsidR="00855C1C">
        <w:t xml:space="preserve"> (</w:t>
      </w:r>
      <w:r w:rsidR="00686A18">
        <w:t>regular</w:t>
      </w:r>
      <w:r w:rsidR="00855C1C">
        <w:t xml:space="preserve"> portfolio</w:t>
      </w:r>
      <w:r w:rsidR="00E709CE">
        <w:t xml:space="preserve"> tasks</w:t>
      </w:r>
      <w:r w:rsidR="00855C1C">
        <w:t xml:space="preserve"> – see no. 2 above) </w:t>
      </w:r>
      <w:r w:rsidR="00A57916">
        <w:t>that ask students to self-assess</w:t>
      </w:r>
      <w:r w:rsidR="00855C1C">
        <w:t>,</w:t>
      </w:r>
      <w:r w:rsidR="00A57916">
        <w:t xml:space="preserve"> can show them the value of</w:t>
      </w:r>
      <w:r w:rsidR="00A57916" w:rsidRPr="00821D60">
        <w:t xml:space="preserve"> </w:t>
      </w:r>
      <w:r w:rsidR="00A57916">
        <w:t xml:space="preserve">making a space to </w:t>
      </w:r>
      <w:r w:rsidR="00AA2D26">
        <w:t>intentionally</w:t>
      </w:r>
      <w:r w:rsidR="00A57916">
        <w:t xml:space="preserve"> critique their own work</w:t>
      </w:r>
      <w:r w:rsidR="00A57916" w:rsidRPr="00821D60">
        <w:t xml:space="preserve">. </w:t>
      </w:r>
      <w:r>
        <w:t>I</w:t>
      </w:r>
      <w:r w:rsidR="0056639F" w:rsidRPr="00821D60">
        <w:t xml:space="preserve">n reviewing </w:t>
      </w:r>
      <w:r w:rsidR="00876837">
        <w:t>work</w:t>
      </w:r>
      <w:r w:rsidR="00A57916">
        <w:t xml:space="preserve"> for </w:t>
      </w:r>
      <w:r w:rsidR="00A57916" w:rsidRPr="00A57916">
        <w:t>self-assessment</w:t>
      </w:r>
      <w:r w:rsidR="00A57916">
        <w:t xml:space="preserve">, </w:t>
      </w:r>
      <w:r w:rsidR="0056639F" w:rsidRPr="00821D60">
        <w:t xml:space="preserve">students </w:t>
      </w:r>
      <w:r w:rsidR="00A57916" w:rsidRPr="00821D60">
        <w:t xml:space="preserve">inherently </w:t>
      </w:r>
      <w:r w:rsidR="00A57916">
        <w:t xml:space="preserve">reflect on </w:t>
      </w:r>
      <w:r w:rsidR="00876837">
        <w:t>it</w:t>
      </w:r>
      <w:r w:rsidR="0056639F">
        <w:t>.</w:t>
      </w:r>
      <w:r>
        <w:t xml:space="preserve"> </w:t>
      </w:r>
      <w:r w:rsidR="0056639F">
        <w:t>A</w:t>
      </w:r>
      <w:r w:rsidR="00A57916">
        <w:t>dditionally,</w:t>
      </w:r>
      <w:r w:rsidR="0056639F">
        <w:t xml:space="preserve"> self-assessment </w:t>
      </w:r>
      <w:r w:rsidR="00FE1464">
        <w:t xml:space="preserve">should </w:t>
      </w:r>
      <w:r w:rsidR="0056639F">
        <w:t xml:space="preserve">involve other people </w:t>
      </w:r>
      <w:r>
        <w:t xml:space="preserve">they respect </w:t>
      </w:r>
      <w:r w:rsidR="00876837">
        <w:t>provid</w:t>
      </w:r>
      <w:r w:rsidR="00E709CE">
        <w:t>ing</w:t>
      </w:r>
      <w:r w:rsidR="00876837">
        <w:t xml:space="preserve"> feedback </w:t>
      </w:r>
      <w:r w:rsidR="00E709CE">
        <w:t>on</w:t>
      </w:r>
      <w:r w:rsidR="0056639F" w:rsidRPr="00170141">
        <w:t xml:space="preserve"> whether they </w:t>
      </w:r>
      <w:r w:rsidR="00FE1464">
        <w:t>appear to be</w:t>
      </w:r>
      <w:r w:rsidR="00FE1464" w:rsidRPr="00170141">
        <w:t xml:space="preserve"> </w:t>
      </w:r>
      <w:r w:rsidR="0056639F" w:rsidRPr="00170141">
        <w:t xml:space="preserve">achieving their aims. </w:t>
      </w:r>
      <w:r w:rsidR="00675713">
        <w:t>The cu</w:t>
      </w:r>
      <w:r w:rsidR="00817BED">
        <w:t>rated piece, the feedback, and the student’s</w:t>
      </w:r>
      <w:r w:rsidR="00675713">
        <w:t xml:space="preserve"> </w:t>
      </w:r>
      <w:r w:rsidR="00855C1C">
        <w:t xml:space="preserve">reflection on both, </w:t>
      </w:r>
      <w:r w:rsidR="00675713">
        <w:t>may form the basis of a formativ</w:t>
      </w:r>
      <w:r w:rsidR="00876837">
        <w:t>e or summative assessment</w:t>
      </w:r>
      <w:r w:rsidR="00675713">
        <w:t>.</w:t>
      </w:r>
    </w:p>
    <w:p w14:paraId="6878BEE8" w14:textId="77777777" w:rsidR="0056639F" w:rsidRPr="00821D60" w:rsidRDefault="0056639F" w:rsidP="00332A93">
      <w:pPr>
        <w:pStyle w:val="Numberedlist"/>
        <w:numPr>
          <w:ilvl w:val="0"/>
          <w:numId w:val="33"/>
        </w:numPr>
        <w:spacing w:line="240" w:lineRule="atLeast"/>
      </w:pPr>
      <w:r w:rsidRPr="00821D60">
        <w:t xml:space="preserve">Peer </w:t>
      </w:r>
      <w:r w:rsidR="001B36CC">
        <w:t xml:space="preserve">formative assessment: </w:t>
      </w:r>
      <w:r w:rsidR="00C22799">
        <w:t>Tasks where students</w:t>
      </w:r>
      <w:r w:rsidR="005F0DFB">
        <w:t xml:space="preserve"> curate </w:t>
      </w:r>
      <w:r w:rsidR="00566508">
        <w:t>portfolio content</w:t>
      </w:r>
      <w:r w:rsidR="005F0DFB">
        <w:t xml:space="preserve"> for peer feedback facilitate practice </w:t>
      </w:r>
      <w:r w:rsidR="00C22799">
        <w:t xml:space="preserve">in </w:t>
      </w:r>
      <w:r w:rsidR="005F0DFB">
        <w:t>giving</w:t>
      </w:r>
      <w:r w:rsidR="00C22799">
        <w:t xml:space="preserve">, </w:t>
      </w:r>
      <w:r w:rsidR="005F0DFB">
        <w:t xml:space="preserve">receiving </w:t>
      </w:r>
      <w:r w:rsidR="00C22799">
        <w:t xml:space="preserve">and working with </w:t>
      </w:r>
      <w:r w:rsidR="005F0DFB">
        <w:t>feedback</w:t>
      </w:r>
      <w:r w:rsidR="00C22799">
        <w:t>.</w:t>
      </w:r>
      <w:r w:rsidR="005F0DFB">
        <w:t xml:space="preserve"> </w:t>
      </w:r>
      <w:r>
        <w:t>A</w:t>
      </w:r>
      <w:r w:rsidRPr="00C802B7">
        <w:t xml:space="preserve">s </w:t>
      </w:r>
      <w:r>
        <w:t>discussed</w:t>
      </w:r>
      <w:r w:rsidR="001B36CC">
        <w:t xml:space="preserve"> above</w:t>
      </w:r>
      <w:r>
        <w:t xml:space="preserve">, </w:t>
      </w:r>
      <w:r w:rsidR="00C22799">
        <w:t>students</w:t>
      </w:r>
      <w:r>
        <w:t xml:space="preserve"> can </w:t>
      </w:r>
      <w:r w:rsidR="00C22799">
        <w:t xml:space="preserve">use the task to </w:t>
      </w:r>
      <w:r w:rsidRPr="00C802B7">
        <w:t xml:space="preserve">collaborate, compare and critique. </w:t>
      </w:r>
      <w:r w:rsidR="007564B5">
        <w:t>A</w:t>
      </w:r>
      <w:r w:rsidR="00C22799">
        <w:t xml:space="preserve"> final product for summative assessment may focus on the students’ ability to work with feedback, rather than the actual peer </w:t>
      </w:r>
      <w:r w:rsidR="00C22799" w:rsidRPr="00C22799">
        <w:t>assessment</w:t>
      </w:r>
      <w:r w:rsidR="00C22799">
        <w:t xml:space="preserve"> of the </w:t>
      </w:r>
      <w:r w:rsidR="006D1434">
        <w:t>work,</w:t>
      </w:r>
      <w:r w:rsidR="00C22799">
        <w:t xml:space="preserve"> as that can be </w:t>
      </w:r>
      <w:r w:rsidR="00817BED">
        <w:t>fraught</w:t>
      </w:r>
      <w:r w:rsidR="00C22799">
        <w:t>.</w:t>
      </w:r>
    </w:p>
    <w:p w14:paraId="7B40B8CC" w14:textId="77777777" w:rsidR="0056639F" w:rsidRDefault="00C22799" w:rsidP="00332A93">
      <w:pPr>
        <w:pStyle w:val="Numberedlist"/>
        <w:numPr>
          <w:ilvl w:val="0"/>
          <w:numId w:val="33"/>
        </w:numPr>
        <w:spacing w:line="240" w:lineRule="atLeast"/>
      </w:pPr>
      <w:r>
        <w:t>P</w:t>
      </w:r>
      <w:r w:rsidR="0056639F" w:rsidRPr="00C802B7">
        <w:t>rog</w:t>
      </w:r>
      <w:r w:rsidR="001B36CC">
        <w:t>ress against standards</w:t>
      </w:r>
      <w:r>
        <w:t xml:space="preserve"> and competencies</w:t>
      </w:r>
      <w:r w:rsidR="001B36CC">
        <w:t xml:space="preserve">: </w:t>
      </w:r>
      <w:r>
        <w:t xml:space="preserve">Portfolio tasks which ask students to curate collections demonstrating they have met particular standards or </w:t>
      </w:r>
      <w:r w:rsidR="007564B5">
        <w:t xml:space="preserve">professional </w:t>
      </w:r>
      <w:r>
        <w:t xml:space="preserve">competencies are commonplace. Formative </w:t>
      </w:r>
      <w:r w:rsidRPr="00C802B7">
        <w:t>curation</w:t>
      </w:r>
      <w:r>
        <w:t>,</w:t>
      </w:r>
      <w:r w:rsidRPr="00C802B7">
        <w:t xml:space="preserve"> </w:t>
      </w:r>
      <w:r w:rsidR="0056639F" w:rsidRPr="00C802B7">
        <w:t>however</w:t>
      </w:r>
      <w:r w:rsidR="001B36CC">
        <w:t>,</w:t>
      </w:r>
      <w:r w:rsidR="0056639F" w:rsidRPr="00C802B7">
        <w:t xml:space="preserve"> helps identify gaps in meeting standards at interim points. </w:t>
      </w:r>
      <w:r w:rsidR="00871598">
        <w:t>This has been done, for</w:t>
      </w:r>
      <w:r w:rsidR="0056639F">
        <w:t xml:space="preserve"> example,</w:t>
      </w:r>
      <w:r w:rsidR="001B36CC">
        <w:t xml:space="preserve"> </w:t>
      </w:r>
      <w:r w:rsidR="00871598">
        <w:t xml:space="preserve">in </w:t>
      </w:r>
      <w:r w:rsidR="001B36CC">
        <w:t>the Australian occupational t</w:t>
      </w:r>
      <w:r w:rsidR="0056639F" w:rsidRPr="00C802B7">
        <w:t>herapy (OT) pr</w:t>
      </w:r>
      <w:r w:rsidR="0056639F">
        <w:t>ofession</w:t>
      </w:r>
      <w:r w:rsidR="00871598">
        <w:t>,</w:t>
      </w:r>
      <w:r w:rsidR="0056639F">
        <w:t xml:space="preserve"> </w:t>
      </w:r>
      <w:r w:rsidR="00871598">
        <w:t>which has</w:t>
      </w:r>
      <w:r w:rsidR="0056639F">
        <w:t xml:space="preserve"> developed</w:t>
      </w:r>
      <w:r w:rsidR="0056639F" w:rsidRPr="00C802B7">
        <w:t xml:space="preserve"> ‘Le</w:t>
      </w:r>
      <w:r w:rsidR="0056639F">
        <w:t>vels of Evidence’ so that any OT</w:t>
      </w:r>
      <w:r w:rsidR="0056639F" w:rsidRPr="00C802B7">
        <w:t xml:space="preserve"> student from any university can demonstrate </w:t>
      </w:r>
      <w:r w:rsidR="001B36CC">
        <w:t>his or her</w:t>
      </w:r>
      <w:r w:rsidR="0056639F" w:rsidRPr="00C802B7">
        <w:t xml:space="preserve"> </w:t>
      </w:r>
      <w:r w:rsidR="001B36CC" w:rsidRPr="00C802B7">
        <w:t xml:space="preserve">professional </w:t>
      </w:r>
      <w:r w:rsidR="001B36CC">
        <w:t>progress</w:t>
      </w:r>
      <w:r w:rsidR="0056639F">
        <w:t>. Levels range</w:t>
      </w:r>
      <w:r w:rsidR="0056639F" w:rsidRPr="00C802B7">
        <w:t xml:space="preserve"> from ‘emerging’</w:t>
      </w:r>
      <w:r w:rsidR="001B36CC">
        <w:t>,</w:t>
      </w:r>
      <w:r w:rsidR="0056639F" w:rsidRPr="00C802B7">
        <w:t xml:space="preserve"> to ‘consolidating’</w:t>
      </w:r>
      <w:r w:rsidR="001B36CC">
        <w:t>,</w:t>
      </w:r>
      <w:r w:rsidR="0056639F" w:rsidRPr="00C802B7">
        <w:t xml:space="preserve"> to ‘competent to practice’ </w:t>
      </w:r>
      <w:r w:rsidR="0056639F" w:rsidRPr="004021CF">
        <w:t>(O</w:t>
      </w:r>
      <w:r w:rsidR="001B36CC" w:rsidRPr="004021CF">
        <w:t xml:space="preserve">ccupational </w:t>
      </w:r>
      <w:r w:rsidR="0056639F" w:rsidRPr="004021CF">
        <w:t>T</w:t>
      </w:r>
      <w:r w:rsidR="001B36CC" w:rsidRPr="004021CF">
        <w:t xml:space="preserve">herapy </w:t>
      </w:r>
      <w:r w:rsidR="0056639F" w:rsidRPr="004021CF">
        <w:t>C</w:t>
      </w:r>
      <w:r w:rsidR="001B36CC" w:rsidRPr="004021CF">
        <w:t xml:space="preserve">ompetencies </w:t>
      </w:r>
      <w:r w:rsidR="0056639F" w:rsidRPr="004021CF">
        <w:t>A</w:t>
      </w:r>
      <w:r w:rsidR="001B36CC" w:rsidRPr="004021CF">
        <w:t>ustralia, n. d.</w:t>
      </w:r>
      <w:r w:rsidR="0056639F" w:rsidRPr="004021CF">
        <w:t>)</w:t>
      </w:r>
      <w:r w:rsidR="00686A18" w:rsidRPr="004021CF">
        <w:t xml:space="preserve">. Documented through a </w:t>
      </w:r>
      <w:r w:rsidR="0056639F" w:rsidRPr="004021CF">
        <w:t xml:space="preserve">portfolio, </w:t>
      </w:r>
      <w:r w:rsidR="001B36CC" w:rsidRPr="004021CF">
        <w:t>these are</w:t>
      </w:r>
      <w:r w:rsidR="00C72543">
        <w:t xml:space="preserve"> ‘</w:t>
      </w:r>
      <w:r w:rsidR="0056639F" w:rsidRPr="00C802B7">
        <w:t>used by students to self-assess, evidence and track their developing competence</w:t>
      </w:r>
      <w:r w:rsidR="0056639F">
        <w:t>’</w:t>
      </w:r>
      <w:r w:rsidR="0056639F" w:rsidRPr="00C802B7">
        <w:t xml:space="preserve"> </w:t>
      </w:r>
      <w:r w:rsidR="0056639F">
        <w:t>(Ryan, Studdert, Sijpkes, Hills, &amp; Nguyen, 2013, p. 51)</w:t>
      </w:r>
      <w:r w:rsidR="0056639F" w:rsidRPr="00C802B7">
        <w:t>.</w:t>
      </w:r>
      <w:r w:rsidR="00425999">
        <w:t xml:space="preserve"> </w:t>
      </w:r>
    </w:p>
    <w:p w14:paraId="2508927C" w14:textId="77777777" w:rsidR="002F4AD1" w:rsidRPr="00821D60" w:rsidRDefault="002F4AD1" w:rsidP="00332A93">
      <w:pPr>
        <w:pStyle w:val="Numberedlist"/>
        <w:numPr>
          <w:ilvl w:val="0"/>
          <w:numId w:val="0"/>
        </w:numPr>
        <w:spacing w:line="240" w:lineRule="atLeast"/>
      </w:pPr>
    </w:p>
    <w:p w14:paraId="0681DFFD" w14:textId="77777777" w:rsidR="006F12E0" w:rsidRPr="006F12E0" w:rsidRDefault="006F12E0" w:rsidP="00332A93">
      <w:pPr>
        <w:pStyle w:val="Paragraph"/>
        <w:spacing w:line="240" w:lineRule="atLeast"/>
        <w:rPr>
          <w:b/>
        </w:rPr>
      </w:pPr>
      <w:r w:rsidRPr="006F12E0">
        <w:rPr>
          <w:b/>
        </w:rPr>
        <w:t>Conclusion</w:t>
      </w:r>
    </w:p>
    <w:p w14:paraId="3F7AAA80" w14:textId="77777777" w:rsidR="00DF711D" w:rsidRDefault="00DF711D" w:rsidP="00332A93">
      <w:pPr>
        <w:pStyle w:val="Paragraph"/>
        <w:spacing w:line="240" w:lineRule="atLeast"/>
      </w:pPr>
      <w:r>
        <w:t>T</w:t>
      </w:r>
      <w:r w:rsidRPr="00821D60">
        <w:t>his paper ha</w:t>
      </w:r>
      <w:r>
        <w:t xml:space="preserve">s explored </w:t>
      </w:r>
      <w:r w:rsidRPr="00821D60">
        <w:t xml:space="preserve">the </w:t>
      </w:r>
      <w:r>
        <w:t xml:space="preserve">increasing </w:t>
      </w:r>
      <w:r w:rsidRPr="00821D60">
        <w:t xml:space="preserve">use of educational portfolios in higher education for the professions, </w:t>
      </w:r>
      <w:r>
        <w:t>and found that</w:t>
      </w:r>
      <w:r w:rsidRPr="00821D60">
        <w:t xml:space="preserve"> they </w:t>
      </w:r>
      <w:r>
        <w:t>reflect multiple</w:t>
      </w:r>
      <w:r w:rsidRPr="00821D60">
        <w:t xml:space="preserve"> designs, pedagogical intentions and purposes. We have argued that </w:t>
      </w:r>
      <w:r w:rsidR="0029019B">
        <w:t xml:space="preserve">some </w:t>
      </w:r>
      <w:r>
        <w:t xml:space="preserve">recent uses of portfolios, in particular where the purpose is </w:t>
      </w:r>
      <w:r w:rsidR="0029019B">
        <w:t xml:space="preserve">primarily </w:t>
      </w:r>
      <w:r>
        <w:t xml:space="preserve">to </w:t>
      </w:r>
      <w:r w:rsidR="0029019B">
        <w:t>portray outcomes</w:t>
      </w:r>
      <w:r>
        <w:t xml:space="preserve">, may have limited their potential to foster learning, and suggest </w:t>
      </w:r>
      <w:r w:rsidR="003B46B8">
        <w:t>their</w:t>
      </w:r>
      <w:r>
        <w:t xml:space="preserve"> use for both</w:t>
      </w:r>
      <w:r w:rsidR="003B46B8">
        <w:t>,</w:t>
      </w:r>
      <w:r>
        <w:t xml:space="preserve"> </w:t>
      </w:r>
      <w:r w:rsidR="003B46B8">
        <w:t xml:space="preserve">provided </w:t>
      </w:r>
      <w:r>
        <w:t>clarity of purpose is prioritised.</w:t>
      </w:r>
      <w:r w:rsidRPr="00821D60">
        <w:t xml:space="preserve"> </w:t>
      </w:r>
      <w:r>
        <w:t xml:space="preserve">A conceptualisation is offered </w:t>
      </w:r>
      <w:r w:rsidR="003B46B8">
        <w:t>of portfolio design elements, which</w:t>
      </w:r>
      <w:r>
        <w:t xml:space="preserve"> contribut</w:t>
      </w:r>
      <w:r w:rsidR="003B46B8">
        <w:t>e</w:t>
      </w:r>
      <w:r>
        <w:t xml:space="preserve"> </w:t>
      </w:r>
      <w:r w:rsidR="003B46B8">
        <w:t>to</w:t>
      </w:r>
      <w:r>
        <w:t xml:space="preserve"> a program-wide portfolio </w:t>
      </w:r>
      <w:r w:rsidR="00BF1AB7">
        <w:t>planning framework, supporting both formative and summative goals</w:t>
      </w:r>
      <w:r>
        <w:t>. The importance of fostering students’ skills in curation has been highlighted a</w:t>
      </w:r>
      <w:r w:rsidR="00BF1AB7">
        <w:t>s</w:t>
      </w:r>
      <w:r>
        <w:t xml:space="preserve"> necessary to make portfolio submissions manageable for staff and students, and </w:t>
      </w:r>
      <w:r w:rsidR="00BF1AB7">
        <w:t xml:space="preserve">as </w:t>
      </w:r>
      <w:r>
        <w:t xml:space="preserve">a key skill for future professionals. Providing students with regular opportunities to curate </w:t>
      </w:r>
      <w:r w:rsidRPr="00821D60">
        <w:t>portfolio art</w:t>
      </w:r>
      <w:r>
        <w:t>e</w:t>
      </w:r>
      <w:r w:rsidRPr="00821D60">
        <w:t xml:space="preserve">facts with critical commentary, </w:t>
      </w:r>
      <w:r>
        <w:t xml:space="preserve">especially </w:t>
      </w:r>
      <w:r w:rsidRPr="00821D60">
        <w:t>for formative purpo</w:t>
      </w:r>
      <w:r>
        <w:t>ses, has featured in the discussion.</w:t>
      </w:r>
    </w:p>
    <w:p w14:paraId="5FEBD62D" w14:textId="77777777" w:rsidR="006F12E0" w:rsidRDefault="00DF711D" w:rsidP="00332A93">
      <w:pPr>
        <w:pStyle w:val="Newparagraph"/>
        <w:spacing w:line="240" w:lineRule="atLeast"/>
      </w:pPr>
      <w:r>
        <w:t>We</w:t>
      </w:r>
      <w:r w:rsidRPr="00821D60">
        <w:t xml:space="preserve"> </w:t>
      </w:r>
      <w:r>
        <w:t>suggest</w:t>
      </w:r>
      <w:r w:rsidRPr="00821D60">
        <w:t xml:space="preserve"> </w:t>
      </w:r>
      <w:r>
        <w:t xml:space="preserve">that the next important development for portfolios is to provide an efficient means to continuously engage students and staff in </w:t>
      </w:r>
      <w:r w:rsidRPr="00821D60">
        <w:t>feedback</w:t>
      </w:r>
      <w:r>
        <w:t xml:space="preserve"> communications. In these ways, p</w:t>
      </w:r>
      <w:r w:rsidRPr="00821D60">
        <w:t xml:space="preserve">ortfolios can be used to engage students while </w:t>
      </w:r>
      <w:r>
        <w:t>they are in higher education and</w:t>
      </w:r>
      <w:r w:rsidRPr="00821D60">
        <w:t xml:space="preserve"> </w:t>
      </w:r>
      <w:r>
        <w:t xml:space="preserve">ultimately contribute to </w:t>
      </w:r>
      <w:r w:rsidRPr="001D094A">
        <w:t>longer-term learning</w:t>
      </w:r>
      <w:r w:rsidRPr="00821D60">
        <w:t xml:space="preserve">. </w:t>
      </w:r>
    </w:p>
    <w:p w14:paraId="758468D7" w14:textId="77777777" w:rsidR="003F3761" w:rsidRDefault="003F3761" w:rsidP="00332A93">
      <w:pPr>
        <w:pStyle w:val="Newparagraph"/>
        <w:spacing w:line="240" w:lineRule="atLeast"/>
      </w:pPr>
      <w:r>
        <w:br w:type="page"/>
      </w:r>
    </w:p>
    <w:p w14:paraId="73B700E8" w14:textId="77777777" w:rsidR="0072291F" w:rsidRPr="0072291F" w:rsidRDefault="0072291F" w:rsidP="00332A93">
      <w:pPr>
        <w:spacing w:line="240" w:lineRule="atLeast"/>
        <w:rPr>
          <w:b/>
        </w:rPr>
      </w:pPr>
      <w:r w:rsidRPr="0072291F">
        <w:rPr>
          <w:b/>
        </w:rPr>
        <w:t>Notes on contributors</w:t>
      </w:r>
    </w:p>
    <w:p w14:paraId="4EAAA769" w14:textId="77777777" w:rsidR="0072291F" w:rsidRDefault="0072291F" w:rsidP="00332A93">
      <w:pPr>
        <w:spacing w:line="240" w:lineRule="atLeast"/>
      </w:pPr>
    </w:p>
    <w:p w14:paraId="03E54CFA" w14:textId="77777777" w:rsidR="0072291F" w:rsidRPr="0072291F" w:rsidRDefault="0072291F" w:rsidP="00332A93">
      <w:pPr>
        <w:pStyle w:val="Paragraph"/>
        <w:spacing w:before="0" w:line="240" w:lineRule="atLeast"/>
        <w:rPr>
          <w:sz w:val="22"/>
        </w:rPr>
      </w:pPr>
      <w:r w:rsidRPr="0072291F">
        <w:rPr>
          <w:sz w:val="22"/>
        </w:rPr>
        <w:t xml:space="preserve">Dr Jillian Clarke is a Senior Lecturer in the Discipline of Medical Radiation Sciences at The University of Sydney, where her teaching and research interests encompass both health professional education, in particular portfolio assessment for longer-term learning, and her professional areas of expertise in ultrasound education and sonographic imaging. </w:t>
      </w:r>
    </w:p>
    <w:p w14:paraId="0EC6C088" w14:textId="77777777" w:rsidR="0072291F" w:rsidRPr="0072291F" w:rsidRDefault="0072291F" w:rsidP="00332A93">
      <w:pPr>
        <w:pStyle w:val="Paragraph"/>
        <w:spacing w:before="0" w:line="240" w:lineRule="atLeast"/>
        <w:rPr>
          <w:sz w:val="22"/>
        </w:rPr>
      </w:pPr>
      <w:r w:rsidRPr="0072291F">
        <w:rPr>
          <w:sz w:val="22"/>
        </w:rPr>
        <w:t>Professor David Boud is Director of the Centre for Research in Assessment and Digital Learning, Deakin University, Geelong, Australia. He is also Emeritus Professor in the Faculty of Arts and Social Sciences, University of Technology Sydney and Research Professor in the Institute for Work-Based Learning, Middlesex University, London.</w:t>
      </w:r>
    </w:p>
    <w:p w14:paraId="79D4CD3C" w14:textId="77777777" w:rsidR="003F3761" w:rsidRDefault="003F3761" w:rsidP="00332A93">
      <w:pPr>
        <w:spacing w:line="240" w:lineRule="atLeast"/>
        <w:rPr>
          <w:rFonts w:ascii="Times New Roman" w:eastAsia="Times New Roman" w:hAnsi="Times New Roman" w:cs="Times New Roman"/>
          <w:lang w:val="en-GB" w:eastAsia="en-GB"/>
        </w:rPr>
      </w:pPr>
    </w:p>
    <w:p w14:paraId="73D280F6" w14:textId="77777777" w:rsidR="0056639F" w:rsidRPr="00821D60" w:rsidRDefault="0056639F" w:rsidP="00332A93">
      <w:pPr>
        <w:pStyle w:val="Heading2"/>
        <w:spacing w:line="240" w:lineRule="atLeast"/>
        <w:rPr>
          <w:rFonts w:ascii="Times New Roman" w:eastAsiaTheme="minorEastAsia" w:hAnsi="Times New Roman" w:cs="Times New Roman"/>
          <w:bCs w:val="0"/>
          <w:i/>
          <w:color w:val="auto"/>
          <w:sz w:val="24"/>
          <w:szCs w:val="24"/>
          <w:lang w:val="en-AU"/>
        </w:rPr>
      </w:pPr>
      <w:bookmarkStart w:id="2" w:name="_Toc253833427"/>
      <w:bookmarkStart w:id="3" w:name="_Toc281828288"/>
      <w:r w:rsidRPr="00821D60">
        <w:rPr>
          <w:rFonts w:ascii="Times New Roman" w:eastAsiaTheme="minorEastAsia" w:hAnsi="Times New Roman" w:cs="Times New Roman"/>
          <w:bCs w:val="0"/>
          <w:i/>
          <w:color w:val="auto"/>
          <w:sz w:val="24"/>
          <w:szCs w:val="24"/>
          <w:lang w:val="en-AU"/>
        </w:rPr>
        <w:t>References</w:t>
      </w:r>
      <w:bookmarkEnd w:id="2"/>
      <w:bookmarkEnd w:id="3"/>
    </w:p>
    <w:p w14:paraId="6DAA5B78" w14:textId="77777777" w:rsidR="0056639F" w:rsidRPr="00821D60" w:rsidRDefault="0056639F" w:rsidP="00332A93">
      <w:pPr>
        <w:spacing w:line="240" w:lineRule="atLeast"/>
        <w:rPr>
          <w:rFonts w:ascii="Times New Roman" w:hAnsi="Times New Roman" w:cs="Times New Roman"/>
          <w:lang w:val="en-AU"/>
        </w:rPr>
      </w:pPr>
    </w:p>
    <w:p w14:paraId="3B83FF68" w14:textId="77777777" w:rsidR="0056639F" w:rsidRPr="004021CF" w:rsidRDefault="0056639F" w:rsidP="00332A93">
      <w:pPr>
        <w:pStyle w:val="APAReferenceList"/>
        <w:spacing w:line="240" w:lineRule="atLeast"/>
        <w:rPr>
          <w:lang w:val="en-GB"/>
        </w:rPr>
      </w:pPr>
      <w:bookmarkStart w:id="4" w:name="_ENREF_1"/>
      <w:r w:rsidRPr="004021CF">
        <w:rPr>
          <w:lang w:val="en-GB"/>
        </w:rPr>
        <w:t xml:space="preserve">Adcroft, A. (2011). The mythology of feedback. </w:t>
      </w:r>
      <w:r w:rsidRPr="007667B3">
        <w:rPr>
          <w:i/>
          <w:lang w:val="en-GB"/>
        </w:rPr>
        <w:t>Higher Education Research &amp; Development, 30</w:t>
      </w:r>
      <w:r w:rsidRPr="004021CF">
        <w:rPr>
          <w:lang w:val="en-GB"/>
        </w:rPr>
        <w:t>, 405-419. doi: 10.1080/07294360.2010.526096</w:t>
      </w:r>
      <w:bookmarkEnd w:id="4"/>
    </w:p>
    <w:p w14:paraId="51EA1983" w14:textId="77777777" w:rsidR="004C20CB" w:rsidRPr="004021CF" w:rsidRDefault="004C20CB" w:rsidP="00332A93">
      <w:pPr>
        <w:pStyle w:val="APAReferenceList"/>
        <w:spacing w:line="240" w:lineRule="atLeast"/>
        <w:rPr>
          <w:lang w:val="en-GB"/>
        </w:rPr>
      </w:pPr>
      <w:r w:rsidRPr="004021CF">
        <w:rPr>
          <w:lang w:val="en-GB"/>
        </w:rPr>
        <w:t xml:space="preserve">Barbera, E. (2009). Mutual feedback in e-portfolio assessment: an approach to the netfolio system. </w:t>
      </w:r>
      <w:r w:rsidRPr="007667B3">
        <w:rPr>
          <w:i/>
          <w:lang w:val="en-GB"/>
        </w:rPr>
        <w:t>British Journal of Educational Technology, 40</w:t>
      </w:r>
      <w:r w:rsidRPr="004021CF">
        <w:rPr>
          <w:lang w:val="en-GB"/>
        </w:rPr>
        <w:t>, 342-357. doi: 10.1111/j.1467-8535.2007.00803.x</w:t>
      </w:r>
    </w:p>
    <w:p w14:paraId="1CE1A38A" w14:textId="77777777" w:rsidR="0056639F" w:rsidRPr="004021CF" w:rsidRDefault="0056639F" w:rsidP="00332A93">
      <w:pPr>
        <w:pStyle w:val="APAReferenceList"/>
        <w:spacing w:line="240" w:lineRule="atLeast"/>
        <w:rPr>
          <w:lang w:val="en-GB"/>
        </w:rPr>
      </w:pPr>
      <w:bookmarkStart w:id="5" w:name="_ENREF_3"/>
      <w:r w:rsidRPr="004021CF">
        <w:rPr>
          <w:lang w:val="en-GB"/>
        </w:rPr>
        <w:t xml:space="preserve">Biggs, J. (2012). What the student does: teaching for enhanced learning. </w:t>
      </w:r>
      <w:r w:rsidRPr="007667B3">
        <w:rPr>
          <w:i/>
          <w:lang w:val="en-GB"/>
        </w:rPr>
        <w:t>Higher Education Research &amp; Development, 31</w:t>
      </w:r>
      <w:r w:rsidRPr="004021CF">
        <w:rPr>
          <w:lang w:val="en-GB"/>
        </w:rPr>
        <w:t>, 39-55. doi: 10.1080/07294360.2012.642839</w:t>
      </w:r>
      <w:bookmarkEnd w:id="5"/>
    </w:p>
    <w:p w14:paraId="174B9CA8" w14:textId="77777777" w:rsidR="0056639F" w:rsidRPr="004021CF" w:rsidRDefault="0056639F" w:rsidP="00332A93">
      <w:pPr>
        <w:pStyle w:val="APAReferenceList"/>
        <w:spacing w:line="240" w:lineRule="atLeast"/>
        <w:rPr>
          <w:lang w:val="en-GB"/>
        </w:rPr>
      </w:pPr>
      <w:bookmarkStart w:id="6" w:name="_ENREF_5"/>
      <w:r w:rsidRPr="004021CF">
        <w:rPr>
          <w:lang w:val="en-GB"/>
        </w:rPr>
        <w:t>Boud, D., &amp; Soler, R. (</w:t>
      </w:r>
      <w:r w:rsidR="00FE1464" w:rsidRPr="004021CF">
        <w:rPr>
          <w:lang w:val="en-GB"/>
        </w:rPr>
        <w:t>201</w:t>
      </w:r>
      <w:r w:rsidR="00FE1464">
        <w:rPr>
          <w:lang w:val="en-GB"/>
        </w:rPr>
        <w:t>6</w:t>
      </w:r>
      <w:r w:rsidRPr="004021CF">
        <w:rPr>
          <w:lang w:val="en-GB"/>
        </w:rPr>
        <w:t xml:space="preserve">). Sustainable assessment revisited. </w:t>
      </w:r>
      <w:r w:rsidRPr="007667B3">
        <w:rPr>
          <w:i/>
          <w:lang w:val="en-GB"/>
        </w:rPr>
        <w:t>Assessment &amp; Evaluation in Higher Education</w:t>
      </w:r>
      <w:r w:rsidR="007667B3">
        <w:rPr>
          <w:lang w:val="en-GB"/>
        </w:rPr>
        <w:t>,</w:t>
      </w:r>
      <w:r w:rsidRPr="004021CF">
        <w:rPr>
          <w:lang w:val="en-GB"/>
        </w:rPr>
        <w:t xml:space="preserve"> </w:t>
      </w:r>
      <w:r w:rsidR="00FE1464" w:rsidRPr="001F2AF7">
        <w:rPr>
          <w:rFonts w:ascii="Times" w:hAnsi="Times" w:cs="Arial"/>
          <w:i/>
          <w:sz w:val="22"/>
          <w:lang w:val="en-AU"/>
        </w:rPr>
        <w:t>41</w:t>
      </w:r>
      <w:r w:rsidR="00FE1464" w:rsidRPr="00E9069E">
        <w:rPr>
          <w:rFonts w:ascii="Times" w:hAnsi="Times" w:cs="Arial"/>
          <w:sz w:val="22"/>
          <w:lang w:val="en-AU"/>
        </w:rPr>
        <w:t>, 400-413</w:t>
      </w:r>
      <w:r w:rsidR="00FE1464">
        <w:rPr>
          <w:rFonts w:ascii="Times" w:hAnsi="Times" w:cs="Arial"/>
          <w:i/>
          <w:sz w:val="22"/>
          <w:lang w:val="en-AU"/>
        </w:rPr>
        <w:t xml:space="preserve">. </w:t>
      </w:r>
      <w:r w:rsidRPr="004021CF">
        <w:rPr>
          <w:lang w:val="en-GB"/>
        </w:rPr>
        <w:t>doi: 10.1080/02602938.2015.1018133</w:t>
      </w:r>
      <w:bookmarkEnd w:id="6"/>
    </w:p>
    <w:p w14:paraId="4AC5A35C" w14:textId="77777777" w:rsidR="0056639F" w:rsidRPr="004021CF" w:rsidRDefault="0056639F" w:rsidP="00332A93">
      <w:pPr>
        <w:pStyle w:val="APAReferenceList"/>
        <w:spacing w:line="240" w:lineRule="atLeast"/>
        <w:rPr>
          <w:lang w:val="en-GB"/>
        </w:rPr>
      </w:pPr>
      <w:bookmarkStart w:id="7" w:name="_ENREF_6"/>
      <w:r w:rsidRPr="004021CF">
        <w:rPr>
          <w:lang w:val="en-GB"/>
        </w:rPr>
        <w:t xml:space="preserve">Buckley, S., Coleman, J., Davison, I., Khan, K. S., Zamora, J., Malick, S., . . . Sayers, J. (2009). The educational effects of portfolios on undergraduate student learning: A Best Evidence Medical Education (BEME) systematic review. BEME Guide No. 11. </w:t>
      </w:r>
      <w:r w:rsidRPr="007667B3">
        <w:rPr>
          <w:i/>
          <w:lang w:val="en-GB"/>
        </w:rPr>
        <w:t>Medical Teacher, 31</w:t>
      </w:r>
      <w:r w:rsidRPr="004021CF">
        <w:rPr>
          <w:lang w:val="en-GB"/>
        </w:rPr>
        <w:t>, 282-298. doi: 10.1080/01421590902889897</w:t>
      </w:r>
      <w:bookmarkEnd w:id="7"/>
    </w:p>
    <w:p w14:paraId="1B18E175" w14:textId="77777777" w:rsidR="0056639F" w:rsidRPr="004021CF" w:rsidRDefault="0056639F" w:rsidP="00332A93">
      <w:pPr>
        <w:pStyle w:val="APAReferenceList"/>
        <w:spacing w:line="240" w:lineRule="atLeast"/>
        <w:rPr>
          <w:lang w:val="en-GB"/>
        </w:rPr>
      </w:pPr>
      <w:bookmarkStart w:id="8" w:name="_ENREF_7"/>
      <w:r w:rsidRPr="004021CF">
        <w:rPr>
          <w:lang w:val="en-GB"/>
        </w:rPr>
        <w:t xml:space="preserve">Buckley, S., Coleman, J., &amp; Khan, K. (2010). Best evidence on the educational effects of undergraduate portfolios. </w:t>
      </w:r>
      <w:r w:rsidRPr="007667B3">
        <w:rPr>
          <w:i/>
          <w:lang w:val="en-GB"/>
        </w:rPr>
        <w:t>Clinical Teacher, 7</w:t>
      </w:r>
      <w:r w:rsidRPr="004021CF">
        <w:rPr>
          <w:lang w:val="en-GB"/>
        </w:rPr>
        <w:t>, 187-191. doi: 10.1111/j.1743-498X.2010.00364.x</w:t>
      </w:r>
      <w:bookmarkEnd w:id="8"/>
    </w:p>
    <w:p w14:paraId="248E0199" w14:textId="77777777" w:rsidR="0056639F" w:rsidRPr="004021CF" w:rsidRDefault="0056639F" w:rsidP="00332A93">
      <w:pPr>
        <w:pStyle w:val="APAReferenceList"/>
        <w:spacing w:line="240" w:lineRule="atLeast"/>
        <w:rPr>
          <w:lang w:val="en-GB"/>
        </w:rPr>
      </w:pPr>
      <w:bookmarkStart w:id="9" w:name="_ENREF_8"/>
      <w:r w:rsidRPr="004021CF">
        <w:rPr>
          <w:lang w:val="en-GB"/>
        </w:rPr>
        <w:t xml:space="preserve">Carless, D., Salter, D., Yang, M., &amp; Lam, J. (2011). Developing sustainable feedback practices. </w:t>
      </w:r>
      <w:r w:rsidRPr="007667B3">
        <w:rPr>
          <w:i/>
          <w:lang w:val="en-GB"/>
        </w:rPr>
        <w:t>Studies in Higher Education, 36</w:t>
      </w:r>
      <w:r w:rsidRPr="004021CF">
        <w:rPr>
          <w:lang w:val="en-GB"/>
        </w:rPr>
        <w:t>, 395-407. doi: 10.1080/03075071003642449</w:t>
      </w:r>
      <w:bookmarkEnd w:id="9"/>
    </w:p>
    <w:p w14:paraId="76E017FB" w14:textId="77777777" w:rsidR="004C20CB" w:rsidRPr="004021CF" w:rsidRDefault="004C20CB" w:rsidP="00332A93">
      <w:pPr>
        <w:pStyle w:val="APAReferenceList"/>
        <w:spacing w:line="240" w:lineRule="atLeast"/>
        <w:rPr>
          <w:lang w:val="en-GB"/>
        </w:rPr>
      </w:pPr>
      <w:r w:rsidRPr="004021CF">
        <w:rPr>
          <w:lang w:val="en-GB"/>
        </w:rPr>
        <w:t>Chetcuti, D., Murph</w:t>
      </w:r>
      <w:r w:rsidR="006F12E0">
        <w:rPr>
          <w:lang w:val="en-GB"/>
        </w:rPr>
        <w:t>y, P., &amp; Grima, G. (2006). The formative and summative uses of a professional d</w:t>
      </w:r>
      <w:r w:rsidRPr="004021CF">
        <w:rPr>
          <w:lang w:val="en-GB"/>
        </w:rPr>
        <w:t xml:space="preserve">evelopment </w:t>
      </w:r>
      <w:r w:rsidR="006F12E0">
        <w:rPr>
          <w:lang w:val="en-GB"/>
        </w:rPr>
        <w:t>portfolio: A Maltese c</w:t>
      </w:r>
      <w:r w:rsidRPr="004021CF">
        <w:rPr>
          <w:lang w:val="en-GB"/>
        </w:rPr>
        <w:t xml:space="preserve">ase </w:t>
      </w:r>
      <w:r w:rsidR="006F12E0">
        <w:rPr>
          <w:lang w:val="en-GB"/>
        </w:rPr>
        <w:t>s</w:t>
      </w:r>
      <w:r w:rsidRPr="004021CF">
        <w:rPr>
          <w:lang w:val="en-GB"/>
        </w:rPr>
        <w:t xml:space="preserve">tudy. </w:t>
      </w:r>
      <w:r w:rsidRPr="007667B3">
        <w:rPr>
          <w:i/>
          <w:lang w:val="en-GB"/>
        </w:rPr>
        <w:t>Assessment in Education: Principles, Policy and Practice, 13</w:t>
      </w:r>
      <w:r w:rsidRPr="004021CF">
        <w:rPr>
          <w:lang w:val="en-GB"/>
        </w:rPr>
        <w:t>, 97-112.</w:t>
      </w:r>
      <w:r w:rsidR="007E6DD1">
        <w:rPr>
          <w:lang w:val="en-GB"/>
        </w:rPr>
        <w:t xml:space="preserve"> doi: </w:t>
      </w:r>
      <w:r w:rsidR="007E6DD1" w:rsidRPr="007E6DD1">
        <w:t>10.1080/09695940600563553</w:t>
      </w:r>
    </w:p>
    <w:p w14:paraId="0E04EA61" w14:textId="77777777" w:rsidR="0056639F" w:rsidRPr="004021CF" w:rsidRDefault="0056639F" w:rsidP="00332A93">
      <w:pPr>
        <w:pStyle w:val="APAReferenceList"/>
        <w:spacing w:line="240" w:lineRule="atLeast"/>
        <w:rPr>
          <w:lang w:val="en-GB"/>
        </w:rPr>
      </w:pPr>
      <w:bookmarkStart w:id="10" w:name="_ENREF_9"/>
      <w:r w:rsidRPr="004021CF">
        <w:rPr>
          <w:lang w:val="en-GB"/>
        </w:rPr>
        <w:t xml:space="preserve">Driessen, E. (2009). Portfolio critics: Do they have a point? </w:t>
      </w:r>
      <w:r w:rsidRPr="007667B3">
        <w:rPr>
          <w:i/>
          <w:lang w:val="en-GB"/>
        </w:rPr>
        <w:t>Medical Teacher, 31</w:t>
      </w:r>
      <w:r w:rsidRPr="004021CF">
        <w:rPr>
          <w:lang w:val="en-GB"/>
        </w:rPr>
        <w:t>, 279-281. do</w:t>
      </w:r>
      <w:r w:rsidR="007E6DD1">
        <w:rPr>
          <w:lang w:val="en-GB"/>
        </w:rPr>
        <w:t xml:space="preserve">i: </w:t>
      </w:r>
      <w:r w:rsidRPr="004021CF">
        <w:rPr>
          <w:lang w:val="en-GB"/>
        </w:rPr>
        <w:t>10.1080/01421590902803104</w:t>
      </w:r>
      <w:bookmarkEnd w:id="10"/>
    </w:p>
    <w:p w14:paraId="6DA037D1" w14:textId="77777777" w:rsidR="0056639F" w:rsidRPr="004021CF" w:rsidRDefault="0056639F" w:rsidP="00332A93">
      <w:pPr>
        <w:pStyle w:val="APAReferenceList"/>
        <w:spacing w:line="240" w:lineRule="atLeast"/>
        <w:rPr>
          <w:lang w:val="en-GB"/>
        </w:rPr>
      </w:pPr>
      <w:bookmarkStart w:id="11" w:name="_ENREF_10"/>
      <w:r w:rsidRPr="004021CF">
        <w:rPr>
          <w:lang w:val="en-GB"/>
        </w:rPr>
        <w:t xml:space="preserve">Driessen, E., Van Der Vleuten, C., Schuwirth, L., Van Tartwijk, J., &amp; Vermunt, J. (2005). The use of qualitative research criteria for portfolio assessment as an alternative to reliability evaluation: a case study. </w:t>
      </w:r>
      <w:r w:rsidRPr="007667B3">
        <w:rPr>
          <w:i/>
          <w:lang w:val="en-GB"/>
        </w:rPr>
        <w:t>Medical Education, 39</w:t>
      </w:r>
      <w:r w:rsidRPr="004021CF">
        <w:rPr>
          <w:lang w:val="en-GB"/>
        </w:rPr>
        <w:t>, 214-220. doi: 10.1111/j.1365-2929.2004.02059.x</w:t>
      </w:r>
      <w:bookmarkEnd w:id="11"/>
    </w:p>
    <w:p w14:paraId="368A500D" w14:textId="77777777" w:rsidR="0056639F" w:rsidRPr="004021CF" w:rsidRDefault="0056639F" w:rsidP="00332A93">
      <w:pPr>
        <w:pStyle w:val="APAReferenceList"/>
        <w:spacing w:line="240" w:lineRule="atLeast"/>
        <w:rPr>
          <w:lang w:val="en-GB"/>
        </w:rPr>
      </w:pPr>
      <w:bookmarkStart w:id="12" w:name="_ENREF_11"/>
      <w:r w:rsidRPr="004021CF">
        <w:rPr>
          <w:lang w:val="en-GB"/>
        </w:rPr>
        <w:t xml:space="preserve">FitzPatrick, M. A., &amp; Spiller, D. (2010). The teaching portfolio: institutional imperative or teacher’s personal journey? </w:t>
      </w:r>
      <w:r w:rsidRPr="007667B3">
        <w:rPr>
          <w:i/>
          <w:lang w:val="en-GB"/>
        </w:rPr>
        <w:t>Higher Education Research &amp; Development, 29</w:t>
      </w:r>
      <w:r w:rsidRPr="004021CF">
        <w:rPr>
          <w:lang w:val="en-GB"/>
        </w:rPr>
        <w:t>, 167-178. doi: 10.1080/07294360903470985</w:t>
      </w:r>
      <w:bookmarkEnd w:id="12"/>
    </w:p>
    <w:p w14:paraId="732DD7C3" w14:textId="77777777" w:rsidR="0056639F" w:rsidRDefault="0056639F" w:rsidP="00332A93">
      <w:pPr>
        <w:pStyle w:val="APAReferenceList"/>
        <w:spacing w:line="240" w:lineRule="atLeast"/>
        <w:rPr>
          <w:lang w:val="en-GB"/>
        </w:rPr>
      </w:pPr>
      <w:bookmarkStart w:id="13" w:name="_ENREF_12"/>
      <w:r w:rsidRPr="004021CF">
        <w:rPr>
          <w:lang w:val="en-GB"/>
        </w:rPr>
        <w:t>Flintoff, K., Mellow, P., &amp; Pickett Clarke, K. (2014</w:t>
      </w:r>
      <w:r w:rsidR="006F12E0">
        <w:rPr>
          <w:lang w:val="en-GB"/>
        </w:rPr>
        <w:t>, January</w:t>
      </w:r>
      <w:r w:rsidRPr="004021CF">
        <w:rPr>
          <w:lang w:val="en-GB"/>
        </w:rPr>
        <w:t xml:space="preserve">). Digital curation: Opportunities for learning, teaching, research and professional development. </w:t>
      </w:r>
      <w:r w:rsidR="006F12E0">
        <w:rPr>
          <w:lang w:val="en-GB"/>
        </w:rPr>
        <w:t xml:space="preserve">In </w:t>
      </w:r>
      <w:r w:rsidRPr="00B15A0A">
        <w:rPr>
          <w:i/>
          <w:lang w:val="en-GB"/>
        </w:rPr>
        <w:t>Transformative, innovative and engaging: Proceedings of the 23rd Annual Teaching Learning Forum</w:t>
      </w:r>
      <w:r w:rsidR="00B15A0A">
        <w:rPr>
          <w:lang w:val="en-GB"/>
        </w:rPr>
        <w:t xml:space="preserve">, </w:t>
      </w:r>
      <w:r w:rsidRPr="004021CF">
        <w:rPr>
          <w:lang w:val="en-GB"/>
        </w:rPr>
        <w:t xml:space="preserve">Perth: The University of Western Australia. </w:t>
      </w:r>
      <w:bookmarkEnd w:id="13"/>
      <w:r w:rsidR="007667B3">
        <w:rPr>
          <w:lang w:val="en-GB"/>
        </w:rPr>
        <w:t xml:space="preserve">Retrieved from </w:t>
      </w:r>
      <w:r w:rsidRPr="004021CF">
        <w:rPr>
          <w:lang w:val="en-GB"/>
        </w:rPr>
        <w:t>http://ctl.curtin.edu.au/professional_development/conferences/tlf/tlf2014/refereed/flintoff.pdf</w:t>
      </w:r>
    </w:p>
    <w:p w14:paraId="40BB5A43" w14:textId="77777777" w:rsidR="0056639F" w:rsidRPr="004021CF" w:rsidRDefault="0056639F" w:rsidP="00332A93">
      <w:pPr>
        <w:pStyle w:val="APAReferenceList"/>
        <w:spacing w:line="240" w:lineRule="atLeast"/>
        <w:rPr>
          <w:lang w:val="en-GB"/>
        </w:rPr>
      </w:pPr>
      <w:bookmarkStart w:id="14" w:name="_ENREF_13"/>
      <w:r w:rsidRPr="004021CF">
        <w:rPr>
          <w:lang w:val="en-GB"/>
        </w:rPr>
        <w:t xml:space="preserve">Groom, B., &amp; Maunonen-Eskelinen, I. (2006). The use of portfolios to develop reflective practice in teacher training: a comparative and collaborative approach between two teacher training providers in the UK and Finland. </w:t>
      </w:r>
      <w:r w:rsidRPr="007667B3">
        <w:rPr>
          <w:i/>
          <w:lang w:val="en-GB"/>
        </w:rPr>
        <w:t>Teaching in Higher Education, 11</w:t>
      </w:r>
      <w:r w:rsidRPr="004021CF">
        <w:rPr>
          <w:lang w:val="en-GB"/>
        </w:rPr>
        <w:t>, 291-300. doi: 10.1080/13562510600680632</w:t>
      </w:r>
      <w:bookmarkEnd w:id="14"/>
    </w:p>
    <w:p w14:paraId="6E829115" w14:textId="77777777" w:rsidR="0056639F" w:rsidRPr="004021CF" w:rsidRDefault="0056639F" w:rsidP="00332A93">
      <w:pPr>
        <w:pStyle w:val="APAReferenceList"/>
        <w:spacing w:line="240" w:lineRule="atLeast"/>
        <w:rPr>
          <w:lang w:val="en-GB"/>
        </w:rPr>
      </w:pPr>
      <w:bookmarkStart w:id="15" w:name="_ENREF_14"/>
      <w:r w:rsidRPr="004021CF">
        <w:rPr>
          <w:lang w:val="en-GB"/>
        </w:rPr>
        <w:t xml:space="preserve">Irwin, B., Hepplestone, S., Holden, G., Parkin, H. J., &amp; Thorpe, L. (2012). Engaging students with feedback through adaptive release. </w:t>
      </w:r>
      <w:r w:rsidRPr="007667B3">
        <w:rPr>
          <w:i/>
          <w:lang w:val="en-GB"/>
        </w:rPr>
        <w:t>Innovations in Education and Teaching International, 50</w:t>
      </w:r>
      <w:r w:rsidRPr="004021CF">
        <w:rPr>
          <w:lang w:val="en-GB"/>
        </w:rPr>
        <w:t>, 51-61. doi: 10.1080/14703297.2012.748333</w:t>
      </w:r>
      <w:bookmarkEnd w:id="15"/>
    </w:p>
    <w:p w14:paraId="2204BD2E" w14:textId="57F95D5A" w:rsidR="00047B0F" w:rsidRPr="004021CF" w:rsidRDefault="00047B0F" w:rsidP="00332A93">
      <w:pPr>
        <w:pStyle w:val="APAReferenceList"/>
        <w:spacing w:line="240" w:lineRule="atLeast"/>
        <w:rPr>
          <w:lang w:val="en-GB"/>
        </w:rPr>
      </w:pPr>
      <w:r w:rsidRPr="004021CF">
        <w:rPr>
          <w:lang w:val="en-GB"/>
        </w:rPr>
        <w:t xml:space="preserve">Jolly, B., &amp; Boud, D. (2013). Written Feedback. In D. Boud &amp; E. Molloy (Eds.), </w:t>
      </w:r>
      <w:r w:rsidRPr="00835A22">
        <w:rPr>
          <w:i/>
          <w:lang w:val="en-GB"/>
        </w:rPr>
        <w:t>Feedback in Higher and Professional Education</w:t>
      </w:r>
      <w:r w:rsidR="00BB191F" w:rsidRPr="00835A22">
        <w:rPr>
          <w:i/>
          <w:lang w:val="en-GB"/>
        </w:rPr>
        <w:t>: understanding it and doing it well</w:t>
      </w:r>
      <w:r w:rsidR="006F12E0">
        <w:rPr>
          <w:i/>
          <w:lang w:val="en-GB"/>
        </w:rPr>
        <w:t xml:space="preserve"> </w:t>
      </w:r>
      <w:r w:rsidR="006F12E0">
        <w:rPr>
          <w:lang w:val="en-GB"/>
        </w:rPr>
        <w:t>(pp.</w:t>
      </w:r>
      <w:r w:rsidR="00AF54EF">
        <w:rPr>
          <w:lang w:val="en-GB"/>
        </w:rPr>
        <w:t xml:space="preserve"> </w:t>
      </w:r>
      <w:r w:rsidR="00AF54EF" w:rsidRPr="00AF54EF">
        <w:t>104-124</w:t>
      </w:r>
      <w:r w:rsidR="006F12E0">
        <w:rPr>
          <w:lang w:val="en-GB"/>
        </w:rPr>
        <w:t xml:space="preserve"> )</w:t>
      </w:r>
      <w:r w:rsidRPr="00835A22">
        <w:rPr>
          <w:i/>
          <w:lang w:val="en-GB"/>
        </w:rPr>
        <w:t>.</w:t>
      </w:r>
      <w:r w:rsidRPr="004021CF">
        <w:rPr>
          <w:lang w:val="en-GB"/>
        </w:rPr>
        <w:t xml:space="preserve"> </w:t>
      </w:r>
      <w:r w:rsidR="00B35A11" w:rsidRPr="004021CF">
        <w:rPr>
          <w:lang w:val="en-GB"/>
        </w:rPr>
        <w:t>London</w:t>
      </w:r>
      <w:r w:rsidRPr="004021CF">
        <w:rPr>
          <w:lang w:val="en-GB"/>
        </w:rPr>
        <w:t>: Routledge.</w:t>
      </w:r>
    </w:p>
    <w:p w14:paraId="2ADA4C94" w14:textId="77777777" w:rsidR="0056639F" w:rsidRPr="004021CF" w:rsidRDefault="0056639F" w:rsidP="00332A93">
      <w:pPr>
        <w:pStyle w:val="APAReferenceList"/>
        <w:spacing w:line="240" w:lineRule="atLeast"/>
        <w:rPr>
          <w:lang w:val="en-GB"/>
        </w:rPr>
      </w:pPr>
      <w:bookmarkStart w:id="16" w:name="_ENREF_15"/>
      <w:r w:rsidRPr="004021CF">
        <w:rPr>
          <w:lang w:val="en-GB"/>
        </w:rPr>
        <w:t>Klenowski, V., Askew, S., &amp; Carnell, E. (2006). Portfolio</w:t>
      </w:r>
      <w:r w:rsidR="006F12E0">
        <w:rPr>
          <w:lang w:val="en-GB"/>
        </w:rPr>
        <w:t>s for learning, assessment and professional development in higher e</w:t>
      </w:r>
      <w:r w:rsidRPr="004021CF">
        <w:rPr>
          <w:lang w:val="en-GB"/>
        </w:rPr>
        <w:t xml:space="preserve">ducation. </w:t>
      </w:r>
      <w:r w:rsidRPr="00835A22">
        <w:rPr>
          <w:i/>
          <w:lang w:val="en-GB"/>
        </w:rPr>
        <w:t>Assessment &amp; Evaluation in Higher Education, 31</w:t>
      </w:r>
      <w:r w:rsidRPr="004021CF">
        <w:rPr>
          <w:lang w:val="en-GB"/>
        </w:rPr>
        <w:t>, 267-286. doi: 10.1080/02602930500352816</w:t>
      </w:r>
      <w:bookmarkEnd w:id="16"/>
    </w:p>
    <w:p w14:paraId="13B88C74" w14:textId="77777777" w:rsidR="0056639F" w:rsidRPr="004021CF" w:rsidRDefault="0056639F" w:rsidP="00332A93">
      <w:pPr>
        <w:pStyle w:val="APAReferenceList"/>
        <w:spacing w:line="240" w:lineRule="atLeast"/>
        <w:rPr>
          <w:lang w:val="en-GB"/>
        </w:rPr>
      </w:pPr>
      <w:bookmarkStart w:id="17" w:name="_ENREF_16"/>
      <w:r w:rsidRPr="004021CF">
        <w:rPr>
          <w:lang w:val="en-GB"/>
        </w:rPr>
        <w:t xml:space="preserve">Lam, R. (2014). Promoting self-regulated learning through portfolio assessment: testimony and recommendations. </w:t>
      </w:r>
      <w:r w:rsidRPr="00835A22">
        <w:rPr>
          <w:i/>
          <w:lang w:val="en-GB"/>
        </w:rPr>
        <w:t>Assessment &amp; Evaluation in Higher Education, 39</w:t>
      </w:r>
      <w:r w:rsidRPr="004021CF">
        <w:rPr>
          <w:lang w:val="en-GB"/>
        </w:rPr>
        <w:t>, 699-714. doi: 10.1080/02602938.2013.862211</w:t>
      </w:r>
      <w:bookmarkEnd w:id="17"/>
    </w:p>
    <w:p w14:paraId="29F10AF2" w14:textId="77777777" w:rsidR="0056639F" w:rsidRPr="004021CF" w:rsidRDefault="0056639F" w:rsidP="00332A93">
      <w:pPr>
        <w:pStyle w:val="APAReferenceList"/>
        <w:spacing w:line="240" w:lineRule="atLeast"/>
        <w:rPr>
          <w:lang w:val="en-GB"/>
        </w:rPr>
      </w:pPr>
      <w:bookmarkStart w:id="18" w:name="_ENREF_18"/>
      <w:r w:rsidRPr="004021CF">
        <w:rPr>
          <w:lang w:val="en-GB"/>
        </w:rPr>
        <w:t xml:space="preserve">Maxwell, T. W., &amp; Kupczyk-Romanczuk, G. (2009). Producing the professional doctorate: the portfolio as a legitimate alternative to the dissertation. </w:t>
      </w:r>
      <w:r w:rsidRPr="00835A22">
        <w:rPr>
          <w:i/>
          <w:lang w:val="en-GB"/>
        </w:rPr>
        <w:t>Innovations in Education and Teaching International, 46</w:t>
      </w:r>
      <w:r w:rsidRPr="004021CF">
        <w:rPr>
          <w:lang w:val="en-GB"/>
        </w:rPr>
        <w:t>, 135-145. doi: 10.1080/14703290902843760</w:t>
      </w:r>
      <w:bookmarkEnd w:id="18"/>
    </w:p>
    <w:p w14:paraId="1F3DA05C" w14:textId="77777777" w:rsidR="009930B7" w:rsidRPr="004021CF" w:rsidRDefault="009930B7" w:rsidP="00332A93">
      <w:pPr>
        <w:pStyle w:val="APAReferenceList"/>
        <w:spacing w:line="240" w:lineRule="atLeast"/>
        <w:rPr>
          <w:lang w:val="en-GB"/>
        </w:rPr>
      </w:pPr>
      <w:r w:rsidRPr="009930B7">
        <w:t>Meeus, W., Van Looy, L., &amp; Van Petegem, P. (2</w:t>
      </w:r>
      <w:r w:rsidR="006F12E0">
        <w:t>006). Portfolio in higher education: Time for a clarificatory f</w:t>
      </w:r>
      <w:r w:rsidRPr="009930B7">
        <w:t xml:space="preserve">ramework. </w:t>
      </w:r>
      <w:r w:rsidRPr="009930B7">
        <w:rPr>
          <w:i/>
          <w:iCs/>
        </w:rPr>
        <w:t>International Journal of Teaching and Learning in Higher Education, 17</w:t>
      </w:r>
      <w:r w:rsidRPr="009930B7">
        <w:t xml:space="preserve">, 127-135. </w:t>
      </w:r>
      <w:hyperlink r:id="rId8" w:history="1">
        <w:r w:rsidRPr="009930B7">
          <w:rPr>
            <w:rStyle w:val="Hyperlink"/>
          </w:rPr>
          <w:t>http://www.isetl.org/ijtlhe/</w:t>
        </w:r>
      </w:hyperlink>
    </w:p>
    <w:p w14:paraId="1A3DB6FA" w14:textId="77777777" w:rsidR="0056639F" w:rsidRPr="004021CF" w:rsidRDefault="0056639F" w:rsidP="00332A93">
      <w:pPr>
        <w:pStyle w:val="APAReferenceList"/>
        <w:spacing w:line="240" w:lineRule="atLeast"/>
        <w:rPr>
          <w:lang w:val="en-GB"/>
        </w:rPr>
      </w:pPr>
    </w:p>
    <w:p w14:paraId="4CA14838" w14:textId="1EE5B42A" w:rsidR="003E2A94" w:rsidRPr="004021CF" w:rsidRDefault="003E2A94" w:rsidP="00332A93">
      <w:pPr>
        <w:pStyle w:val="APAReferenceList"/>
        <w:spacing w:line="240" w:lineRule="atLeast"/>
        <w:rPr>
          <w:lang w:val="en-GB"/>
        </w:rPr>
      </w:pPr>
      <w:r w:rsidRPr="004021CF">
        <w:rPr>
          <w:lang w:val="en-GB"/>
        </w:rPr>
        <w:t xml:space="preserve">Molloy, E., &amp; Boud, D. (2013). Changing conceptions of feedback. In D. Boud &amp; E. Molloy (Eds.), </w:t>
      </w:r>
      <w:r w:rsidRPr="00835A22">
        <w:rPr>
          <w:i/>
          <w:lang w:val="en-GB"/>
        </w:rPr>
        <w:t>Feedback in higher and professional education: understanding it and doing it well</w:t>
      </w:r>
      <w:r w:rsidR="006F12E0">
        <w:rPr>
          <w:i/>
          <w:lang w:val="en-GB"/>
        </w:rPr>
        <w:t xml:space="preserve"> </w:t>
      </w:r>
      <w:r w:rsidR="006F12E0">
        <w:rPr>
          <w:lang w:val="en-GB"/>
        </w:rPr>
        <w:t>(pp.</w:t>
      </w:r>
      <w:r w:rsidR="00AF54EF">
        <w:rPr>
          <w:lang w:val="en-GB"/>
        </w:rPr>
        <w:t xml:space="preserve"> 11 - 33</w:t>
      </w:r>
      <w:r w:rsidR="006F12E0">
        <w:rPr>
          <w:lang w:val="en-GB"/>
        </w:rPr>
        <w:t>)</w:t>
      </w:r>
      <w:r w:rsidRPr="00835A22">
        <w:rPr>
          <w:i/>
          <w:lang w:val="en-GB"/>
        </w:rPr>
        <w:t>.</w:t>
      </w:r>
      <w:r w:rsidRPr="004021CF">
        <w:rPr>
          <w:lang w:val="en-GB"/>
        </w:rPr>
        <w:t xml:space="preserve"> London: Routledge.</w:t>
      </w:r>
    </w:p>
    <w:p w14:paraId="625C7D69" w14:textId="77777777" w:rsidR="0056639F" w:rsidRPr="004021CF" w:rsidRDefault="0056639F" w:rsidP="00332A93">
      <w:pPr>
        <w:pStyle w:val="APAReferenceList"/>
        <w:spacing w:line="240" w:lineRule="atLeast"/>
        <w:rPr>
          <w:lang w:val="en-GB"/>
        </w:rPr>
      </w:pPr>
      <w:bookmarkStart w:id="19" w:name="_ENREF_21"/>
      <w:r w:rsidRPr="004021CF">
        <w:rPr>
          <w:lang w:val="en-GB"/>
        </w:rPr>
        <w:t xml:space="preserve">Nicol, D. (2010). From monologue to dialogue: improving written feedback processes in mass higher education. </w:t>
      </w:r>
      <w:r w:rsidRPr="00835A22">
        <w:rPr>
          <w:i/>
          <w:lang w:val="en-GB"/>
        </w:rPr>
        <w:t>Assessment &amp; Evaluation in Higher Education, 35</w:t>
      </w:r>
      <w:r w:rsidRPr="004021CF">
        <w:rPr>
          <w:lang w:val="en-GB"/>
        </w:rPr>
        <w:t>, 501-517. doi: 10.1080/02602931003786559</w:t>
      </w:r>
      <w:bookmarkEnd w:id="19"/>
    </w:p>
    <w:p w14:paraId="114402A9" w14:textId="77777777" w:rsidR="0056639F" w:rsidRPr="004021CF" w:rsidRDefault="0056639F" w:rsidP="00332A93">
      <w:pPr>
        <w:pStyle w:val="APAReferenceList"/>
        <w:spacing w:line="240" w:lineRule="atLeast"/>
        <w:rPr>
          <w:lang w:val="en-GB"/>
        </w:rPr>
      </w:pPr>
      <w:bookmarkStart w:id="20" w:name="_ENREF_22"/>
      <w:r w:rsidRPr="004021CF">
        <w:rPr>
          <w:lang w:val="en-GB"/>
        </w:rPr>
        <w:t>O</w:t>
      </w:r>
      <w:r w:rsidR="00835A22">
        <w:rPr>
          <w:lang w:val="en-GB"/>
        </w:rPr>
        <w:t xml:space="preserve">ccupational </w:t>
      </w:r>
      <w:r w:rsidRPr="004021CF">
        <w:rPr>
          <w:lang w:val="en-GB"/>
        </w:rPr>
        <w:t>T</w:t>
      </w:r>
      <w:r w:rsidR="00835A22">
        <w:rPr>
          <w:lang w:val="en-GB"/>
        </w:rPr>
        <w:t xml:space="preserve">herapy </w:t>
      </w:r>
      <w:r w:rsidRPr="004021CF">
        <w:rPr>
          <w:lang w:val="en-GB"/>
        </w:rPr>
        <w:t>C</w:t>
      </w:r>
      <w:r w:rsidR="00835A22">
        <w:rPr>
          <w:lang w:val="en-GB"/>
        </w:rPr>
        <w:t xml:space="preserve">ompetencies </w:t>
      </w:r>
      <w:r w:rsidRPr="004021CF">
        <w:rPr>
          <w:lang w:val="en-GB"/>
        </w:rPr>
        <w:t>A</w:t>
      </w:r>
      <w:r w:rsidR="00835A22">
        <w:rPr>
          <w:lang w:val="en-GB"/>
        </w:rPr>
        <w:t>ustralia</w:t>
      </w:r>
      <w:r w:rsidRPr="004021CF">
        <w:rPr>
          <w:lang w:val="en-GB"/>
        </w:rPr>
        <w:t xml:space="preserve">. (no date). </w:t>
      </w:r>
      <w:r w:rsidR="006F12E0">
        <w:rPr>
          <w:i/>
          <w:lang w:val="en-GB"/>
        </w:rPr>
        <w:t>Becoming competent to g</w:t>
      </w:r>
      <w:r w:rsidRPr="00835A22">
        <w:rPr>
          <w:i/>
          <w:lang w:val="en-GB"/>
        </w:rPr>
        <w:t>raduate:</w:t>
      </w:r>
      <w:r w:rsidR="006F12E0">
        <w:rPr>
          <w:i/>
          <w:lang w:val="en-GB"/>
        </w:rPr>
        <w:t xml:space="preserve"> Achieving the 2010 Australian minimum competency s</w:t>
      </w:r>
      <w:r w:rsidRPr="00835A22">
        <w:rPr>
          <w:i/>
          <w:lang w:val="en-GB"/>
        </w:rPr>
        <w:t>t</w:t>
      </w:r>
      <w:r w:rsidR="006F12E0">
        <w:rPr>
          <w:i/>
          <w:lang w:val="en-GB"/>
        </w:rPr>
        <w:t>andards for new graduate occupational t</w:t>
      </w:r>
      <w:r w:rsidRPr="00835A22">
        <w:rPr>
          <w:i/>
          <w:lang w:val="en-GB"/>
        </w:rPr>
        <w:t>herapists.</w:t>
      </w:r>
      <w:r w:rsidR="00835A22">
        <w:rPr>
          <w:lang w:val="en-GB"/>
        </w:rPr>
        <w:t xml:space="preserve"> </w:t>
      </w:r>
      <w:r w:rsidRPr="004021CF">
        <w:rPr>
          <w:lang w:val="en-GB"/>
        </w:rPr>
        <w:t>Re</w:t>
      </w:r>
      <w:r w:rsidR="00835A22">
        <w:rPr>
          <w:lang w:val="en-GB"/>
        </w:rPr>
        <w:t>trieved</w:t>
      </w:r>
      <w:r w:rsidRPr="004021CF">
        <w:rPr>
          <w:lang w:val="en-GB"/>
        </w:rPr>
        <w:t xml:space="preserve"> from https://otca.net.au/</w:t>
      </w:r>
      <w:bookmarkEnd w:id="20"/>
    </w:p>
    <w:p w14:paraId="7926B4E1" w14:textId="77777777" w:rsidR="00CB7854" w:rsidRPr="004021CF" w:rsidRDefault="00CB7854" w:rsidP="00332A93">
      <w:pPr>
        <w:pStyle w:val="APAReferenceList"/>
        <w:spacing w:line="240" w:lineRule="atLeast"/>
        <w:rPr>
          <w:lang w:val="en-GB"/>
        </w:rPr>
      </w:pPr>
      <w:r w:rsidRPr="004021CF">
        <w:rPr>
          <w:lang w:val="en-GB"/>
        </w:rPr>
        <w:t xml:space="preserve">Quinton, S., &amp; Smallbone, T. (2010). Feeding forward: using feedback to promote student reflection and learning – a teaching model. </w:t>
      </w:r>
      <w:r w:rsidRPr="00835A22">
        <w:rPr>
          <w:i/>
          <w:lang w:val="en-GB"/>
        </w:rPr>
        <w:t>Innovations in Education and Teaching International, 47</w:t>
      </w:r>
      <w:r w:rsidRPr="004021CF">
        <w:rPr>
          <w:lang w:val="en-GB"/>
        </w:rPr>
        <w:t>, 125-135. doi: 10.1080/14703290903525911</w:t>
      </w:r>
    </w:p>
    <w:p w14:paraId="5CF61160" w14:textId="77777777" w:rsidR="0056639F" w:rsidRPr="004021CF" w:rsidRDefault="0056639F" w:rsidP="00332A93">
      <w:pPr>
        <w:pStyle w:val="APAReferenceList"/>
        <w:spacing w:line="240" w:lineRule="atLeast"/>
        <w:rPr>
          <w:lang w:val="en-GB"/>
        </w:rPr>
      </w:pPr>
      <w:bookmarkStart w:id="21" w:name="_ENREF_24"/>
      <w:r w:rsidRPr="004021CF">
        <w:rPr>
          <w:lang w:val="en-GB"/>
        </w:rPr>
        <w:t xml:space="preserve">Ryan, S., Studdert, C., Sijpkes, P., Hills, C., &amp; Nguyen, K. (2013). </w:t>
      </w:r>
      <w:r w:rsidRPr="00835A22">
        <w:rPr>
          <w:i/>
          <w:lang w:val="en-GB"/>
        </w:rPr>
        <w:t>Creating student-focussed, web-learning resources to support the development of and provide evidence of occupational therapy students’ graduating competencies.</w:t>
      </w:r>
      <w:r w:rsidRPr="004021CF">
        <w:rPr>
          <w:lang w:val="en-GB"/>
        </w:rPr>
        <w:t xml:space="preserve"> Sydney: Australian Government Office for Learning and Teaching.</w:t>
      </w:r>
      <w:bookmarkEnd w:id="21"/>
      <w:r w:rsidR="004B7CCA">
        <w:rPr>
          <w:lang w:val="en-GB"/>
        </w:rPr>
        <w:t xml:space="preserve"> </w:t>
      </w:r>
      <w:r w:rsidR="00835A22">
        <w:rPr>
          <w:lang w:val="en-GB"/>
        </w:rPr>
        <w:t xml:space="preserve">Retrieved from </w:t>
      </w:r>
      <w:r w:rsidR="004B7CCA" w:rsidRPr="004B7CCA">
        <w:rPr>
          <w:lang w:val="en-GB"/>
        </w:rPr>
        <w:t>https://otca.net.au/pages/team</w:t>
      </w:r>
    </w:p>
    <w:p w14:paraId="6705709B" w14:textId="77777777" w:rsidR="0056639F" w:rsidRPr="004021CF" w:rsidRDefault="0056639F" w:rsidP="00332A93">
      <w:pPr>
        <w:pStyle w:val="APAReferenceList"/>
        <w:spacing w:line="240" w:lineRule="atLeast"/>
        <w:rPr>
          <w:lang w:val="en-GB"/>
        </w:rPr>
      </w:pPr>
      <w:bookmarkStart w:id="22" w:name="_ENREF_27"/>
      <w:r w:rsidRPr="004021CF">
        <w:rPr>
          <w:lang w:val="en-GB"/>
        </w:rPr>
        <w:t xml:space="preserve">Tochel, C., Haig, A., Hesketh, A., Cadzow, A., Beggs, K., Colthart, I., &amp; Peacock, H. (2009). The effectiveness of portfolios for post-graduate assessment and education: BEME Guide No 12. </w:t>
      </w:r>
      <w:r w:rsidRPr="00835A22">
        <w:rPr>
          <w:i/>
          <w:lang w:val="en-GB"/>
        </w:rPr>
        <w:t>Medical Teacher, 31</w:t>
      </w:r>
      <w:r w:rsidRPr="004021CF">
        <w:rPr>
          <w:lang w:val="en-GB"/>
        </w:rPr>
        <w:t>, 299-318. doi: 10.1080/01421590902883056</w:t>
      </w:r>
      <w:bookmarkEnd w:id="22"/>
    </w:p>
    <w:p w14:paraId="56BDD741" w14:textId="77777777" w:rsidR="0056639F" w:rsidRPr="004021CF" w:rsidRDefault="0056639F" w:rsidP="00332A93">
      <w:pPr>
        <w:pStyle w:val="APAReferenceList"/>
        <w:spacing w:line="240" w:lineRule="atLeast"/>
        <w:rPr>
          <w:lang w:val="en-GB"/>
        </w:rPr>
      </w:pPr>
      <w:bookmarkStart w:id="23" w:name="_ENREF_28"/>
      <w:r w:rsidRPr="004021CF">
        <w:rPr>
          <w:lang w:val="en-GB"/>
        </w:rPr>
        <w:t xml:space="preserve">van der Vleuten, C. P. M., Schuwirth, L. W. T., Driessen, E. W., Dijkstra, J., Tigelaar, D., Baartman, L. K. J., &amp; van Tartwijk, J. (2012). A model for programmatic assessment fit for purpose. </w:t>
      </w:r>
      <w:r w:rsidRPr="00835A22">
        <w:rPr>
          <w:i/>
          <w:lang w:val="en-GB"/>
        </w:rPr>
        <w:t>Medical Teacher, 34</w:t>
      </w:r>
      <w:r w:rsidRPr="004021CF">
        <w:rPr>
          <w:lang w:val="en-GB"/>
        </w:rPr>
        <w:t>, 205-214. doi: 10.3109/0142159X.2012.652239</w:t>
      </w:r>
      <w:bookmarkEnd w:id="23"/>
    </w:p>
    <w:p w14:paraId="4BF7B67F" w14:textId="77777777" w:rsidR="0056639F" w:rsidRPr="004021CF" w:rsidRDefault="0056639F" w:rsidP="00332A93">
      <w:pPr>
        <w:pStyle w:val="APAReferenceList"/>
        <w:spacing w:line="240" w:lineRule="atLeast"/>
        <w:rPr>
          <w:lang w:val="en-GB"/>
        </w:rPr>
      </w:pPr>
      <w:bookmarkStart w:id="24" w:name="_ENREF_29"/>
      <w:r w:rsidRPr="004021CF">
        <w:rPr>
          <w:lang w:val="en-GB"/>
        </w:rPr>
        <w:t xml:space="preserve">Van Tartwijk, J., Driessen, E., Van Der Vleuten, C., </w:t>
      </w:r>
      <w:r w:rsidR="006F12E0">
        <w:rPr>
          <w:lang w:val="en-GB"/>
        </w:rPr>
        <w:t>&amp; Stokking, K. (2007). Factors influencing the s</w:t>
      </w:r>
      <w:r w:rsidRPr="004021CF">
        <w:rPr>
          <w:lang w:val="en-GB"/>
        </w:rPr>
        <w:t xml:space="preserve">uccessful </w:t>
      </w:r>
      <w:r w:rsidR="006F12E0">
        <w:rPr>
          <w:lang w:val="en-GB"/>
        </w:rPr>
        <w:t>introduction of p</w:t>
      </w:r>
      <w:r w:rsidRPr="004021CF">
        <w:rPr>
          <w:lang w:val="en-GB"/>
        </w:rPr>
        <w:t xml:space="preserve">ortfolios. </w:t>
      </w:r>
      <w:r w:rsidRPr="00835A22">
        <w:rPr>
          <w:i/>
          <w:lang w:val="en-GB"/>
        </w:rPr>
        <w:t>Quality in Higher Education, 13</w:t>
      </w:r>
      <w:r w:rsidRPr="004021CF">
        <w:rPr>
          <w:lang w:val="en-GB"/>
        </w:rPr>
        <w:t>, 69-79. doi: 10.1080/13538320701272813</w:t>
      </w:r>
      <w:bookmarkEnd w:id="24"/>
    </w:p>
    <w:p w14:paraId="792116D3" w14:textId="77777777" w:rsidR="00006903" w:rsidRPr="004021CF" w:rsidRDefault="00006903" w:rsidP="00332A93">
      <w:pPr>
        <w:pStyle w:val="APAReferenceList"/>
        <w:spacing w:line="240" w:lineRule="atLeast"/>
        <w:rPr>
          <w:lang w:val="en-GB"/>
        </w:rPr>
      </w:pPr>
      <w:r w:rsidRPr="004021CF">
        <w:rPr>
          <w:lang w:val="en-GB"/>
        </w:rPr>
        <w:t xml:space="preserve">Wilhelm, J. D. (2000). Curatorial Collections: Cross-Curricular Design Portfolios. In B. S. Sunstein &amp; J. H. Lovell (Eds.), </w:t>
      </w:r>
      <w:r w:rsidR="00835A22">
        <w:rPr>
          <w:i/>
          <w:lang w:val="en-GB"/>
        </w:rPr>
        <w:t>The portfolio standard</w:t>
      </w:r>
      <w:r w:rsidR="006F12E0">
        <w:rPr>
          <w:i/>
          <w:lang w:val="en-GB"/>
        </w:rPr>
        <w:t>: H</w:t>
      </w:r>
      <w:r w:rsidRPr="00835A22">
        <w:rPr>
          <w:i/>
          <w:lang w:val="en-GB"/>
        </w:rPr>
        <w:t>ow students can show us what they know and are able to do</w:t>
      </w:r>
      <w:r w:rsidR="006F12E0">
        <w:rPr>
          <w:i/>
          <w:lang w:val="en-GB"/>
        </w:rPr>
        <w:t xml:space="preserve">, </w:t>
      </w:r>
      <w:r w:rsidR="006F12E0">
        <w:rPr>
          <w:lang w:val="en-GB"/>
        </w:rPr>
        <w:t xml:space="preserve">(pp. </w:t>
      </w:r>
      <w:r w:rsidR="00170BF9">
        <w:rPr>
          <w:lang w:val="en-GB"/>
        </w:rPr>
        <w:t>15-27</w:t>
      </w:r>
      <w:r w:rsidR="006F12E0">
        <w:rPr>
          <w:lang w:val="en-GB"/>
        </w:rPr>
        <w:t>)</w:t>
      </w:r>
      <w:r w:rsidR="00835A22">
        <w:rPr>
          <w:lang w:val="en-GB"/>
        </w:rPr>
        <w:t>.</w:t>
      </w:r>
      <w:r w:rsidRPr="004021CF">
        <w:rPr>
          <w:lang w:val="en-GB"/>
        </w:rPr>
        <w:t xml:space="preserve"> Portsmouth, NH: Heinemann.</w:t>
      </w:r>
    </w:p>
    <w:p w14:paraId="0D2342E5" w14:textId="1E17719B" w:rsidR="0056639F" w:rsidRPr="004021CF" w:rsidRDefault="0056639F" w:rsidP="00332A93">
      <w:pPr>
        <w:pStyle w:val="APAReferenceList"/>
        <w:spacing w:line="240" w:lineRule="atLeast"/>
        <w:rPr>
          <w:lang w:val="en-GB"/>
        </w:rPr>
      </w:pPr>
      <w:bookmarkStart w:id="25" w:name="_ENREF_30"/>
      <w:r w:rsidRPr="004021CF">
        <w:rPr>
          <w:lang w:val="en-GB"/>
        </w:rPr>
        <w:t>Wilia</w:t>
      </w:r>
      <w:r w:rsidR="000D7E82">
        <w:rPr>
          <w:lang w:val="en-GB"/>
        </w:rPr>
        <w:t xml:space="preserve">m, D. (2000). Keynote address: </w:t>
      </w:r>
      <w:r w:rsidRPr="004021CF">
        <w:rPr>
          <w:lang w:val="en-GB"/>
        </w:rPr>
        <w:t xml:space="preserve">Integrating summative and formative functions of assessment. </w:t>
      </w:r>
      <w:r w:rsidR="00EB3650">
        <w:rPr>
          <w:lang w:val="en-GB"/>
        </w:rPr>
        <w:t xml:space="preserve">Retrieved from </w:t>
      </w:r>
      <w:r w:rsidR="00EB3650" w:rsidRPr="00EB3650">
        <w:rPr>
          <w:lang w:val="en-GB"/>
        </w:rPr>
        <w:t>http://www.dylanwiliam.org/Dylan_Wiliams_website/Papers.html</w:t>
      </w:r>
      <w:bookmarkEnd w:id="25"/>
    </w:p>
    <w:p w14:paraId="0B69E13D" w14:textId="77777777" w:rsidR="00533F9F" w:rsidRPr="000A62B2" w:rsidRDefault="00533F9F" w:rsidP="0072291F">
      <w:pPr>
        <w:jc w:val="both"/>
        <w:rPr>
          <w:rFonts w:ascii="Cambria" w:hAnsi="Cambria"/>
          <w:noProof/>
        </w:rPr>
      </w:pPr>
    </w:p>
    <w:sectPr w:rsidR="00533F9F" w:rsidRPr="000A62B2" w:rsidSect="00894528">
      <w:footerReference w:type="even" r:id="rId9"/>
      <w:footerReference w:type="default" r:id="rId10"/>
      <w:pgSz w:w="11900" w:h="16840"/>
      <w:pgMar w:top="1440" w:right="1129"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1B465" w14:textId="77777777" w:rsidR="00CD7EB6" w:rsidRDefault="00CD7EB6">
      <w:r>
        <w:separator/>
      </w:r>
    </w:p>
  </w:endnote>
  <w:endnote w:type="continuationSeparator" w:id="0">
    <w:p w14:paraId="56746401" w14:textId="77777777" w:rsidR="00CD7EB6" w:rsidRDefault="00CD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C2EE3" w14:textId="77777777" w:rsidR="00E50E8E" w:rsidRDefault="00E50E8E" w:rsidP="006F1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DFAFE1" w14:textId="77777777" w:rsidR="00E50E8E" w:rsidRDefault="00E50E8E" w:rsidP="00372C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7CBE1" w14:textId="77777777" w:rsidR="00E50E8E" w:rsidRDefault="00E50E8E" w:rsidP="00170B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EB6">
      <w:rPr>
        <w:rStyle w:val="PageNumber"/>
        <w:noProof/>
      </w:rPr>
      <w:t>1</w:t>
    </w:r>
    <w:r>
      <w:rPr>
        <w:rStyle w:val="PageNumber"/>
      </w:rPr>
      <w:fldChar w:fldCharType="end"/>
    </w:r>
  </w:p>
  <w:p w14:paraId="4A655BBE" w14:textId="77777777" w:rsidR="00E50E8E" w:rsidRPr="00D92BC4" w:rsidRDefault="00E50E8E" w:rsidP="00B42B6A">
    <w:pPr>
      <w:pStyle w:val="Footer"/>
      <w:ind w:right="360"/>
      <w:jc w:val="center"/>
      <w:rPr>
        <w:rFonts w:ascii="Times New Roman" w:hAnsi="Times New Roman" w:cs="Times New Roman"/>
        <w:sz w:val="20"/>
        <w:szCs w:val="20"/>
      </w:rPr>
    </w:pPr>
  </w:p>
  <w:p w14:paraId="2D7D5C2B" w14:textId="77777777" w:rsidR="00E50E8E" w:rsidRDefault="00E50E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9D7A1" w14:textId="77777777" w:rsidR="00CD7EB6" w:rsidRDefault="00CD7EB6">
      <w:r>
        <w:separator/>
      </w:r>
    </w:p>
  </w:footnote>
  <w:footnote w:type="continuationSeparator" w:id="0">
    <w:p w14:paraId="648C1491" w14:textId="77777777" w:rsidR="00CD7EB6" w:rsidRDefault="00CD7EB6">
      <w:r>
        <w:continuationSeparator/>
      </w:r>
    </w:p>
  </w:footnote>
  <w:footnote w:id="1">
    <w:p w14:paraId="3893FD82" w14:textId="77777777" w:rsidR="00E50E8E" w:rsidRDefault="00E50E8E">
      <w:pPr>
        <w:pStyle w:val="FootnoteText"/>
      </w:pPr>
      <w:r w:rsidRPr="006F12E0">
        <w:rPr>
          <w:rStyle w:val="FootnoteReference"/>
        </w:rPr>
        <w:sym w:font="Symbol" w:char="F02A"/>
      </w:r>
      <w:r>
        <w:t xml:space="preserve"> Corresponding author: Email: </w:t>
      </w:r>
      <w:hyperlink r:id="rId1" w:history="1">
        <w:r w:rsidRPr="005823DD">
          <w:rPr>
            <w:rStyle w:val="Hyperlink"/>
          </w:rPr>
          <w:t>jillian.clarke@sydney.edu.au</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57CA"/>
    <w:multiLevelType w:val="hybridMultilevel"/>
    <w:tmpl w:val="D4C8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35DF3"/>
    <w:multiLevelType w:val="hybridMultilevel"/>
    <w:tmpl w:val="0AF00D62"/>
    <w:lvl w:ilvl="0" w:tplc="1A044D76">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6C0933"/>
    <w:multiLevelType w:val="hybridMultilevel"/>
    <w:tmpl w:val="40265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9078D"/>
    <w:multiLevelType w:val="hybridMultilevel"/>
    <w:tmpl w:val="D3E6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26DB8"/>
    <w:multiLevelType w:val="hybridMultilevel"/>
    <w:tmpl w:val="093A3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E47C9"/>
    <w:multiLevelType w:val="hybridMultilevel"/>
    <w:tmpl w:val="E684E77E"/>
    <w:lvl w:ilvl="0" w:tplc="D2023FB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35E0184"/>
    <w:multiLevelType w:val="hybridMultilevel"/>
    <w:tmpl w:val="EE6EB630"/>
    <w:lvl w:ilvl="0" w:tplc="203290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0736C"/>
    <w:multiLevelType w:val="hybridMultilevel"/>
    <w:tmpl w:val="B52CCAC8"/>
    <w:lvl w:ilvl="0" w:tplc="D26C09E6">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E72FA"/>
    <w:multiLevelType w:val="multilevel"/>
    <w:tmpl w:val="093A3AA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E261C34"/>
    <w:multiLevelType w:val="hybridMultilevel"/>
    <w:tmpl w:val="45680CD6"/>
    <w:lvl w:ilvl="0" w:tplc="C09A43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E6203"/>
    <w:multiLevelType w:val="multilevel"/>
    <w:tmpl w:val="B52CCAC8"/>
    <w:lvl w:ilvl="0">
      <w:start w:val="1"/>
      <w:numFmt w:val="decimal"/>
      <w:lvlText w:val="%1."/>
      <w:lvlJc w:val="left"/>
      <w:pPr>
        <w:ind w:left="1080" w:hanging="72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2E2EAA"/>
    <w:multiLevelType w:val="multilevel"/>
    <w:tmpl w:val="A8963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116E9D"/>
    <w:multiLevelType w:val="hybridMultilevel"/>
    <w:tmpl w:val="6D1C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43D95"/>
    <w:multiLevelType w:val="hybridMultilevel"/>
    <w:tmpl w:val="716CBD82"/>
    <w:lvl w:ilvl="0" w:tplc="C09A43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43C36"/>
    <w:multiLevelType w:val="hybridMultilevel"/>
    <w:tmpl w:val="E684E77E"/>
    <w:lvl w:ilvl="0" w:tplc="D2023FB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3E56676"/>
    <w:multiLevelType w:val="hybridMultilevel"/>
    <w:tmpl w:val="34C613D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60C39"/>
    <w:multiLevelType w:val="multilevel"/>
    <w:tmpl w:val="D4C87B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99801C9"/>
    <w:multiLevelType w:val="multilevel"/>
    <w:tmpl w:val="FEE4228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105EA3"/>
    <w:multiLevelType w:val="hybridMultilevel"/>
    <w:tmpl w:val="A896363C"/>
    <w:lvl w:ilvl="0" w:tplc="285481A2">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460CE"/>
    <w:multiLevelType w:val="hybridMultilevel"/>
    <w:tmpl w:val="EED8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363CE"/>
    <w:multiLevelType w:val="hybridMultilevel"/>
    <w:tmpl w:val="2DFEDC7C"/>
    <w:lvl w:ilvl="0" w:tplc="E452C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83004"/>
    <w:multiLevelType w:val="hybridMultilevel"/>
    <w:tmpl w:val="09F2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684557"/>
    <w:multiLevelType w:val="hybridMultilevel"/>
    <w:tmpl w:val="C61E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C01CB"/>
    <w:multiLevelType w:val="hybridMultilevel"/>
    <w:tmpl w:val="FEE42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EC1903"/>
    <w:multiLevelType w:val="hybridMultilevel"/>
    <w:tmpl w:val="6D1C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9"/>
  </w:num>
  <w:num w:numId="4">
    <w:abstractNumId w:val="21"/>
  </w:num>
  <w:num w:numId="5">
    <w:abstractNumId w:val="7"/>
  </w:num>
  <w:num w:numId="6">
    <w:abstractNumId w:val="6"/>
  </w:num>
  <w:num w:numId="7">
    <w:abstractNumId w:val="0"/>
  </w:num>
  <w:num w:numId="8">
    <w:abstractNumId w:val="15"/>
  </w:num>
  <w:num w:numId="9">
    <w:abstractNumId w:val="3"/>
  </w:num>
  <w:num w:numId="10">
    <w:abstractNumId w:val="22"/>
  </w:num>
  <w:num w:numId="11">
    <w:abstractNumId w:val="2"/>
  </w:num>
  <w:num w:numId="12">
    <w:abstractNumId w:val="10"/>
  </w:num>
  <w:num w:numId="13">
    <w:abstractNumId w:val="20"/>
  </w:num>
  <w:num w:numId="14">
    <w:abstractNumId w:val="1"/>
  </w:num>
  <w:num w:numId="15">
    <w:abstractNumId w:val="24"/>
  </w:num>
  <w:num w:numId="16">
    <w:abstractNumId w:val="12"/>
  </w:num>
  <w:num w:numId="17">
    <w:abstractNumId w:val="18"/>
  </w:num>
  <w:num w:numId="18">
    <w:abstractNumId w:val="16"/>
  </w:num>
  <w:num w:numId="19">
    <w:abstractNumId w:val="4"/>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1"/>
  </w:num>
  <w:num w:numId="27">
    <w:abstractNumId w:val="23"/>
  </w:num>
  <w:num w:numId="28">
    <w:abstractNumId w:val="18"/>
  </w:num>
  <w:num w:numId="29">
    <w:abstractNumId w:val="18"/>
  </w:num>
  <w:num w:numId="30">
    <w:abstractNumId w:val="8"/>
  </w:num>
  <w:num w:numId="31">
    <w:abstractNumId w:val="9"/>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6639F"/>
    <w:rsid w:val="00006903"/>
    <w:rsid w:val="00007E6F"/>
    <w:rsid w:val="000119DB"/>
    <w:rsid w:val="00015FBE"/>
    <w:rsid w:val="00023CB7"/>
    <w:rsid w:val="00023CF3"/>
    <w:rsid w:val="00027644"/>
    <w:rsid w:val="00040074"/>
    <w:rsid w:val="00041D3C"/>
    <w:rsid w:val="00047B0F"/>
    <w:rsid w:val="000517F2"/>
    <w:rsid w:val="000579F8"/>
    <w:rsid w:val="00061E3D"/>
    <w:rsid w:val="00063E9C"/>
    <w:rsid w:val="00072B5B"/>
    <w:rsid w:val="0007467E"/>
    <w:rsid w:val="0008351C"/>
    <w:rsid w:val="00084B1D"/>
    <w:rsid w:val="000918FB"/>
    <w:rsid w:val="00091E9F"/>
    <w:rsid w:val="00096B89"/>
    <w:rsid w:val="000A5A8A"/>
    <w:rsid w:val="000A62B2"/>
    <w:rsid w:val="000C2EB1"/>
    <w:rsid w:val="000C445F"/>
    <w:rsid w:val="000C4DB5"/>
    <w:rsid w:val="000C705C"/>
    <w:rsid w:val="000D07E6"/>
    <w:rsid w:val="000D22DE"/>
    <w:rsid w:val="000D729A"/>
    <w:rsid w:val="000D7E82"/>
    <w:rsid w:val="000E163F"/>
    <w:rsid w:val="000E615C"/>
    <w:rsid w:val="000F11CB"/>
    <w:rsid w:val="000F7D98"/>
    <w:rsid w:val="00130DB6"/>
    <w:rsid w:val="00131A95"/>
    <w:rsid w:val="00163B8C"/>
    <w:rsid w:val="001655F3"/>
    <w:rsid w:val="00170BF9"/>
    <w:rsid w:val="0017633D"/>
    <w:rsid w:val="00191B71"/>
    <w:rsid w:val="00191D36"/>
    <w:rsid w:val="0019282A"/>
    <w:rsid w:val="00193BDF"/>
    <w:rsid w:val="00196A88"/>
    <w:rsid w:val="001B36CC"/>
    <w:rsid w:val="001C1874"/>
    <w:rsid w:val="001D7405"/>
    <w:rsid w:val="001E7463"/>
    <w:rsid w:val="001F2AF7"/>
    <w:rsid w:val="001F6D6A"/>
    <w:rsid w:val="00216DF0"/>
    <w:rsid w:val="00230982"/>
    <w:rsid w:val="00235578"/>
    <w:rsid w:val="00235D6A"/>
    <w:rsid w:val="00242477"/>
    <w:rsid w:val="00242B68"/>
    <w:rsid w:val="00251647"/>
    <w:rsid w:val="00251A7A"/>
    <w:rsid w:val="002552BF"/>
    <w:rsid w:val="00266FE0"/>
    <w:rsid w:val="002720B2"/>
    <w:rsid w:val="002776ED"/>
    <w:rsid w:val="0029019B"/>
    <w:rsid w:val="00292021"/>
    <w:rsid w:val="002A2757"/>
    <w:rsid w:val="002B34BF"/>
    <w:rsid w:val="002C5CD1"/>
    <w:rsid w:val="002C652E"/>
    <w:rsid w:val="002D571D"/>
    <w:rsid w:val="002E5F53"/>
    <w:rsid w:val="002F1E21"/>
    <w:rsid w:val="002F4AD1"/>
    <w:rsid w:val="00310AB6"/>
    <w:rsid w:val="00321F66"/>
    <w:rsid w:val="003223BD"/>
    <w:rsid w:val="0033055F"/>
    <w:rsid w:val="00330C85"/>
    <w:rsid w:val="00332A93"/>
    <w:rsid w:val="003447A7"/>
    <w:rsid w:val="00351CC1"/>
    <w:rsid w:val="00354919"/>
    <w:rsid w:val="00362CD9"/>
    <w:rsid w:val="0036536F"/>
    <w:rsid w:val="00370D78"/>
    <w:rsid w:val="00372CFB"/>
    <w:rsid w:val="00385979"/>
    <w:rsid w:val="0039152E"/>
    <w:rsid w:val="003934B0"/>
    <w:rsid w:val="00394DE2"/>
    <w:rsid w:val="003A120E"/>
    <w:rsid w:val="003A4D32"/>
    <w:rsid w:val="003B46B8"/>
    <w:rsid w:val="003B7B5B"/>
    <w:rsid w:val="003E2A94"/>
    <w:rsid w:val="003F3761"/>
    <w:rsid w:val="003F7529"/>
    <w:rsid w:val="004021CF"/>
    <w:rsid w:val="004110D6"/>
    <w:rsid w:val="00414CE6"/>
    <w:rsid w:val="00422322"/>
    <w:rsid w:val="00425999"/>
    <w:rsid w:val="004336B7"/>
    <w:rsid w:val="00435BD0"/>
    <w:rsid w:val="004407A0"/>
    <w:rsid w:val="0044572E"/>
    <w:rsid w:val="004614B6"/>
    <w:rsid w:val="00471537"/>
    <w:rsid w:val="00473269"/>
    <w:rsid w:val="0048596D"/>
    <w:rsid w:val="004913D1"/>
    <w:rsid w:val="004945AB"/>
    <w:rsid w:val="004A710B"/>
    <w:rsid w:val="004B7CCA"/>
    <w:rsid w:val="004C20CB"/>
    <w:rsid w:val="004D48A1"/>
    <w:rsid w:val="004F6B47"/>
    <w:rsid w:val="004F7625"/>
    <w:rsid w:val="004F7EB8"/>
    <w:rsid w:val="005060D6"/>
    <w:rsid w:val="00525CA1"/>
    <w:rsid w:val="00530570"/>
    <w:rsid w:val="00533F9F"/>
    <w:rsid w:val="005426F3"/>
    <w:rsid w:val="00546723"/>
    <w:rsid w:val="00553847"/>
    <w:rsid w:val="0056639F"/>
    <w:rsid w:val="00566508"/>
    <w:rsid w:val="00566E5E"/>
    <w:rsid w:val="00570685"/>
    <w:rsid w:val="00573836"/>
    <w:rsid w:val="005834C8"/>
    <w:rsid w:val="00590316"/>
    <w:rsid w:val="005B1456"/>
    <w:rsid w:val="005C7A43"/>
    <w:rsid w:val="005C7B01"/>
    <w:rsid w:val="005F0DFB"/>
    <w:rsid w:val="005F40DC"/>
    <w:rsid w:val="00614A4B"/>
    <w:rsid w:val="00614B2A"/>
    <w:rsid w:val="00637FDA"/>
    <w:rsid w:val="00673811"/>
    <w:rsid w:val="00674846"/>
    <w:rsid w:val="00675713"/>
    <w:rsid w:val="00676C2E"/>
    <w:rsid w:val="00680768"/>
    <w:rsid w:val="00686A18"/>
    <w:rsid w:val="00690A43"/>
    <w:rsid w:val="006A4DA5"/>
    <w:rsid w:val="006A78A8"/>
    <w:rsid w:val="006B0401"/>
    <w:rsid w:val="006B7A58"/>
    <w:rsid w:val="006B7E3A"/>
    <w:rsid w:val="006C084D"/>
    <w:rsid w:val="006C1BEF"/>
    <w:rsid w:val="006D0D9D"/>
    <w:rsid w:val="006D12B4"/>
    <w:rsid w:val="006D1434"/>
    <w:rsid w:val="006E6E0A"/>
    <w:rsid w:val="006F12E0"/>
    <w:rsid w:val="00701FCD"/>
    <w:rsid w:val="00705D3B"/>
    <w:rsid w:val="0072291F"/>
    <w:rsid w:val="00725DDE"/>
    <w:rsid w:val="00726211"/>
    <w:rsid w:val="007326F6"/>
    <w:rsid w:val="007564B5"/>
    <w:rsid w:val="007572CD"/>
    <w:rsid w:val="00763196"/>
    <w:rsid w:val="007667B3"/>
    <w:rsid w:val="00771A86"/>
    <w:rsid w:val="00782BAD"/>
    <w:rsid w:val="00787BBF"/>
    <w:rsid w:val="00797226"/>
    <w:rsid w:val="007A0A88"/>
    <w:rsid w:val="007A4896"/>
    <w:rsid w:val="007B190E"/>
    <w:rsid w:val="007B2E73"/>
    <w:rsid w:val="007B4BF1"/>
    <w:rsid w:val="007B7136"/>
    <w:rsid w:val="007C0F0D"/>
    <w:rsid w:val="007C30E0"/>
    <w:rsid w:val="007C3949"/>
    <w:rsid w:val="007C628C"/>
    <w:rsid w:val="007D0186"/>
    <w:rsid w:val="007D690B"/>
    <w:rsid w:val="007E5A13"/>
    <w:rsid w:val="007E6DD1"/>
    <w:rsid w:val="007F02C0"/>
    <w:rsid w:val="007F09CB"/>
    <w:rsid w:val="00800735"/>
    <w:rsid w:val="00802ECA"/>
    <w:rsid w:val="008114F1"/>
    <w:rsid w:val="00817BED"/>
    <w:rsid w:val="00833CAB"/>
    <w:rsid w:val="00835A22"/>
    <w:rsid w:val="00855C1C"/>
    <w:rsid w:val="00862CE8"/>
    <w:rsid w:val="008679CE"/>
    <w:rsid w:val="00871598"/>
    <w:rsid w:val="008728E8"/>
    <w:rsid w:val="00876837"/>
    <w:rsid w:val="00887528"/>
    <w:rsid w:val="00894528"/>
    <w:rsid w:val="008A2D9B"/>
    <w:rsid w:val="008A3F2F"/>
    <w:rsid w:val="008B38EB"/>
    <w:rsid w:val="008B67D3"/>
    <w:rsid w:val="008E4B78"/>
    <w:rsid w:val="008E7A69"/>
    <w:rsid w:val="008F0722"/>
    <w:rsid w:val="00902343"/>
    <w:rsid w:val="00903152"/>
    <w:rsid w:val="009061DF"/>
    <w:rsid w:val="00915A02"/>
    <w:rsid w:val="00923642"/>
    <w:rsid w:val="00925EB6"/>
    <w:rsid w:val="0094112D"/>
    <w:rsid w:val="00942C40"/>
    <w:rsid w:val="00944702"/>
    <w:rsid w:val="00954DD4"/>
    <w:rsid w:val="00954E09"/>
    <w:rsid w:val="00970454"/>
    <w:rsid w:val="00972301"/>
    <w:rsid w:val="0097535E"/>
    <w:rsid w:val="0098575C"/>
    <w:rsid w:val="009930B7"/>
    <w:rsid w:val="00994868"/>
    <w:rsid w:val="009A261D"/>
    <w:rsid w:val="009A277C"/>
    <w:rsid w:val="009B0415"/>
    <w:rsid w:val="009B260F"/>
    <w:rsid w:val="009B5FD3"/>
    <w:rsid w:val="009C3B34"/>
    <w:rsid w:val="009E57CA"/>
    <w:rsid w:val="009F31D1"/>
    <w:rsid w:val="00A16691"/>
    <w:rsid w:val="00A24069"/>
    <w:rsid w:val="00A265CF"/>
    <w:rsid w:val="00A37416"/>
    <w:rsid w:val="00A55C78"/>
    <w:rsid w:val="00A57916"/>
    <w:rsid w:val="00A639CC"/>
    <w:rsid w:val="00A726DC"/>
    <w:rsid w:val="00A905CF"/>
    <w:rsid w:val="00AA2D26"/>
    <w:rsid w:val="00AB3CC4"/>
    <w:rsid w:val="00AB41BC"/>
    <w:rsid w:val="00AC38BA"/>
    <w:rsid w:val="00AC4D87"/>
    <w:rsid w:val="00AC4EBA"/>
    <w:rsid w:val="00AD0C6F"/>
    <w:rsid w:val="00AD55C8"/>
    <w:rsid w:val="00AD75F9"/>
    <w:rsid w:val="00AF2E77"/>
    <w:rsid w:val="00AF2ED9"/>
    <w:rsid w:val="00AF54EF"/>
    <w:rsid w:val="00B01920"/>
    <w:rsid w:val="00B03DC4"/>
    <w:rsid w:val="00B0546C"/>
    <w:rsid w:val="00B122EC"/>
    <w:rsid w:val="00B15A0A"/>
    <w:rsid w:val="00B20CB7"/>
    <w:rsid w:val="00B244B0"/>
    <w:rsid w:val="00B35A11"/>
    <w:rsid w:val="00B42B6A"/>
    <w:rsid w:val="00B46886"/>
    <w:rsid w:val="00B46B77"/>
    <w:rsid w:val="00B63E59"/>
    <w:rsid w:val="00B713AE"/>
    <w:rsid w:val="00B731D4"/>
    <w:rsid w:val="00B7642A"/>
    <w:rsid w:val="00B7653B"/>
    <w:rsid w:val="00B81C5E"/>
    <w:rsid w:val="00B86211"/>
    <w:rsid w:val="00B911D0"/>
    <w:rsid w:val="00BA0B1F"/>
    <w:rsid w:val="00BA6EEB"/>
    <w:rsid w:val="00BB191F"/>
    <w:rsid w:val="00BB6B59"/>
    <w:rsid w:val="00BD5C47"/>
    <w:rsid w:val="00BE0062"/>
    <w:rsid w:val="00BF1AB7"/>
    <w:rsid w:val="00BF3B71"/>
    <w:rsid w:val="00C0446F"/>
    <w:rsid w:val="00C22799"/>
    <w:rsid w:val="00C34B59"/>
    <w:rsid w:val="00C6708A"/>
    <w:rsid w:val="00C72543"/>
    <w:rsid w:val="00C729D4"/>
    <w:rsid w:val="00C73051"/>
    <w:rsid w:val="00C73CEC"/>
    <w:rsid w:val="00C778BF"/>
    <w:rsid w:val="00CB65EE"/>
    <w:rsid w:val="00CB7854"/>
    <w:rsid w:val="00CC59EF"/>
    <w:rsid w:val="00CD014D"/>
    <w:rsid w:val="00CD46F5"/>
    <w:rsid w:val="00CD7EB6"/>
    <w:rsid w:val="00CE3449"/>
    <w:rsid w:val="00CF3AF9"/>
    <w:rsid w:val="00D20766"/>
    <w:rsid w:val="00D27C9F"/>
    <w:rsid w:val="00D31BBF"/>
    <w:rsid w:val="00D32112"/>
    <w:rsid w:val="00D36C08"/>
    <w:rsid w:val="00D5158F"/>
    <w:rsid w:val="00D63D3C"/>
    <w:rsid w:val="00D64AF8"/>
    <w:rsid w:val="00D74864"/>
    <w:rsid w:val="00D92C85"/>
    <w:rsid w:val="00D93229"/>
    <w:rsid w:val="00D93F15"/>
    <w:rsid w:val="00DC2579"/>
    <w:rsid w:val="00DC25E7"/>
    <w:rsid w:val="00DD0C55"/>
    <w:rsid w:val="00DD1C84"/>
    <w:rsid w:val="00DF711D"/>
    <w:rsid w:val="00E0357D"/>
    <w:rsid w:val="00E12429"/>
    <w:rsid w:val="00E14E7A"/>
    <w:rsid w:val="00E31141"/>
    <w:rsid w:val="00E43299"/>
    <w:rsid w:val="00E50E5D"/>
    <w:rsid w:val="00E50E8E"/>
    <w:rsid w:val="00E53C35"/>
    <w:rsid w:val="00E62932"/>
    <w:rsid w:val="00E633E1"/>
    <w:rsid w:val="00E63AB9"/>
    <w:rsid w:val="00E709CE"/>
    <w:rsid w:val="00E75D2C"/>
    <w:rsid w:val="00E81698"/>
    <w:rsid w:val="00E87CC6"/>
    <w:rsid w:val="00E9069E"/>
    <w:rsid w:val="00E93FA6"/>
    <w:rsid w:val="00E96349"/>
    <w:rsid w:val="00E96508"/>
    <w:rsid w:val="00EB10AE"/>
    <w:rsid w:val="00EB3650"/>
    <w:rsid w:val="00EB584C"/>
    <w:rsid w:val="00EE106B"/>
    <w:rsid w:val="00EE193D"/>
    <w:rsid w:val="00EE5FC2"/>
    <w:rsid w:val="00EF4880"/>
    <w:rsid w:val="00EF6BB6"/>
    <w:rsid w:val="00F000B4"/>
    <w:rsid w:val="00F00600"/>
    <w:rsid w:val="00F11E61"/>
    <w:rsid w:val="00F30199"/>
    <w:rsid w:val="00F30E20"/>
    <w:rsid w:val="00F4500D"/>
    <w:rsid w:val="00F50C25"/>
    <w:rsid w:val="00F523C8"/>
    <w:rsid w:val="00F53A29"/>
    <w:rsid w:val="00F564D1"/>
    <w:rsid w:val="00F849D0"/>
    <w:rsid w:val="00F919E5"/>
    <w:rsid w:val="00FB16E0"/>
    <w:rsid w:val="00FB1E66"/>
    <w:rsid w:val="00FD2F2F"/>
    <w:rsid w:val="00FE1464"/>
    <w:rsid w:val="00FE5E97"/>
    <w:rsid w:val="00FE69A8"/>
    <w:rsid w:val="00FE6F27"/>
    <w:rsid w:val="00FF35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3D1B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39F"/>
    <w:rPr>
      <w:lang w:eastAsia="ja-JP"/>
    </w:rPr>
  </w:style>
  <w:style w:type="paragraph" w:styleId="Heading1">
    <w:name w:val="heading 1"/>
    <w:basedOn w:val="Normal"/>
    <w:next w:val="Normal"/>
    <w:link w:val="Heading1Char"/>
    <w:qFormat/>
    <w:rsid w:val="000D07E6"/>
    <w:pPr>
      <w:spacing w:before="360" w:after="60" w:line="360" w:lineRule="auto"/>
      <w:ind w:right="567"/>
      <w:outlineLvl w:val="0"/>
    </w:pPr>
    <w:rPr>
      <w:rFonts w:ascii="Times New Roman" w:eastAsia="Times New Roman" w:hAnsi="Times New Roman" w:cs="Times New Roman"/>
      <w:b/>
      <w:lang w:val="en-AU" w:eastAsia="en-US"/>
    </w:rPr>
  </w:style>
  <w:style w:type="paragraph" w:styleId="Heading2">
    <w:name w:val="heading 2"/>
    <w:basedOn w:val="Normal"/>
    <w:next w:val="Normal"/>
    <w:link w:val="Heading2Char"/>
    <w:qFormat/>
    <w:rsid w:val="00566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663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6639F"/>
    <w:rPr>
      <w:rFonts w:ascii="Tahoma" w:hAnsi="Tahoma" w:cs="Tahoma"/>
      <w:sz w:val="16"/>
      <w:szCs w:val="16"/>
    </w:rPr>
  </w:style>
  <w:style w:type="character" w:customStyle="1" w:styleId="BalloonTextChar">
    <w:name w:val="Balloon Text Char"/>
    <w:basedOn w:val="DefaultParagraphFont"/>
    <w:link w:val="BalloonText"/>
    <w:rsid w:val="0056639F"/>
    <w:rPr>
      <w:rFonts w:ascii="Tahoma" w:hAnsi="Tahoma" w:cs="Tahoma"/>
      <w:sz w:val="16"/>
      <w:szCs w:val="16"/>
      <w:lang w:eastAsia="ja-JP"/>
    </w:rPr>
  </w:style>
  <w:style w:type="character" w:customStyle="1" w:styleId="Heading2Char">
    <w:name w:val="Heading 2 Char"/>
    <w:basedOn w:val="DefaultParagraphFont"/>
    <w:link w:val="Heading2"/>
    <w:rsid w:val="0056639F"/>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rsid w:val="0056639F"/>
    <w:rPr>
      <w:rFonts w:asciiTheme="majorHAnsi" w:eastAsiaTheme="majorEastAsia" w:hAnsiTheme="majorHAnsi" w:cstheme="majorBidi"/>
      <w:b/>
      <w:bCs/>
      <w:color w:val="4F81BD" w:themeColor="accent1"/>
      <w:lang w:eastAsia="ja-JP"/>
    </w:rPr>
  </w:style>
  <w:style w:type="paragraph" w:styleId="ListParagraph">
    <w:name w:val="List Paragraph"/>
    <w:basedOn w:val="Normal"/>
    <w:uiPriority w:val="34"/>
    <w:qFormat/>
    <w:rsid w:val="0056639F"/>
    <w:pPr>
      <w:spacing w:after="200" w:line="276" w:lineRule="auto"/>
      <w:ind w:left="720"/>
      <w:contextualSpacing/>
    </w:pPr>
    <w:rPr>
      <w:sz w:val="22"/>
      <w:szCs w:val="22"/>
      <w:lang w:val="en-AU"/>
    </w:rPr>
  </w:style>
  <w:style w:type="paragraph" w:customStyle="1" w:styleId="EEBody">
    <w:name w:val="EE Body"/>
    <w:basedOn w:val="Normal"/>
    <w:link w:val="EEBodyChar"/>
    <w:qFormat/>
    <w:rsid w:val="0056639F"/>
    <w:pPr>
      <w:spacing w:line="360" w:lineRule="auto"/>
    </w:pPr>
    <w:rPr>
      <w:rFonts w:ascii="Times New Roman" w:eastAsia="Times New Roman" w:hAnsi="Times New Roman" w:cs="Times New Roman"/>
      <w:lang w:eastAsia="en-GB"/>
    </w:rPr>
  </w:style>
  <w:style w:type="character" w:customStyle="1" w:styleId="EEBodyChar">
    <w:name w:val="EE Body Char"/>
    <w:link w:val="EEBody"/>
    <w:rsid w:val="0056639F"/>
    <w:rPr>
      <w:rFonts w:ascii="Times New Roman" w:eastAsia="Times New Roman" w:hAnsi="Times New Roman" w:cs="Times New Roman"/>
      <w:lang w:eastAsia="en-GB"/>
    </w:rPr>
  </w:style>
  <w:style w:type="paragraph" w:customStyle="1" w:styleId="Newparagraph">
    <w:name w:val="New paragraph"/>
    <w:basedOn w:val="Normal"/>
    <w:link w:val="NewparagraphChar"/>
    <w:qFormat/>
    <w:rsid w:val="0056639F"/>
    <w:pPr>
      <w:spacing w:line="480" w:lineRule="auto"/>
      <w:ind w:firstLine="720"/>
    </w:pPr>
    <w:rPr>
      <w:rFonts w:ascii="Times New Roman" w:eastAsia="Times New Roman" w:hAnsi="Times New Roman" w:cs="Times New Roman"/>
      <w:lang w:val="en-GB" w:eastAsia="en-GB"/>
    </w:rPr>
  </w:style>
  <w:style w:type="character" w:customStyle="1" w:styleId="NewparagraphChar">
    <w:name w:val="New paragraph Char"/>
    <w:link w:val="Newparagraph"/>
    <w:rsid w:val="0056639F"/>
    <w:rPr>
      <w:rFonts w:ascii="Times New Roman" w:eastAsia="Times New Roman" w:hAnsi="Times New Roman" w:cs="Times New Roman"/>
      <w:lang w:val="en-GB" w:eastAsia="en-GB"/>
    </w:rPr>
  </w:style>
  <w:style w:type="paragraph" w:customStyle="1" w:styleId="EEblockquotation">
    <w:name w:val="EE block quotation"/>
    <w:basedOn w:val="Newparagraph"/>
    <w:link w:val="EEblockquotationChar"/>
    <w:qFormat/>
    <w:rsid w:val="0056639F"/>
    <w:pPr>
      <w:spacing w:after="120" w:line="240" w:lineRule="auto"/>
      <w:ind w:firstLine="0"/>
      <w:jc w:val="both"/>
    </w:pPr>
    <w:rPr>
      <w:rFonts w:eastAsia="Batang"/>
      <w:lang w:eastAsia="ko-KR"/>
    </w:rPr>
  </w:style>
  <w:style w:type="character" w:customStyle="1" w:styleId="EEblockquotationChar">
    <w:name w:val="EE block quotation Char"/>
    <w:link w:val="EEblockquotation"/>
    <w:rsid w:val="0056639F"/>
    <w:rPr>
      <w:rFonts w:ascii="Times New Roman" w:eastAsia="Batang" w:hAnsi="Times New Roman" w:cs="Times New Roman"/>
      <w:lang w:val="en-GB" w:eastAsia="ko-KR"/>
    </w:rPr>
  </w:style>
  <w:style w:type="paragraph" w:styleId="BodyText">
    <w:name w:val="Body Text"/>
    <w:basedOn w:val="Normal"/>
    <w:link w:val="BodyTextChar"/>
    <w:rsid w:val="0056639F"/>
    <w:pPr>
      <w:spacing w:line="48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56639F"/>
    <w:rPr>
      <w:rFonts w:ascii="Times New Roman" w:eastAsia="Times New Roman" w:hAnsi="Times New Roman" w:cs="Times New Roman"/>
      <w:lang w:eastAsia="ja-JP"/>
    </w:rPr>
  </w:style>
  <w:style w:type="paragraph" w:styleId="FootnoteText">
    <w:name w:val="footnote text"/>
    <w:basedOn w:val="Normal"/>
    <w:link w:val="FootnoteTextChar"/>
    <w:rsid w:val="0056639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6639F"/>
    <w:rPr>
      <w:rFonts w:ascii="Times New Roman" w:eastAsia="Times New Roman" w:hAnsi="Times New Roman" w:cs="Times New Roman"/>
      <w:sz w:val="20"/>
      <w:szCs w:val="20"/>
      <w:lang w:eastAsia="ja-JP"/>
    </w:rPr>
  </w:style>
  <w:style w:type="character" w:styleId="FootnoteReference">
    <w:name w:val="footnote reference"/>
    <w:basedOn w:val="DefaultParagraphFont"/>
    <w:rsid w:val="0056639F"/>
    <w:rPr>
      <w:vertAlign w:val="superscript"/>
    </w:rPr>
  </w:style>
  <w:style w:type="paragraph" w:styleId="Header">
    <w:name w:val="header"/>
    <w:basedOn w:val="Normal"/>
    <w:link w:val="HeaderChar"/>
    <w:rsid w:val="0056639F"/>
    <w:pPr>
      <w:tabs>
        <w:tab w:val="center" w:pos="4513"/>
        <w:tab w:val="right" w:pos="9026"/>
      </w:tabs>
    </w:pPr>
  </w:style>
  <w:style w:type="character" w:customStyle="1" w:styleId="HeaderChar">
    <w:name w:val="Header Char"/>
    <w:basedOn w:val="DefaultParagraphFont"/>
    <w:link w:val="Header"/>
    <w:rsid w:val="0056639F"/>
    <w:rPr>
      <w:lang w:eastAsia="ja-JP"/>
    </w:rPr>
  </w:style>
  <w:style w:type="paragraph" w:styleId="Footer">
    <w:name w:val="footer"/>
    <w:basedOn w:val="Normal"/>
    <w:link w:val="FooterChar"/>
    <w:uiPriority w:val="99"/>
    <w:rsid w:val="0056639F"/>
    <w:pPr>
      <w:tabs>
        <w:tab w:val="center" w:pos="4513"/>
        <w:tab w:val="right" w:pos="9026"/>
      </w:tabs>
    </w:pPr>
  </w:style>
  <w:style w:type="character" w:customStyle="1" w:styleId="FooterChar">
    <w:name w:val="Footer Char"/>
    <w:basedOn w:val="DefaultParagraphFont"/>
    <w:link w:val="Footer"/>
    <w:uiPriority w:val="99"/>
    <w:rsid w:val="0056639F"/>
    <w:rPr>
      <w:lang w:eastAsia="ja-JP"/>
    </w:rPr>
  </w:style>
  <w:style w:type="character" w:styleId="CommentReference">
    <w:name w:val="annotation reference"/>
    <w:basedOn w:val="DefaultParagraphFont"/>
    <w:rsid w:val="0056639F"/>
    <w:rPr>
      <w:sz w:val="16"/>
      <w:szCs w:val="16"/>
    </w:rPr>
  </w:style>
  <w:style w:type="paragraph" w:styleId="CommentText">
    <w:name w:val="annotation text"/>
    <w:basedOn w:val="Normal"/>
    <w:link w:val="CommentTextChar"/>
    <w:uiPriority w:val="99"/>
    <w:rsid w:val="0056639F"/>
    <w:rPr>
      <w:sz w:val="20"/>
      <w:szCs w:val="20"/>
    </w:rPr>
  </w:style>
  <w:style w:type="character" w:customStyle="1" w:styleId="CommentTextChar">
    <w:name w:val="Comment Text Char"/>
    <w:basedOn w:val="DefaultParagraphFont"/>
    <w:link w:val="CommentText"/>
    <w:uiPriority w:val="99"/>
    <w:rsid w:val="0056639F"/>
    <w:rPr>
      <w:sz w:val="20"/>
      <w:szCs w:val="20"/>
      <w:lang w:eastAsia="ja-JP"/>
    </w:rPr>
  </w:style>
  <w:style w:type="paragraph" w:styleId="CommentSubject">
    <w:name w:val="annotation subject"/>
    <w:basedOn w:val="CommentText"/>
    <w:next w:val="CommentText"/>
    <w:link w:val="CommentSubjectChar"/>
    <w:rsid w:val="0056639F"/>
    <w:rPr>
      <w:b/>
      <w:bCs/>
    </w:rPr>
  </w:style>
  <w:style w:type="character" w:customStyle="1" w:styleId="CommentSubjectChar">
    <w:name w:val="Comment Subject Char"/>
    <w:basedOn w:val="CommentTextChar"/>
    <w:link w:val="CommentSubject"/>
    <w:rsid w:val="0056639F"/>
    <w:rPr>
      <w:b/>
      <w:bCs/>
      <w:sz w:val="20"/>
      <w:szCs w:val="20"/>
      <w:lang w:eastAsia="ja-JP"/>
    </w:rPr>
  </w:style>
  <w:style w:type="character" w:styleId="Hyperlink">
    <w:name w:val="Hyperlink"/>
    <w:basedOn w:val="DefaultParagraphFont"/>
    <w:uiPriority w:val="99"/>
    <w:rsid w:val="0056639F"/>
    <w:rPr>
      <w:color w:val="0000FF" w:themeColor="hyperlink"/>
      <w:u w:val="single"/>
    </w:rPr>
  </w:style>
  <w:style w:type="character" w:styleId="Strong">
    <w:name w:val="Strong"/>
    <w:basedOn w:val="DefaultParagraphFont"/>
    <w:rsid w:val="0056639F"/>
    <w:rPr>
      <w:b/>
      <w:bCs/>
    </w:rPr>
  </w:style>
  <w:style w:type="character" w:customStyle="1" w:styleId="highlightselected">
    <w:name w:val="highlight selected"/>
    <w:basedOn w:val="DefaultParagraphFont"/>
    <w:rsid w:val="0056639F"/>
  </w:style>
  <w:style w:type="table" w:styleId="TableGrid">
    <w:name w:val="Table Grid"/>
    <w:basedOn w:val="TableNormal"/>
    <w:uiPriority w:val="59"/>
    <w:rsid w:val="0056639F"/>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rsid w:val="0056639F"/>
  </w:style>
  <w:style w:type="paragraph" w:styleId="TOC2">
    <w:name w:val="toc 2"/>
    <w:basedOn w:val="Normal"/>
    <w:next w:val="Normal"/>
    <w:autoRedefine/>
    <w:uiPriority w:val="39"/>
    <w:rsid w:val="0056639F"/>
    <w:pPr>
      <w:ind w:left="240"/>
    </w:pPr>
  </w:style>
  <w:style w:type="paragraph" w:styleId="TOC3">
    <w:name w:val="toc 3"/>
    <w:basedOn w:val="Normal"/>
    <w:next w:val="Normal"/>
    <w:autoRedefine/>
    <w:uiPriority w:val="39"/>
    <w:rsid w:val="0056639F"/>
    <w:pPr>
      <w:ind w:left="480"/>
    </w:pPr>
  </w:style>
  <w:style w:type="paragraph" w:styleId="TOC4">
    <w:name w:val="toc 4"/>
    <w:basedOn w:val="Normal"/>
    <w:next w:val="Normal"/>
    <w:autoRedefine/>
    <w:rsid w:val="0056639F"/>
    <w:pPr>
      <w:ind w:left="720"/>
    </w:pPr>
  </w:style>
  <w:style w:type="paragraph" w:styleId="TOC5">
    <w:name w:val="toc 5"/>
    <w:basedOn w:val="Normal"/>
    <w:next w:val="Normal"/>
    <w:autoRedefine/>
    <w:rsid w:val="0056639F"/>
    <w:pPr>
      <w:ind w:left="960"/>
    </w:pPr>
  </w:style>
  <w:style w:type="paragraph" w:styleId="TOC6">
    <w:name w:val="toc 6"/>
    <w:basedOn w:val="Normal"/>
    <w:next w:val="Normal"/>
    <w:autoRedefine/>
    <w:rsid w:val="0056639F"/>
    <w:pPr>
      <w:ind w:left="1200"/>
    </w:pPr>
  </w:style>
  <w:style w:type="paragraph" w:styleId="TOC7">
    <w:name w:val="toc 7"/>
    <w:basedOn w:val="Normal"/>
    <w:next w:val="Normal"/>
    <w:autoRedefine/>
    <w:rsid w:val="0056639F"/>
    <w:pPr>
      <w:ind w:left="1440"/>
    </w:pPr>
  </w:style>
  <w:style w:type="paragraph" w:styleId="TOC8">
    <w:name w:val="toc 8"/>
    <w:basedOn w:val="Normal"/>
    <w:next w:val="Normal"/>
    <w:autoRedefine/>
    <w:rsid w:val="0056639F"/>
    <w:pPr>
      <w:ind w:left="1680"/>
    </w:pPr>
  </w:style>
  <w:style w:type="paragraph" w:styleId="TOC9">
    <w:name w:val="toc 9"/>
    <w:basedOn w:val="Normal"/>
    <w:next w:val="Normal"/>
    <w:autoRedefine/>
    <w:rsid w:val="0056639F"/>
    <w:pPr>
      <w:ind w:left="1920"/>
    </w:pPr>
  </w:style>
  <w:style w:type="paragraph" w:customStyle="1" w:styleId="Default">
    <w:name w:val="Default"/>
    <w:rsid w:val="0056639F"/>
    <w:pPr>
      <w:widowControl w:val="0"/>
      <w:autoSpaceDE w:val="0"/>
      <w:autoSpaceDN w:val="0"/>
      <w:adjustRightInd w:val="0"/>
    </w:pPr>
    <w:rPr>
      <w:rFonts w:ascii="Times New Roman" w:hAnsi="Times New Roman" w:cs="Times New Roman"/>
      <w:color w:val="000000"/>
      <w:lang w:eastAsia="ja-JP"/>
    </w:rPr>
  </w:style>
  <w:style w:type="character" w:styleId="PageNumber">
    <w:name w:val="page number"/>
    <w:basedOn w:val="DefaultParagraphFont"/>
    <w:rsid w:val="0056639F"/>
  </w:style>
  <w:style w:type="paragraph" w:styleId="Revision">
    <w:name w:val="Revision"/>
    <w:hidden/>
    <w:rsid w:val="0056639F"/>
    <w:rPr>
      <w:lang w:eastAsia="ja-JP"/>
    </w:rPr>
  </w:style>
  <w:style w:type="paragraph" w:customStyle="1" w:styleId="EndNoteBibliographyTitle">
    <w:name w:val="EndNote Bibliography Title"/>
    <w:basedOn w:val="Normal"/>
    <w:rsid w:val="0056639F"/>
    <w:pPr>
      <w:jc w:val="center"/>
    </w:pPr>
    <w:rPr>
      <w:rFonts w:ascii="Cambria" w:hAnsi="Cambria"/>
    </w:rPr>
  </w:style>
  <w:style w:type="paragraph" w:customStyle="1" w:styleId="EndNoteBibliography">
    <w:name w:val="EndNote Bibliography"/>
    <w:basedOn w:val="Normal"/>
    <w:rsid w:val="0056639F"/>
    <w:rPr>
      <w:rFonts w:ascii="Cambria" w:hAnsi="Cambria"/>
    </w:rPr>
  </w:style>
  <w:style w:type="paragraph" w:styleId="DocumentMap">
    <w:name w:val="Document Map"/>
    <w:basedOn w:val="Normal"/>
    <w:link w:val="DocumentMapChar"/>
    <w:rsid w:val="0056639F"/>
    <w:rPr>
      <w:rFonts w:ascii="Lucida Grande" w:hAnsi="Lucida Grande" w:cs="Lucida Grande"/>
    </w:rPr>
  </w:style>
  <w:style w:type="character" w:customStyle="1" w:styleId="DocumentMapChar">
    <w:name w:val="Document Map Char"/>
    <w:basedOn w:val="DefaultParagraphFont"/>
    <w:link w:val="DocumentMap"/>
    <w:rsid w:val="0056639F"/>
    <w:rPr>
      <w:rFonts w:ascii="Lucida Grande" w:hAnsi="Lucida Grande" w:cs="Lucida Grande"/>
      <w:lang w:eastAsia="ja-JP"/>
    </w:rPr>
  </w:style>
  <w:style w:type="paragraph" w:customStyle="1" w:styleId="Articletitle">
    <w:name w:val="Article title"/>
    <w:basedOn w:val="Heading2"/>
    <w:link w:val="ArticletitleChar"/>
    <w:qFormat/>
    <w:rsid w:val="000D07E6"/>
    <w:pPr>
      <w:keepLines w:val="0"/>
      <w:spacing w:before="0" w:after="120" w:line="360" w:lineRule="auto"/>
      <w:ind w:right="567"/>
    </w:pPr>
    <w:rPr>
      <w:rFonts w:ascii="Times New Roman" w:eastAsia="Calibri" w:hAnsi="Times New Roman" w:cs="Times New Roman"/>
      <w:bCs w:val="0"/>
      <w:sz w:val="28"/>
      <w:szCs w:val="28"/>
      <w:lang w:val="en-AU"/>
    </w:rPr>
  </w:style>
  <w:style w:type="character" w:customStyle="1" w:styleId="ArticletitleChar">
    <w:name w:val="Article title Char"/>
    <w:basedOn w:val="Heading2Char"/>
    <w:link w:val="Articletitle"/>
    <w:rsid w:val="000D07E6"/>
    <w:rPr>
      <w:rFonts w:ascii="Times New Roman" w:eastAsia="Calibri" w:hAnsi="Times New Roman" w:cs="Times New Roman"/>
      <w:b/>
      <w:bCs w:val="0"/>
      <w:color w:val="4F81BD" w:themeColor="accent1"/>
      <w:sz w:val="28"/>
      <w:szCs w:val="28"/>
      <w:lang w:val="en-AU" w:eastAsia="ja-JP"/>
    </w:rPr>
  </w:style>
  <w:style w:type="paragraph" w:customStyle="1" w:styleId="Abstract">
    <w:name w:val="Abstract"/>
    <w:basedOn w:val="Normal"/>
    <w:link w:val="AbstractChar"/>
    <w:qFormat/>
    <w:rsid w:val="000D07E6"/>
    <w:pPr>
      <w:spacing w:before="360" w:after="300" w:line="360" w:lineRule="auto"/>
      <w:ind w:left="720" w:right="567"/>
    </w:pPr>
    <w:rPr>
      <w:rFonts w:ascii="Times New Roman" w:eastAsia="Times New Roman" w:hAnsi="Times New Roman" w:cs="Times New Roman"/>
      <w:lang w:val="en-AU" w:eastAsia="en-US"/>
    </w:rPr>
  </w:style>
  <w:style w:type="character" w:customStyle="1" w:styleId="AbstractChar">
    <w:name w:val="Abstract Char"/>
    <w:basedOn w:val="DefaultParagraphFont"/>
    <w:link w:val="Abstract"/>
    <w:rsid w:val="000D07E6"/>
    <w:rPr>
      <w:rFonts w:ascii="Times New Roman" w:eastAsia="Times New Roman" w:hAnsi="Times New Roman" w:cs="Times New Roman"/>
      <w:lang w:val="en-AU"/>
    </w:rPr>
  </w:style>
  <w:style w:type="character" w:customStyle="1" w:styleId="Heading1Char">
    <w:name w:val="Heading 1 Char"/>
    <w:basedOn w:val="DefaultParagraphFont"/>
    <w:link w:val="Heading1"/>
    <w:rsid w:val="000D07E6"/>
    <w:rPr>
      <w:rFonts w:ascii="Times New Roman" w:eastAsia="Times New Roman" w:hAnsi="Times New Roman" w:cs="Times New Roman"/>
      <w:b/>
      <w:lang w:val="en-AU"/>
    </w:rPr>
  </w:style>
  <w:style w:type="paragraph" w:customStyle="1" w:styleId="Paragraph">
    <w:name w:val="Paragraph"/>
    <w:basedOn w:val="Normal"/>
    <w:link w:val="ParagraphChar"/>
    <w:qFormat/>
    <w:rsid w:val="00C73051"/>
    <w:pPr>
      <w:spacing w:before="240" w:line="480" w:lineRule="auto"/>
    </w:pPr>
    <w:rPr>
      <w:rFonts w:ascii="Times New Roman" w:eastAsia="Times New Roman" w:hAnsi="Times New Roman" w:cs="Times New Roman"/>
      <w:lang w:val="en-AU" w:eastAsia="en-US"/>
    </w:rPr>
  </w:style>
  <w:style w:type="character" w:customStyle="1" w:styleId="ParagraphChar">
    <w:name w:val="Paragraph Char"/>
    <w:basedOn w:val="DefaultParagraphFont"/>
    <w:link w:val="Paragraph"/>
    <w:rsid w:val="00C73051"/>
    <w:rPr>
      <w:rFonts w:ascii="Times New Roman" w:eastAsia="Times New Roman" w:hAnsi="Times New Roman" w:cs="Times New Roman"/>
      <w:lang w:val="en-AU"/>
    </w:rPr>
  </w:style>
  <w:style w:type="paragraph" w:customStyle="1" w:styleId="Numberedlist">
    <w:name w:val="Numbered list"/>
    <w:basedOn w:val="Normal"/>
    <w:link w:val="NumberedlistChar"/>
    <w:qFormat/>
    <w:rsid w:val="004021CF"/>
    <w:pPr>
      <w:numPr>
        <w:numId w:val="17"/>
      </w:numPr>
      <w:tabs>
        <w:tab w:val="left" w:pos="1080"/>
      </w:tabs>
      <w:spacing w:before="240" w:after="240" w:line="480" w:lineRule="auto"/>
      <w:contextualSpacing/>
    </w:pPr>
    <w:rPr>
      <w:rFonts w:ascii="Times New Roman" w:hAnsi="Times New Roman" w:cs="Times New Roman"/>
      <w:lang w:val="en-GB"/>
    </w:rPr>
  </w:style>
  <w:style w:type="character" w:customStyle="1" w:styleId="NumberedlistChar">
    <w:name w:val="Numbered list Char"/>
    <w:basedOn w:val="DefaultParagraphFont"/>
    <w:link w:val="Numberedlist"/>
    <w:rsid w:val="004021CF"/>
    <w:rPr>
      <w:rFonts w:ascii="Times New Roman" w:hAnsi="Times New Roman" w:cs="Times New Roman"/>
      <w:lang w:val="en-GB" w:eastAsia="ja-JP"/>
    </w:rPr>
  </w:style>
  <w:style w:type="paragraph" w:customStyle="1" w:styleId="APAReferenceList">
    <w:name w:val="APA Reference List"/>
    <w:rsid w:val="004021CF"/>
    <w:pPr>
      <w:spacing w:line="480" w:lineRule="auto"/>
      <w:ind w:left="720" w:hanging="720"/>
    </w:pPr>
    <w:rPr>
      <w:rFonts w:ascii="Times New Roman" w:eastAsiaTheme="minorHAnsi" w:hAnsi="Times New Roman"/>
      <w:szCs w:val="22"/>
      <w:lang w:eastAsia="ja-JP"/>
    </w:rPr>
  </w:style>
  <w:style w:type="paragraph" w:customStyle="1" w:styleId="Tabletitle">
    <w:name w:val="Table title"/>
    <w:basedOn w:val="Normal"/>
    <w:link w:val="TabletitleChar"/>
    <w:qFormat/>
    <w:rsid w:val="004021CF"/>
    <w:pPr>
      <w:spacing w:before="240" w:line="360" w:lineRule="auto"/>
    </w:pPr>
    <w:rPr>
      <w:rFonts w:ascii="Times New Roman" w:hAnsi="Times New Roman" w:cs="Times New Roman"/>
      <w:noProof/>
      <w:lang w:eastAsia="en-US"/>
    </w:rPr>
  </w:style>
  <w:style w:type="character" w:customStyle="1" w:styleId="TabletitleChar">
    <w:name w:val="Table title Char"/>
    <w:basedOn w:val="DefaultParagraphFont"/>
    <w:link w:val="Tabletitle"/>
    <w:rsid w:val="004021CF"/>
    <w:rPr>
      <w:rFonts w:ascii="Times New Roman" w:hAnsi="Times New Roman" w:cs="Times New Roman"/>
      <w:noProof/>
    </w:rPr>
  </w:style>
  <w:style w:type="paragraph" w:customStyle="1" w:styleId="APATableText">
    <w:name w:val="APA Table Text"/>
    <w:rsid w:val="00B7653B"/>
    <w:pPr>
      <w:spacing w:before="60" w:after="60"/>
    </w:pPr>
    <w:rPr>
      <w:rFonts w:ascii="Times New Roman" w:eastAsia="Calibri" w:hAnsi="Times New Roman" w:cs="Times New Roman"/>
      <w:spacing w:val="-6"/>
      <w:lang w:val="en-AU"/>
    </w:rPr>
  </w:style>
  <w:style w:type="character" w:customStyle="1" w:styleId="phone">
    <w:name w:val="phone"/>
    <w:basedOn w:val="DefaultParagraphFont"/>
    <w:rsid w:val="008A3F2F"/>
  </w:style>
  <w:style w:type="paragraph" w:customStyle="1" w:styleId="he">
    <w:name w:val="he"/>
    <w:basedOn w:val="Heading1"/>
    <w:rsid w:val="00310AB6"/>
  </w:style>
  <w:style w:type="character" w:styleId="FollowedHyperlink">
    <w:name w:val="FollowedHyperlink"/>
    <w:basedOn w:val="DefaultParagraphFont"/>
    <w:uiPriority w:val="99"/>
    <w:semiHidden/>
    <w:unhideWhenUsed/>
    <w:rsid w:val="009C3B34"/>
    <w:rPr>
      <w:color w:val="800080" w:themeColor="followedHyperlink"/>
      <w:u w:val="single"/>
    </w:rPr>
  </w:style>
  <w:style w:type="paragraph" w:styleId="HTMLPreformatted">
    <w:name w:val="HTML Preformatted"/>
    <w:basedOn w:val="Normal"/>
    <w:link w:val="HTMLPreformattedChar"/>
    <w:uiPriority w:val="99"/>
    <w:semiHidden/>
    <w:unhideWhenUsed/>
    <w:rsid w:val="00E50E8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50E8E"/>
    <w:rPr>
      <w:rFonts w:ascii="Courier" w:hAnsi="Courie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196">
      <w:bodyDiv w:val="1"/>
      <w:marLeft w:val="0"/>
      <w:marRight w:val="0"/>
      <w:marTop w:val="0"/>
      <w:marBottom w:val="0"/>
      <w:divBdr>
        <w:top w:val="none" w:sz="0" w:space="0" w:color="auto"/>
        <w:left w:val="none" w:sz="0" w:space="0" w:color="auto"/>
        <w:bottom w:val="none" w:sz="0" w:space="0" w:color="auto"/>
        <w:right w:val="none" w:sz="0" w:space="0" w:color="auto"/>
      </w:divBdr>
      <w:divsChild>
        <w:div w:id="1670794249">
          <w:marLeft w:val="0"/>
          <w:marRight w:val="0"/>
          <w:marTop w:val="0"/>
          <w:marBottom w:val="0"/>
          <w:divBdr>
            <w:top w:val="none" w:sz="0" w:space="0" w:color="auto"/>
            <w:left w:val="none" w:sz="0" w:space="0" w:color="auto"/>
            <w:bottom w:val="none" w:sz="0" w:space="0" w:color="auto"/>
            <w:right w:val="none" w:sz="0" w:space="0" w:color="auto"/>
          </w:divBdr>
        </w:div>
        <w:div w:id="321390239">
          <w:marLeft w:val="0"/>
          <w:marRight w:val="0"/>
          <w:marTop w:val="0"/>
          <w:marBottom w:val="0"/>
          <w:divBdr>
            <w:top w:val="none" w:sz="0" w:space="0" w:color="auto"/>
            <w:left w:val="none" w:sz="0" w:space="0" w:color="auto"/>
            <w:bottom w:val="none" w:sz="0" w:space="0" w:color="auto"/>
            <w:right w:val="none" w:sz="0" w:space="0" w:color="auto"/>
          </w:divBdr>
        </w:div>
        <w:div w:id="414867209">
          <w:marLeft w:val="0"/>
          <w:marRight w:val="0"/>
          <w:marTop w:val="0"/>
          <w:marBottom w:val="0"/>
          <w:divBdr>
            <w:top w:val="none" w:sz="0" w:space="0" w:color="auto"/>
            <w:left w:val="none" w:sz="0" w:space="0" w:color="auto"/>
            <w:bottom w:val="none" w:sz="0" w:space="0" w:color="auto"/>
            <w:right w:val="none" w:sz="0" w:space="0" w:color="auto"/>
          </w:divBdr>
        </w:div>
      </w:divsChild>
    </w:div>
    <w:div w:id="299313410">
      <w:bodyDiv w:val="1"/>
      <w:marLeft w:val="0"/>
      <w:marRight w:val="0"/>
      <w:marTop w:val="0"/>
      <w:marBottom w:val="0"/>
      <w:divBdr>
        <w:top w:val="none" w:sz="0" w:space="0" w:color="auto"/>
        <w:left w:val="none" w:sz="0" w:space="0" w:color="auto"/>
        <w:bottom w:val="none" w:sz="0" w:space="0" w:color="auto"/>
        <w:right w:val="none" w:sz="0" w:space="0" w:color="auto"/>
      </w:divBdr>
      <w:divsChild>
        <w:div w:id="2106919450">
          <w:marLeft w:val="0"/>
          <w:marRight w:val="0"/>
          <w:marTop w:val="0"/>
          <w:marBottom w:val="0"/>
          <w:divBdr>
            <w:top w:val="none" w:sz="0" w:space="0" w:color="auto"/>
            <w:left w:val="none" w:sz="0" w:space="0" w:color="auto"/>
            <w:bottom w:val="none" w:sz="0" w:space="0" w:color="auto"/>
            <w:right w:val="none" w:sz="0" w:space="0" w:color="auto"/>
          </w:divBdr>
        </w:div>
        <w:div w:id="95755422">
          <w:marLeft w:val="0"/>
          <w:marRight w:val="0"/>
          <w:marTop w:val="0"/>
          <w:marBottom w:val="0"/>
          <w:divBdr>
            <w:top w:val="none" w:sz="0" w:space="0" w:color="auto"/>
            <w:left w:val="none" w:sz="0" w:space="0" w:color="auto"/>
            <w:bottom w:val="none" w:sz="0" w:space="0" w:color="auto"/>
            <w:right w:val="none" w:sz="0" w:space="0" w:color="auto"/>
          </w:divBdr>
        </w:div>
        <w:div w:id="1755395783">
          <w:marLeft w:val="0"/>
          <w:marRight w:val="0"/>
          <w:marTop w:val="0"/>
          <w:marBottom w:val="0"/>
          <w:divBdr>
            <w:top w:val="none" w:sz="0" w:space="0" w:color="auto"/>
            <w:left w:val="none" w:sz="0" w:space="0" w:color="auto"/>
            <w:bottom w:val="none" w:sz="0" w:space="0" w:color="auto"/>
            <w:right w:val="none" w:sz="0" w:space="0" w:color="auto"/>
          </w:divBdr>
        </w:div>
      </w:divsChild>
    </w:div>
    <w:div w:id="307630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x.doi.org/10.1080/14703297.2016.1250664" TargetMode="External"/><Relationship Id="rId8" Type="http://schemas.openxmlformats.org/officeDocument/2006/relationships/hyperlink" Target="http://www.isetl.org/ijtlhe/"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jillian.clarke@sydne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5026</Words>
  <Characters>28653</Characters>
  <Application>Microsoft Macintosh Word</Application>
  <DocSecurity>0</DocSecurity>
  <Lines>238</Lines>
  <Paragraphs>67</Paragraphs>
  <ScaleCrop>false</ScaleCrop>
  <Company>The University of Sydney</Company>
  <LinksUpToDate>false</LinksUpToDate>
  <CharactersWithSpaces>33612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jcla1461</dc:creator>
  <cp:keywords/>
  <dc:description/>
  <cp:lastModifiedBy>David Boud</cp:lastModifiedBy>
  <cp:revision>3</cp:revision>
  <cp:lastPrinted>2016-06-08T00:52:00Z</cp:lastPrinted>
  <dcterms:created xsi:type="dcterms:W3CDTF">2016-12-07T06:50:00Z</dcterms:created>
  <dcterms:modified xsi:type="dcterms:W3CDTF">2016-12-07T06:55:00Z</dcterms:modified>
</cp:coreProperties>
</file>