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AF4797" w14:textId="111E7C7C" w:rsidR="007403CF" w:rsidRPr="00205D88" w:rsidRDefault="7316DFD5" w:rsidP="00205D88">
      <w:pPr>
        <w:pStyle w:val="Articletitle"/>
      </w:pPr>
      <w:r w:rsidRPr="00205D88">
        <w:t xml:space="preserve">Behind the Scenes at the Silver Studio: Rex Silver and the Hidden Mechanisms of Interwar Textile Design </w:t>
      </w:r>
    </w:p>
    <w:p w14:paraId="158D8423" w14:textId="77777777" w:rsidR="003B56EA" w:rsidRDefault="003B56EA" w:rsidP="005060BA"/>
    <w:p w14:paraId="6D583B62" w14:textId="785798DB" w:rsidR="0094178F" w:rsidRPr="005060BA" w:rsidRDefault="44F09E7F" w:rsidP="00205D88">
      <w:pPr>
        <w:ind w:left="720"/>
      </w:pPr>
      <w:r w:rsidRPr="005060BA">
        <w:t xml:space="preserve">The Silver Studio produced designs for mass-market wallpapers and textiles between 1880 and around 1960.  This paper draws on evidence from the Silver Studio Collection (now at the Museum of Domestic Design and Architecture, Middlesex University), to propose that Silver Studio designs in the interwar period were never the work of one individual but were rather the product of complex negotiations between clients and designers, mediated by Rex Silver.  The Studio’s diaries and other records provide an insight into these negotiations and raise questions about the nature of ‘authorship’ in design. </w:t>
      </w:r>
    </w:p>
    <w:p w14:paraId="1B3FF3C0" w14:textId="77777777" w:rsidR="00266354" w:rsidRPr="005060BA" w:rsidRDefault="00266354" w:rsidP="005060BA"/>
    <w:p w14:paraId="7F76DF78" w14:textId="48BC9C1F" w:rsidR="0020415E" w:rsidRPr="005060BA" w:rsidRDefault="44F09E7F" w:rsidP="00205D88">
      <w:pPr>
        <w:ind w:left="720"/>
      </w:pPr>
      <w:r w:rsidRPr="005060BA">
        <w:t>Keywords: Silver Studio; textile design; authorship; attribution; historicism</w:t>
      </w:r>
    </w:p>
    <w:p w14:paraId="51459AA0" w14:textId="77777777" w:rsidR="003E1045" w:rsidRPr="005060BA" w:rsidRDefault="003E1045" w:rsidP="005060BA"/>
    <w:p w14:paraId="2C9A8EE8" w14:textId="62B3C01C" w:rsidR="00146C5F" w:rsidRPr="005060BA" w:rsidRDefault="006A42CF" w:rsidP="003B56EA">
      <w:pPr>
        <w:ind w:firstLine="720"/>
      </w:pPr>
      <w:r w:rsidRPr="005060BA">
        <w:t xml:space="preserve">To what extent should historians pay attention to designers and architects as individual historical subjects?  </w:t>
      </w:r>
      <w:r w:rsidR="00B601FB" w:rsidRPr="005060BA">
        <w:t>Nikolaus Pevsner’s Pioneers of Modern Design, first published in 1936 arguably established a tradition of design history narratives based on male, modernist, individual hero-designers.</w:t>
      </w:r>
      <w:r w:rsidR="00F45EA8" w:rsidRPr="00993DE2">
        <w:rPr>
          <w:vertAlign w:val="superscript"/>
        </w:rPr>
        <w:endnoteReference w:id="1"/>
      </w:r>
      <w:r w:rsidR="00B601FB" w:rsidRPr="005060BA">
        <w:t xml:space="preserve"> Subsequent design historians sought to distance themselves from </w:t>
      </w:r>
      <w:r w:rsidRPr="005060BA">
        <w:t>what Whitehouse described</w:t>
      </w:r>
      <w:r w:rsidR="00A41113" w:rsidRPr="005060BA">
        <w:t xml:space="preserve"> as </w:t>
      </w:r>
      <w:r w:rsidR="00B601FB" w:rsidRPr="005060BA">
        <w:t>“the privileging of the innovative designers, aesthetic form, and zeitgeist”</w:t>
      </w:r>
      <w:r w:rsidR="006E6BD0" w:rsidRPr="005060BA">
        <w:t xml:space="preserve"> which placed</w:t>
      </w:r>
      <w:r w:rsidR="00A41113" w:rsidRPr="005060BA">
        <w:t xml:space="preserve"> emphasis on the aesthetic quality of particular kinds of objects and buildings</w:t>
      </w:r>
      <w:r w:rsidR="00B601FB" w:rsidRPr="005060BA">
        <w:t>.</w:t>
      </w:r>
      <w:r w:rsidR="00F45EA8" w:rsidRPr="00993DE2">
        <w:rPr>
          <w:vertAlign w:val="superscript"/>
        </w:rPr>
        <w:endnoteReference w:id="2"/>
      </w:r>
      <w:r w:rsidR="00B601FB" w:rsidRPr="00993DE2">
        <w:rPr>
          <w:vertAlign w:val="superscript"/>
        </w:rPr>
        <w:t xml:space="preserve"> </w:t>
      </w:r>
      <w:r w:rsidR="00B601FB" w:rsidRPr="005060BA">
        <w:t xml:space="preserve"> In particular, feminist design historians </w:t>
      </w:r>
      <w:r w:rsidR="00782FA6" w:rsidRPr="005060BA">
        <w:t xml:space="preserve">such as </w:t>
      </w:r>
      <w:r w:rsidR="00133E28" w:rsidRPr="005060BA">
        <w:t xml:space="preserve">Cheryl </w:t>
      </w:r>
      <w:r w:rsidR="00146C5F" w:rsidRPr="005060BA">
        <w:t xml:space="preserve">Buckley </w:t>
      </w:r>
      <w:r w:rsidR="00133E28" w:rsidRPr="005060BA">
        <w:t xml:space="preserve">and others </w:t>
      </w:r>
      <w:r w:rsidR="00B601FB" w:rsidRPr="005060BA">
        <w:t>challenge</w:t>
      </w:r>
      <w:r w:rsidR="00146C5F" w:rsidRPr="005060BA">
        <w:t>d</w:t>
      </w:r>
      <w:r w:rsidR="00B601FB" w:rsidRPr="005060BA">
        <w:t xml:space="preserve"> the notion of the canon</w:t>
      </w:r>
      <w:r w:rsidR="00A41113" w:rsidRPr="005060BA">
        <w:t>, partly by the re-evaluation of previously overlooked female designers and architects, and partly by questioning the ways in which patriarchal structures operated to constrain women’s opportunities and choices in the first place.</w:t>
      </w:r>
      <w:r w:rsidR="00F45EA8" w:rsidRPr="00993DE2">
        <w:rPr>
          <w:vertAlign w:val="superscript"/>
        </w:rPr>
        <w:endnoteReference w:id="3"/>
      </w:r>
      <w:r w:rsidR="00146C5F" w:rsidRPr="005060BA">
        <w:t xml:space="preserve">  Central to all of these debates is the question of the importance we should attach to the individual designer, and whether the history of design </w:t>
      </w:r>
      <w:r w:rsidRPr="005060BA">
        <w:t xml:space="preserve">and of architecture </w:t>
      </w:r>
      <w:r w:rsidR="00146C5F" w:rsidRPr="005060BA">
        <w:t xml:space="preserve">can best be explained </w:t>
      </w:r>
      <w:r w:rsidRPr="005060BA">
        <w:t>through</w:t>
      </w:r>
      <w:r w:rsidR="00146C5F" w:rsidRPr="005060BA">
        <w:t xml:space="preserve"> a biographical approach to the lives of designers.</w:t>
      </w:r>
    </w:p>
    <w:p w14:paraId="2A2E8379" w14:textId="77777777" w:rsidR="00133E28" w:rsidRPr="005060BA" w:rsidRDefault="00133E28" w:rsidP="005060BA"/>
    <w:p w14:paraId="79051253" w14:textId="4E6F8EA2" w:rsidR="00022DF3" w:rsidRPr="005060BA" w:rsidRDefault="00146C5F" w:rsidP="003B56EA">
      <w:pPr>
        <w:ind w:firstLine="720"/>
      </w:pPr>
      <w:r w:rsidRPr="005060BA">
        <w:t>More recently a</w:t>
      </w:r>
      <w:r w:rsidR="007167AB" w:rsidRPr="005060BA">
        <w:t xml:space="preserve"> recognition of the dispersed nature of design or architectural production has </w:t>
      </w:r>
      <w:r w:rsidRPr="005060BA">
        <w:t xml:space="preserve">brought attention to </w:t>
      </w:r>
      <w:r w:rsidR="003D7CC8" w:rsidRPr="005060BA">
        <w:t xml:space="preserve">the multiplicity of people </w:t>
      </w:r>
      <w:r w:rsidR="00E675F6" w:rsidRPr="005060BA">
        <w:t>who had a part to play in the production of buildings, objects, patterns, magazines, images and so on</w:t>
      </w:r>
      <w:r w:rsidR="003D7CC8" w:rsidRPr="005060BA">
        <w:t xml:space="preserve">.  </w:t>
      </w:r>
      <w:r w:rsidR="002D1121" w:rsidRPr="005060BA">
        <w:t>Jeremy Till, for example, has argued, that ‘architecture depends’ on numerous players in addition to the star architect.  Taking this approach, Till suggests, enables us to understand buildings as evolving and contingent, and as having a life after the moment that the architect signs off the final blueprint.</w:t>
      </w:r>
      <w:r w:rsidR="00F45EA8" w:rsidRPr="00993DE2">
        <w:rPr>
          <w:vertAlign w:val="superscript"/>
        </w:rPr>
        <w:endnoteReference w:id="4"/>
      </w:r>
      <w:r w:rsidR="002D1121" w:rsidRPr="005060BA">
        <w:t xml:space="preserve">  Similarly, Traganou rejects traditional ‘Pevsnerian’ approaches to architectural history based on biographical narratives of great men.  Such approaches, she contends, have a tendency to locate a building’s meaning solely within the context of that individual’s other work, and as such the effect is to “… valorize paradigmatic architectural cases that are perceived as pioneering for the prescriptive value that they carry for subsequent architectural productions”.</w:t>
      </w:r>
      <w:r w:rsidR="00F45EA8" w:rsidRPr="00993DE2">
        <w:rPr>
          <w:vertAlign w:val="superscript"/>
        </w:rPr>
        <w:endnoteReference w:id="5"/>
      </w:r>
      <w:r w:rsidR="002D1121" w:rsidRPr="005060BA">
        <w:t xml:space="preserve"> </w:t>
      </w:r>
      <w:r w:rsidR="000376DD" w:rsidRPr="005060BA">
        <w:t xml:space="preserve"> </w:t>
      </w:r>
      <w:r w:rsidR="002D1121" w:rsidRPr="005060BA">
        <w:t>By focussing only on the new and the pioneering, such approaches overlook everything beyond the “the elite paradigms or architecture’s significance for the no</w:t>
      </w:r>
      <w:r w:rsidR="00F45EA8" w:rsidRPr="005060BA">
        <w:t>n-professional, wider audiences…</w:t>
      </w:r>
      <w:r w:rsidR="002D1121" w:rsidRPr="005060BA">
        <w:t>”</w:t>
      </w:r>
      <w:r w:rsidR="00F45EA8" w:rsidRPr="00993DE2">
        <w:rPr>
          <w:vertAlign w:val="superscript"/>
        </w:rPr>
        <w:endnoteReference w:id="6"/>
      </w:r>
      <w:r w:rsidR="006702AF" w:rsidRPr="005060BA">
        <w:t xml:space="preserve"> There</w:t>
      </w:r>
      <w:r w:rsidR="002D1121" w:rsidRPr="005060BA">
        <w:t xml:space="preserve"> is a need, </w:t>
      </w:r>
      <w:r w:rsidR="006A2035" w:rsidRPr="005060BA">
        <w:t>by this argument</w:t>
      </w:r>
      <w:r w:rsidR="002D1121" w:rsidRPr="005060BA">
        <w:t xml:space="preserve">, for a wider perspective that encompasses non-elite production and recognises the many players who have a part to </w:t>
      </w:r>
      <w:r w:rsidR="002D1121" w:rsidRPr="005060BA">
        <w:lastRenderedPageBreak/>
        <w:t xml:space="preserve">play in a building’s history (from local government officials and planners to occupants), rather than looking only at the architect’s original intention.  </w:t>
      </w:r>
    </w:p>
    <w:p w14:paraId="55768A1A" w14:textId="77777777" w:rsidR="00133E28" w:rsidRPr="005060BA" w:rsidRDefault="00133E28" w:rsidP="005060BA"/>
    <w:p w14:paraId="4031B04E" w14:textId="57E6C3D9" w:rsidR="00DD3873" w:rsidRPr="005060BA" w:rsidRDefault="00022DF3" w:rsidP="003B56EA">
      <w:pPr>
        <w:ind w:firstLine="720"/>
      </w:pPr>
      <w:r w:rsidRPr="005060BA">
        <w:t>R</w:t>
      </w:r>
      <w:r w:rsidR="00E675F6" w:rsidRPr="005060BA">
        <w:t xml:space="preserve">ecent developments in architectural and design history have done much to move us away from histories that prioritize the work of individual (usually male) hero designers.  Yet when faced with an actual example of creative work, such as a </w:t>
      </w:r>
      <w:r w:rsidRPr="005060BA">
        <w:t>printed</w:t>
      </w:r>
      <w:r w:rsidR="00E675F6" w:rsidRPr="005060BA">
        <w:t xml:space="preserve"> textile, one of the first ques</w:t>
      </w:r>
      <w:r w:rsidR="00C779D1" w:rsidRPr="005060BA">
        <w:t>tions that springs to mind is “w</w:t>
      </w:r>
      <w:r w:rsidR="00E675F6" w:rsidRPr="005060BA">
        <w:t xml:space="preserve">ho </w:t>
      </w:r>
      <w:r w:rsidR="00C779D1" w:rsidRPr="005060BA">
        <w:t>designed it</w:t>
      </w:r>
      <w:r w:rsidR="00E675F6" w:rsidRPr="005060BA">
        <w:t>?”</w:t>
      </w:r>
      <w:r w:rsidR="00C779D1" w:rsidRPr="005060BA">
        <w:t xml:space="preserve"> </w:t>
      </w:r>
      <w:r w:rsidRPr="005060BA">
        <w:t>(</w:t>
      </w:r>
      <w:r w:rsidR="004D768B" w:rsidRPr="005060BA">
        <w:t xml:space="preserve">Figure </w:t>
      </w:r>
      <w:r w:rsidRPr="005060BA">
        <w:t>1).</w:t>
      </w:r>
      <w:r w:rsidR="00C779D1" w:rsidRPr="005060BA">
        <w:t xml:space="preserve"> The answer, we imagine,</w:t>
      </w:r>
      <w:r w:rsidR="0023654C" w:rsidRPr="005060BA">
        <w:t xml:space="preserve"> will help us to locate the</w:t>
      </w:r>
      <w:r w:rsidR="006A42CF" w:rsidRPr="005060BA">
        <w:t xml:space="preserve"> object</w:t>
      </w:r>
      <w:r w:rsidR="0023654C" w:rsidRPr="005060BA">
        <w:t xml:space="preserve"> bot</w:t>
      </w:r>
      <w:r w:rsidR="006A42CF" w:rsidRPr="005060BA">
        <w:t>h temporally and geographically,</w:t>
      </w:r>
      <w:r w:rsidR="0023654C" w:rsidRPr="005060BA">
        <w:t xml:space="preserve"> and also </w:t>
      </w:r>
      <w:r w:rsidR="00C779D1" w:rsidRPr="005060BA">
        <w:t xml:space="preserve">to locate it </w:t>
      </w:r>
      <w:r w:rsidR="0023654C" w:rsidRPr="005060BA">
        <w:t xml:space="preserve">within a more intangible hierarchy of </w:t>
      </w:r>
      <w:r w:rsidR="00C779D1" w:rsidRPr="005060BA">
        <w:t xml:space="preserve">cultural value: </w:t>
      </w:r>
      <w:r w:rsidR="006412A7" w:rsidRPr="005060BA">
        <w:t xml:space="preserve">is this object </w:t>
      </w:r>
      <w:r w:rsidR="0023654C" w:rsidRPr="005060BA">
        <w:t>important or unimportant, known or unknown, named or anonymous</w:t>
      </w:r>
      <w:r w:rsidR="00C779D1" w:rsidRPr="005060BA">
        <w:t>?</w:t>
      </w:r>
      <w:r w:rsidR="00A87F2C" w:rsidRPr="005060BA">
        <w:t xml:space="preserve">  </w:t>
      </w:r>
      <w:r w:rsidR="006A2035" w:rsidRPr="005060BA">
        <w:t xml:space="preserve">Lou Taylor </w:t>
      </w:r>
      <w:r w:rsidR="006A42CF" w:rsidRPr="005060BA">
        <w:t>suggests</w:t>
      </w:r>
      <w:r w:rsidR="00AD4097" w:rsidRPr="005060BA">
        <w:t xml:space="preserve"> that textiles can be categorised by means of a hierarchy based partly on the material itself, and partly on other marks of ‘distinction’</w:t>
      </w:r>
      <w:r w:rsidR="006A42CF" w:rsidRPr="005060BA">
        <w:t>.</w:t>
      </w:r>
      <w:r w:rsidR="004F4AEA" w:rsidRPr="00993DE2">
        <w:rPr>
          <w:vertAlign w:val="superscript"/>
        </w:rPr>
        <w:endnoteReference w:id="7"/>
      </w:r>
      <w:r w:rsidR="00AD4097" w:rsidRPr="005060BA">
        <w:t xml:space="preserve"> On this basis, silk is of higher status than cotton; fabrics produced by unusual or costly manufacturing techniqu</w:t>
      </w:r>
      <w:r w:rsidR="004F4AEA" w:rsidRPr="005060BA">
        <w:t>es are of higher status than ma</w:t>
      </w:r>
      <w:r w:rsidR="006A42CF" w:rsidRPr="005060BA">
        <w:t>chine printed</w:t>
      </w:r>
      <w:r w:rsidR="00AD4097" w:rsidRPr="005060BA">
        <w:t xml:space="preserve">; and </w:t>
      </w:r>
      <w:r w:rsidR="006A42CF" w:rsidRPr="005060BA">
        <w:t xml:space="preserve">textiles </w:t>
      </w:r>
      <w:r w:rsidR="00AD4097" w:rsidRPr="005060BA">
        <w:t>associated with known designers are of high</w:t>
      </w:r>
      <w:r w:rsidR="006A42CF" w:rsidRPr="005060BA">
        <w:t xml:space="preserve">er status than </w:t>
      </w:r>
      <w:r w:rsidR="00AD4097" w:rsidRPr="005060BA">
        <w:t xml:space="preserve">anonymous ones. </w:t>
      </w:r>
      <w:r w:rsidR="00DD3873" w:rsidRPr="005060BA">
        <w:t xml:space="preserve"> In the context of discussion of twentieth century pattern design, we might add</w:t>
      </w:r>
      <w:r w:rsidR="006A42CF" w:rsidRPr="005060BA">
        <w:t xml:space="preserve"> that</w:t>
      </w:r>
      <w:r w:rsidR="00DD3873" w:rsidRPr="005060BA">
        <w:t xml:space="preserve"> ‘modernist’ </w:t>
      </w:r>
      <w:r w:rsidR="006A42CF" w:rsidRPr="005060BA">
        <w:t xml:space="preserve">textiles are of higher status than those featuring </w:t>
      </w:r>
      <w:r w:rsidR="00DD3873" w:rsidRPr="005060BA">
        <w:t>‘historicist’</w:t>
      </w:r>
      <w:r w:rsidR="006A42CF" w:rsidRPr="005060BA">
        <w:t xml:space="preserve"> patterns</w:t>
      </w:r>
      <w:r w:rsidR="00DD3873" w:rsidRPr="005060BA">
        <w:t xml:space="preserve">. </w:t>
      </w:r>
    </w:p>
    <w:p w14:paraId="182C4BF9" w14:textId="77777777" w:rsidR="00782FA6" w:rsidRPr="005060BA" w:rsidRDefault="00782FA6" w:rsidP="005060BA"/>
    <w:p w14:paraId="13CCA50F" w14:textId="2ADBA1BF" w:rsidR="00A87F2C" w:rsidRPr="005060BA" w:rsidRDefault="00917A31" w:rsidP="003B56EA">
      <w:pPr>
        <w:ind w:firstLine="720"/>
      </w:pPr>
      <w:r w:rsidRPr="005060BA">
        <w:t xml:space="preserve">Taking a lead from </w:t>
      </w:r>
      <w:r w:rsidR="006A42CF" w:rsidRPr="005060BA">
        <w:t xml:space="preserve">Traganou, this article explores the idea that to focus on a biographical approach to design history leads us to place too great an emphasis on the most forward-looking cultural products, and hence to overlook the histories of the designed objects that formed the material world of the majority of non-elite consumers.  Using the example of the Silver Studio, this article </w:t>
      </w:r>
      <w:r w:rsidR="00A721AD" w:rsidRPr="005060BA">
        <w:t xml:space="preserve">looks at why design attribution is problematic both in the sense of the evidence available, and </w:t>
      </w:r>
      <w:r w:rsidR="006A2035" w:rsidRPr="005060BA">
        <w:t xml:space="preserve">because of its </w:t>
      </w:r>
      <w:r w:rsidR="00A721AD" w:rsidRPr="005060BA">
        <w:t>implications for our understanding of design history.</w:t>
      </w:r>
      <w:r w:rsidR="0023654C" w:rsidRPr="005060BA">
        <w:t xml:space="preserve">  </w:t>
      </w:r>
      <w:r w:rsidR="005355DB" w:rsidRPr="005060BA">
        <w:t xml:space="preserve">To expand design histories to encompass un-named or little-known designers is to </w:t>
      </w:r>
      <w:r w:rsidR="006E6BD0" w:rsidRPr="005060BA">
        <w:t>decide</w:t>
      </w:r>
      <w:r w:rsidR="005355DB" w:rsidRPr="005060BA">
        <w:t xml:space="preserve"> whether </w:t>
      </w:r>
      <w:r w:rsidRPr="005060BA">
        <w:t>to</w:t>
      </w:r>
      <w:r w:rsidR="00A721AD" w:rsidRPr="005060BA">
        <w:t xml:space="preserve"> </w:t>
      </w:r>
      <w:r w:rsidR="00E675F6" w:rsidRPr="005060BA">
        <w:t>focus only on the best, most e</w:t>
      </w:r>
      <w:r w:rsidR="00A721AD" w:rsidRPr="005060BA">
        <w:t>mblematic, iconic</w:t>
      </w:r>
      <w:r w:rsidR="006A2035" w:rsidRPr="005060BA">
        <w:t xml:space="preserve"> and</w:t>
      </w:r>
      <w:r w:rsidR="00A721AD" w:rsidRPr="005060BA">
        <w:t xml:space="preserve"> paradigmatic of cultural products,</w:t>
      </w:r>
      <w:r w:rsidR="00E675F6" w:rsidRPr="005060BA">
        <w:t xml:space="preserve"> or whether to expand our vision to encompass </w:t>
      </w:r>
      <w:r w:rsidR="00A721AD" w:rsidRPr="005060BA">
        <w:t>a wider range of obje</w:t>
      </w:r>
      <w:r w:rsidR="006A2035" w:rsidRPr="005060BA">
        <w:t xml:space="preserve">cts.  To do so </w:t>
      </w:r>
      <w:r w:rsidR="0068295A" w:rsidRPr="005060BA">
        <w:t xml:space="preserve">also </w:t>
      </w:r>
      <w:r w:rsidR="006A2035" w:rsidRPr="005060BA">
        <w:t xml:space="preserve">means acknowledging </w:t>
      </w:r>
      <w:r w:rsidR="00A721AD" w:rsidRPr="005060BA">
        <w:t xml:space="preserve">the histories of a wider range of </w:t>
      </w:r>
      <w:r w:rsidR="006E6BD0" w:rsidRPr="005060BA">
        <w:t xml:space="preserve">historical subjects: </w:t>
      </w:r>
      <w:r w:rsidR="005355DB" w:rsidRPr="005060BA">
        <w:t>people</w:t>
      </w:r>
      <w:r w:rsidR="006E6BD0" w:rsidRPr="005060BA">
        <w:t xml:space="preserve"> </w:t>
      </w:r>
      <w:r w:rsidR="006A2035" w:rsidRPr="005060BA">
        <w:t>for whom the purchase of objects by a ‘named designer’ was neither an economic option nor an aesthetic choice</w:t>
      </w:r>
      <w:r w:rsidR="005355DB" w:rsidRPr="005060BA">
        <w:t xml:space="preserve">. </w:t>
      </w:r>
      <w:r w:rsidR="0068295A" w:rsidRPr="005060BA">
        <w:t xml:space="preserve"> The textiles designed by the Silver Studio do not generally fit into the ‘design canon’: they feature traditional and historicist motifs r</w:t>
      </w:r>
      <w:r w:rsidRPr="005060BA">
        <w:t>ather than forward-looking ones, representing ‘popular’ rather than ‘fashionable’ taste.  Yet a</w:t>
      </w:r>
      <w:r w:rsidR="0068295A" w:rsidRPr="005060BA">
        <w:t xml:space="preserve">s </w:t>
      </w:r>
      <w:r w:rsidR="006A2035" w:rsidRPr="005060BA">
        <w:t xml:space="preserve">Judy Attfield </w:t>
      </w:r>
      <w:r w:rsidRPr="005060BA">
        <w:t>notes</w:t>
      </w:r>
      <w:r w:rsidR="00450C34" w:rsidRPr="005060BA">
        <w:t>, to speak of the</w:t>
      </w:r>
      <w:r w:rsidR="00DD3873" w:rsidRPr="005060BA">
        <w:t xml:space="preserve"> </w:t>
      </w:r>
      <w:r w:rsidR="006A2035" w:rsidRPr="005060BA">
        <w:t xml:space="preserve">“aesthetics of popular taste” is inherently contradictory, since </w:t>
      </w:r>
      <w:r w:rsidR="00DD3873" w:rsidRPr="005060BA">
        <w:t>“strictly speaking, aesthetics by its discriminatory nature does not really embrace middle-of-the-road or popular taste within its remit”</w:t>
      </w:r>
      <w:r w:rsidR="00A87F2C" w:rsidRPr="005060BA">
        <w:t>.</w:t>
      </w:r>
      <w:r w:rsidR="004F4AEA" w:rsidRPr="00993DE2">
        <w:rPr>
          <w:vertAlign w:val="superscript"/>
        </w:rPr>
        <w:endnoteReference w:id="8"/>
      </w:r>
      <w:r w:rsidR="00DD3873" w:rsidRPr="005060BA">
        <w:t xml:space="preserve">  </w:t>
      </w:r>
      <w:r w:rsidR="00FD7C19" w:rsidRPr="005060BA">
        <w:t xml:space="preserve"> </w:t>
      </w:r>
    </w:p>
    <w:p w14:paraId="13329933" w14:textId="77777777" w:rsidR="0079316F" w:rsidRPr="005060BA" w:rsidRDefault="0079316F" w:rsidP="005060BA"/>
    <w:p w14:paraId="59A18821" w14:textId="40325972" w:rsidR="00E675F6" w:rsidRPr="005060BA" w:rsidRDefault="00FD7C19" w:rsidP="003B56EA">
      <w:pPr>
        <w:ind w:firstLine="720"/>
      </w:pPr>
      <w:r w:rsidRPr="005060BA">
        <w:t>This article offers a close reading of archive material and objects from the Silver Studio Collection (now part of the Museum of Domestic Design and Architecture at Middlesex University)</w:t>
      </w:r>
      <w:r w:rsidR="00782FA6" w:rsidRPr="005060BA">
        <w:t xml:space="preserve">.  </w:t>
      </w:r>
      <w:r w:rsidRPr="005060BA">
        <w:t>It builds on previous work by Protheroe and others on design histories of the textile industry in general and the role of the Silver Studio in particular</w:t>
      </w:r>
      <w:r w:rsidR="00782FA6" w:rsidRPr="005060BA">
        <w:t>.</w:t>
      </w:r>
      <w:r w:rsidR="004F4AEA" w:rsidRPr="00993DE2">
        <w:rPr>
          <w:vertAlign w:val="superscript"/>
        </w:rPr>
        <w:endnoteReference w:id="9"/>
      </w:r>
      <w:r w:rsidR="00782FA6" w:rsidRPr="005060BA">
        <w:t xml:space="preserve">  </w:t>
      </w:r>
      <w:r w:rsidRPr="005060BA">
        <w:t>Two separate, yet related, aspects of this question will be considered.  Firstly, the Silver Studio kept detailed administrative records throughout its long history, and historians have drawn upon these to outline the Studio’s working practices and relationships with employees.  Protheroe, for example, used the Studio’s daybooks, diaries, timesheets, photograph albums and correspondence files to illuminate the role that women played within the Studio in the interwar period.</w:t>
      </w:r>
      <w:r w:rsidR="004F4AEA" w:rsidRPr="00993DE2">
        <w:rPr>
          <w:vertAlign w:val="superscript"/>
        </w:rPr>
        <w:endnoteReference w:id="10"/>
      </w:r>
      <w:r w:rsidR="006412A7" w:rsidRPr="005060BA">
        <w:t xml:space="preserve">  </w:t>
      </w:r>
      <w:r w:rsidRPr="005060BA">
        <w:t xml:space="preserve">I want to argue that these administrative </w:t>
      </w:r>
      <w:r w:rsidRPr="005060BA">
        <w:lastRenderedPageBreak/>
        <w:t>records should be considered in their own right as part of the work of the Studio, rather than read as evidence of the ‘real’ work of the Studio.   To do so points towards a more nuanced understanding of commercial design as a collaborative process involving input from numerous individuals.  Secondly, I will narrow the focus down to one specific example of the Silver Studio’s administrative records, a Studio diary for 1928.  This diary reveals the co</w:t>
      </w:r>
      <w:r w:rsidR="00A87F2C" w:rsidRPr="005060BA">
        <w:t xml:space="preserve">mplex authorship of a specific </w:t>
      </w:r>
      <w:r w:rsidRPr="005060BA">
        <w:t xml:space="preserve">sample </w:t>
      </w:r>
      <w:r w:rsidR="00A87F2C" w:rsidRPr="005060BA">
        <w:t xml:space="preserve">of printed textile </w:t>
      </w:r>
      <w:r w:rsidRPr="005060BA">
        <w:t>that survives with</w:t>
      </w:r>
      <w:r w:rsidR="00A87F2C" w:rsidRPr="005060BA">
        <w:t>i</w:t>
      </w:r>
      <w:r w:rsidR="009E5913" w:rsidRPr="005060BA">
        <w:t>n the Silver Studio Collection</w:t>
      </w:r>
      <w:r w:rsidR="00A87F2C" w:rsidRPr="005060BA">
        <w:t>.</w:t>
      </w:r>
      <w:r w:rsidR="00450C34" w:rsidRPr="005060BA">
        <w:t xml:space="preserve">  I will use these examples to suggest that r</w:t>
      </w:r>
      <w:r w:rsidR="004F4AEA" w:rsidRPr="005060BA">
        <w:t>ather than focussing on individu</w:t>
      </w:r>
      <w:r w:rsidR="00450C34" w:rsidRPr="005060BA">
        <w:t>al authorship, the Silver Studio’s output might be better understood as the result of complex (and frequently unspoken) negotiations between designer, manufacturer, and</w:t>
      </w:r>
      <w:r w:rsidR="009E5913" w:rsidRPr="005060BA">
        <w:t xml:space="preserve"> buying public, and be evidence of an alternative history of interwar modernity.</w:t>
      </w:r>
      <w:r w:rsidR="00450C34" w:rsidRPr="005060BA">
        <w:t xml:space="preserve"> </w:t>
      </w:r>
    </w:p>
    <w:p w14:paraId="77D8256F" w14:textId="77777777" w:rsidR="0079316F" w:rsidRPr="005060BA" w:rsidRDefault="0079316F" w:rsidP="005060BA"/>
    <w:p w14:paraId="0E67ECD1" w14:textId="043EFF8B" w:rsidR="007403CF" w:rsidRPr="003B56EA" w:rsidRDefault="7316DFD5" w:rsidP="005060BA">
      <w:pPr>
        <w:rPr>
          <w:b/>
        </w:rPr>
      </w:pPr>
      <w:r w:rsidRPr="003B56EA">
        <w:rPr>
          <w:b/>
        </w:rPr>
        <w:t>The Silver Studio and the interwar textile industry</w:t>
      </w:r>
    </w:p>
    <w:p w14:paraId="43F4C8E5" w14:textId="28AA7509" w:rsidR="005378B1" w:rsidRPr="005060BA" w:rsidRDefault="00FD7C19" w:rsidP="003B56EA">
      <w:pPr>
        <w:ind w:firstLine="720"/>
      </w:pPr>
      <w:r w:rsidRPr="005060BA">
        <w:t>The Silver Studio was</w:t>
      </w:r>
      <w:r w:rsidR="00ED34BB" w:rsidRPr="005060BA">
        <w:t xml:space="preserve"> a commercial design studio based in Hammersmith, west London, from 1880 to 1965.  It </w:t>
      </w:r>
      <w:r w:rsidR="005355DB" w:rsidRPr="005060BA">
        <w:t xml:space="preserve">provides a useful case study because it was commercially successful over a long period, but neither its own name, nor the names of its individual employees were well known to the wider public.  </w:t>
      </w:r>
      <w:r w:rsidR="7316DFD5" w:rsidRPr="005060BA">
        <w:t>Producers of mass-market textiles sourced the majority of their designs for printed fabrics from independent studios or freelancers: the proportion was slightly smaller for woven fabrics due to the greater technical knowledge required to produce a successful weave. Furnishing textiles tended to be replaced frequently within an interior scheme and consequently, as Christine Boydell notes, the industry was a “voracious consumer of designs from a variety of sources”.</w:t>
      </w:r>
      <w:r w:rsidRPr="00993DE2">
        <w:rPr>
          <w:vertAlign w:val="superscript"/>
        </w:rPr>
        <w:endnoteReference w:id="11"/>
      </w:r>
      <w:r w:rsidR="7316DFD5" w:rsidRPr="005060BA">
        <w:t xml:space="preserve">  </w:t>
      </w:r>
      <w:r w:rsidR="007403CF" w:rsidRPr="005060BA">
        <w:t xml:space="preserve">In the 1920s and 30s the Silver Studio was one of a number of companies providing designs to </w:t>
      </w:r>
      <w:r w:rsidR="7316DFD5" w:rsidRPr="005060BA">
        <w:t xml:space="preserve">an astonishing number of clients.  Records suggest that in 1928, for example, it did business with nearly thirty separate firms, or individuals acting as agents for other firms, which between them produced a range of products including printed and woven textiles, carpets, bedspreads, wallpapers, dress prints and ties (see Appendix).  In a sense, the Silver Studio and its competitors were part of a whole ‘hidden mechanism’ of the British textile industry, comprised of a network of small independent firms and freelance designers all carrying out a highly specialized part of the design and production process.  </w:t>
      </w:r>
    </w:p>
    <w:p w14:paraId="418BE954" w14:textId="77777777" w:rsidR="00D678BE" w:rsidRPr="005060BA" w:rsidRDefault="00D678BE" w:rsidP="005060BA"/>
    <w:p w14:paraId="20CBD129" w14:textId="2E7CCEAF" w:rsidR="007403CF" w:rsidRPr="005060BA" w:rsidRDefault="007403CF" w:rsidP="003B56EA">
      <w:pPr>
        <w:ind w:firstLine="720"/>
      </w:pPr>
      <w:r w:rsidRPr="005060BA">
        <w:t xml:space="preserve">Independent design studios such as the Silver Studio were effectively small cogs in the large machine that was the British textile industry in the interwar period.  </w:t>
      </w:r>
      <w:r w:rsidR="0080134E" w:rsidRPr="005060BA">
        <w:t>Little detailed evidence of the Studio’s competitors</w:t>
      </w:r>
      <w:r w:rsidR="00975446" w:rsidRPr="005060BA">
        <w:t xml:space="preserve"> survives</w:t>
      </w:r>
      <w:r w:rsidR="007738C1" w:rsidRPr="005060BA">
        <w:t>:</w:t>
      </w:r>
      <w:r w:rsidR="00975446" w:rsidRPr="005060BA">
        <w:t xml:space="preserve"> </w:t>
      </w:r>
      <w:r w:rsidR="005378B1" w:rsidRPr="005060BA">
        <w:t>Hayes Marshall listed</w:t>
      </w:r>
      <w:r w:rsidR="00975446" w:rsidRPr="005060BA">
        <w:t xml:space="preserve"> </w:t>
      </w:r>
      <w:r w:rsidR="007738C1" w:rsidRPr="005060BA">
        <w:t xml:space="preserve">twelve </w:t>
      </w:r>
      <w:r w:rsidR="00975446" w:rsidRPr="005060BA">
        <w:t xml:space="preserve">other </w:t>
      </w:r>
      <w:r w:rsidR="007738C1" w:rsidRPr="005060BA">
        <w:t xml:space="preserve">textile design </w:t>
      </w:r>
      <w:r w:rsidR="00975446" w:rsidRPr="005060BA">
        <w:t xml:space="preserve">studios in operation </w:t>
      </w:r>
      <w:r w:rsidR="005378B1" w:rsidRPr="005060BA">
        <w:t xml:space="preserve">in </w:t>
      </w:r>
      <w:r w:rsidR="00975446" w:rsidRPr="005060BA">
        <w:t>1939</w:t>
      </w:r>
      <w:r w:rsidR="00FD7C19" w:rsidRPr="005060BA">
        <w:t xml:space="preserve"> (Barker Studios; Ivan de Coutére; WE Currie and Co; James Haward; Headon Designs Ltd; Neville Headon; </w:t>
      </w:r>
      <w:r w:rsidR="00884CCC" w:rsidRPr="005060BA">
        <w:t>Newbo</w:t>
      </w:r>
      <w:r w:rsidR="00FD7C19" w:rsidRPr="005060BA">
        <w:t>ld and Haughton; Sidney M Plaskett; AW Mills Porter; W Fielden Royle; JS Wheelwright;</w:t>
      </w:r>
      <w:r w:rsidR="00884CCC" w:rsidRPr="005060BA">
        <w:t xml:space="preserve"> Wroe and Gee)</w:t>
      </w:r>
      <w:r w:rsidR="00B708AF" w:rsidRPr="005060BA">
        <w:t>.</w:t>
      </w:r>
      <w:r w:rsidR="004F4AEA" w:rsidRPr="00993DE2">
        <w:rPr>
          <w:vertAlign w:val="superscript"/>
        </w:rPr>
        <w:endnoteReference w:id="12"/>
      </w:r>
      <w:r w:rsidR="00FD7C19" w:rsidRPr="005060BA">
        <w:t xml:space="preserve">  None of these could be considered household names now, </w:t>
      </w:r>
      <w:r w:rsidR="00C030EC" w:rsidRPr="005060BA">
        <w:t>n</w:t>
      </w:r>
      <w:r w:rsidR="00FD7C19" w:rsidRPr="005060BA">
        <w:t xml:space="preserve">or </w:t>
      </w:r>
      <w:r w:rsidR="00C030EC" w:rsidRPr="005060BA">
        <w:t>were they likely to have been well known to the general public at the time</w:t>
      </w:r>
      <w:r w:rsidR="00FD7C19" w:rsidRPr="005060BA">
        <w:t xml:space="preserve">, and it </w:t>
      </w:r>
      <w:r w:rsidR="00975446" w:rsidRPr="005060BA">
        <w:t xml:space="preserve">is not clear </w:t>
      </w:r>
      <w:r w:rsidR="007738C1" w:rsidRPr="005060BA">
        <w:t>exactly how many people were employed by each.</w:t>
      </w:r>
      <w:r w:rsidR="00975446" w:rsidRPr="005060BA">
        <w:t xml:space="preserve"> W</w:t>
      </w:r>
      <w:r w:rsidRPr="005060BA">
        <w:t>riting to Rex Silver in 1953, the publisher Frank Lewis reflected on the disappearance, by that point, of a number of independent design studios that until then had seemed to have a secure place in the market:</w:t>
      </w:r>
    </w:p>
    <w:p w14:paraId="66C1CEE3" w14:textId="40C6F1E5" w:rsidR="007403CF" w:rsidRPr="005060BA" w:rsidRDefault="007403CF" w:rsidP="003B56EA">
      <w:pPr>
        <w:ind w:left="720"/>
      </w:pPr>
      <w:r w:rsidRPr="005060BA">
        <w:t xml:space="preserve">  “…it was only a few years ago when there was, Haward, Silver, Fraser &amp; Gaudioz, Albert Grifffiths (sic), the Rigby's, Carey, Doran and any number of others …”</w:t>
      </w:r>
      <w:r w:rsidR="004F4AEA" w:rsidRPr="00993DE2">
        <w:rPr>
          <w:vertAlign w:val="superscript"/>
        </w:rPr>
        <w:endnoteReference w:id="13"/>
      </w:r>
    </w:p>
    <w:p w14:paraId="7B352C7D" w14:textId="24CB8694" w:rsidR="007917DD" w:rsidRPr="005060BA" w:rsidRDefault="7316DFD5" w:rsidP="005060BA">
      <w:r w:rsidRPr="005060BA">
        <w:lastRenderedPageBreak/>
        <w:t xml:space="preserve">Lewis’s mention of Doran complicates matters further as James Doran is listed in Hayes Marshall’s book as an individual designer rather than the head of a studio.  However, the existence of so many independent design firms in the 1920s and 30s underlines the huge demand for textile designs for mass production in this period, and - more importantly - for designs that were readily translatable into machine production.  The high cost of production, involving the engraving of metal rollers, meant that textile firms had to be certain that a design would repay the investment required to produce it.  The decision-making that preceded the production of commercially successful textiles was too important to be left to individual designers: designs were the result of numerous discussions and decisions based on technical, aesthetic and commercial judgements. </w:t>
      </w:r>
    </w:p>
    <w:p w14:paraId="1F2183D5" w14:textId="77777777" w:rsidR="00D678BE" w:rsidRPr="005060BA" w:rsidRDefault="00D678BE" w:rsidP="005060BA"/>
    <w:p w14:paraId="6CD6940C" w14:textId="513E58B6" w:rsidR="007738C1" w:rsidRPr="005060BA" w:rsidRDefault="00D678BE" w:rsidP="003B56EA">
      <w:pPr>
        <w:ind w:firstLine="720"/>
      </w:pPr>
      <w:r w:rsidRPr="005060BA">
        <w:t xml:space="preserve">The names of many of the people who worked at the Silver Studio are known to us, so they </w:t>
      </w:r>
      <w:r w:rsidR="007738C1" w:rsidRPr="005060BA">
        <w:t xml:space="preserve">cannot </w:t>
      </w:r>
      <w:r w:rsidRPr="005060BA">
        <w:t xml:space="preserve">strictly be described as ‘anonymous’.  On the other hand </w:t>
      </w:r>
      <w:r w:rsidR="006459F6" w:rsidRPr="005060BA">
        <w:t xml:space="preserve">we know very little </w:t>
      </w:r>
      <w:r w:rsidRPr="005060BA">
        <w:t xml:space="preserve">else </w:t>
      </w:r>
      <w:r w:rsidR="006459F6" w:rsidRPr="005060BA">
        <w:t>about them</w:t>
      </w:r>
      <w:r w:rsidR="00C030EC" w:rsidRPr="005060BA">
        <w:t>, since</w:t>
      </w:r>
      <w:r w:rsidRPr="005060BA">
        <w:t xml:space="preserve"> aside from their work for the Studio they generall</w:t>
      </w:r>
      <w:r w:rsidR="00FD7C19" w:rsidRPr="005060BA">
        <w:t>y left very little trace in the historical record</w:t>
      </w:r>
      <w:r w:rsidRPr="005060BA">
        <w:t xml:space="preserve">. </w:t>
      </w:r>
      <w:r w:rsidR="00D65D27" w:rsidRPr="005060BA">
        <w:t xml:space="preserve"> As historian Alison Light found in relation to her own family history, many of the working people of Britain left “almost no ‘ego-documents’ as historians now call them – letters, diaries, memoirs – which might give the flavour and attachments of a life”</w:t>
      </w:r>
      <w:r w:rsidR="006412A7" w:rsidRPr="005060BA">
        <w:t>.</w:t>
      </w:r>
      <w:r w:rsidR="004F4AEA" w:rsidRPr="00993DE2">
        <w:rPr>
          <w:vertAlign w:val="superscript"/>
        </w:rPr>
        <w:endnoteReference w:id="14"/>
      </w:r>
      <w:r w:rsidR="006412A7" w:rsidRPr="005060BA">
        <w:t xml:space="preserve">  T</w:t>
      </w:r>
      <w:r w:rsidR="00D65D27" w:rsidRPr="005060BA">
        <w:t>he Studio’s employees were no exception</w:t>
      </w:r>
      <w:r w:rsidR="006412A7" w:rsidRPr="005060BA">
        <w:t>, having left very little trace other than their scant mentions in the Silver Studio records, hence</w:t>
      </w:r>
      <w:r w:rsidR="007738C1" w:rsidRPr="005060BA">
        <w:t xml:space="preserve"> knowledge of individuals’ names does not provide a way in to understanding author</w:t>
      </w:r>
      <w:r w:rsidR="00A133B3" w:rsidRPr="005060BA">
        <w:t>ship in the conventio</w:t>
      </w:r>
      <w:r w:rsidR="006412A7" w:rsidRPr="005060BA">
        <w:t>nal sense.</w:t>
      </w:r>
    </w:p>
    <w:p w14:paraId="72A813C6" w14:textId="77777777" w:rsidR="00FD7C19" w:rsidRPr="005060BA" w:rsidRDefault="00FD7C19" w:rsidP="005060BA"/>
    <w:p w14:paraId="3C3FA835" w14:textId="6E9F936B" w:rsidR="007403CF" w:rsidRPr="003B56EA" w:rsidRDefault="7316DFD5" w:rsidP="005060BA">
      <w:pPr>
        <w:rPr>
          <w:b/>
        </w:rPr>
      </w:pPr>
      <w:r w:rsidRPr="003B56EA">
        <w:rPr>
          <w:b/>
        </w:rPr>
        <w:t xml:space="preserve">Design at the Silver Studio </w:t>
      </w:r>
    </w:p>
    <w:p w14:paraId="7124D5A3" w14:textId="6779DE7F" w:rsidR="007403CF" w:rsidRPr="005060BA" w:rsidRDefault="7316DFD5" w:rsidP="003B56EA">
      <w:pPr>
        <w:ind w:firstLine="720"/>
      </w:pPr>
      <w:r w:rsidRPr="005060BA">
        <w:t>The Silver Studio was established in 1880 by Arthur Silver.  Silver was himself a trained designer, but was clear in his view that designers of wallpapers and textiles should not expect to express their own artistic vision.  Rather, he believed their role should be to provide a service to clients.  He argued that:</w:t>
      </w:r>
    </w:p>
    <w:p w14:paraId="2D24CCFF" w14:textId="386367B6" w:rsidR="007403CF" w:rsidRPr="005060BA" w:rsidRDefault="007403CF" w:rsidP="003B56EA">
      <w:pPr>
        <w:ind w:left="720"/>
      </w:pPr>
      <w:r w:rsidRPr="005060BA">
        <w:t>“…whatever his personal taste, a manufacturer cannot afford to go on producing unsaleable goods. The problem we [ie professional designers] must endeavour to solve, is to supply manufacturers with saleable popular designs that, even in the lowest class, do not offend the canons of artistic propriety, and in some cases are (if I may say so) as good as any effort can make them</w:t>
      </w:r>
      <w:r w:rsidR="009E5913" w:rsidRPr="005060BA">
        <w:t>.”</w:t>
      </w:r>
      <w:r w:rsidR="00993DE2">
        <w:t>`</w:t>
      </w:r>
      <w:r w:rsidR="004F4AEA" w:rsidRPr="00993DE2">
        <w:rPr>
          <w:vertAlign w:val="superscript"/>
        </w:rPr>
        <w:endnoteReference w:id="15"/>
      </w:r>
      <w:r w:rsidRPr="005060BA">
        <w:t xml:space="preserve"> </w:t>
      </w:r>
    </w:p>
    <w:p w14:paraId="77D912FF" w14:textId="0C71361B" w:rsidR="007403CF" w:rsidRPr="005060BA" w:rsidRDefault="007403CF" w:rsidP="005060BA">
      <w:r w:rsidRPr="005060BA">
        <w:t xml:space="preserve">Arthur Silver understood that his role as head of the Studio was to pay close attention to the requirements of Studio’s immediate customers, the manufacturers, and to their ultimate customers, the furnishing-buying public. Manufacturers wanted designs that would satisfy popular tastes and translate economically to industrial production. Arthur Silver possessed a good understanding of the cost implications of each element of designs for various products, noting that, for example “…the more extravagance you permit yourself in the design, the greater the cost of production, therefore if you require a long length for your repeat, you must be assured that the advantage gained is worth the cost”. </w:t>
      </w:r>
    </w:p>
    <w:p w14:paraId="5DBAC1F6" w14:textId="77777777" w:rsidR="007403CF" w:rsidRPr="005060BA" w:rsidRDefault="007403CF" w:rsidP="005060BA"/>
    <w:p w14:paraId="24B57EA0" w14:textId="1F35C0A4" w:rsidR="007403CF" w:rsidRPr="005060BA" w:rsidRDefault="007403CF" w:rsidP="003B56EA">
      <w:pPr>
        <w:ind w:firstLine="720"/>
      </w:pPr>
      <w:r w:rsidRPr="005060BA">
        <w:t xml:space="preserve">Arthur’s death in 1896 meant that by the early years of the twentieth century the Studio was under the directorship of his eldest son, Rex.  Rex Silver was himself a competent designer, but his role within the Studio can be more accurately described as ‘designer-manager’.  Under his leadership the Studio continued to provide technically competent and </w:t>
      </w:r>
      <w:r w:rsidRPr="005060BA">
        <w:lastRenderedPageBreak/>
        <w:t xml:space="preserve">commercially viable patterns to a wide range of clients, including textile and (to a lesser extent), wallpaper manufacturers, producing for the middle and lower end of the market. </w:t>
      </w:r>
      <w:r w:rsidR="008A5B3A" w:rsidRPr="005060BA">
        <w:t xml:space="preserve"> </w:t>
      </w:r>
      <w:r w:rsidRPr="005060BA">
        <w:t>Throughout the early years of the twentieth century, Rex Silver employed a</w:t>
      </w:r>
      <w:r w:rsidR="00C030EC" w:rsidRPr="005060BA">
        <w:t xml:space="preserve">round a dozen </w:t>
      </w:r>
      <w:r w:rsidRPr="005060BA">
        <w:t>designers on both a salaried and freelance basis</w:t>
      </w:r>
      <w:r w:rsidR="00A87F2C" w:rsidRPr="005060BA">
        <w:t>.</w:t>
      </w:r>
      <w:r w:rsidR="008A5B3A" w:rsidRPr="00993DE2">
        <w:rPr>
          <w:vertAlign w:val="superscript"/>
        </w:rPr>
        <w:endnoteReference w:id="16"/>
      </w:r>
      <w:r w:rsidRPr="005060BA">
        <w:t xml:space="preserve"> The role of his employees was to work to his instruction: they were valued for their skills of draughtsmanship and technical ability, but designers working in this context did not expect the luxury of personal self-expression.  Nor did they expect that their own names would be one of the selling points of the textile or wallpaper that was the end product.  In fact, the Silver Studio remained rooted in a tradition of design that was based on the work of un-named designers.  As Protheroe points out: </w:t>
      </w:r>
    </w:p>
    <w:p w14:paraId="61C77E2A" w14:textId="49599CF5" w:rsidR="007403CF" w:rsidRPr="005060BA" w:rsidRDefault="007403CF" w:rsidP="003B56EA">
      <w:pPr>
        <w:ind w:left="720"/>
      </w:pPr>
      <w:r w:rsidRPr="005060BA">
        <w:t>"In many respects Rex Silver and his staff of designers represented a twentieth-century evolution of the eighteenth century calico-printer's assistant, a profession defined by the ability to design directly in response to the dictates of the market and an understanding of the technicalities of mechanical reproduction.”</w:t>
      </w:r>
      <w:r w:rsidR="008A5B3A" w:rsidRPr="00993DE2">
        <w:rPr>
          <w:vertAlign w:val="superscript"/>
        </w:rPr>
        <w:endnoteReference w:id="17"/>
      </w:r>
    </w:p>
    <w:p w14:paraId="3D3FFA62" w14:textId="77777777" w:rsidR="007403CF" w:rsidRPr="005060BA" w:rsidRDefault="44F09E7F" w:rsidP="005060BA">
      <w:r w:rsidRPr="005060BA">
        <w:t>Thus while the Silver Studio employed people who were called ‘designers’, the products that resulted from their labour were not ‘designer’ in the sense (exclusivity, quality, high status) now implied by the word.</w:t>
      </w:r>
    </w:p>
    <w:p w14:paraId="5A75555F" w14:textId="77777777" w:rsidR="007403CF" w:rsidRPr="005060BA" w:rsidRDefault="007403CF" w:rsidP="005060BA"/>
    <w:p w14:paraId="0636A9B7" w14:textId="1DA6007F" w:rsidR="00C743E7" w:rsidRPr="005060BA" w:rsidRDefault="007403CF" w:rsidP="003B56EA">
      <w:pPr>
        <w:ind w:firstLine="720"/>
      </w:pPr>
      <w:r w:rsidRPr="005060BA">
        <w:t>To briefly outline the Studio’s working practices and the records that were kept: design ideas were initially developed as sketches, often in miniature, as a way of de</w:t>
      </w:r>
      <w:r w:rsidR="003401DA" w:rsidRPr="005060BA">
        <w:t>monstrating an idea to a client</w:t>
      </w:r>
      <w:r w:rsidR="00A01E6A" w:rsidRPr="005060BA">
        <w:t xml:space="preserve"> (</w:t>
      </w:r>
      <w:r w:rsidR="003C277D" w:rsidRPr="005060BA">
        <w:t>Figure 2</w:t>
      </w:r>
      <w:r w:rsidR="00A01E6A" w:rsidRPr="005060BA">
        <w:t xml:space="preserve">). </w:t>
      </w:r>
      <w:r w:rsidR="008A5B3A" w:rsidRPr="005060BA">
        <w:t xml:space="preserve"> </w:t>
      </w:r>
      <w:r w:rsidR="00A01E6A" w:rsidRPr="005060BA">
        <w:t>Design</w:t>
      </w:r>
      <w:r w:rsidR="008A5B3A" w:rsidRPr="005060BA">
        <w:t>s</w:t>
      </w:r>
      <w:r w:rsidR="00A01E6A" w:rsidRPr="005060BA">
        <w:t xml:space="preserve"> might also be sketched </w:t>
      </w:r>
      <w:r w:rsidR="008A5B3A" w:rsidRPr="005060BA">
        <w:t xml:space="preserve">at full size </w:t>
      </w:r>
      <w:r w:rsidR="00A01E6A" w:rsidRPr="005060BA">
        <w:t>show</w:t>
      </w:r>
      <w:r w:rsidR="004634B6" w:rsidRPr="005060BA">
        <w:t xml:space="preserve"> the working of </w:t>
      </w:r>
      <w:r w:rsidR="00A01E6A" w:rsidRPr="005060BA">
        <w:t>the repeat (Figure</w:t>
      </w:r>
      <w:r w:rsidR="003C277D" w:rsidRPr="005060BA">
        <w:t xml:space="preserve"> 3</w:t>
      </w:r>
      <w:r w:rsidR="00A01E6A" w:rsidRPr="005060BA">
        <w:t>)</w:t>
      </w:r>
      <w:r w:rsidR="008A5B3A" w:rsidRPr="005060BA">
        <w:t>.</w:t>
      </w:r>
      <w:r w:rsidR="00A01E6A" w:rsidRPr="005060BA">
        <w:t xml:space="preserve">  More fully</w:t>
      </w:r>
      <w:r w:rsidR="008A5B3A" w:rsidRPr="005060BA">
        <w:t>-</w:t>
      </w:r>
      <w:r w:rsidR="00A01E6A" w:rsidRPr="005060BA">
        <w:t>worked designs frequently feature</w:t>
      </w:r>
      <w:r w:rsidR="008A5B3A" w:rsidRPr="005060BA">
        <w:t>d</w:t>
      </w:r>
      <w:r w:rsidR="00A01E6A" w:rsidRPr="005060BA">
        <w:t xml:space="preserve"> a chart </w:t>
      </w:r>
      <w:r w:rsidR="008A5B3A" w:rsidRPr="005060BA">
        <w:t xml:space="preserve">on the bottom edge </w:t>
      </w:r>
      <w:r w:rsidR="00A01E6A" w:rsidRPr="005060BA">
        <w:t xml:space="preserve">to indicate to the client how many colours would be required to print (Figure </w:t>
      </w:r>
      <w:r w:rsidR="003C277D" w:rsidRPr="005060BA">
        <w:t>4</w:t>
      </w:r>
      <w:r w:rsidR="00A01E6A" w:rsidRPr="005060BA">
        <w:t xml:space="preserve">).  </w:t>
      </w:r>
      <w:r w:rsidR="00C743E7" w:rsidRPr="005060BA">
        <w:t>Sometimes designers visited museums and exhibitions in order to gather inspiration</w:t>
      </w:r>
      <w:r w:rsidR="00E34CEE" w:rsidRPr="005060BA">
        <w:t>: a</w:t>
      </w:r>
      <w:r w:rsidR="00C030EC" w:rsidRPr="005060BA">
        <w:t xml:space="preserve"> letter to Rex from female employee Miss Winifred Mold mentions a visit to the Arts and Crafts exhibition at the Royal Academy</w:t>
      </w:r>
      <w:r w:rsidR="00071EAF" w:rsidRPr="005060BA">
        <w:t xml:space="preserve"> in 1928</w:t>
      </w:r>
      <w:r w:rsidR="00C030EC" w:rsidRPr="005060BA">
        <w:t>, which she reported showed “not much of interest”.</w:t>
      </w:r>
      <w:r w:rsidR="008A5B3A" w:rsidRPr="00993DE2">
        <w:rPr>
          <w:vertAlign w:val="superscript"/>
        </w:rPr>
        <w:endnoteReference w:id="18"/>
      </w:r>
      <w:r w:rsidR="00C030EC" w:rsidRPr="005060BA">
        <w:t xml:space="preserve">  </w:t>
      </w:r>
      <w:r w:rsidR="00C926B2" w:rsidRPr="005060BA">
        <w:t xml:space="preserve">Alternatively, </w:t>
      </w:r>
      <w:r w:rsidR="00B26B52" w:rsidRPr="005060BA">
        <w:t xml:space="preserve">new </w:t>
      </w:r>
      <w:r w:rsidR="00C926B2" w:rsidRPr="005060BA">
        <w:t xml:space="preserve">design ideas were generated through a process of discussion with clients and by reference to existing sources.  Either way, </w:t>
      </w:r>
      <w:r w:rsidR="00C743E7" w:rsidRPr="005060BA">
        <w:t xml:space="preserve">Rex Silver reviewed </w:t>
      </w:r>
      <w:r w:rsidR="00C926B2" w:rsidRPr="005060BA">
        <w:t>design</w:t>
      </w:r>
      <w:r w:rsidR="0026676C" w:rsidRPr="005060BA">
        <w:t xml:space="preserve"> ideas</w:t>
      </w:r>
      <w:r w:rsidR="00C926B2" w:rsidRPr="005060BA">
        <w:t xml:space="preserve"> </w:t>
      </w:r>
      <w:r w:rsidR="00C743E7" w:rsidRPr="005060BA">
        <w:t>and discussed them with clients</w:t>
      </w:r>
      <w:r w:rsidRPr="005060BA">
        <w:t>, and if the client were interested the design would be ‘passed’ for further developme</w:t>
      </w:r>
      <w:r w:rsidR="00C743E7" w:rsidRPr="005060BA">
        <w:t>nt.</w:t>
      </w:r>
      <w:r w:rsidR="00A01E6A" w:rsidRPr="005060BA">
        <w:t xml:space="preserve">  </w:t>
      </w:r>
      <w:r w:rsidR="00C743E7" w:rsidRPr="005060BA">
        <w:t>Each design was given a ‘Studio Number’</w:t>
      </w:r>
      <w:r w:rsidRPr="005060BA">
        <w:t xml:space="preserve"> to uniquely identify it during its various stages of development.  Rex’s role was to understand </w:t>
      </w:r>
      <w:r w:rsidR="00C743E7" w:rsidRPr="005060BA">
        <w:t xml:space="preserve">each client’s </w:t>
      </w:r>
      <w:r w:rsidRPr="005060BA">
        <w:t>requirements and to translate these in</w:t>
      </w:r>
      <w:r w:rsidR="00C743E7" w:rsidRPr="005060BA">
        <w:t>to instructions to the designer, which were provided</w:t>
      </w:r>
      <w:r w:rsidRPr="005060BA">
        <w:t xml:space="preserve"> </w:t>
      </w:r>
      <w:r w:rsidR="00C743E7" w:rsidRPr="005060BA">
        <w:t>by post,</w:t>
      </w:r>
      <w:r w:rsidR="004634B6" w:rsidRPr="005060BA">
        <w:t xml:space="preserve"> verbally or written</w:t>
      </w:r>
      <w:r w:rsidRPr="005060BA">
        <w:t xml:space="preserve"> on the designs themselves.</w:t>
      </w:r>
      <w:r w:rsidR="009E5913" w:rsidRPr="005060BA">
        <w:t xml:space="preserve">  </w:t>
      </w:r>
      <w:r w:rsidR="008A5B3A" w:rsidRPr="005060BA">
        <w:t xml:space="preserve">A </w:t>
      </w:r>
      <w:r w:rsidR="004B41A3" w:rsidRPr="005060BA">
        <w:t>pencil note scribbled along the bottom edge of</w:t>
      </w:r>
      <w:r w:rsidR="008A5B3A" w:rsidRPr="005060BA">
        <w:t xml:space="preserve"> one design</w:t>
      </w:r>
      <w:r w:rsidR="008B3EE8" w:rsidRPr="005060BA">
        <w:t xml:space="preserve"> note</w:t>
      </w:r>
      <w:r w:rsidR="00C743E7" w:rsidRPr="005060BA">
        <w:t>d</w:t>
      </w:r>
      <w:r w:rsidR="008B3EE8" w:rsidRPr="005060BA">
        <w:t xml:space="preserve"> that, “The broad leaves are inclined to be rather clumsy - daintiness and delicacy is the essence of a successful dress pattern.  Please complete”</w:t>
      </w:r>
      <w:r w:rsidR="008A5B3A" w:rsidRPr="005060BA">
        <w:t xml:space="preserve"> (Figure 5)</w:t>
      </w:r>
      <w:r w:rsidR="008B3EE8" w:rsidRPr="005060BA">
        <w:t xml:space="preserve">.  </w:t>
      </w:r>
      <w:r w:rsidR="00C743E7" w:rsidRPr="005060BA">
        <w:t>Instructions such</w:t>
      </w:r>
      <w:r w:rsidR="005F5F1B" w:rsidRPr="005060BA">
        <w:t xml:space="preserve"> as these </w:t>
      </w:r>
      <w:r w:rsidR="00C743E7" w:rsidRPr="005060BA">
        <w:t>which attempt</w:t>
      </w:r>
      <w:r w:rsidR="0026676C" w:rsidRPr="005060BA">
        <w:t>ed</w:t>
      </w:r>
      <w:r w:rsidR="00C743E7" w:rsidRPr="005060BA">
        <w:t xml:space="preserve"> to express intangible qualities such as ‘lightness of touch’, as well as technical specifications such as the size of the pattern repeat, are common throughout the Silver Studio’s records.  </w:t>
      </w:r>
    </w:p>
    <w:p w14:paraId="42A0BF0F" w14:textId="77777777" w:rsidR="00C743E7" w:rsidRPr="005060BA" w:rsidRDefault="00C743E7" w:rsidP="005060BA"/>
    <w:p w14:paraId="6258FA32" w14:textId="4B1DD839" w:rsidR="007403CF" w:rsidRPr="005060BA" w:rsidRDefault="007403CF" w:rsidP="003B56EA">
      <w:pPr>
        <w:ind w:firstLine="720"/>
      </w:pPr>
      <w:r w:rsidRPr="005060BA">
        <w:t xml:space="preserve">The final versions of designs were photographed and the resulting images stored sequentially in albums with their associated numbers.  As designs were sold they were recorded in ‘daybooks’, with details of the date, the Studio Number, the client, and the name of the designer.  Such record keeping was important in order to ensure that payment was received from the client for work completed, and that payment was made to the Studio’s employees for their time.   Every change or </w:t>
      </w:r>
      <w:r w:rsidRPr="005060BA">
        <w:lastRenderedPageBreak/>
        <w:t>reiteration demanded by a client inc</w:t>
      </w:r>
      <w:r w:rsidR="00071EAF" w:rsidRPr="005060BA">
        <w:t>reased the cost of a design;</w:t>
      </w:r>
      <w:r w:rsidRPr="005060BA">
        <w:t xml:space="preserve"> Rex </w:t>
      </w:r>
      <w:r w:rsidR="00071EAF" w:rsidRPr="005060BA">
        <w:t>was required</w:t>
      </w:r>
      <w:r w:rsidRPr="005060BA">
        <w:t xml:space="preserve"> to carefully balance the need to </w:t>
      </w:r>
      <w:r w:rsidR="00071EAF" w:rsidRPr="005060BA">
        <w:t xml:space="preserve">satisfy </w:t>
      </w:r>
      <w:r w:rsidRPr="005060BA">
        <w:t>his customers’ requirements with an awareness of the cost of this in terms of his employees’</w:t>
      </w:r>
      <w:r w:rsidR="00B26B52" w:rsidRPr="005060BA">
        <w:t xml:space="preserve"> labour</w:t>
      </w:r>
      <w:r w:rsidRPr="005060BA">
        <w:t xml:space="preserve">.  </w:t>
      </w:r>
    </w:p>
    <w:p w14:paraId="0A834475" w14:textId="77777777" w:rsidR="007403CF" w:rsidRPr="005060BA" w:rsidRDefault="007403CF" w:rsidP="005060BA"/>
    <w:p w14:paraId="66A5D840" w14:textId="0F741E21" w:rsidR="00B26B52" w:rsidRPr="005060BA" w:rsidRDefault="007403CF" w:rsidP="003B56EA">
      <w:pPr>
        <w:ind w:firstLine="720"/>
      </w:pPr>
      <w:r w:rsidRPr="005060BA">
        <w:t>One element of the Studio’s administrative records is the series of diaries maintained during the 19</w:t>
      </w:r>
      <w:r w:rsidR="002D66ED" w:rsidRPr="005060BA">
        <w:t>20s and 30s which</w:t>
      </w:r>
      <w:r w:rsidRPr="005060BA">
        <w:t xml:space="preserve"> functioned as both a </w:t>
      </w:r>
      <w:r w:rsidR="00205D88">
        <w:t xml:space="preserve">method for managing </w:t>
      </w:r>
      <w:r w:rsidRPr="005060BA">
        <w:t>customer relationship</w:t>
      </w:r>
      <w:r w:rsidR="00205D88">
        <w:t>s</w:t>
      </w:r>
      <w:r w:rsidRPr="005060BA">
        <w:t xml:space="preserve"> and a record of daily business.  The focus here is on one particular volume, from 1928</w:t>
      </w:r>
      <w:r w:rsidR="002D66ED" w:rsidRPr="005060BA">
        <w:t>,</w:t>
      </w:r>
      <w:r w:rsidR="003401DA" w:rsidRPr="005060BA">
        <w:t xml:space="preserve"> </w:t>
      </w:r>
      <w:r w:rsidR="002D66ED" w:rsidRPr="005060BA">
        <w:t xml:space="preserve">the earliest </w:t>
      </w:r>
      <w:r w:rsidR="00A94A93" w:rsidRPr="005060BA">
        <w:t>to have survived</w:t>
      </w:r>
      <w:r w:rsidR="002D66ED" w:rsidRPr="005060BA">
        <w:t xml:space="preserve"> </w:t>
      </w:r>
      <w:r w:rsidR="00F45EA8" w:rsidRPr="005060BA">
        <w:t>(Figure</w:t>
      </w:r>
      <w:r w:rsidR="009E5913" w:rsidRPr="005060BA">
        <w:t xml:space="preserve"> </w:t>
      </w:r>
      <w:r w:rsidR="00E34CEE" w:rsidRPr="005060BA">
        <w:t>6</w:t>
      </w:r>
      <w:r w:rsidR="002D66ED" w:rsidRPr="005060BA">
        <w:t>).  Further diarie</w:t>
      </w:r>
      <w:r w:rsidR="00A94A93" w:rsidRPr="005060BA">
        <w:t>s exist</w:t>
      </w:r>
      <w:r w:rsidR="005F5F1B" w:rsidRPr="005060BA">
        <w:t xml:space="preserve"> throughout the 1930s: </w:t>
      </w:r>
      <w:r w:rsidR="002D66ED" w:rsidRPr="005060BA">
        <w:t>analysis of the</w:t>
      </w:r>
      <w:r w:rsidR="005F5F1B" w:rsidRPr="005060BA">
        <w:t>se</w:t>
      </w:r>
      <w:r w:rsidR="002D66ED" w:rsidRPr="005060BA">
        <w:t xml:space="preserve"> was not possible within the scope of this article but would doubtless prove a fruitful area for future research. </w:t>
      </w:r>
      <w:r w:rsidR="00870FA2" w:rsidRPr="005060BA">
        <w:t xml:space="preserve"> 1928 was</w:t>
      </w:r>
      <w:r w:rsidR="002D66ED" w:rsidRPr="005060BA">
        <w:t xml:space="preserve"> a somewhat arbitrary choice based on the existence a typewritten transcript </w:t>
      </w:r>
      <w:r w:rsidR="00C030EC" w:rsidRPr="005060BA">
        <w:t xml:space="preserve">making </w:t>
      </w:r>
      <w:r w:rsidR="00870FA2" w:rsidRPr="005060BA">
        <w:t>clo</w:t>
      </w:r>
      <w:r w:rsidR="002D66ED" w:rsidRPr="005060BA">
        <w:t xml:space="preserve">se reading and analysis easier, and </w:t>
      </w:r>
      <w:r w:rsidR="005F5F1B" w:rsidRPr="005060BA">
        <w:t>on the fact that</w:t>
      </w:r>
      <w:r w:rsidR="002D66ED" w:rsidRPr="005060BA">
        <w:t xml:space="preserve"> it was possible to match a reference within that year’s diary to a textile that</w:t>
      </w:r>
      <w:r w:rsidR="00870FA2" w:rsidRPr="005060BA">
        <w:t xml:space="preserve"> </w:t>
      </w:r>
      <w:r w:rsidR="00A94A93" w:rsidRPr="005060BA">
        <w:t>survives</w:t>
      </w:r>
      <w:r w:rsidR="00870FA2" w:rsidRPr="005060BA">
        <w:t xml:space="preserve"> within the Silver Studio Collection, a circumstance that </w:t>
      </w:r>
      <w:r w:rsidR="00A94A93" w:rsidRPr="005060BA">
        <w:t xml:space="preserve">is </w:t>
      </w:r>
      <w:r w:rsidR="002D66ED" w:rsidRPr="005060BA">
        <w:t xml:space="preserve">relatively unusual but </w:t>
      </w:r>
      <w:r w:rsidR="00A94A93" w:rsidRPr="005060BA">
        <w:t>useful for this discussion</w:t>
      </w:r>
      <w:r w:rsidR="00870FA2" w:rsidRPr="005060BA">
        <w:t xml:space="preserve">.  </w:t>
      </w:r>
    </w:p>
    <w:p w14:paraId="7946F688" w14:textId="77777777" w:rsidR="00B26B52" w:rsidRPr="005060BA" w:rsidRDefault="00B26B52" w:rsidP="005060BA"/>
    <w:p w14:paraId="68E5EC62" w14:textId="46DFF057" w:rsidR="007403CF" w:rsidRPr="005060BA" w:rsidRDefault="007403CF" w:rsidP="003B56EA">
      <w:pPr>
        <w:ind w:firstLine="720"/>
      </w:pPr>
      <w:r w:rsidRPr="005060BA">
        <w:t xml:space="preserve">Created within a simple mass-produced ruled notebook, the first part of the </w:t>
      </w:r>
      <w:r w:rsidR="002D66ED" w:rsidRPr="005060BA">
        <w:t xml:space="preserve">1928 </w:t>
      </w:r>
      <w:r w:rsidR="00870FA2" w:rsidRPr="005060BA">
        <w:t>diary has been</w:t>
      </w:r>
      <w:r w:rsidRPr="005060BA">
        <w:t xml:space="preserve"> customised with an alphabetized index of names cut into the edges of the page by hand </w:t>
      </w:r>
      <w:r w:rsidR="00F45EA8" w:rsidRPr="005060BA">
        <w:t>(Figure</w:t>
      </w:r>
      <w:r w:rsidR="003401DA" w:rsidRPr="005060BA">
        <w:t xml:space="preserve"> </w:t>
      </w:r>
      <w:r w:rsidR="00E34CEE" w:rsidRPr="005060BA">
        <w:t>7</w:t>
      </w:r>
      <w:r w:rsidRPr="005060BA">
        <w:t>).  This alphabetized index records names of individuals and their company affiliations</w:t>
      </w:r>
      <w:r w:rsidR="005F5F1B" w:rsidRPr="005060BA">
        <w:t xml:space="preserve">.  This first </w:t>
      </w:r>
      <w:r w:rsidRPr="005060BA">
        <w:t>section cross-references to the second part of the book that records the dates on which those individuals visited the Studio, in a</w:t>
      </w:r>
      <w:r w:rsidR="005F5F1B" w:rsidRPr="005060BA">
        <w:t xml:space="preserve"> running chronological order.  </w:t>
      </w:r>
      <w:r w:rsidRPr="005060BA">
        <w:t>The diary thus provides</w:t>
      </w:r>
      <w:r w:rsidR="002D66ED" w:rsidRPr="005060BA">
        <w:t xml:space="preserve"> us with</w:t>
      </w:r>
      <w:r w:rsidRPr="005060BA">
        <w:t xml:space="preserve"> a record of the day-to-day busines</w:t>
      </w:r>
      <w:r w:rsidR="002D66ED" w:rsidRPr="005060BA">
        <w:t xml:space="preserve">s of the Studio and its clients.  For the Studio it </w:t>
      </w:r>
      <w:r w:rsidRPr="005060BA">
        <w:t xml:space="preserve">functioned as a reminder of which clients had seen which designs, what had been agreed, and what actions needed to be taken next.  The exact ‘author’ of these diaries is not clear, but we can surmise that </w:t>
      </w:r>
      <w:r w:rsidR="003B56EA">
        <w:t xml:space="preserve">during </w:t>
      </w:r>
      <w:r w:rsidRPr="005060BA">
        <w:t xml:space="preserve">1928 </w:t>
      </w:r>
      <w:r w:rsidR="00BC004F">
        <w:t>the diary</w:t>
      </w:r>
      <w:r w:rsidR="003B56EA">
        <w:t xml:space="preserve"> </w:t>
      </w:r>
      <w:r w:rsidRPr="005060BA">
        <w:t>was maintained by Miss Cook</w:t>
      </w:r>
      <w:r w:rsidR="00E14D47" w:rsidRPr="005060BA">
        <w:t>, Rex Silver’</w:t>
      </w:r>
      <w:r w:rsidR="00F11997" w:rsidRPr="005060BA">
        <w:t>s secretary</w:t>
      </w:r>
      <w:r w:rsidRPr="005060BA">
        <w:t>.  In a sense authorship is immaterial, since it is not a personal journal but rather an example of one component of the necessary working apparatus of a busy design firm</w:t>
      </w:r>
      <w:r w:rsidR="00E14D47" w:rsidRPr="005060BA">
        <w:t xml:space="preserve">, but </w:t>
      </w:r>
      <w:r w:rsidRPr="005060BA">
        <w:t>Miss Cook seems the likeliest author given her role as</w:t>
      </w:r>
      <w:r w:rsidR="00BC004F">
        <w:t xml:space="preserve"> Silver</w:t>
      </w:r>
      <w:r w:rsidR="00E14D47" w:rsidRPr="005060BA">
        <w:t>’s</w:t>
      </w:r>
      <w:r w:rsidRPr="005060BA">
        <w:t xml:space="preserve"> secretary and general assistant</w:t>
      </w:r>
      <w:r w:rsidR="00E14D47" w:rsidRPr="005060BA">
        <w:t xml:space="preserve">. </w:t>
      </w:r>
    </w:p>
    <w:p w14:paraId="57AA4810" w14:textId="77777777" w:rsidR="007403CF" w:rsidRPr="005060BA" w:rsidRDefault="007403CF" w:rsidP="005060BA"/>
    <w:p w14:paraId="3A9B6D32" w14:textId="6F742799" w:rsidR="007403CF" w:rsidRPr="005060BA" w:rsidRDefault="007403CF" w:rsidP="003B56EA">
      <w:pPr>
        <w:ind w:firstLine="720"/>
      </w:pPr>
      <w:r w:rsidRPr="005060BA">
        <w:t xml:space="preserve">The </w:t>
      </w:r>
      <w:r w:rsidR="00BC004F">
        <w:t xml:space="preserve">1928 </w:t>
      </w:r>
      <w:r w:rsidRPr="005060BA">
        <w:t>diary contains numerous mentions of designs that were then in progress, referred to by their Studio Number, enabling cross-referencing to the Studio’s photographic records, daybooks (equivalent to sales ledgers) and to correspondence with clients.  According to this diary, the Silver Studio received visits from over sixty individuals in the first half of the year alone.</w:t>
      </w:r>
      <w:r w:rsidR="005943A9" w:rsidRPr="005060BA">
        <w:t xml:space="preserve"> </w:t>
      </w:r>
      <w:r w:rsidRPr="005060BA">
        <w:t xml:space="preserve">These were in some cases the owners or representatives of textile firms, but were also buyers working for specific firms or agents buying designs on behalf of a number of companies.  Visitors generally came by appointment, but would occasionally call in at short notice if they happened to be in London.  For example, on February 7th, 1928: </w:t>
      </w:r>
    </w:p>
    <w:p w14:paraId="77B8F9C4" w14:textId="0D6CBB96" w:rsidR="007403CF" w:rsidRPr="005060BA" w:rsidRDefault="007403CF" w:rsidP="00BC004F">
      <w:pPr>
        <w:ind w:left="720"/>
      </w:pPr>
      <w:r w:rsidRPr="005060BA">
        <w:t>“Mr Fisk called without warning yesterday morning about 10 o’clock. FC started with him and RS [Rex Silver] continued to show him all we had to date likely to be of interest but did not show him miniatures…”</w:t>
      </w:r>
      <w:r w:rsidR="008A5B3A" w:rsidRPr="00993DE2">
        <w:rPr>
          <w:vertAlign w:val="superscript"/>
        </w:rPr>
        <w:endnoteReference w:id="19"/>
      </w:r>
    </w:p>
    <w:p w14:paraId="0E52D5E8" w14:textId="77777777" w:rsidR="007403CF" w:rsidRPr="005060BA" w:rsidRDefault="007403CF" w:rsidP="005060BA">
      <w:r w:rsidRPr="005060BA">
        <w:t>The ability to keep track of which client had seen which design ideas was clearly an important function of the diary, both to avoid wasting time by showing them the same things on subsequent visits, and because of the commercial sensitivity of showing design ideas which might have already been under c</w:t>
      </w:r>
      <w:r w:rsidR="00E96CE4" w:rsidRPr="005060BA">
        <w:t xml:space="preserve">onsideration by a competitor.  </w:t>
      </w:r>
      <w:r w:rsidRPr="005060BA">
        <w:t xml:space="preserve">Where names were underlined it </w:t>
      </w:r>
      <w:r w:rsidRPr="005060BA">
        <w:lastRenderedPageBreak/>
        <w:t>indicated a cross-reference to the details of that individual or compa</w:t>
      </w:r>
      <w:r w:rsidR="00E96CE4" w:rsidRPr="005060BA">
        <w:t>ny in the alphabetized section (</w:t>
      </w:r>
      <w:r w:rsidRPr="005060BA">
        <w:t>effectively an early form of hyperlink).</w:t>
      </w:r>
    </w:p>
    <w:p w14:paraId="1AE4E8F2" w14:textId="77777777" w:rsidR="007403CF" w:rsidRPr="005060BA" w:rsidRDefault="007403CF" w:rsidP="005060BA"/>
    <w:p w14:paraId="5AC94036" w14:textId="19C161FF" w:rsidR="007403CF" w:rsidRPr="005060BA" w:rsidRDefault="007403CF" w:rsidP="00BC004F">
      <w:pPr>
        <w:ind w:firstLine="720"/>
      </w:pPr>
      <w:r w:rsidRPr="005060BA">
        <w:t>The diary entries appear on one level to be a factual reporting of events, but we can read glimpses of some of the personalities involved, even through the relatively unemotional text.  The entry for January 22nd 1928 hints at the lengths to which Rex and his employees had to go to satisfy their clients, and suggests something of the patience and diplomacy required in such situations:</w:t>
      </w:r>
    </w:p>
    <w:p w14:paraId="2E46B330" w14:textId="1F6519AC" w:rsidR="007403CF" w:rsidRPr="005060BA" w:rsidRDefault="007403CF" w:rsidP="00BC004F">
      <w:pPr>
        <w:ind w:left="720"/>
      </w:pPr>
      <w:r w:rsidRPr="005060BA">
        <w:t>Mr AC King of Titus Blatter, New York called at about ¼ to 2 by appointment.  He was staying at the Ritz Hotel.  He spent a long time here and RS [Rex Silver] turned out everything likely to be of interest for him to see…He saw the 3 top drawers in the smaller chest and the main top drawer in the large chest which means he saw all the best designs large and small at the moment in the studio.  He was not interested in large designs and would not even consider them as ideas…”</w:t>
      </w:r>
      <w:r w:rsidR="008A5B3A" w:rsidRPr="00993DE2">
        <w:rPr>
          <w:vertAlign w:val="superscript"/>
        </w:rPr>
        <w:endnoteReference w:id="20"/>
      </w:r>
    </w:p>
    <w:p w14:paraId="69550AC8" w14:textId="59AF42B4" w:rsidR="007403CF" w:rsidRPr="005060BA" w:rsidRDefault="00AB0F94" w:rsidP="005060BA">
      <w:r w:rsidRPr="005060BA">
        <w:t xml:space="preserve">As this example </w:t>
      </w:r>
      <w:r w:rsidR="007403CF" w:rsidRPr="005060BA">
        <w:t>suggest</w:t>
      </w:r>
      <w:r w:rsidRPr="005060BA">
        <w:t>s</w:t>
      </w:r>
      <w:r w:rsidR="007403CF" w:rsidRPr="005060BA">
        <w:t xml:space="preserve">, each visit involved detailed discussion of design ideas between the representative of the client company and Rex Silver. The volume of work and the large numbery of clients meant that it was vital to maintain accurate notes of ongoing discussions.  These diaries seem to have functioned as informal, internal records in addition to the more formal business records of letters and invoices </w:t>
      </w:r>
      <w:r w:rsidR="00E96CE4" w:rsidRPr="005060BA">
        <w:t xml:space="preserve">that </w:t>
      </w:r>
      <w:r w:rsidR="007403CF" w:rsidRPr="005060BA">
        <w:t>requested and receipted payments for co</w:t>
      </w:r>
      <w:r w:rsidR="00C21AC3" w:rsidRPr="005060BA">
        <w:t>mpleted designs.  We can</w:t>
      </w:r>
      <w:r w:rsidR="007403CF" w:rsidRPr="005060BA">
        <w:t xml:space="preserve"> assume that Miss Cook </w:t>
      </w:r>
      <w:r w:rsidRPr="005060BA">
        <w:t>attended</w:t>
      </w:r>
      <w:r w:rsidR="007403CF" w:rsidRPr="005060BA">
        <w:t xml:space="preserve"> meetings with clients and made the notes that appear in the diary.  She would also have been responsible for ensuring that the Studio followed up on the outcome of these discussions, including that further instructions for the development of designs were relayed to the Studio’s employees or that letters of agreement were sent to clients.</w:t>
      </w:r>
    </w:p>
    <w:p w14:paraId="7E8B8C65" w14:textId="77777777" w:rsidR="007403CF" w:rsidRPr="005060BA" w:rsidRDefault="007403CF" w:rsidP="005060BA"/>
    <w:p w14:paraId="3F3AAD16" w14:textId="146A8AC6" w:rsidR="00C21AC3" w:rsidRPr="005060BA" w:rsidRDefault="007403CF" w:rsidP="00BC004F">
      <w:pPr>
        <w:ind w:firstLine="720"/>
      </w:pPr>
      <w:r w:rsidRPr="005060BA">
        <w:t>The Silver Studio diary for 1928 is a reminder of the invisible and emotional labour involved in re</w:t>
      </w:r>
      <w:r w:rsidR="00FC4988" w:rsidRPr="005060BA">
        <w:t xml:space="preserve">membering clients’ names, </w:t>
      </w:r>
      <w:r w:rsidRPr="005060BA">
        <w:t>wh</w:t>
      </w:r>
      <w:r w:rsidR="00FC4988" w:rsidRPr="005060BA">
        <w:t xml:space="preserve">ich firm they represented, and </w:t>
      </w:r>
      <w:r w:rsidRPr="005060BA">
        <w:t>the need to make them welcome in the Studio during their visit.  (‘Emotional labour’ is not a term that would have been used at the time, but is one that we can perhaps read into the diary retrospectively)</w:t>
      </w:r>
      <w:r w:rsidR="00450C34" w:rsidRPr="005060BA">
        <w:t>.</w:t>
      </w:r>
      <w:r w:rsidR="003E1045" w:rsidRPr="00993DE2">
        <w:rPr>
          <w:vertAlign w:val="superscript"/>
        </w:rPr>
        <w:endnoteReference w:id="21"/>
      </w:r>
      <w:r w:rsidR="003E1045" w:rsidRPr="005060BA">
        <w:t xml:space="preserve">  </w:t>
      </w:r>
      <w:r w:rsidRPr="005060BA">
        <w:t>The diary maint</w:t>
      </w:r>
      <w:r w:rsidR="00FF79C7" w:rsidRPr="005060BA">
        <w:t xml:space="preserve">ains an impersonal tone, but </w:t>
      </w:r>
      <w:r w:rsidRPr="005060BA">
        <w:t xml:space="preserve">its existence points to the importance of maintaining </w:t>
      </w:r>
      <w:r w:rsidR="00FF79C7" w:rsidRPr="005060BA">
        <w:t xml:space="preserve">details of </w:t>
      </w:r>
      <w:r w:rsidRPr="005060BA">
        <w:t>customers, and of ensuring that this knowledge was shared rather than personal.  Further, there was a need to record information not just about individual clients in relation to the Silver Studio, but in relation to each other.  Visitors often imparted useful snippets of information about changes of personnel within client firms, which were duly noted.</w:t>
      </w:r>
      <w:r w:rsidR="00FF79C7" w:rsidRPr="005060BA">
        <w:t xml:space="preserve">  O</w:t>
      </w:r>
      <w:r w:rsidRPr="005060BA">
        <w:t>ne of the Studio’s regular visitors passed on the fact that, “Mr W Dorrell has taken Mr May’s place at Libertys (sic) for Dress Fabrics”</w:t>
      </w:r>
      <w:r w:rsidR="00450C34" w:rsidRPr="005060BA">
        <w:t>.</w:t>
      </w:r>
      <w:r w:rsidR="003E1045" w:rsidRPr="00993DE2">
        <w:rPr>
          <w:vertAlign w:val="superscript"/>
        </w:rPr>
        <w:endnoteReference w:id="22"/>
      </w:r>
      <w:r w:rsidRPr="005060BA">
        <w:t xml:space="preserve"> </w:t>
      </w:r>
      <w:r w:rsidR="003E1045" w:rsidRPr="005060BA">
        <w:t xml:space="preserve"> A</w:t>
      </w:r>
      <w:r w:rsidRPr="005060BA">
        <w:t>nother diary entry records a visit of Mr Muhle of Tullialan F</w:t>
      </w:r>
      <w:r w:rsidR="00C21AC3" w:rsidRPr="005060BA">
        <w:t>abric Co, noting</w:t>
      </w:r>
      <w:r w:rsidRPr="005060BA">
        <w:t xml:space="preserve"> “Mr Muhle’s brother is a Rug &amp; Carpet manufacturer under the name of James Muhle &amp;Co, Dysart, Fife and he will give him our name and we may hear from him”</w:t>
      </w:r>
      <w:r w:rsidR="00450C34" w:rsidRPr="005060BA">
        <w:t>.</w:t>
      </w:r>
      <w:r w:rsidR="003E1045" w:rsidRPr="00993DE2">
        <w:rPr>
          <w:vertAlign w:val="superscript"/>
        </w:rPr>
        <w:endnoteReference w:id="23"/>
      </w:r>
      <w:r w:rsidRPr="005060BA">
        <w:t xml:space="preserve">  That so many apparently small details are record</w:t>
      </w:r>
      <w:r w:rsidR="005F5F1B" w:rsidRPr="005060BA">
        <w:t>ed suggests their importance in</w:t>
      </w:r>
      <w:r w:rsidRPr="005060BA">
        <w:t xml:space="preserve"> maintaining good relationship</w:t>
      </w:r>
      <w:r w:rsidR="00FF79C7" w:rsidRPr="005060BA">
        <w:t xml:space="preserve">s with clients, and thus of their relevance to the </w:t>
      </w:r>
      <w:r w:rsidRPr="005060BA">
        <w:t xml:space="preserve">ongoing success of the </w:t>
      </w:r>
      <w:r w:rsidR="005F5F1B" w:rsidRPr="005060BA">
        <w:t xml:space="preserve">Silver Studio’s </w:t>
      </w:r>
      <w:r w:rsidRPr="005060BA">
        <w:t xml:space="preserve">business.  </w:t>
      </w:r>
    </w:p>
    <w:p w14:paraId="5CDD7F5F" w14:textId="77777777" w:rsidR="00C21AC3" w:rsidRPr="005060BA" w:rsidRDefault="00C21AC3" w:rsidP="005060BA"/>
    <w:p w14:paraId="56B18AA2" w14:textId="4D98DD48" w:rsidR="007403CF" w:rsidRPr="005060BA" w:rsidRDefault="007403CF" w:rsidP="00BC004F">
      <w:pPr>
        <w:ind w:firstLine="720"/>
      </w:pPr>
      <w:r w:rsidRPr="005060BA">
        <w:lastRenderedPageBreak/>
        <w:t xml:space="preserve">It is possible to read the Silver Studio diaries as simply a window on to a world of work.  However, the diaries did not simply record the workings of the Studio but in a very real sense the maintenance of the diaries was part of the work of the Studio, and as such they can be seen as one of the hidden mechanisms of </w:t>
      </w:r>
      <w:r w:rsidR="00EB6211" w:rsidRPr="005060BA">
        <w:t>design history.  The 1928 diary</w:t>
      </w:r>
      <w:r w:rsidR="003E1045" w:rsidRPr="005060BA">
        <w:t xml:space="preserve"> (</w:t>
      </w:r>
      <w:r w:rsidRPr="005060BA">
        <w:t>and the other administrative re</w:t>
      </w:r>
      <w:r w:rsidR="00EB6211" w:rsidRPr="005060BA">
        <w:t>cords to which it cross-refers</w:t>
      </w:r>
      <w:r w:rsidR="003E1045" w:rsidRPr="005060BA">
        <w:t>)</w:t>
      </w:r>
      <w:r w:rsidR="00EB6211" w:rsidRPr="005060BA">
        <w:t xml:space="preserve"> </w:t>
      </w:r>
      <w:r w:rsidRPr="005060BA">
        <w:t>represents meticulous effort un</w:t>
      </w:r>
      <w:r w:rsidR="003E1045" w:rsidRPr="005060BA">
        <w:t>dertaken by an un-acknowledged, probably female,</w:t>
      </w:r>
      <w:r w:rsidRPr="005060BA">
        <w:t xml:space="preserve"> employee</w:t>
      </w:r>
      <w:r w:rsidR="00EB6211" w:rsidRPr="005060BA">
        <w:t>, and suggest</w:t>
      </w:r>
      <w:r w:rsidR="003E1045" w:rsidRPr="005060BA">
        <w:t>s</w:t>
      </w:r>
      <w:r w:rsidR="00EB6211" w:rsidRPr="005060BA">
        <w:t xml:space="preserve"> the complex negotiations at work in creating a design. Without these records </w:t>
      </w:r>
      <w:r w:rsidRPr="005060BA">
        <w:t>the Studio’s</w:t>
      </w:r>
      <w:r w:rsidR="00EB6211" w:rsidRPr="005060BA">
        <w:t xml:space="preserve"> work could not have continued; both their existence and their contents point to the difficulty to attributing particular designs to specific people, as will be seen in the next section</w:t>
      </w:r>
      <w:r w:rsidR="005F5F1B" w:rsidRPr="005060BA">
        <w:t xml:space="preserve">. </w:t>
      </w:r>
    </w:p>
    <w:p w14:paraId="74204BFB" w14:textId="77777777" w:rsidR="007403CF" w:rsidRPr="005060BA" w:rsidRDefault="007403CF" w:rsidP="005060BA"/>
    <w:p w14:paraId="758FE170" w14:textId="56200C6C" w:rsidR="007403CF" w:rsidRPr="00BC004F" w:rsidRDefault="004634B6" w:rsidP="005060BA">
      <w:pPr>
        <w:rPr>
          <w:b/>
        </w:rPr>
      </w:pPr>
      <w:r w:rsidRPr="00BC004F">
        <w:rPr>
          <w:b/>
        </w:rPr>
        <w:t>Case study: Textile D</w:t>
      </w:r>
      <w:r w:rsidR="007403CF" w:rsidRPr="00BC004F">
        <w:rPr>
          <w:b/>
        </w:rPr>
        <w:t xml:space="preserve">esign for Denby &amp; Son </w:t>
      </w:r>
    </w:p>
    <w:p w14:paraId="2BC869F1" w14:textId="0DA2F91C" w:rsidR="007403CF" w:rsidRPr="005060BA" w:rsidRDefault="007403CF" w:rsidP="00BC004F">
      <w:pPr>
        <w:ind w:firstLine="720"/>
      </w:pPr>
      <w:r w:rsidRPr="005060BA">
        <w:t xml:space="preserve">One </w:t>
      </w:r>
      <w:r w:rsidR="00F11997" w:rsidRPr="005060BA">
        <w:t xml:space="preserve">of the Studio’s regular visitors </w:t>
      </w:r>
      <w:r w:rsidRPr="005060BA">
        <w:t>was Mr Milnes, a partner in the Bradford based firm of Robert Denby &amp; Son.  His visit to the Silver Studio in December 1928 was the third he had made that year, having previously called in February and October.  He visi</w:t>
      </w:r>
      <w:r w:rsidR="003E1045" w:rsidRPr="005060BA">
        <w:t>ted again on</w:t>
      </w:r>
      <w:r w:rsidRPr="005060BA">
        <w:t xml:space="preserve"> December </w:t>
      </w:r>
      <w:r w:rsidR="003E1045" w:rsidRPr="005060BA">
        <w:t xml:space="preserve">17, </w:t>
      </w:r>
      <w:r w:rsidRPr="005060BA">
        <w:t xml:space="preserve">1928 to discuss ongoing business, including looking at new design ideas and passing </w:t>
      </w:r>
      <w:r w:rsidR="00EB6211" w:rsidRPr="005060BA">
        <w:t>others for further development:</w:t>
      </w:r>
      <w:r w:rsidRPr="005060BA">
        <w:t xml:space="preserve">   </w:t>
      </w:r>
    </w:p>
    <w:p w14:paraId="42951DE3" w14:textId="4D893F67" w:rsidR="007403CF" w:rsidRPr="005060BA" w:rsidRDefault="007403CF" w:rsidP="00BC004F">
      <w:pPr>
        <w:ind w:left="720"/>
      </w:pPr>
      <w:r w:rsidRPr="005060BA">
        <w:t>“Milnes called and discussed all work in hand.  We must send to B/D [ie ‘Bob’ or Robert Denby, head of the firm of Denby and Son] 2 completed designs 6013 &amp; 6034 for consideration.  Make new sketch using Iris for Water Line b.g.[ie background]  idea &amp; new sketch for small Needle-work 6033.  Proceed with Dutch Groups 6035 &amp; Elephants 5527. Saw working of 6012 &amp; may proceed. Ordered 2 new ideas, 6045 Needlework Basket on 24 x 29 ½ for 12 colours inch, &amp; an open floral without birds from sketch 5636 on 24 x 29 ½ for 12 colours inch.  Specially interested in Looking Glass Floral of Prices…”</w:t>
      </w:r>
      <w:r w:rsidR="00867019" w:rsidRPr="00993DE2">
        <w:rPr>
          <w:vertAlign w:val="superscript"/>
        </w:rPr>
        <w:endnoteReference w:id="24"/>
      </w:r>
    </w:p>
    <w:p w14:paraId="72F9F133" w14:textId="4CE49B2F" w:rsidR="007403CF" w:rsidRPr="005060BA" w:rsidRDefault="007403CF" w:rsidP="005060BA">
      <w:r w:rsidRPr="005060BA">
        <w:t>The above entry is typical of the kind of information recorded in the Silver Studio diaries.  It functioned as a ‘to do’ list (“We must send”</w:t>
      </w:r>
      <w:r w:rsidR="00867019" w:rsidRPr="005060BA">
        <w:t xml:space="preserve">); </w:t>
      </w:r>
      <w:r w:rsidRPr="005060BA">
        <w:t>as a note of the discussions held (“proceed with Dutch Groups 6035 and Elephants 5527”</w:t>
      </w:r>
      <w:r w:rsidR="00867019" w:rsidRPr="005060BA">
        <w:t xml:space="preserve">); and </w:t>
      </w:r>
      <w:r w:rsidRPr="005060BA">
        <w:t xml:space="preserve">as a record of which designs were seen by the client during his visit to the Studio that day (“Saw working of 6012 and may proceed”).  It also served as a record of </w:t>
      </w:r>
      <w:r w:rsidR="00F11997" w:rsidRPr="005060BA">
        <w:t>what the client</w:t>
      </w:r>
      <w:r w:rsidRPr="005060BA">
        <w:t xml:space="preserve"> wanted to see more of (“ordered 2 new ideas”) and a note of what else he might be interested in seeing next time (</w:t>
      </w:r>
      <w:r w:rsidR="00C21AC3" w:rsidRPr="005060BA">
        <w:t xml:space="preserve">the phrase </w:t>
      </w:r>
      <w:r w:rsidRPr="005060BA">
        <w:t xml:space="preserve">“looking glass floral of Prices”, presumably </w:t>
      </w:r>
      <w:r w:rsidR="00C21AC3" w:rsidRPr="005060BA">
        <w:t>referred</w:t>
      </w:r>
      <w:r w:rsidRPr="005060BA">
        <w:t xml:space="preserve"> to a design by Frank Price, one of the Studio’s longest-standing employees).</w:t>
      </w:r>
      <w:r w:rsidR="00834375" w:rsidRPr="005060BA">
        <w:t xml:space="preserve"> </w:t>
      </w:r>
      <w:r w:rsidR="00DC1BE1" w:rsidRPr="005060BA">
        <w:t xml:space="preserve">Figure </w:t>
      </w:r>
      <w:r w:rsidR="00E34CEE" w:rsidRPr="005060BA">
        <w:t>8</w:t>
      </w:r>
      <w:r w:rsidR="00DC1BE1" w:rsidRPr="005060BA">
        <w:t xml:space="preserve"> shows the work referred to as number 6013, a Jacobean-inspired design featuring a unicorn, with the words ‘pottery plate’ pencilled in the bottom right hand corner.</w:t>
      </w:r>
      <w:r w:rsidR="00867019" w:rsidRPr="00993DE2">
        <w:rPr>
          <w:vertAlign w:val="superscript"/>
        </w:rPr>
        <w:endnoteReference w:id="25"/>
      </w:r>
    </w:p>
    <w:p w14:paraId="79A72DAE" w14:textId="77777777" w:rsidR="007403CF" w:rsidRPr="005060BA" w:rsidRDefault="007403CF" w:rsidP="005060BA"/>
    <w:p w14:paraId="1D906BAB" w14:textId="313BA75C" w:rsidR="007403CF" w:rsidRPr="005060BA" w:rsidRDefault="007403CF" w:rsidP="00BC004F">
      <w:pPr>
        <w:ind w:firstLine="720"/>
      </w:pPr>
      <w:r w:rsidRPr="005060BA">
        <w:t xml:space="preserve">Importantly for our purposes here, the same entry records that Mr Milnes and Rex Silver visited the Victoria and Albert Museum together that afternoon, and identified an embroidered textile that they agreed could be the </w:t>
      </w:r>
      <w:r w:rsidR="00246487" w:rsidRPr="005060BA">
        <w:t xml:space="preserve">basis of a new textile design: </w:t>
      </w:r>
      <w:r w:rsidRPr="005060BA">
        <w:t>“RS (Rex Silver) went to SKM, (the V&amp;A), with Mr Milnes.”</w:t>
      </w:r>
      <w:r w:rsidR="00867019" w:rsidRPr="00993DE2">
        <w:rPr>
          <w:vertAlign w:val="superscript"/>
        </w:rPr>
        <w:endnoteReference w:id="26"/>
      </w:r>
      <w:r w:rsidRPr="005060BA">
        <w:t xml:space="preserve">  Details of exactly which object they saw at the Museum were unfortunately not recorded.  Their visit was followed up by a letter from Denby &amp; Son a few days later, </w:t>
      </w:r>
      <w:r w:rsidR="00834375" w:rsidRPr="005060BA">
        <w:t>making clear some of the very detailed technical specifications that would be required and which presumably had been</w:t>
      </w:r>
      <w:r w:rsidRPr="005060BA">
        <w:t xml:space="preserve"> discussed </w:t>
      </w:r>
      <w:r w:rsidR="00834375" w:rsidRPr="005060BA">
        <w:t xml:space="preserve">in outline </w:t>
      </w:r>
      <w:r w:rsidRPr="005060BA">
        <w:t xml:space="preserve">during their conversation: </w:t>
      </w:r>
    </w:p>
    <w:p w14:paraId="3A0A07B9" w14:textId="26895E2F" w:rsidR="00B708AF" w:rsidRPr="005060BA" w:rsidRDefault="007403CF" w:rsidP="00BC004F">
      <w:pPr>
        <w:ind w:left="720"/>
      </w:pPr>
      <w:r w:rsidRPr="005060BA">
        <w:lastRenderedPageBreak/>
        <w:t>“confirming Mr Milnes visit the other day, the Trellis embroidery design idea selected by Mr Silver and Mr Milnes in South Kensington Museum is to follow 2006 and to be of the same dimensions namely 16” high by 29 1⁄2” wide, and to have 8 colours including the blotch</w:t>
      </w:r>
      <w:r w:rsidR="00246487" w:rsidRPr="005060BA">
        <w:t>.</w:t>
      </w:r>
      <w:r w:rsidRPr="005060BA">
        <w:t>”</w:t>
      </w:r>
      <w:r w:rsidR="00246487" w:rsidRPr="00993DE2">
        <w:rPr>
          <w:vertAlign w:val="superscript"/>
        </w:rPr>
        <w:endnoteReference w:id="27"/>
      </w:r>
    </w:p>
    <w:p w14:paraId="5F5B7188" w14:textId="086F9814" w:rsidR="007403CF" w:rsidRPr="005060BA" w:rsidRDefault="007403CF" w:rsidP="005060BA">
      <w:r w:rsidRPr="005060BA">
        <w:t>A letter from the Silver Studio dated same day (possibly crossing in the post) refers to a design sent for comment</w:t>
      </w:r>
      <w:r w:rsidR="00834375" w:rsidRPr="005060BA">
        <w:t xml:space="preserve">, and makes clear the intention to produce a design that was </w:t>
      </w:r>
      <w:r w:rsidR="00A614C9" w:rsidRPr="005060BA">
        <w:t xml:space="preserve">attractive yet </w:t>
      </w:r>
      <w:r w:rsidR="00834375" w:rsidRPr="005060BA">
        <w:t>acceptable within the required technical parameters</w:t>
      </w:r>
      <w:r w:rsidRPr="005060BA">
        <w:t xml:space="preserve">: </w:t>
      </w:r>
    </w:p>
    <w:p w14:paraId="521F5DC0" w14:textId="77777777" w:rsidR="007403CF" w:rsidRPr="005060BA" w:rsidRDefault="007403CF" w:rsidP="005060BA">
      <w:r w:rsidRPr="005060BA">
        <w:t>“… we are including sketches as follows;-</w:t>
      </w:r>
    </w:p>
    <w:p w14:paraId="185C6572" w14:textId="65270BB8" w:rsidR="007403CF" w:rsidRPr="005060BA" w:rsidRDefault="007403CF" w:rsidP="00BC004F">
      <w:pPr>
        <w:ind w:left="720"/>
      </w:pPr>
      <w:r w:rsidRPr="005060BA">
        <w:t>No6046A, a rough planning showing an adaptation of the design we saw at the Museum, whih (sic) is just large enough to treat in exactly the same touch as your old design No.2006.  It would probably be difficult to work the design with the same breadth of touch if we make it smaller than this design suggests.  The other trial attached to this, namely 6046B is a larger version of the idea but we think you will probably find this too large”</w:t>
      </w:r>
      <w:r w:rsidR="00246487" w:rsidRPr="00993DE2">
        <w:rPr>
          <w:vertAlign w:val="superscript"/>
        </w:rPr>
        <w:endnoteReference w:id="28"/>
      </w:r>
    </w:p>
    <w:p w14:paraId="34B2C5AF" w14:textId="64C58313" w:rsidR="00957C8F" w:rsidRPr="005060BA" w:rsidRDefault="00EF2E38" w:rsidP="005060BA">
      <w:r w:rsidRPr="005060BA">
        <w:t xml:space="preserve">The reference to this being a ‘rough planning’ indicates Rex Silver’s expectation that more discussion would be required. </w:t>
      </w:r>
      <w:r w:rsidR="00957C8F" w:rsidRPr="005060BA">
        <w:t xml:space="preserve"> </w:t>
      </w:r>
      <w:r w:rsidR="004B41A3" w:rsidRPr="005060BA">
        <w:t xml:space="preserve">Once agreed, the finished design for this textile would have been sent to Denby and Son so it does not </w:t>
      </w:r>
      <w:r w:rsidR="00F1702E" w:rsidRPr="005060BA">
        <w:t xml:space="preserve">now survive </w:t>
      </w:r>
      <w:r w:rsidR="004B41A3" w:rsidRPr="005060BA">
        <w:t>with</w:t>
      </w:r>
      <w:r w:rsidR="00F1702E" w:rsidRPr="005060BA">
        <w:t xml:space="preserve">in the Silver Studio Collection, but there is </w:t>
      </w:r>
      <w:r w:rsidR="004B41A3" w:rsidRPr="005060BA">
        <w:t xml:space="preserve">a photograph </w:t>
      </w:r>
      <w:r w:rsidRPr="005060BA">
        <w:t xml:space="preserve">in </w:t>
      </w:r>
      <w:r w:rsidR="00A8116C" w:rsidRPr="005060BA">
        <w:t xml:space="preserve">the album </w:t>
      </w:r>
      <w:r w:rsidR="004B41A3" w:rsidRPr="005060BA">
        <w:t xml:space="preserve">to confirm </w:t>
      </w:r>
      <w:r w:rsidR="00A8116C" w:rsidRPr="005060BA">
        <w:t>it as one of the Studio’s</w:t>
      </w:r>
      <w:r w:rsidR="004B41A3" w:rsidRPr="005060BA">
        <w:t xml:space="preserve"> products</w:t>
      </w:r>
      <w:r w:rsidR="00A8116C" w:rsidRPr="005060BA">
        <w:t xml:space="preserve">. </w:t>
      </w:r>
      <w:r w:rsidRPr="005060BA">
        <w:t xml:space="preserve"> </w:t>
      </w:r>
      <w:r w:rsidR="00957C8F" w:rsidRPr="005060BA">
        <w:t>Occasionally,</w:t>
      </w:r>
      <w:r w:rsidR="00F1702E" w:rsidRPr="005060BA">
        <w:t xml:space="preserve"> preliminary sketches or trial versions </w:t>
      </w:r>
      <w:r w:rsidR="00957C8F" w:rsidRPr="005060BA">
        <w:t xml:space="preserve">of designs </w:t>
      </w:r>
      <w:r w:rsidR="00F1702E" w:rsidRPr="005060BA">
        <w:t>do survive, though it has not been possible to</w:t>
      </w:r>
      <w:r w:rsidR="00957C8F" w:rsidRPr="005060BA">
        <w:t xml:space="preserve"> locate one in this case. </w:t>
      </w:r>
      <w:r w:rsidR="00F1702E" w:rsidRPr="005060BA">
        <w:t xml:space="preserve"> </w:t>
      </w:r>
      <w:r w:rsidRPr="005060BA">
        <w:t>Rather unusually, a sample of the finished textile has survived: it was not always the case that the Studio obtained (or retained) samples of their own wor</w:t>
      </w:r>
      <w:r w:rsidR="00A87F2C" w:rsidRPr="005060BA">
        <w:t>k (</w:t>
      </w:r>
      <w:r w:rsidR="00F45EA8" w:rsidRPr="005060BA">
        <w:t>Figure</w:t>
      </w:r>
      <w:r w:rsidR="00A87F2C" w:rsidRPr="005060BA">
        <w:t xml:space="preserve"> 1</w:t>
      </w:r>
      <w:r w:rsidRPr="005060BA">
        <w:t xml:space="preserve">). </w:t>
      </w:r>
    </w:p>
    <w:p w14:paraId="1839B2DC" w14:textId="77777777" w:rsidR="00957C8F" w:rsidRPr="005060BA" w:rsidRDefault="00957C8F" w:rsidP="005060BA"/>
    <w:p w14:paraId="13B5C707" w14:textId="2E32E1DA" w:rsidR="007403CF" w:rsidRPr="005060BA" w:rsidRDefault="00957C8F" w:rsidP="00BC004F">
      <w:pPr>
        <w:ind w:firstLine="720"/>
      </w:pPr>
      <w:r w:rsidRPr="005060BA">
        <w:t>But who is recorded as the designer of this textile?  In the Studio’s time book, o</w:t>
      </w:r>
      <w:r w:rsidR="007403CF" w:rsidRPr="005060BA">
        <w:t>ne of the Studio’s in-house designers, Herbert Crofts,</w:t>
      </w:r>
      <w:r w:rsidRPr="005060BA">
        <w:t xml:space="preserve"> is recorded as having undertaken two hours work on this design on </w:t>
      </w:r>
      <w:r w:rsidR="007A73E4" w:rsidRPr="005060BA">
        <w:t>December</w:t>
      </w:r>
      <w:r w:rsidR="00A87F2C" w:rsidRPr="005060BA">
        <w:t xml:space="preserve"> </w:t>
      </w:r>
      <w:r w:rsidR="00246487" w:rsidRPr="005060BA">
        <w:t xml:space="preserve">17, </w:t>
      </w:r>
      <w:r w:rsidR="00A87F2C" w:rsidRPr="005060BA">
        <w:t>1928</w:t>
      </w:r>
      <w:r w:rsidR="00246487" w:rsidRPr="005060BA">
        <w:t>,</w:t>
      </w:r>
      <w:r w:rsidR="00A87F2C" w:rsidRPr="005060BA">
        <w:t xml:space="preserve"> </w:t>
      </w:r>
      <w:r w:rsidRPr="005060BA">
        <w:t xml:space="preserve">presumably </w:t>
      </w:r>
      <w:r w:rsidR="007A73E4" w:rsidRPr="005060BA">
        <w:t xml:space="preserve">having been </w:t>
      </w:r>
      <w:r w:rsidRPr="005060BA">
        <w:t>briefed by Rex immediately after his return from the Museum.  Two other designers, Miss Butlin and Cyril</w:t>
      </w:r>
      <w:r w:rsidR="00BC004F">
        <w:t>,</w:t>
      </w:r>
      <w:r w:rsidRPr="005060BA">
        <w:t xml:space="preserve"> are recorded as having worked on the same design</w:t>
      </w:r>
      <w:r w:rsidR="00450C34" w:rsidRPr="005060BA">
        <w:t xml:space="preserve"> (</w:t>
      </w:r>
      <w:r w:rsidR="007A73E4" w:rsidRPr="005060BA">
        <w:t>number 6046</w:t>
      </w:r>
      <w:r w:rsidR="00450C34" w:rsidRPr="005060BA">
        <w:t>)</w:t>
      </w:r>
      <w:r w:rsidR="007A73E4" w:rsidRPr="005060BA">
        <w:t xml:space="preserve"> </w:t>
      </w:r>
      <w:r w:rsidRPr="005060BA">
        <w:t>throughout January 1929, as it went through various iterations</w:t>
      </w:r>
      <w:r w:rsidR="00E34CEE" w:rsidRPr="005060BA">
        <w:t>.</w:t>
      </w:r>
      <w:r w:rsidR="00246487" w:rsidRPr="00993DE2">
        <w:rPr>
          <w:vertAlign w:val="superscript"/>
        </w:rPr>
        <w:endnoteReference w:id="29"/>
      </w:r>
      <w:r w:rsidRPr="005060BA">
        <w:t xml:space="preserve">  (Designers were paid a weekly wage, but the Studio kept records of the number of hours spent on each design in order to charge the client an appropriate fee).</w:t>
      </w:r>
      <w:r w:rsidR="00246487" w:rsidRPr="00993DE2">
        <w:rPr>
          <w:vertAlign w:val="superscript"/>
        </w:rPr>
        <w:endnoteReference w:id="30"/>
      </w:r>
      <w:r w:rsidR="00EF2E38" w:rsidRPr="005060BA">
        <w:t xml:space="preserve">  </w:t>
      </w:r>
      <w:r w:rsidRPr="005060BA">
        <w:t xml:space="preserve">This </w:t>
      </w:r>
      <w:r w:rsidR="00450C34" w:rsidRPr="005060BA">
        <w:t xml:space="preserve">textile </w:t>
      </w:r>
      <w:r w:rsidRPr="005060BA">
        <w:t xml:space="preserve">is therefore the work of three separate designers, based on a </w:t>
      </w:r>
      <w:r w:rsidR="007403CF" w:rsidRPr="005060BA">
        <w:t xml:space="preserve">design </w:t>
      </w:r>
      <w:r w:rsidR="00A8116C" w:rsidRPr="005060BA">
        <w:t xml:space="preserve">idea </w:t>
      </w:r>
      <w:r w:rsidR="007403CF" w:rsidRPr="005060BA">
        <w:t xml:space="preserve">derived from a combination of an existing textile belonging to the client and to something seen in the V&amp;A Museum; an idea that was developed through discussion between </w:t>
      </w:r>
      <w:r w:rsidR="00F27506" w:rsidRPr="005060BA">
        <w:t xml:space="preserve">Rex </w:t>
      </w:r>
      <w:r w:rsidR="007403CF" w:rsidRPr="005060BA">
        <w:t xml:space="preserve">Silver and </w:t>
      </w:r>
      <w:r w:rsidR="00F27506" w:rsidRPr="005060BA">
        <w:t xml:space="preserve">Mr </w:t>
      </w:r>
      <w:r w:rsidR="007403CF" w:rsidRPr="005060BA">
        <w:t xml:space="preserve">Milnes and which required the approval of Robert </w:t>
      </w:r>
      <w:r w:rsidR="007A73E4" w:rsidRPr="005060BA">
        <w:t xml:space="preserve">Denby as head of the client firm.  </w:t>
      </w:r>
      <w:r w:rsidR="00A87F2C" w:rsidRPr="005060BA">
        <w:t xml:space="preserve">Clearly the notion of an individual, named </w:t>
      </w:r>
      <w:r w:rsidR="006809CF" w:rsidRPr="005060BA">
        <w:t>designer</w:t>
      </w:r>
      <w:r w:rsidR="00A87F2C" w:rsidRPr="005060BA">
        <w:t xml:space="preserve"> is meaningless in this context</w:t>
      </w:r>
      <w:r w:rsidR="00450C34" w:rsidRPr="005060BA">
        <w:t>.</w:t>
      </w:r>
    </w:p>
    <w:p w14:paraId="3FA11609" w14:textId="77777777" w:rsidR="007403CF" w:rsidRPr="005060BA" w:rsidRDefault="007403CF" w:rsidP="005060BA"/>
    <w:p w14:paraId="5492B2BA" w14:textId="710F3A64" w:rsidR="007403CF" w:rsidRPr="00BC004F" w:rsidRDefault="007403CF" w:rsidP="005060BA">
      <w:pPr>
        <w:rPr>
          <w:b/>
        </w:rPr>
      </w:pPr>
      <w:r w:rsidRPr="00BC004F">
        <w:rPr>
          <w:b/>
        </w:rPr>
        <w:t>The Silver Studio</w:t>
      </w:r>
      <w:r w:rsidR="00146F46" w:rsidRPr="00BC004F">
        <w:rPr>
          <w:b/>
        </w:rPr>
        <w:t xml:space="preserve"> and the </w:t>
      </w:r>
      <w:r w:rsidRPr="00BC004F">
        <w:rPr>
          <w:b/>
        </w:rPr>
        <w:t xml:space="preserve">hidden mechanisms of design history </w:t>
      </w:r>
    </w:p>
    <w:p w14:paraId="7AB244E2" w14:textId="3028874F" w:rsidR="004927A8" w:rsidRPr="005060BA" w:rsidRDefault="007403CF" w:rsidP="00BC004F">
      <w:pPr>
        <w:ind w:firstLine="720"/>
      </w:pPr>
      <w:r w:rsidRPr="005060BA">
        <w:t xml:space="preserve">The Silver Studio provides an interesting opportunity to consider the meaning of design authorship and attribution within an industrial process.  </w:t>
      </w:r>
      <w:r w:rsidR="00080978" w:rsidRPr="005060BA">
        <w:t xml:space="preserve">Clients of the Silver Studio had traditionally not credited its individual employees as the originators of designs, preferring instead to market textiles and wallpapers under their own brand names. </w:t>
      </w:r>
      <w:r w:rsidR="004927A8" w:rsidRPr="005060BA">
        <w:t xml:space="preserve"> </w:t>
      </w:r>
      <w:r w:rsidRPr="005060BA">
        <w:t xml:space="preserve">By the 1920s </w:t>
      </w:r>
      <w:r w:rsidR="00F27506" w:rsidRPr="005060BA">
        <w:t xml:space="preserve">and 30s </w:t>
      </w:r>
      <w:r w:rsidRPr="005060BA">
        <w:t xml:space="preserve">it was becoming more common to attribute textiles to a named designer, </w:t>
      </w:r>
      <w:r w:rsidR="00D42FD0" w:rsidRPr="005060BA">
        <w:t xml:space="preserve">and as Michael Saler notes, the </w:t>
      </w:r>
      <w:r w:rsidR="00E34CEE" w:rsidRPr="005060BA">
        <w:t>traditional</w:t>
      </w:r>
      <w:r w:rsidR="00D42FD0" w:rsidRPr="005060BA">
        <w:t xml:space="preserve"> </w:t>
      </w:r>
      <w:r w:rsidRPr="005060BA">
        <w:t xml:space="preserve">boundaries between ‘art’ and ‘industrial design’ </w:t>
      </w:r>
      <w:r w:rsidR="00D42FD0" w:rsidRPr="005060BA">
        <w:t>were</w:t>
      </w:r>
      <w:r w:rsidR="00FF79C7" w:rsidRPr="005060BA">
        <w:t xml:space="preserve"> blurring</w:t>
      </w:r>
      <w:r w:rsidR="00DC1BE1" w:rsidRPr="005060BA">
        <w:t>.</w:t>
      </w:r>
      <w:r w:rsidR="00246487" w:rsidRPr="00993DE2">
        <w:rPr>
          <w:vertAlign w:val="superscript"/>
        </w:rPr>
        <w:endnoteReference w:id="31"/>
      </w:r>
      <w:r w:rsidR="00B12E15" w:rsidRPr="005060BA">
        <w:t xml:space="preserve"> Artists such as Paul Nash, Graham Sutherland and Edward Bawden moved between painting and the design of posters, textiles and wallpapers with ease. </w:t>
      </w:r>
      <w:r w:rsidR="004927A8" w:rsidRPr="005060BA">
        <w:t xml:space="preserve"> The situation was a little </w:t>
      </w:r>
      <w:r w:rsidR="004927A8" w:rsidRPr="005060BA">
        <w:lastRenderedPageBreak/>
        <w:t>different at the mid</w:t>
      </w:r>
      <w:r w:rsidR="006702AF" w:rsidRPr="005060BA">
        <w:t xml:space="preserve">dle and lower end of the market: </w:t>
      </w:r>
      <w:r w:rsidR="004927A8" w:rsidRPr="005060BA">
        <w:t>a</w:t>
      </w:r>
      <w:r w:rsidRPr="005060BA">
        <w:t xml:space="preserve">t least one of the Silver Studio’s clients, Franklin &amp; Franklin, was prepared to contemplate adding the signatures of individual designers to designs for textiles. </w:t>
      </w:r>
      <w:r w:rsidR="006702AF" w:rsidRPr="005060BA">
        <w:t xml:space="preserve"> </w:t>
      </w:r>
      <w:r w:rsidR="004927A8" w:rsidRPr="005060BA">
        <w:t>However,</w:t>
      </w:r>
      <w:r w:rsidR="006809CF" w:rsidRPr="005060BA">
        <w:t xml:space="preserve"> Rex</w:t>
      </w:r>
      <w:r w:rsidRPr="005060BA">
        <w:t xml:space="preserve"> </w:t>
      </w:r>
      <w:r w:rsidR="006E6BD0" w:rsidRPr="005060BA">
        <w:t xml:space="preserve">Silver </w:t>
      </w:r>
      <w:r w:rsidRPr="005060BA">
        <w:t xml:space="preserve">was resistant to the idea </w:t>
      </w:r>
      <w:r w:rsidR="004927A8" w:rsidRPr="005060BA">
        <w:t>of attributing work to specific</w:t>
      </w:r>
      <w:r w:rsidRPr="005060BA">
        <w:t xml:space="preserve"> designers, and instead remained committed to </w:t>
      </w:r>
      <w:r w:rsidR="0059772E" w:rsidRPr="005060BA">
        <w:t xml:space="preserve">what Protheroe has called </w:t>
      </w:r>
      <w:r w:rsidRPr="005060BA">
        <w:t>a “contrived conservatism”, whereby he took credit for designs as head of the Studio, despite the fact that the marketable value of ‘signed work’ was growing</w:t>
      </w:r>
      <w:r w:rsidR="007A73E4" w:rsidRPr="005060BA">
        <w:t>.</w:t>
      </w:r>
      <w:r w:rsidR="00246487" w:rsidRPr="00993DE2">
        <w:rPr>
          <w:vertAlign w:val="superscript"/>
        </w:rPr>
        <w:endnoteReference w:id="32"/>
      </w:r>
      <w:r w:rsidRPr="005060BA">
        <w:t xml:space="preserve"> </w:t>
      </w:r>
    </w:p>
    <w:p w14:paraId="2D32389A" w14:textId="77777777" w:rsidR="004927A8" w:rsidRPr="005060BA" w:rsidRDefault="004927A8" w:rsidP="005060BA">
      <w:pPr>
        <w:rPr>
          <w:highlight w:val="yellow"/>
        </w:rPr>
      </w:pPr>
    </w:p>
    <w:p w14:paraId="6EA5ABEA" w14:textId="6DE47993" w:rsidR="006105CB" w:rsidRPr="005060BA" w:rsidRDefault="002903D1" w:rsidP="00BC004F">
      <w:pPr>
        <w:ind w:firstLine="720"/>
      </w:pPr>
      <w:r w:rsidRPr="00993DE2">
        <w:t xml:space="preserve">What are the advantages, then, of looking ‘behind the scenes’ at the work of a firm such as the Silver Studio?  The first point is that </w:t>
      </w:r>
      <w:r w:rsidR="007B5904" w:rsidRPr="00993DE2">
        <w:t xml:space="preserve">the Silver Studio diary reminds us that the work of designers </w:t>
      </w:r>
      <w:r w:rsidR="006702AF" w:rsidRPr="00993DE2">
        <w:t xml:space="preserve">- in this company and elsewhere - </w:t>
      </w:r>
      <w:r w:rsidR="007B5904" w:rsidRPr="00993DE2">
        <w:t>is facilitated by the invisible work of others: those who raise</w:t>
      </w:r>
      <w:r w:rsidR="006702AF" w:rsidRPr="00993DE2">
        <w:t xml:space="preserve"> invoices, order </w:t>
      </w:r>
      <w:r w:rsidR="007B5904" w:rsidRPr="00993DE2">
        <w:t>materials, pay employees, chat to clients and undertake a thousand other unglamorous tasks.  As Till points out, “architecture depends,” and not least on the work of th</w:t>
      </w:r>
      <w:r w:rsidR="008C41B8" w:rsidRPr="00993DE2">
        <w:t>ese numerous supporting roles: similarly “design depends”</w:t>
      </w:r>
      <w:r w:rsidR="00FF79C7" w:rsidRPr="00993DE2">
        <w:t xml:space="preserve"> and</w:t>
      </w:r>
      <w:r w:rsidR="007B5904" w:rsidRPr="00993DE2">
        <w:t xml:space="preserve"> this work </w:t>
      </w:r>
      <w:r w:rsidR="006702AF" w:rsidRPr="00993DE2">
        <w:t xml:space="preserve">is intrinsic to, not separate from, </w:t>
      </w:r>
      <w:r w:rsidR="006105CB" w:rsidRPr="00993DE2">
        <w:t>the success of a</w:t>
      </w:r>
      <w:r w:rsidR="006702AF" w:rsidRPr="00993DE2">
        <w:t xml:space="preserve"> business as a whole</w:t>
      </w:r>
      <w:r w:rsidR="007B5904" w:rsidRPr="00993DE2">
        <w:t>.  Secondly the</w:t>
      </w:r>
      <w:r w:rsidR="00FF6685" w:rsidRPr="00993DE2">
        <w:t xml:space="preserve"> example of the Silver Studio demonstrates</w:t>
      </w:r>
      <w:r w:rsidR="007B5904" w:rsidRPr="00993DE2">
        <w:t xml:space="preserve"> that to insist on the attribution of work to named designers naturally </w:t>
      </w:r>
      <w:r w:rsidR="00927F33" w:rsidRPr="00993DE2">
        <w:t>emphasize</w:t>
      </w:r>
      <w:r w:rsidR="007B5904" w:rsidRPr="00993DE2">
        <w:t>s the ground-breaking and innovative - or at least those who</w:t>
      </w:r>
      <w:r w:rsidR="006105CB" w:rsidRPr="00993DE2">
        <w:t xml:space="preserve"> are able to position </w:t>
      </w:r>
      <w:r w:rsidR="007B5904" w:rsidRPr="00993DE2">
        <w:t>themselves as such - not least because they</w:t>
      </w:r>
      <w:r w:rsidR="006105CB" w:rsidRPr="00993DE2">
        <w:t xml:space="preserve"> generally provide </w:t>
      </w:r>
      <w:r w:rsidR="007B5904" w:rsidRPr="00993DE2">
        <w:t xml:space="preserve">the historian with more evidence of their intentions.  It does not leave room for discussion of those whose work relied on tradition and historicism rather than innovation. </w:t>
      </w:r>
      <w:r w:rsidR="006105CB" w:rsidRPr="00993DE2">
        <w:t xml:space="preserve"> As a result, it privileges the material culture of th</w:t>
      </w:r>
      <w:r w:rsidR="008C41B8" w:rsidRPr="00993DE2">
        <w:t>e elite rather than the majority</w:t>
      </w:r>
      <w:r w:rsidR="006105CB" w:rsidRPr="00993DE2">
        <w:t xml:space="preserve">; the fashionable rather than the popular; the expensive and exclusive rather than the affordable and everyday. </w:t>
      </w:r>
      <w:r w:rsidR="00DE4B86" w:rsidRPr="00993DE2">
        <w:t xml:space="preserve"> Looking more closely at the practices of a company producing for mass-market rather than elite tastes leads us to remember that design is always for someone, in this case, people who could not afford to purchase the social status that accompanied the work of a named designer.</w:t>
      </w:r>
    </w:p>
    <w:p w14:paraId="2B8F8232" w14:textId="77777777" w:rsidR="00DE4B86" w:rsidRPr="005060BA" w:rsidRDefault="00DE4B86" w:rsidP="005060BA"/>
    <w:p w14:paraId="14310E60" w14:textId="6B7F30D7" w:rsidR="00D3338C" w:rsidRPr="005060BA" w:rsidRDefault="006105CB" w:rsidP="00BC004F">
      <w:pPr>
        <w:ind w:firstLine="720"/>
      </w:pPr>
      <w:r w:rsidRPr="00993DE2">
        <w:t xml:space="preserve">Thirdly, </w:t>
      </w:r>
      <w:r w:rsidR="00DE4B86" w:rsidRPr="00993DE2">
        <w:t xml:space="preserve">and relatedly, </w:t>
      </w:r>
      <w:r w:rsidRPr="00993DE2">
        <w:t>t</w:t>
      </w:r>
      <w:r w:rsidR="00FF6685" w:rsidRPr="00993DE2">
        <w:t xml:space="preserve">o focus on the work </w:t>
      </w:r>
      <w:r w:rsidR="007B5904" w:rsidRPr="00993DE2">
        <w:t xml:space="preserve">of </w:t>
      </w:r>
      <w:r w:rsidR="00FF6685" w:rsidRPr="00993DE2">
        <w:t xml:space="preserve">individual named designers is problematic in the </w:t>
      </w:r>
      <w:r w:rsidR="007B5904" w:rsidRPr="00993DE2">
        <w:t>light of the evidence available in this case, and in many others.</w:t>
      </w:r>
      <w:r w:rsidR="00FF6685" w:rsidRPr="00993DE2">
        <w:t xml:space="preserve"> </w:t>
      </w:r>
      <w:r w:rsidR="007424DD" w:rsidRPr="00993DE2">
        <w:t xml:space="preserve"> To try to attribute names to work is tempting because it offers the opportunity to celebrate the agency of </w:t>
      </w:r>
      <w:r w:rsidR="002E60B9" w:rsidRPr="00993DE2">
        <w:t xml:space="preserve">previously overlooked designers.  This has frequently been expressed as a way to celebrate unknown </w:t>
      </w:r>
      <w:r w:rsidR="007424DD" w:rsidRPr="00993DE2">
        <w:t>women</w:t>
      </w:r>
      <w:r w:rsidR="002E60B9" w:rsidRPr="00993DE2">
        <w:t xml:space="preserve"> designers (though a similar approach could be applied to male designers such as Rex Silver or Herbert Crofts)</w:t>
      </w:r>
      <w:r w:rsidR="007424DD" w:rsidRPr="00993DE2">
        <w:t xml:space="preserve">.  Yet as Gorman argues, </w:t>
      </w:r>
      <w:r w:rsidR="002E60B9" w:rsidRPr="00993DE2">
        <w:t xml:space="preserve">this approach perpetuates </w:t>
      </w:r>
      <w:r w:rsidR="007424DD" w:rsidRPr="00993DE2">
        <w:t>the idea of design as a singular activity, rather than recognizing it as a complex process characterized by a division of labour.</w:t>
      </w:r>
      <w:r w:rsidR="00CE059E" w:rsidRPr="00993DE2">
        <w:rPr>
          <w:rStyle w:val="EndnoteReference"/>
        </w:rPr>
        <w:endnoteReference w:id="33"/>
      </w:r>
      <w:r w:rsidR="007424DD" w:rsidRPr="00993DE2">
        <w:t xml:space="preserve">  </w:t>
      </w:r>
      <w:r w:rsidR="00D3338C" w:rsidRPr="00993DE2">
        <w:t xml:space="preserve">Rex Silver and his colleagues are amongst those who have generally remained on the periphery of conventional discussions about design history, since their work precludes design attribution in the conventional sense.  </w:t>
      </w:r>
      <w:r w:rsidR="00CE059E" w:rsidRPr="00993DE2">
        <w:t>To point towards the impossibility of a single attribution is not to deny their agency entirely. The personalities, training and skills of the people involved in the creation of the textile discussed here remain relevant to its final appearance: Rex Silver, Herbert Crofts, Miss Butlin, Cyril, Mr Milnes,</w:t>
      </w:r>
      <w:r w:rsidR="008E06EC" w:rsidRPr="00993DE2">
        <w:t xml:space="preserve"> </w:t>
      </w:r>
      <w:r w:rsidR="00CE059E" w:rsidRPr="00993DE2">
        <w:t>Robert Denby (and others unnamed) all had a part to play.  I</w:t>
      </w:r>
      <w:r w:rsidR="00D3338C" w:rsidRPr="00993DE2">
        <w:t>nstead</w:t>
      </w:r>
      <w:r w:rsidR="00927F33" w:rsidRPr="00993DE2">
        <w:t>,</w:t>
      </w:r>
      <w:r w:rsidR="00D3338C" w:rsidRPr="00993DE2">
        <w:t xml:space="preserve"> as JM Richards proposed, the emphasis should be on collective processes of design. </w:t>
      </w:r>
      <w:r w:rsidR="00927F33" w:rsidRPr="00993DE2">
        <w:t xml:space="preserve">This textile, and other examples of the Silver Studio’s output, </w:t>
      </w:r>
      <w:r w:rsidR="00D3338C" w:rsidRPr="00993DE2">
        <w:t>can be understood as the product of a complex network of personal and professional relationships, collaborations, negotiations and mediating practices</w:t>
      </w:r>
      <w:r w:rsidR="008E06EC" w:rsidRPr="00993DE2">
        <w:t xml:space="preserve">.  Rather than </w:t>
      </w:r>
      <w:r w:rsidR="00BC004F" w:rsidRPr="00993DE2">
        <w:t xml:space="preserve">being </w:t>
      </w:r>
      <w:r w:rsidR="008E06EC" w:rsidRPr="00993DE2">
        <w:t>the work of one individual, this textile</w:t>
      </w:r>
      <w:r w:rsidR="00CE059E" w:rsidRPr="00993DE2">
        <w:t xml:space="preserve"> </w:t>
      </w:r>
      <w:r w:rsidR="00BC004F" w:rsidRPr="00993DE2">
        <w:t xml:space="preserve">is </w:t>
      </w:r>
      <w:r w:rsidR="00BC004F" w:rsidRPr="00993DE2">
        <w:lastRenderedPageBreak/>
        <w:t>an example of</w:t>
      </w:r>
      <w:r w:rsidR="00CE059E" w:rsidRPr="00993DE2">
        <w:t xml:space="preserve"> the output of a modern industrial system</w:t>
      </w:r>
      <w:r w:rsidR="002E60B9" w:rsidRPr="00993DE2">
        <w:t xml:space="preserve"> which responded directly to the concerns</w:t>
      </w:r>
      <w:r w:rsidR="00CE059E" w:rsidRPr="00993DE2">
        <w:t xml:space="preserve"> </w:t>
      </w:r>
      <w:r w:rsidR="002E60B9" w:rsidRPr="00993DE2">
        <w:t xml:space="preserve">of the market, and </w:t>
      </w:r>
      <w:r w:rsidR="00CE059E" w:rsidRPr="00993DE2">
        <w:t xml:space="preserve">in which </w:t>
      </w:r>
      <w:r w:rsidR="008E06EC" w:rsidRPr="00993DE2">
        <w:t xml:space="preserve">design practice operated within the wider context of </w:t>
      </w:r>
      <w:r w:rsidR="00CE059E" w:rsidRPr="00993DE2">
        <w:t>consumers, manufacturers and retailers</w:t>
      </w:r>
      <w:r w:rsidR="008E06EC" w:rsidRPr="00993DE2">
        <w:t>.</w:t>
      </w:r>
    </w:p>
    <w:p w14:paraId="0AE88406" w14:textId="170DAABC" w:rsidR="00146F46" w:rsidRPr="005060BA" w:rsidRDefault="00146F46" w:rsidP="005060BA"/>
    <w:p w14:paraId="7283E592" w14:textId="77777777" w:rsidR="00080978" w:rsidRPr="005060BA" w:rsidRDefault="00080978" w:rsidP="005060BA"/>
    <w:p w14:paraId="0D3193C9" w14:textId="54697810" w:rsidR="005232EF" w:rsidRPr="005060BA" w:rsidRDefault="005232EF" w:rsidP="00CE059E">
      <w:pPr>
        <w:widowControl w:val="0"/>
        <w:autoSpaceDE w:val="0"/>
        <w:autoSpaceDN w:val="0"/>
        <w:adjustRightInd w:val="0"/>
        <w:ind w:left="480" w:hanging="480"/>
      </w:pPr>
    </w:p>
    <w:p w14:paraId="41FF4542" w14:textId="490B0DE5" w:rsidR="00272D5C" w:rsidRPr="005060BA" w:rsidRDefault="00272D5C" w:rsidP="005060BA">
      <w:r w:rsidRPr="005060BA">
        <w:br w:type="page"/>
      </w:r>
    </w:p>
    <w:p w14:paraId="4DE469EA" w14:textId="2C923C51" w:rsidR="005943A9" w:rsidRPr="00BC004F" w:rsidRDefault="7316DFD5" w:rsidP="005060BA">
      <w:pPr>
        <w:rPr>
          <w:b/>
        </w:rPr>
      </w:pPr>
      <w:r w:rsidRPr="00BC004F">
        <w:rPr>
          <w:b/>
        </w:rPr>
        <w:lastRenderedPageBreak/>
        <w:t xml:space="preserve">APPENDIX </w:t>
      </w:r>
      <w:r w:rsidR="00BC004F" w:rsidRPr="00BC004F">
        <w:rPr>
          <w:b/>
        </w:rPr>
        <w:t>1: Silver Studio C</w:t>
      </w:r>
      <w:r w:rsidRPr="00BC004F">
        <w:rPr>
          <w:b/>
        </w:rPr>
        <w:t>lients, 1928</w:t>
      </w:r>
    </w:p>
    <w:p w14:paraId="118246D7" w14:textId="77777777" w:rsidR="005943A9" w:rsidRPr="005060BA" w:rsidRDefault="005943A9" w:rsidP="005060BA"/>
    <w:p w14:paraId="321917FC" w14:textId="34194C08" w:rsidR="00503C58" w:rsidRPr="005060BA" w:rsidRDefault="7316DFD5" w:rsidP="005060BA">
      <w:r w:rsidRPr="005060BA">
        <w:t xml:space="preserve">The diary for 1928 suggests that the Silver Studio had to keep track of nearly a hundred individuals who were employees, agents or representatives of the following firms.  Many of these visited the Silver Studio during 1928.  The Studio conducted correspondence with a further handful of firms on a speculative basis, or where the contact did not result in a visit and/or a sale. </w:t>
      </w:r>
      <w:r w:rsidR="00345E22">
        <w:t xml:space="preserve"> </w:t>
      </w:r>
      <w:r w:rsidRPr="005060BA">
        <w:t xml:space="preserve">Further archival work would be required to establish exactly how many designs were purchased by each company: the purpose here is merely to indicate the range of clients with whom the Silver Studio worked in a given year.  </w:t>
      </w:r>
    </w:p>
    <w:p w14:paraId="6B432BAB" w14:textId="77777777" w:rsidR="00DF04A4" w:rsidRPr="005060BA" w:rsidRDefault="00DF04A4" w:rsidP="005060BA"/>
    <w:p w14:paraId="5D0A6E06" w14:textId="77777777" w:rsidR="00FD4DF5" w:rsidRPr="005060BA" w:rsidRDefault="44F09E7F" w:rsidP="00345E22">
      <w:pPr>
        <w:spacing w:line="360" w:lineRule="auto"/>
      </w:pPr>
      <w:r w:rsidRPr="005060BA">
        <w:t xml:space="preserve">Allan, Cockshut &amp; Co, London; wallpapers </w:t>
      </w:r>
    </w:p>
    <w:p w14:paraId="015325A7" w14:textId="0C598FF0" w:rsidR="00DF04A4" w:rsidRPr="005060BA" w:rsidRDefault="005060BA" w:rsidP="00345E22">
      <w:pPr>
        <w:spacing w:line="360" w:lineRule="auto"/>
      </w:pPr>
      <w:r>
        <w:t>Bayspoole &amp; Co</w:t>
      </w:r>
      <w:r w:rsidR="44F09E7F" w:rsidRPr="005060BA">
        <w:t xml:space="preserve"> (agent for Liberty) </w:t>
      </w:r>
    </w:p>
    <w:p w14:paraId="6DD82F90" w14:textId="01F40CF7" w:rsidR="00DF04A4" w:rsidRPr="005060BA" w:rsidRDefault="7316DFD5" w:rsidP="00345E22">
      <w:pPr>
        <w:spacing w:line="360" w:lineRule="auto"/>
      </w:pPr>
      <w:r w:rsidRPr="005060BA">
        <w:t>Bernasconi Ltd, London; silk ties</w:t>
      </w:r>
    </w:p>
    <w:p w14:paraId="5DF63E5B" w14:textId="4A474231" w:rsidR="00DF04A4" w:rsidRPr="005060BA" w:rsidRDefault="44F09E7F" w:rsidP="00345E22">
      <w:pPr>
        <w:spacing w:line="360" w:lineRule="auto"/>
      </w:pPr>
      <w:r w:rsidRPr="005060BA">
        <w:t xml:space="preserve">Burgess, Ledward &amp; Co Ltd, London; dress prints </w:t>
      </w:r>
    </w:p>
    <w:p w14:paraId="12764308" w14:textId="118426D0" w:rsidR="00DF04A4" w:rsidRPr="005060BA" w:rsidRDefault="7316DFD5" w:rsidP="00345E22">
      <w:pPr>
        <w:spacing w:line="360" w:lineRule="auto"/>
      </w:pPr>
      <w:r w:rsidRPr="005060BA">
        <w:t xml:space="preserve">Calico Printers' Association, Manchester; printed textiles </w:t>
      </w:r>
    </w:p>
    <w:p w14:paraId="36C5E3EB" w14:textId="4959F0AB" w:rsidR="00DF04A4" w:rsidRPr="005060BA" w:rsidRDefault="7316DFD5" w:rsidP="00345E22">
      <w:pPr>
        <w:spacing w:line="360" w:lineRule="auto"/>
      </w:pPr>
      <w:r w:rsidRPr="005060BA">
        <w:t xml:space="preserve">Robert Denby &amp; Son, Bradford; furnishing textiles </w:t>
      </w:r>
    </w:p>
    <w:p w14:paraId="405C0422" w14:textId="77777777" w:rsidR="00C63CC4" w:rsidRPr="005060BA" w:rsidRDefault="44F09E7F" w:rsidP="00345E22">
      <w:pPr>
        <w:spacing w:line="360" w:lineRule="auto"/>
      </w:pPr>
      <w:r w:rsidRPr="005060BA">
        <w:t>Firth &amp; Sons, London/ Heckmondwike; carpets, rugs, velvets, moquettes</w:t>
      </w:r>
    </w:p>
    <w:p w14:paraId="2C3AFCB9" w14:textId="1FEA8D25" w:rsidR="00DF04A4" w:rsidRPr="005060BA" w:rsidRDefault="7316DFD5" w:rsidP="00345E22">
      <w:pPr>
        <w:spacing w:line="360" w:lineRule="auto"/>
      </w:pPr>
      <w:r w:rsidRPr="005060BA">
        <w:t xml:space="preserve">William Foxton Ltd, London; printed textiles </w:t>
      </w:r>
    </w:p>
    <w:p w14:paraId="7262A6C1" w14:textId="08EAF3C9" w:rsidR="00DF04A4" w:rsidRPr="005060BA" w:rsidRDefault="7316DFD5" w:rsidP="00345E22">
      <w:pPr>
        <w:spacing w:line="360" w:lineRule="auto"/>
      </w:pPr>
      <w:r w:rsidRPr="005060BA">
        <w:t>Franklin &amp; Franklin, London; furnishing textiles</w:t>
      </w:r>
    </w:p>
    <w:p w14:paraId="2ADC0C89" w14:textId="77777777" w:rsidR="00FD4DF5" w:rsidRPr="005060BA" w:rsidRDefault="7316DFD5" w:rsidP="00345E22">
      <w:pPr>
        <w:spacing w:line="360" w:lineRule="auto"/>
      </w:pPr>
      <w:r w:rsidRPr="005060BA">
        <w:t xml:space="preserve">Laurence &amp; Co (Pacific Mills), New York; textiles </w:t>
      </w:r>
    </w:p>
    <w:p w14:paraId="20B67CF5" w14:textId="77777777" w:rsidR="00FD4DF5" w:rsidRPr="005060BA" w:rsidRDefault="44F09E7F" w:rsidP="00345E22">
      <w:pPr>
        <w:spacing w:line="360" w:lineRule="auto"/>
      </w:pPr>
      <w:r w:rsidRPr="005060BA">
        <w:t>HH Lea &amp; Son (London agent for Leborgne);</w:t>
      </w:r>
    </w:p>
    <w:p w14:paraId="65212F64" w14:textId="77777777" w:rsidR="00FD4DF5" w:rsidRPr="005060BA" w:rsidRDefault="44F09E7F" w:rsidP="00345E22">
      <w:pPr>
        <w:spacing w:line="360" w:lineRule="auto"/>
      </w:pPr>
      <w:r w:rsidRPr="005060BA">
        <w:t>Fand Leborgne, France; textiles</w:t>
      </w:r>
    </w:p>
    <w:p w14:paraId="1BF1D063" w14:textId="77777777" w:rsidR="00DF04A4" w:rsidRPr="005060BA" w:rsidRDefault="7316DFD5" w:rsidP="00345E22">
      <w:pPr>
        <w:spacing w:line="360" w:lineRule="auto"/>
      </w:pPr>
      <w:r w:rsidRPr="005060BA">
        <w:t xml:space="preserve">John Lyle &amp; Co, Glasgow; carpets </w:t>
      </w:r>
    </w:p>
    <w:p w14:paraId="1A3D8088" w14:textId="0B3BC62D" w:rsidR="00DF04A4" w:rsidRPr="005060BA" w:rsidRDefault="7316DFD5" w:rsidP="00345E22">
      <w:pPr>
        <w:spacing w:line="360" w:lineRule="auto"/>
      </w:pPr>
      <w:r w:rsidRPr="005060BA">
        <w:t>Liberty &amp; Co, London; dress prints</w:t>
      </w:r>
    </w:p>
    <w:p w14:paraId="137BBFB9" w14:textId="0D76D3BB" w:rsidR="00DF04A4" w:rsidRPr="005060BA" w:rsidRDefault="7316DFD5" w:rsidP="00345E22">
      <w:pPr>
        <w:spacing w:line="360" w:lineRule="auto"/>
      </w:pPr>
      <w:r w:rsidRPr="005060BA">
        <w:t>Marshall Field &amp; Co; dress prints</w:t>
      </w:r>
    </w:p>
    <w:p w14:paraId="77342683" w14:textId="2003BBC5" w:rsidR="00DF04A4" w:rsidRPr="005060BA" w:rsidRDefault="44F09E7F" w:rsidP="00345E22">
      <w:pPr>
        <w:spacing w:line="360" w:lineRule="auto"/>
      </w:pPr>
      <w:r w:rsidRPr="005060BA">
        <w:t xml:space="preserve">Thos Boyd &amp; Co, Manchester; printed textiles </w:t>
      </w:r>
    </w:p>
    <w:p w14:paraId="6412F97B" w14:textId="53110196" w:rsidR="00DF04A4" w:rsidRPr="005060BA" w:rsidRDefault="7316DFD5" w:rsidP="00345E22">
      <w:pPr>
        <w:spacing w:line="360" w:lineRule="auto"/>
      </w:pPr>
      <w:r w:rsidRPr="005060BA">
        <w:t xml:space="preserve">Titus Blatter, New York; textiles </w:t>
      </w:r>
    </w:p>
    <w:p w14:paraId="351423B8" w14:textId="2E5871CD" w:rsidR="00DF04A4" w:rsidRPr="005060BA" w:rsidRDefault="44F09E7F" w:rsidP="00345E22">
      <w:pPr>
        <w:spacing w:line="360" w:lineRule="auto"/>
      </w:pPr>
      <w:r w:rsidRPr="005060BA">
        <w:t>Tulliallan Fabric Co, Kincardine, Scotland; chenille</w:t>
      </w:r>
    </w:p>
    <w:p w14:paraId="1DDE60C5" w14:textId="02EBA47A" w:rsidR="00DF04A4" w:rsidRPr="005060BA" w:rsidRDefault="7316DFD5" w:rsidP="00345E22">
      <w:pPr>
        <w:spacing w:line="360" w:lineRule="auto"/>
      </w:pPr>
      <w:r w:rsidRPr="005060BA">
        <w:t xml:space="preserve">Turnbull &amp; Stockdale, Lancashire; printed textiles </w:t>
      </w:r>
    </w:p>
    <w:p w14:paraId="129E56D1" w14:textId="3CB9E1D1" w:rsidR="00DF04A4" w:rsidRPr="005060BA" w:rsidRDefault="7316DFD5" w:rsidP="00345E22">
      <w:pPr>
        <w:spacing w:line="360" w:lineRule="auto"/>
      </w:pPr>
      <w:r w:rsidRPr="005060BA">
        <w:t>Ramm, Son &amp; Crocker Ltd; printed textiles</w:t>
      </w:r>
    </w:p>
    <w:p w14:paraId="10ABE3A3" w14:textId="40DB1B80" w:rsidR="00DF04A4" w:rsidRPr="005060BA" w:rsidRDefault="7316DFD5" w:rsidP="00345E22">
      <w:pPr>
        <w:spacing w:line="360" w:lineRule="auto"/>
      </w:pPr>
      <w:r w:rsidRPr="005060BA">
        <w:t>Sidney Smith, Nottingham; silk embroidered bedspreads</w:t>
      </w:r>
    </w:p>
    <w:p w14:paraId="0048B62B" w14:textId="0FBC8F15" w:rsidR="00DF04A4" w:rsidRPr="005060BA" w:rsidRDefault="44F09E7F" w:rsidP="00345E22">
      <w:pPr>
        <w:spacing w:line="360" w:lineRule="auto"/>
      </w:pPr>
      <w:r w:rsidRPr="005060BA">
        <w:t xml:space="preserve">Sixten &amp; Cassey, London; textiles </w:t>
      </w:r>
    </w:p>
    <w:p w14:paraId="7BACD418" w14:textId="0B156014" w:rsidR="00DF04A4" w:rsidRPr="005060BA" w:rsidRDefault="44F09E7F" w:rsidP="00345E22">
      <w:pPr>
        <w:spacing w:line="360" w:lineRule="auto"/>
      </w:pPr>
      <w:r w:rsidRPr="005060BA">
        <w:t xml:space="preserve">Simpson &amp; Godlee, Manchester; printed textiles </w:t>
      </w:r>
    </w:p>
    <w:p w14:paraId="108A1CE8" w14:textId="3BE7213A" w:rsidR="00DF04A4" w:rsidRPr="005060BA" w:rsidRDefault="44F09E7F" w:rsidP="00345E22">
      <w:pPr>
        <w:spacing w:line="360" w:lineRule="auto"/>
      </w:pPr>
      <w:r w:rsidRPr="005060BA">
        <w:t xml:space="preserve">Stonards Ltd, London; printed furnishing textiles </w:t>
      </w:r>
    </w:p>
    <w:p w14:paraId="6B4EF24E" w14:textId="1FA49FDB" w:rsidR="00DF04A4" w:rsidRPr="005060BA" w:rsidRDefault="44F09E7F" w:rsidP="00345E22">
      <w:pPr>
        <w:spacing w:line="360" w:lineRule="auto"/>
      </w:pPr>
      <w:r w:rsidRPr="005060BA">
        <w:t>Tomkinsons, Kidderminster; carpets</w:t>
      </w:r>
    </w:p>
    <w:p w14:paraId="76776A41" w14:textId="3A64308C" w:rsidR="00DF04A4" w:rsidRPr="005060BA" w:rsidRDefault="44F09E7F" w:rsidP="00345E22">
      <w:pPr>
        <w:spacing w:line="360" w:lineRule="auto"/>
      </w:pPr>
      <w:r w:rsidRPr="005060BA">
        <w:t>Vanoutryve et Cie, France: woven textiles and velvets</w:t>
      </w:r>
    </w:p>
    <w:p w14:paraId="5E3446B5" w14:textId="32A5DC5D" w:rsidR="00DF04A4" w:rsidRPr="005060BA" w:rsidRDefault="7316DFD5" w:rsidP="00345E22">
      <w:pPr>
        <w:spacing w:line="360" w:lineRule="auto"/>
      </w:pPr>
      <w:r w:rsidRPr="005060BA">
        <w:t>Warner &amp; Sons, Essex; woven textiles</w:t>
      </w:r>
    </w:p>
    <w:p w14:paraId="2541C744" w14:textId="0FC75637" w:rsidR="00345E22" w:rsidRDefault="00345E22">
      <w:pPr>
        <w:spacing w:line="240" w:lineRule="auto"/>
      </w:pPr>
      <w:r>
        <w:br w:type="page"/>
      </w:r>
    </w:p>
    <w:p w14:paraId="6D433B5E" w14:textId="77777777" w:rsidR="00DF04A4" w:rsidRPr="005060BA" w:rsidRDefault="00DF04A4" w:rsidP="005060BA">
      <w:bookmarkStart w:id="0" w:name="_GoBack"/>
      <w:bookmarkEnd w:id="0"/>
    </w:p>
    <w:sectPr w:rsidR="00DF04A4" w:rsidRPr="005060BA" w:rsidSect="006627F3">
      <w:footerReference w:type="even" r:id="rId9"/>
      <w:footerReference w:type="default" r:id="rId10"/>
      <w:endnotePr>
        <w:numFmt w:val="decimal"/>
      </w:endnotePr>
      <w:pgSz w:w="15860" w:h="22440" w:code="9"/>
      <w:pgMar w:top="1440" w:right="2110" w:bottom="2127" w:left="1560" w:header="709" w:footer="160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85A69F" w14:textId="77777777" w:rsidR="00993DE2" w:rsidRDefault="00993DE2" w:rsidP="00AF2C92">
      <w:r>
        <w:separator/>
      </w:r>
    </w:p>
  </w:endnote>
  <w:endnote w:type="continuationSeparator" w:id="0">
    <w:p w14:paraId="0235308E" w14:textId="77777777" w:rsidR="00993DE2" w:rsidRDefault="00993DE2" w:rsidP="00AF2C92">
      <w:r>
        <w:continuationSeparator/>
      </w:r>
    </w:p>
  </w:endnote>
  <w:endnote w:id="1">
    <w:p w14:paraId="02460A0A" w14:textId="7316CC9C" w:rsidR="00993DE2" w:rsidRPr="00F45EA8" w:rsidRDefault="00993DE2" w:rsidP="005060BA">
      <w:pPr>
        <w:pStyle w:val="FootnoteText"/>
        <w:rPr>
          <w:lang w:val="en-US"/>
        </w:rPr>
      </w:pPr>
      <w:r>
        <w:rPr>
          <w:rStyle w:val="EndnoteReference"/>
        </w:rPr>
        <w:endnoteRef/>
      </w:r>
      <w:r>
        <w:t xml:space="preserve"> </w:t>
      </w:r>
      <w:r w:rsidRPr="0057029E">
        <w:rPr>
          <w:lang w:val="en-US"/>
        </w:rPr>
        <w:fldChar w:fldCharType="begin" w:fldLock="1"/>
      </w:r>
      <w:r>
        <w:rPr>
          <w:lang w:val="en-US"/>
        </w:rPr>
        <w:instrText>ADDIN CSL_CITATION { "citationItems" : [ { "id" : "ITEM-1", "itemData" : { "author" : [ { "dropping-particle" : "", "family" : "Pevsner", "given" : "Nikolaus", "non-dropping-particle" : "", "parse-names" : false, "suffix" : "" } ], "id" : "ITEM-1", "issued" : { "date-parts" : [ [ "1936" ] ] }, "publisher" : "Faber", "publisher-place" : "London", "title" : "Pioneers of the Modern Movement: from William Morris to Walter Gropius", "type" : "book" }, "uris" : [ "http://www.mendeley.com/documents/?uuid=822beb37-ab85-4da7-8dee-28d2a874ce1e" ] } ], "mendeley" : { "formattedCitation" : "Nikolaus Pevsner, &lt;i&gt;Pioneers of the Modern Movement: From William Morris to Walter Gropius&lt;/i&gt; (London: Faber, 1936).", "plainTextFormattedCitation" : "Nikolaus Pevsner, Pioneers of the Modern Movement: From William Morris to Walter Gropius (London: Faber, 1936).", "previouslyFormattedCitation" : "Nikolaus Pevsner, &lt;i&gt;Pioneers of the Modern Movement: From William Morris to Walter Gropius&lt;/i&gt; (London: Faber, 1936)." }, "properties" : { "noteIndex" : 0 }, "schema" : "https://github.com/citation-style-language/schema/raw/master/csl-citation.json" }</w:instrText>
      </w:r>
      <w:r w:rsidRPr="0057029E">
        <w:rPr>
          <w:lang w:val="en-US"/>
        </w:rPr>
        <w:fldChar w:fldCharType="separate"/>
      </w:r>
      <w:r w:rsidRPr="002E18CE">
        <w:rPr>
          <w:lang w:val="en-US"/>
        </w:rPr>
        <w:t xml:space="preserve">Nikolaus Pevsner, </w:t>
      </w:r>
      <w:r w:rsidRPr="002E18CE">
        <w:rPr>
          <w:i/>
          <w:lang w:val="en-US"/>
        </w:rPr>
        <w:t>Pioneers of the Modern Movement: From William Morris to Walter Gropius</w:t>
      </w:r>
      <w:r w:rsidRPr="002E18CE">
        <w:rPr>
          <w:lang w:val="en-US"/>
        </w:rPr>
        <w:t xml:space="preserve"> (London: Faber, 1936).</w:t>
      </w:r>
      <w:r w:rsidRPr="0057029E">
        <w:rPr>
          <w:lang w:val="en-US"/>
        </w:rPr>
        <w:fldChar w:fldCharType="end"/>
      </w:r>
    </w:p>
  </w:endnote>
  <w:endnote w:id="2">
    <w:p w14:paraId="0811E578" w14:textId="142597FB" w:rsidR="00993DE2" w:rsidRPr="00F45EA8" w:rsidRDefault="00993DE2" w:rsidP="005060BA">
      <w:pPr>
        <w:pStyle w:val="FootnoteText"/>
        <w:rPr>
          <w:lang w:val="en-US"/>
        </w:rPr>
      </w:pPr>
      <w:r>
        <w:rPr>
          <w:rStyle w:val="EndnoteReference"/>
        </w:rPr>
        <w:endnoteRef/>
      </w:r>
      <w:r>
        <w:t xml:space="preserve"> </w:t>
      </w:r>
      <w:r>
        <w:rPr>
          <w:lang w:val="en-US"/>
        </w:rPr>
        <w:fldChar w:fldCharType="begin" w:fldLock="1"/>
      </w:r>
      <w:r>
        <w:rPr>
          <w:lang w:val="en-US"/>
        </w:rPr>
        <w:instrText>ADDIN CSL_CITATION { "citationItems" : [ { "id" : "ITEM-1", "itemData" : { "author" : [ { "dropping-particle" : "", "family" : "Whitehouse", "given" : "Denise", "non-dropping-particle" : "", "parse-names" : false, "suffix" : "" } ], "container-title" : "Design Studies: A Reader", "editor" : [ { "dropping-particle" : "", "family" : "Clark", "given" : "Hazel", "non-dropping-particle" : "", "parse-names" : false, "suffix" : "" }, { "dropping-particle" : "", "family" : "Brody", "given" : "David", "non-dropping-particle" : "", "parse-names" : false, "suffix" : "" } ], "id" : "ITEM-1", "issued" : { "date-parts" : [ [ "2009" ] ] }, "publisher" : "Berg", "publisher-place" : "Oxford and New York", "title" : "The state of design history as a discipline", "type" : "chapter" }, "uris" : [ "http://www.mendeley.com/documents/?uuid=e19e6986-f938-49d1-a85a-fb4eb779e5d9" ] } ], "mendeley" : { "formattedCitation" : "Denise Whitehouse, \u201cThe State of Design History as a Discipline,\u201d in &lt;i&gt;Design Studies: A Reader&lt;/i&gt;, ed. Hazel Clark and David Brody (Oxford and New York: Berg, 2009).", "plainTextFormattedCitation" : "Denise Whitehouse, \u201cThe State of Design History as a Discipline,\u201d in Design Studies: A Reader, ed. Hazel Clark and David Brody (Oxford and New York: Berg, 2009).", "previouslyFormattedCitation" : "Denise Whitehouse, \u201cThe State of Design History as a Discipline,\u201d in &lt;i&gt;Design Studies: A Reader&lt;/i&gt;, ed. Hazel Clark and David Brody (Oxford and New York: Berg, 2009)." }, "properties" : { "noteIndex" : 0 }, "schema" : "https://github.com/citation-style-language/schema/raw/master/csl-citation.json" }</w:instrText>
      </w:r>
      <w:r>
        <w:rPr>
          <w:lang w:val="en-US"/>
        </w:rPr>
        <w:fldChar w:fldCharType="separate"/>
      </w:r>
      <w:r w:rsidRPr="00133E28">
        <w:rPr>
          <w:lang w:val="en-US"/>
        </w:rPr>
        <w:t xml:space="preserve">Denise Whitehouse, “The State of Design History as a Discipline,” in </w:t>
      </w:r>
      <w:r w:rsidRPr="00133E28">
        <w:rPr>
          <w:i/>
          <w:lang w:val="en-US"/>
        </w:rPr>
        <w:t>Design Studies: A Reader</w:t>
      </w:r>
      <w:r w:rsidRPr="00133E28">
        <w:rPr>
          <w:lang w:val="en-US"/>
        </w:rPr>
        <w:t>, ed. Hazel Clark and David Brody (Oxford and New York: Berg, 2009).</w:t>
      </w:r>
      <w:r>
        <w:rPr>
          <w:lang w:val="en-US"/>
        </w:rPr>
        <w:fldChar w:fldCharType="end"/>
      </w:r>
    </w:p>
  </w:endnote>
  <w:endnote w:id="3">
    <w:p w14:paraId="534775B3" w14:textId="310FBAAD" w:rsidR="00993DE2" w:rsidRPr="00F45EA8" w:rsidRDefault="00993DE2" w:rsidP="005060BA">
      <w:pPr>
        <w:pStyle w:val="FootnoteText"/>
        <w:rPr>
          <w:lang w:val="en-US"/>
        </w:rPr>
      </w:pPr>
      <w:r>
        <w:rPr>
          <w:rStyle w:val="EndnoteReference"/>
        </w:rPr>
        <w:endnoteRef/>
      </w:r>
      <w:r>
        <w:t xml:space="preserve"> </w:t>
      </w:r>
      <w:r>
        <w:rPr>
          <w:lang w:val="en-US"/>
        </w:rPr>
        <w:fldChar w:fldCharType="begin" w:fldLock="1"/>
      </w:r>
      <w:r>
        <w:rPr>
          <w:lang w:val="en-US"/>
        </w:rPr>
        <w:instrText>ADDIN CSL_CITATION { "citationItems" : [ { "id" : "ITEM-1", "itemData" : { "author" : [ { "dropping-particle" : "", "family" : "Buckley", "given" : "Cheryl", "non-dropping-particle" : "", "parse-names" : false, "suffix" : "" } ], "container-title" : "Design Issues", "id" : "ITEM-1", "issue" : "2", "issued" : { "date-parts" : [ [ "1986" ] ] }, "page" : "3-14", "title" : "Made in Patriarchy: Toward a Feminist Analysis of Women and Design", "type" : "article-journal", "volume" : "3" }, "uris" : [ "http://www.mendeley.com/documents/?uuid=e73fdd29-9064-3fdd-9785-ed65d9474450" ] }, { "id" : "ITEM-2", "itemData" : { "author" : [ { "dropping-particle" : "", "family" : "Seddon", "given" : "Jill", "non-dropping-particle" : "", "parse-names" : false, "suffix" : "" } ], "container-title" : "Gender &amp; History", "id" : "ITEM-2", "issue" : "2", "issued" : { "date-parts" : [ [ "2000" ] ] }, "page" : "426-447", "title" : "Mentioned, but Denied Significance: Women Designers and the 'Professionalisation' of Design in Britain c 1920-1951", "type" : "article-journal", "volume" : "12" }, "uris" : [ "http://www.mendeley.com/documents/?uuid=29926e39-2aab-4621-98db-af65c89277b9" ] } ], "mendeley" : { "formattedCitation" : "Cheryl Buckley, \u201cMade in Patriarchy: Toward a Feminist Analysis of Women and Design,\u201d &lt;i&gt;Design Issues&lt;/i&gt; 3, no. 2 (1986): 3\u201314; Jill Seddon, \u201cMentioned, but Denied Significance: Women Designers and the \u2018Professionalisation\u2019 of Design in Britain c 1920-1951,\u201d &lt;i&gt;Gender &amp; History&lt;/i&gt; 12, no. 2 (2000): 426\u201347.", "plainTextFormattedCitation" : "Cheryl Buckley, \u201cMade in Patriarchy: Toward a Feminist Analysis of Women and Design,\u201d Design Issues 3, no. 2 (1986): 3\u201314; Jill Seddon, \u201cMentioned, but Denied Significance: Women Designers and the \u2018Professionalisation\u2019 of Design in Britain c 1920-1951,\u201d Gender &amp; History 12, no. 2 (2000): 426\u201347.", "previouslyFormattedCitation" : "Cheryl Buckley, \u201cMade in Patriarchy: Toward a Feminist Analysis of Women and Design,\u201d &lt;i&gt;Design Issues&lt;/i&gt; 3, no. 2 (1986): 3\u201314; Jill Seddon, \u201cMentioned, but Denied Significance: Women Designers and the \u2018Professionalisation\u2019 of Design in Britain c 1920-1951,\u201d &lt;i&gt;Gender &amp; History&lt;/i&gt; 12, no. 2 (2000): 426\u201347." }, "properties" : { "noteIndex" : 0 }, "schema" : "https://github.com/citation-style-language/schema/raw/master/csl-citation.json" }</w:instrText>
      </w:r>
      <w:r>
        <w:rPr>
          <w:lang w:val="en-US"/>
        </w:rPr>
        <w:fldChar w:fldCharType="separate"/>
      </w:r>
      <w:r w:rsidRPr="002E18CE">
        <w:rPr>
          <w:lang w:val="en-US"/>
        </w:rPr>
        <w:t xml:space="preserve">Cheryl Buckley, “Made in Patriarchy: Toward a Feminist Analysis of Women and Design,” </w:t>
      </w:r>
      <w:r w:rsidRPr="002E18CE">
        <w:rPr>
          <w:i/>
          <w:lang w:val="en-US"/>
        </w:rPr>
        <w:t>Design Issues</w:t>
      </w:r>
      <w:r w:rsidRPr="002E18CE">
        <w:rPr>
          <w:lang w:val="en-US"/>
        </w:rPr>
        <w:t xml:space="preserve"> 3, no. 2 (1986): 3–14; Jill Seddon, “Mentioned, but Denied Significance: Women Designers and the ‘Professionalisation’ of Design in Britain c 1920-1951,” </w:t>
      </w:r>
      <w:r w:rsidRPr="002E18CE">
        <w:rPr>
          <w:i/>
          <w:lang w:val="en-US"/>
        </w:rPr>
        <w:t>Gender &amp; History</w:t>
      </w:r>
      <w:r w:rsidRPr="002E18CE">
        <w:rPr>
          <w:lang w:val="en-US"/>
        </w:rPr>
        <w:t xml:space="preserve"> 12, no. 2 (2000): 426–47.</w:t>
      </w:r>
      <w:r>
        <w:rPr>
          <w:lang w:val="en-US"/>
        </w:rPr>
        <w:fldChar w:fldCharType="end"/>
      </w:r>
    </w:p>
  </w:endnote>
  <w:endnote w:id="4">
    <w:p w14:paraId="3A56FA39" w14:textId="5091CCCB" w:rsidR="00993DE2" w:rsidRDefault="00993DE2" w:rsidP="005060BA">
      <w:pPr>
        <w:pStyle w:val="FootnoteText"/>
      </w:pPr>
      <w:r>
        <w:rPr>
          <w:rStyle w:val="EndnoteReference"/>
        </w:rPr>
        <w:endnoteRef/>
      </w:r>
      <w:r>
        <w:t xml:space="preserve"> </w:t>
      </w:r>
      <w:r>
        <w:fldChar w:fldCharType="begin" w:fldLock="1"/>
      </w:r>
      <w:r>
        <w:instrText>ADDIN CSL_CITATION { "citationItems" : [ { "id" : "ITEM-1", "itemData" : { "author" : [ { "dropping-particle" : "", "family" : "Till", "given" : "Jeremy", "non-dropping-particle" : "", "parse-names" : false, "suffix" : "" } ], "id" : "ITEM-1", "issued" : { "date-parts" : [ [ "2009" ] ] }, "publisher" : "MIT Press", "title" : "Architecture Depends", "type" : "book" }, "uris" : [ "http://www.mendeley.com/documents/?uuid=10de0872-cc33-4b44-9873-f8f42bf699cb" ] } ], "mendeley" : { "formattedCitation" : "Jeremy Till, &lt;i&gt;Architecture Depends&lt;/i&gt; (MIT Press, 2009).", "plainTextFormattedCitation" : "Jeremy Till, Architecture Depends (MIT Press, 2009).", "previouslyFormattedCitation" : "Jeremy Till, &lt;i&gt;Architecture Depends&lt;/i&gt; (MIT Press, 2009)." }, "properties" : { "noteIndex" : 0 }, "schema" : "https://github.com/citation-style-language/schema/raw/master/csl-citation.json" }</w:instrText>
      </w:r>
      <w:r>
        <w:fldChar w:fldCharType="separate"/>
      </w:r>
      <w:r w:rsidRPr="00345DDA">
        <w:t xml:space="preserve">Jeremy Till, </w:t>
      </w:r>
      <w:r w:rsidRPr="00345DDA">
        <w:rPr>
          <w:i/>
        </w:rPr>
        <w:t>Architecture Depends</w:t>
      </w:r>
      <w:r w:rsidRPr="00345DDA">
        <w:t xml:space="preserve"> (MIT Press, 2009).</w:t>
      </w:r>
      <w:r>
        <w:fldChar w:fldCharType="end"/>
      </w:r>
    </w:p>
  </w:endnote>
  <w:endnote w:id="5">
    <w:p w14:paraId="0FCB344D" w14:textId="6A4B0246" w:rsidR="00993DE2" w:rsidRPr="00F45EA8" w:rsidRDefault="00993DE2" w:rsidP="005060BA">
      <w:pPr>
        <w:pStyle w:val="FootnoteText"/>
        <w:rPr>
          <w:lang w:val="en-US"/>
        </w:rPr>
      </w:pPr>
      <w:r>
        <w:rPr>
          <w:rStyle w:val="EndnoteReference"/>
        </w:rPr>
        <w:endnoteRef/>
      </w:r>
      <w:r>
        <w:t xml:space="preserve"> J</w:t>
      </w:r>
      <w:r w:rsidRPr="7316DFD5">
        <w:t xml:space="preserve">illy Traganou, “Architectural and Spatial Design Studies: Inscribing Architecture in Design Studies,” </w:t>
      </w:r>
      <w:r w:rsidRPr="7316DFD5">
        <w:rPr>
          <w:i/>
          <w:iCs/>
        </w:rPr>
        <w:t>Journal of Design History</w:t>
      </w:r>
      <w:r w:rsidRPr="7316DFD5">
        <w:t xml:space="preserve"> 22, no. 2 (2009): 174</w:t>
      </w:r>
    </w:p>
  </w:endnote>
  <w:endnote w:id="6">
    <w:p w14:paraId="1C010AC6" w14:textId="2D280BDE" w:rsidR="00993DE2" w:rsidRDefault="00993DE2" w:rsidP="005060BA">
      <w:pPr>
        <w:pStyle w:val="FootnoteText"/>
      </w:pPr>
      <w:r>
        <w:rPr>
          <w:rStyle w:val="EndnoteReference"/>
        </w:rPr>
        <w:endnoteRef/>
      </w:r>
      <w:r>
        <w:t xml:space="preserve"> Ibid.</w:t>
      </w:r>
    </w:p>
  </w:endnote>
  <w:endnote w:id="7">
    <w:p w14:paraId="6868403B" w14:textId="25930F79" w:rsidR="00993DE2" w:rsidRDefault="00993DE2" w:rsidP="005060BA">
      <w:pPr>
        <w:pStyle w:val="FootnoteText"/>
      </w:pPr>
      <w:r>
        <w:rPr>
          <w:rStyle w:val="EndnoteReference"/>
        </w:rPr>
        <w:endnoteRef/>
      </w:r>
      <w:r>
        <w:t xml:space="preserve"> </w:t>
      </w:r>
      <w:r>
        <w:rPr>
          <w:lang w:val="en-US"/>
        </w:rPr>
        <w:fldChar w:fldCharType="begin" w:fldLock="1"/>
      </w:r>
      <w:r>
        <w:rPr>
          <w:lang w:val="en-US"/>
        </w:rPr>
        <w:instrText>ADDIN CSL_CITATION { "citationItems" : [ { "id" : "ITEM-1", "itemData" : { "author" : [ { "dropping-particle" : "", "family" : "Taylor", "given" : "Lou", "non-dropping-particle" : "", "parse-names" : false, "suffix" : "" } ], "container-title" : "Disentangling Textiles: Techniques for the Study of Designed Objects", "editor" : [ { "dropping-particle" : "", "family" : "Schoeser", "given" : "Mary", "non-dropping-particle" : "", "parse-names" : false, "suffix" : "" }, { "dropping-particle" : "", "family" : "Boydell", "given" : "Christine", "non-dropping-particle" : "", "parse-names" : false, "suffix" : "" } ], "id" : "ITEM-1", "issued" : { "date-parts" : [ [ "2002" ] ] }, "note" : "making the point that fashion fabrics can be categorised by means of a hierarchy based partly on the material itself (wool, silk, cotton, man-made); and other marks of distinction, follwing Bourdieu\n\nthese are \n1. rarity of fibre or cloth\n2. novely\n3. use at an elitist social-ritual function\n4. elitist status of wearers\n5. country of origin - eg France for a long time, now Italy and Japan\n6. Known elitist designers'/manufacturers name\n7. high level of aesthetic quality \n8. unsusal or costly manufacturing technique\n9. high price\n10. newness of pattern and colour\n11. tactile qualities of delicacy, softness etc. - contrast least desirable quality - durability\n12. elitist orientated marketing", "page" : "67-80", "publisher" : "Middlesex University Press", "title" : "De-Coding the Hierarchy of Fashion Textiles", "type" : "chapter" }, "uris" : [ "http://www.mendeley.com/documents/?uuid=f7534fb1-82f0-4f86-9aba-d15ed4a20e8f" ] } ], "mendeley" : { "formattedCitation" : "Lou Taylor, \u201cDe-Coding the Hierarchy of Fashion Textiles,\u201d in &lt;i&gt;Disentangling Textiles: Techniques for the Study of Designed Objects&lt;/i&gt;, ed. Mary Schoeser and Christine Boydell (Middlesex University Press, 2002), 67\u201380.", "plainTextFormattedCitation" : "Lou Taylor, \u201cDe-Coding the Hierarchy of Fashion Textiles,\u201d in Disentangling Textiles: Techniques for the Study of Designed Objects, ed. Mary Schoeser and Christine Boydell (Middlesex University Press, 2002), 67\u201380.", "previouslyFormattedCitation" : "Lou Taylor, \u201cDe-Coding the Hierarchy of Fashion Textiles,\u201d in &lt;i&gt;Disentangling Textiles: Techniques for the Study of Designed Objects&lt;/i&gt;, ed. Mary Schoeser and Christine Boydell (Middlesex University Press, 2002), 67\u201380." }, "properties" : { "noteIndex" : 0 }, "schema" : "https://github.com/citation-style-language/schema/raw/master/csl-citation.json" }</w:instrText>
      </w:r>
      <w:r>
        <w:rPr>
          <w:lang w:val="en-US"/>
        </w:rPr>
        <w:fldChar w:fldCharType="separate"/>
      </w:r>
      <w:r w:rsidRPr="00AD4097">
        <w:rPr>
          <w:lang w:val="en-US"/>
        </w:rPr>
        <w:t xml:space="preserve">Lou Taylor, “De-Coding the Hierarchy of Fashion Textiles,” in </w:t>
      </w:r>
      <w:r w:rsidRPr="00AD4097">
        <w:rPr>
          <w:i/>
          <w:lang w:val="en-US"/>
        </w:rPr>
        <w:t>Disentangling Textiles: Techniques for the Study of Designed Objects</w:t>
      </w:r>
      <w:r w:rsidRPr="00AD4097">
        <w:rPr>
          <w:lang w:val="en-US"/>
        </w:rPr>
        <w:t>, ed. Mary Schoeser and Christine Boydell (Middlesex University Press, 2002), 67–80.</w:t>
      </w:r>
      <w:r>
        <w:rPr>
          <w:lang w:val="en-US"/>
        </w:rPr>
        <w:fldChar w:fldCharType="end"/>
      </w:r>
    </w:p>
  </w:endnote>
  <w:endnote w:id="8">
    <w:p w14:paraId="3F07BEA7" w14:textId="5FE66A90" w:rsidR="00993DE2" w:rsidRDefault="00993DE2" w:rsidP="005060BA">
      <w:pPr>
        <w:pStyle w:val="FootnoteText"/>
      </w:pPr>
      <w:r>
        <w:rPr>
          <w:rStyle w:val="EndnoteReference"/>
        </w:rPr>
        <w:endnoteRef/>
      </w:r>
      <w:r>
        <w:t xml:space="preserve"> </w:t>
      </w:r>
      <w:r>
        <w:rPr>
          <w:lang w:val="en-US"/>
        </w:rPr>
        <w:fldChar w:fldCharType="begin" w:fldLock="1"/>
      </w:r>
      <w:r>
        <w:rPr>
          <w:lang w:val="en-US"/>
        </w:rPr>
        <w:instrText>ADDIN CSL_CITATION { "citationItems" : [ { "id" : "ITEM-1", "itemData" : { "author" : [ { "dropping-particle" : "", "family" : "Attfield", "given" : "Judy", "non-dropping-particle" : "", "parse-names" : false, "suffix" : "" } ], "container-title" : "Buying for the Home: Shopping for the Domestic from the Seventeenth Century to the Present", "editor" : [ { "dropping-particle" : "", "family" : "Hussey", "given" : "David", "non-dropping-particle" : "", "parse-names" : false, "suffix" : "" }, { "dropping-particle" : "", "family" : "Ponsonby", "given" : "Margaret", "non-dropping-particle" : "", "parse-names" : false, "suffix" : "" } ], "id" : "ITEM-1", "issued" : { "date-parts" : [ [ "2008" ] ] }, "page" : "199-212", "title" : "Taking a Look at the Wild Side of DIY Home Decor", "type" : "chapter" }, "locator" : "199", "uris" : [ "http://www.mendeley.com/documents/?uuid=0898cc69-2ab0-4469-999e-4e41ccc94b48" ] } ], "mendeley" : { "formattedCitation" : "Judy Attfield, \u201cTaking a Look at the Wild Side of DIY Home Decor,\u201d in &lt;i&gt;Buying for the Home: Shopping for the Domestic from the Seventeenth Century to the Present&lt;/i&gt;, ed. David Hussey and Margaret Ponsonby, 2008, 199.", "plainTextFormattedCitation" : "Judy Attfield, \u201cTaking a Look at the Wild Side of DIY Home Decor,\u201d in Buying for the Home: Shopping for the Domestic from the Seventeenth Century to the Present, ed. David Hussey and Margaret Ponsonby, 2008, 199.", "previouslyFormattedCitation" : "Judy Attfield, \u201cTaking a Look at the Wild Side of DIY Home Decor,\u201d in &lt;i&gt;Buying for the Home: Shopping for the Domestic from the Seventeenth Century to the Present&lt;/i&gt;, ed. David Hussey and Margaret Ponsonby, 2008, 199." }, "properties" : { "noteIndex" : 0 }, "schema" : "https://github.com/citation-style-language/schema/raw/master/csl-citation.json" }</w:instrText>
      </w:r>
      <w:r>
        <w:rPr>
          <w:lang w:val="en-US"/>
        </w:rPr>
        <w:fldChar w:fldCharType="separate"/>
      </w:r>
      <w:r w:rsidRPr="00DD3873">
        <w:rPr>
          <w:lang w:val="en-US"/>
        </w:rPr>
        <w:t xml:space="preserve">Judy Attfield, “Taking a Look at the Wild Side of DIY Home Decor,” in </w:t>
      </w:r>
      <w:r w:rsidRPr="00DD3873">
        <w:rPr>
          <w:i/>
          <w:lang w:val="en-US"/>
        </w:rPr>
        <w:t>Buying for the Home: Shopping for the Domestic from the Seventeenth Century to the Present</w:t>
      </w:r>
      <w:r w:rsidRPr="00DD3873">
        <w:rPr>
          <w:lang w:val="en-US"/>
        </w:rPr>
        <w:t>, ed. David Hussey and Margaret Ponsonby, 2008, 199.</w:t>
      </w:r>
      <w:r>
        <w:rPr>
          <w:lang w:val="en-US"/>
        </w:rPr>
        <w:fldChar w:fldCharType="end"/>
      </w:r>
    </w:p>
  </w:endnote>
  <w:endnote w:id="9">
    <w:p w14:paraId="230B50D7" w14:textId="47173203" w:rsidR="00993DE2" w:rsidRPr="005060BA" w:rsidRDefault="00993DE2" w:rsidP="005060BA">
      <w:pPr>
        <w:pStyle w:val="FootnoteText"/>
      </w:pPr>
      <w:r>
        <w:rPr>
          <w:rStyle w:val="EndnoteReference"/>
        </w:rPr>
        <w:endnoteRef/>
      </w:r>
      <w:r>
        <w:t xml:space="preserve"> </w:t>
      </w:r>
      <w:r w:rsidRPr="005060BA">
        <w:fldChar w:fldCharType="begin" w:fldLock="1"/>
      </w:r>
      <w:r w:rsidRPr="005060BA">
        <w:instrText>ADDIN CSL_CITATION { "citationItems" : [ { "id" : "ITEM-1", "itemData" : { "author" : [ { "dropping-particle" : "", "family" : "Protheroe", "given" : "Keren", "non-dropping-particle" : "", "parse-names" : false, "suffix" : "" } ], "id" : "ITEM-1", "issued" : { "date-parts" : [ [ "2012" ] ] }, "note" : "In 'New Fabrics and Their Designers' [see Furnishing in Britain] ca 1951, pp 70-71, BADDA4642] Lucienne Day's image appears alongside the images of several male designers, all much older than her, looking staid, bespectacled and respectably suited. The photographs of Rex Silver, George Willis, Marcel Libert and James Haward embody them and their work as the image of factory-side professionalism. Unlike Day, they look uncomfortable with the publicity machine and instead appear as key men in the administrative side of the production chain: agents in an industry wherein &amp;quot;the proper function of pattern was to enliven the more serious business of textiles&amp;quot; (quote from Design in Modern Industry Yearbook of DIA, 1922, p 14). page 25\n\n\n&amp;quot;In many respects Rex Silver and his staff of designers represented a twentieth-century evolution of the eighteenth century calico-printer's assistant, a profession defined by the ability to design directly in response to the dictates of the market and an understanding of the technicalities of mechanical reproduction&amp;quot;. pages 26-27\n\n\nAt least one of the designs credited personally to Rex Silver in the 1951 'New Fabrics...' article was designed by Silver Studio designer Frank Price...This practice represented a contrived conservatism on the part of the Studio as the marketable value of 'signed work' was already growing in recognition by the end of the 1920s...{quote from letter from Franklin &amp;amp; Franklin]\npage 29\n\nIn 1921 Rex Silver wrote a ltter to all the Silver Studio's staff warning of the employment 'implications of the current climate' SBR 7/1\n\n\n\ndiscussion of status of female freelance designers versus male studios pages 53-54\n\ndebate is relevant because turns on whether designers need intimate knowledge of production processes or broader artistic education - page 55 \n\n\nBy 1925, the Silver Studio had a client-base gathered over 37 years of business including Liberty &amp;amp; co, the Morton group of companies, the Lancashire manufacturer AH Lee &amp;amp; Son; all had remained loyal and frequent customers. Rex's salary in 1925 was '\u00a3572 plus profits not used for insurance' a wage bracket equivalent to higher professional status. Yet with a payroll to cover, a studio to rent and run, and sales trips abroad to finance, his was a position of responsibility in a profession prone to market fluctuations. page 58\n\n\nnaturalistic flowers were popular but &amp;quot;this was not the characteristic which Rex Silver promoted as the Silver Studio's specialism in the 1920s. Patterns which employed modern interpretations of 17th century embroidered flower motifs, were also offered to consumers as a poetic and historically sanctioned avenue of modern self expression. In 1923 Rex gave an interview to an American newspaper in which he described the Silver Studio's specialism as 'designs for printed linens and cottons based on old silks and embroideries' christain science monitor1923 &amp;quot; page 98\n\nquestion of historicism versus modernity - consumer desire for imaginative self invention - page 99\nQueen Anne styles that imitated wool needlework etc: &amp;quot;They were technologically-enabled examples of contrived surface fakery which appealled to a popular audience to the same extent that they confounded the purist principles of design reformers who demanded honesty of surface and simplicity of construction. Yet their power to express the romantic desires of their self-defining consumers imbued them with the transforming and illusory qualities which chimed with the more prevalent priorities of modern culture&amp;quot; page 101\n\n\n\n&amp;quot;Rex Silver visited the Paris Exposition with a DIA visiting party and returned with several portfolios of design ideas produced by Eugene Alain Seguy...&amp;quot; page 195", "publisher" : "unpublished PhD, Kingston University", "title" : "Bloom and Blotch: Floral Print and Modernity in the Textile Designs of Winifred Mold and Minnie McLeish 1910-1930", "type" : "thesis" }, "uris" : [ "http://www.mendeley.com/documents/?uuid=a64a39e7-8725-4c55-bd6b-db853323d4f5" ] }, { "id" : "ITEM-2", "itemData" : { "author" : [ { "dropping-particle" : "", "family" : "Clark", "given" : "Hazel", "non-dropping-particle" : "", "parse-names" : false, "suffix" : "" } ], "container-title" : "Design and Industry: The Effect of Industrialisation and Technical Change on Design", "id" : "ITEM-2", "issued" : { "date-parts" : [ [ "1980" ] ] }, "page" : "33-38", "publisher" : "The Design Council", "publisher-place" : "London", "title" : "The Anonymous Designer", "type" : "chapter" }, "uris" : [ "http://www.mendeley.com/documents/?uuid=dbed2167-617a-4a1f-828d-bdb4e4d789a5" ] } ], "mendeley" : { "formattedCitation" : "Keren Protheroe, \u201cBloom and Blotch: Floral Print and Modernity in the Textile Designs of Winifred Mold and Minnie McLeish 1910-1930\u201d (unpublished PhD, Kingston University, 2012); Hazel Clark, \u201cThe Anonymous Designer,\u201d in &lt;i&gt;Design and Industry: The Effect of Industrialisation and Technical Change on Design&lt;/i&gt; (London: The Design Council, 1980), 33\u201338.", "plainTextFormattedCitation" : "Keren Protheroe, \u201cBloom and Blotch: Floral Print and Modernity in the Textile Designs of Winifred Mold and Minnie McLeish 1910-1930\u201d (unpublished PhD, Kingston University, 2012); Hazel Clark, \u201cThe Anonymous Designer,\u201d in Design and Industry: The Effect of Industrialisation and Technical Change on Design (London: The Design Council, 1980), 33\u201338.", "previouslyFormattedCitation" : "Keren Protheroe, \u201cBloom and Blotch: Floral Print and Modernity in the Textile Designs of Winifred Mold and Minnie McLeish 1910-1930\u201d (unpublished PhD, Kingston University, 2012); Hazel Clark, \u201cThe Anonymous Designer,\u201d in &lt;i&gt;Design and Industry: The Effect of Industrialisation and Technical Change on Design&lt;/i&gt; (London: The Design Council, 1980), 33\u201338." }, "properties" : { "noteIndex" : 0 }, "schema" : "https://github.com/citation-style-language/schema/raw/master/csl-citation.json" }</w:instrText>
      </w:r>
      <w:r w:rsidRPr="005060BA">
        <w:fldChar w:fldCharType="separate"/>
      </w:r>
      <w:r w:rsidRPr="005060BA">
        <w:t xml:space="preserve">Keren Protheroe, “Bloom and Blotch: Floral Print and Modernity in the Textile Designs of Winifred Mold and Minnie McLeish 1910-1930” (unpublished PhD, Kingston University, 2012); Hazel Clark, “The Anonymous Designer,” in </w:t>
      </w:r>
      <w:r w:rsidRPr="005060BA">
        <w:rPr>
          <w:i/>
        </w:rPr>
        <w:t>Design and Industry: The Effect of Industrialisation and Technical Change on Design</w:t>
      </w:r>
      <w:r w:rsidRPr="005060BA">
        <w:t xml:space="preserve"> (London: The Design Council, 1980), 33–38.</w:t>
      </w:r>
      <w:r w:rsidRPr="005060BA">
        <w:fldChar w:fldCharType="end"/>
      </w:r>
      <w:r w:rsidRPr="005060BA">
        <w:t xml:space="preserve"> </w:t>
      </w:r>
    </w:p>
  </w:endnote>
  <w:endnote w:id="10">
    <w:p w14:paraId="167ACBC8" w14:textId="16D6A6E3" w:rsidR="00993DE2" w:rsidRPr="005060BA" w:rsidRDefault="00993DE2" w:rsidP="000376DD">
      <w:pPr>
        <w:pStyle w:val="EndnoteText"/>
        <w:ind w:left="0" w:firstLine="0"/>
        <w:rPr>
          <w:sz w:val="24"/>
          <w:szCs w:val="24"/>
        </w:rPr>
      </w:pPr>
      <w:r w:rsidRPr="005060BA">
        <w:rPr>
          <w:rStyle w:val="EndnoteReference"/>
          <w:sz w:val="24"/>
          <w:szCs w:val="24"/>
        </w:rPr>
        <w:endnoteRef/>
      </w:r>
      <w:r w:rsidRPr="005060BA">
        <w:rPr>
          <w:sz w:val="24"/>
          <w:szCs w:val="24"/>
        </w:rPr>
        <w:t xml:space="preserve"> </w:t>
      </w:r>
      <w:r w:rsidRPr="005060BA">
        <w:rPr>
          <w:sz w:val="24"/>
          <w:szCs w:val="24"/>
        </w:rPr>
        <w:fldChar w:fldCharType="begin" w:fldLock="1"/>
      </w:r>
      <w:r w:rsidRPr="005060BA">
        <w:rPr>
          <w:sz w:val="24"/>
          <w:szCs w:val="24"/>
        </w:rPr>
        <w:instrText>ADDIN CSL_CITATION { "citationItems" : [ { "id" : "ITEM-1", "itemData" : { "author" : [ { "dropping-particle" : "", "family" : "Protheroe", "given" : "Keren", "non-dropping-particle" : "", "parse-names" : false, "suffix" : "" } ], "id" : "ITEM-1", "issued" : { "date-parts" : [ [ "2012" ] ] }, "note" : "In 'New Fabrics and Their Designers' [see Furnishing in Britain] ca 1951, pp 70-71, BADDA4642] Lucienne Day's image appears alongside the images of several male designers, all much older than her, looking staid, bespectacled and respectably suited. The photographs of Rex Silver, George Willis, Marcel Libert and James Haward embody them and their work as the image of factory-side professionalism. Unlike Day, they look uncomfortable with the publicity machine and instead appear as key men in the administrative side of the production chain: agents in an industry wherein &amp;quot;the proper function of pattern was to enliven the more serious business of textiles&amp;quot; (quote from Design in Modern Industry Yearbook of DIA, 1922, p 14). page 25\n\n\n&amp;quot;In many respects Rex Silver and his staff of designers represented a twentieth-century evolution of the eighteenth century calico-printer's assistant, a profession defined by the ability to design directly in response to the dictates of the market and an understanding of the technicalities of mechanical reproduction&amp;quot;. pages 26-27\n\n\nAt least one of the designs credited personally to Rex Silver in the 1951 'New Fabrics...' article was designed by Silver Studio designer Frank Price...This practice represented a contrived conservatism on the part of the Studio as the marketable value of 'signed work' was already growing in recognition by the end of the 1920s...{quote from letter from Franklin &amp;amp; Franklin]\npage 29\n\nIn 1921 Rex Silver wrote a ltter to all the Silver Studio's staff warning of the employment 'implications of the current climate' SBR 7/1\n\n\n\ndiscussion of status of female freelance designers versus male studios pages 53-54\n\ndebate is relevant because turns on whether designers need intimate knowledge of production processes or broader artistic education - page 55 \n\n\nBy 1925, the Silver Studio had a client-base gathered over 37 years of business including Liberty &amp;amp; co, the Morton group of companies, the Lancashire manufacturer AH Lee &amp;amp; Son; all had remained loyal and frequent customers. Rex's salary in 1925 was '\u00a3572 plus profits not used for insurance' a wage bracket equivalent to higher professional status. Yet with a payroll to cover, a studio to rent and run, and sales trips abroad to finance, his was a position of responsibility in a profession prone to market fluctuations. page 58\n\n\nnaturalistic flowers were popular but &amp;quot;this was not the characteristic which Rex Silver promoted as the Silver Studio's specialism in the 1920s. Patterns which employed modern interpretations of 17th century embroidered flower motifs, were also offered to consumers as a poetic and historically sanctioned avenue of modern self expression. In 1923 Rex gave an interview to an American newspaper in which he described the Silver Studio's specialism as 'designs for printed linens and cottons based on old silks and embroideries' christain science monitor1923 &amp;quot; page 98\n\nquestion of historicism versus modernity - consumer desire for imaginative self invention - page 99\nQueen Anne styles that imitated wool needlework etc: &amp;quot;They were technologically-enabled examples of contrived surface fakery which appealled to a popular audience to the same extent that they confounded the purist principles of design reformers who demanded honesty of surface and simplicity of construction. Yet their power to express the romantic desires of their self-defining consumers imbued them with the transforming and illusory qualities which chimed with the more prevalent priorities of modern culture&amp;quot; page 101\n\n\n\n&amp;quot;Rex Silver visited the Paris Exposition with a DIA visiting party and returned with several portfolios of design ideas produced by Eugene Alain Seguy...&amp;quot; page 195", "publisher" : "unpublished PhD, Kingston University", "title" : "Bloom and Blotch: Floral Print and Modernity in the Textile Designs of Winifred Mold and Minnie McLeish 1910-1930", "type" : "thesis" }, "uris" : [ "http://www.mendeley.com/documents/?uuid=a64a39e7-8725-4c55-bd6b-db853323d4f5" ] } ], "mendeley" : { "formattedCitation" : "Protheroe, \u201cBloom and Blotch: Floral Print and Modernity in the Textile Designs of Winifred Mold and Minnie McLeish 1910-1930.\u201d", "manualFormatting" : "Protheroe, \u201cBloom and Blotch\" ", "plainTextFormattedCitation" : "Protheroe, \u201cBloom and Blotch: Floral Print and Modernity in the Textile Designs of Winifred Mold and Minnie McLeish 1910-1930.\u201d", "previouslyFormattedCitation" : "Protheroe, \u201cBloom and Blotch: Floral Print and Modernity in the Textile Designs of Winifred Mold and Minnie McLeish 1910-1930.\u201d" }, "properties" : { "noteIndex" : 0 }, "schema" : "https://github.com/citation-style-language/schema/raw/master/csl-citation.json" }</w:instrText>
      </w:r>
      <w:r w:rsidRPr="005060BA">
        <w:rPr>
          <w:sz w:val="24"/>
          <w:szCs w:val="24"/>
        </w:rPr>
        <w:fldChar w:fldCharType="separate"/>
      </w:r>
      <w:r w:rsidRPr="005060BA">
        <w:rPr>
          <w:noProof/>
          <w:sz w:val="24"/>
          <w:szCs w:val="24"/>
        </w:rPr>
        <w:t xml:space="preserve">Protheroe, “Bloom and Blotch" </w:t>
      </w:r>
      <w:r w:rsidRPr="005060BA">
        <w:rPr>
          <w:sz w:val="24"/>
          <w:szCs w:val="24"/>
        </w:rPr>
        <w:fldChar w:fldCharType="end"/>
      </w:r>
    </w:p>
  </w:endnote>
  <w:endnote w:id="11">
    <w:p w14:paraId="19CD18B9" w14:textId="4E659896" w:rsidR="00993DE2" w:rsidRDefault="00993DE2" w:rsidP="005060BA">
      <w:pPr>
        <w:pStyle w:val="FootnoteText"/>
      </w:pPr>
      <w:r w:rsidRPr="7316DFD5">
        <w:rPr>
          <w:rStyle w:val="EndnoteReference"/>
        </w:rPr>
        <w:endnoteRef/>
      </w:r>
      <w:r>
        <w:t xml:space="preserve"> </w:t>
      </w:r>
      <w:r>
        <w:fldChar w:fldCharType="begin" w:fldLock="1"/>
      </w:r>
      <w:r>
        <w:instrText>ADDIN CSL_CITATION { "citationItems" : [ { "id" : "ITEM-1", "itemData" : { "author" : [ { "dropping-particle" : "", "family" : "Boydell", "given" : "Christine", "non-dropping-particle" : "", "parse-names" : false, "suffix" : "" } ], "container-title" : "Journal of Design History", "id" : "ITEM-1", "issue" : "1", "issued" : { "date-parts" : [ [ "1995" ] ] }, "note" : "Useful context for Rex silver in the 1930s", "page" : "27-42", "title" : "Free-Lance Textile Design in the 1930s: An Improving Prospect?", "type" : "article-journal", "volume" : "8" }, "locator" : "29", "uris" : [ "http://www.mendeley.com/documents/?uuid=720a2102-1d61-419e-b58b-6f72f4aca785" ] } ], "mendeley" : { "formattedCitation" : "Christine Boydell, \u201cFree-Lance Textile Design in the 1930s: An Improving Prospect?,\u201d &lt;i&gt;Journal of Design History&lt;/i&gt; 8, no. 1 (1995): 29.", "plainTextFormattedCitation" : "Christine Boydell, \u201cFree-Lance Textile Design in the 1930s: An Improving Prospect?,\u201d Journal of Design History 8, no. 1 (1995): 29.", "previouslyFormattedCitation" : "Christine Boydell, \u201cFree-Lance Textile Design in the 1930s: An Improving Prospect?,\u201d &lt;i&gt;Journal of Design History&lt;/i&gt; 8, no. 1 (1995): 29." }, "properties" : { "noteIndex" : 0 }, "schema" : "https://github.com/citation-style-language/schema/raw/master/csl-citation.json" }</w:instrText>
      </w:r>
      <w:r>
        <w:fldChar w:fldCharType="separate"/>
      </w:r>
      <w:r w:rsidRPr="00D163FF">
        <w:t xml:space="preserve">Christine Boydell, “Free-Lance Textile Design in the 1930s: An Improving Prospect?,” </w:t>
      </w:r>
      <w:r w:rsidRPr="00D163FF">
        <w:rPr>
          <w:i/>
        </w:rPr>
        <w:t>Journal of Design History</w:t>
      </w:r>
      <w:r w:rsidRPr="00D163FF">
        <w:t xml:space="preserve"> 8, no. 1 (1995): 29.</w:t>
      </w:r>
      <w:r>
        <w:fldChar w:fldCharType="end"/>
      </w:r>
    </w:p>
  </w:endnote>
  <w:endnote w:id="12">
    <w:p w14:paraId="3973C821" w14:textId="4357068F" w:rsidR="00993DE2" w:rsidRDefault="00993DE2" w:rsidP="005060BA">
      <w:pPr>
        <w:pStyle w:val="FootnoteText"/>
      </w:pPr>
      <w:r>
        <w:rPr>
          <w:rStyle w:val="EndnoteReference"/>
        </w:rPr>
        <w:endnoteRef/>
      </w:r>
      <w:r>
        <w:t xml:space="preserve"> </w:t>
      </w:r>
      <w:r>
        <w:fldChar w:fldCharType="begin" w:fldLock="1"/>
      </w:r>
      <w:r>
        <w:instrText>ADDIN CSL_CITATION { "citationItems" : [ { "id" : "ITEM-1", "itemData" : { "abstract" : "pp247-249", "author" : [ { "dropping-particle" : "", "family" : "Hayes-Marshall", "given" : "H G", "non-dropping-particle" : "", "parse-names" : false, "suffix" : "" } ], "id" : "ITEM-1", "issued" : { "date-parts" : [ [ "1939" ] ] }, "note" : "677.022 MAR\n\nThree examples of Rex Silver's textile designs for W.H. Haynes Ltd., G.P. &amp;amp; J. Baker Ltd., and Storey &amp;amp; Co. Ltd., are illustrated in \n'British Textile Designers Today' by H.G. Hayes Marshall (Leigh-on-Sea, England: F. Lewis (Publishers) Ltd., 1939 pp.247-249);\n\nother authors credited;\nSilver, Rex\nNicholson, Ben\nBareham, Harold C", "publisher" : "F. Lewis", "publisher-place" : "Leigh-on-Sea", "title" : "British textile designers today: with introduction and chapters on the designer and design, notes on colour, definitions and descriptions, methods of manufacture, yarns", "type" : "book" }, "uris" : [ "http://www.mendeley.com/documents/?uuid=02a8a5b6-c67c-498b-90dc-02835cdd71be" ] } ], "mendeley" : { "formattedCitation" : "H G Hayes-Marshall, &lt;i&gt;British Textile Designers Today: With Introduction and Chapters on the Designer and Design, Notes on Colour, Definitions and Descriptions, Methods of Manufacture, Yarns&lt;/i&gt; (Leigh-on-Sea: F. Lewis, 1939).", "plainTextFormattedCitation" : "H G Hayes-Marshall, British Textile Designers Today: With Introduction and Chapters on the Designer and Design, Notes on Colour, Definitions and Descriptions, Methods of Manufacture, Yarns (Leigh-on-Sea: F. Lewis, 1939).", "previouslyFormattedCitation" : "H G Hayes-Marshall, &lt;i&gt;British Textile Designers Today: With Introduction and Chapters on the Designer and Design, Notes on Colour, Definitions and Descriptions, Methods of Manufacture, Yarns&lt;/i&gt; (Leigh-on-Sea: F. Lewis, 1939)." }, "properties" : { "noteIndex" : 0 }, "schema" : "https://github.com/citation-style-language/schema/raw/master/csl-citation.json" }</w:instrText>
      </w:r>
      <w:r>
        <w:fldChar w:fldCharType="separate"/>
      </w:r>
      <w:r w:rsidRPr="004634B6">
        <w:t xml:space="preserve">H G Hayes-Marshall, </w:t>
      </w:r>
      <w:r w:rsidRPr="004634B6">
        <w:rPr>
          <w:i/>
        </w:rPr>
        <w:t>British Textile Designers Today: With Introduction and Chapters on the Designer and Design, Notes on Colour, Definitions and Descriptions, Methods of Manufacture, Yarns</w:t>
      </w:r>
      <w:r w:rsidRPr="004634B6">
        <w:t xml:space="preserve"> (Leigh-on-Sea: F. Lewis, 1939).</w:t>
      </w:r>
      <w:r>
        <w:fldChar w:fldCharType="end"/>
      </w:r>
    </w:p>
  </w:endnote>
  <w:endnote w:id="13">
    <w:p w14:paraId="38E85A93" w14:textId="7A83E83D" w:rsidR="00993DE2" w:rsidRPr="005060BA" w:rsidRDefault="00993DE2" w:rsidP="005060BA">
      <w:pPr>
        <w:pStyle w:val="FootnoteText"/>
      </w:pPr>
      <w:r w:rsidRPr="005060BA">
        <w:rPr>
          <w:rStyle w:val="EndnoteReference"/>
          <w:sz w:val="22"/>
          <w:szCs w:val="22"/>
        </w:rPr>
        <w:endnoteRef/>
      </w:r>
      <w:r w:rsidRPr="005060BA">
        <w:t xml:space="preserve"> </w:t>
      </w:r>
      <w:r w:rsidRPr="005060BA">
        <w:fldChar w:fldCharType="begin" w:fldLock="1"/>
      </w:r>
      <w:r w:rsidRPr="005060BA">
        <w:instrText>ADDIN CSL_CITATION { "citationItems" : [ { "id" : "ITEM-1", "itemData" : { "abstract" : "silver studio archive box 16 folder3, undated (1953)", "id" : "ITEM-1", "issued" : { "date-parts" : [ [ "1953" ] ] }, "note" : "I should hate to see the Silver Studio going out of existence...I am not an expert in these things as it covers a designing Studio, but it does seem to me that the Silver Studio bears a reputation and that it ought to be protected in some way to ensure that it carries on.\nBetween ourselves the late Eric Haward managed his Studio nicely, but it seems to be going to the dogs and I should never be surprised if it closed down, it ought not to as there is ample room for a dozen or more good Designing Studios - it was only a few years ago when there was, Haward, Silver, Fauser &amp;amp; Gaudioz, Albert Grifffiths (sic), the Rigby's, Carey, Doran and any number of others - many of these have gone of course and no new ones seem to take their place, other than odd young women who carry on for a year or two then marry and drop out, playing Old Harry with the Designing world, as they take a certain amount of cream from the old established firms, but despite this there is I am sure ample business for a few like you.", "publisher" : "Silver Studio Collection, Museum of Domestic Design and Architecture", "title" : "correspondence Frank Lewis to Rex Silver", "type" : "article" }, "uris" : [ "http://www.mendeley.com/documents/?uuid=3b6f2384-016f-4493-8e41-de25e8b42638" ] } ], "mendeley" : { "formattedCitation" : "\u201cCorrespondence Frank Lewis to Rex Silver.\u201d", "manualFormatting" : "Correspondence Frank Lewis to Rex Silver , Nov 1953.", "plainTextFormattedCitation" : "\u201cCorrespondence Frank Lewis to Rex Silver.\u201d", "previouslyFormattedCitation" : "\u201cCorrespondence Frank Lewis to Rex Silver.\u201d" }, "properties" : { "noteIndex" : 0 }, "schema" : "https://github.com/citation-style-language/schema/raw/master/csl-citation.json" }</w:instrText>
      </w:r>
      <w:r w:rsidRPr="005060BA">
        <w:fldChar w:fldCharType="separate"/>
      </w:r>
      <w:r w:rsidRPr="005060BA">
        <w:t>Correspondence Frank Lewis to Rex Silver , Nov 1953.</w:t>
      </w:r>
      <w:r w:rsidRPr="005060BA">
        <w:fldChar w:fldCharType="end"/>
      </w:r>
    </w:p>
  </w:endnote>
  <w:endnote w:id="14">
    <w:p w14:paraId="61B74DEF" w14:textId="0852EC73" w:rsidR="00993DE2" w:rsidRDefault="00993DE2" w:rsidP="005060BA">
      <w:pPr>
        <w:pStyle w:val="FootnoteText"/>
      </w:pPr>
      <w:r>
        <w:rPr>
          <w:rStyle w:val="EndnoteReference"/>
        </w:rPr>
        <w:endnoteRef/>
      </w:r>
      <w:r>
        <w:t xml:space="preserve"> </w:t>
      </w:r>
      <w:r>
        <w:fldChar w:fldCharType="begin" w:fldLock="1"/>
      </w:r>
      <w:r>
        <w:instrText>ADDIN CSL_CITATION { "citationItems" : [ { "id" : "ITEM-1", "itemData" : { "author" : [ { "dropping-particle" : "", "family" : "Light", "given" : "Alison", "non-dropping-particle" : "", "parse-names" : false, "suffix" : "" } ], "id" : "ITEM-1", "issued" : { "date-parts" : [ [ "2014" ] ] }, "publisher" : "Penguin", "title" : "Common People: the history of an English family", "type" : "book" }, "locator" : "xxii", "uris" : [ "http://www.mendeley.com/documents/?uuid=b0711262-d272-4fb3-9cd4-d8845e0de865" ] } ], "mendeley" : { "formattedCitation" : "Alison Light, &lt;i&gt;Common People: The History of an English Family&lt;/i&gt; (Penguin, 2014), xxii.", "plainTextFormattedCitation" : "Alison Light, Common People: The History of an English Family (Penguin, 2014), xxii.", "previouslyFormattedCitation" : "Alison Light, &lt;i&gt;Common People: The History of an English Family&lt;/i&gt; (Penguin, 2014), xxii." }, "properties" : { "noteIndex" : 0 }, "schema" : "https://github.com/citation-style-language/schema/raw/master/csl-citation.json" }</w:instrText>
      </w:r>
      <w:r>
        <w:fldChar w:fldCharType="separate"/>
      </w:r>
      <w:r w:rsidRPr="00D65D27">
        <w:t xml:space="preserve">Alison Light, </w:t>
      </w:r>
      <w:r w:rsidRPr="00D65D27">
        <w:rPr>
          <w:i/>
        </w:rPr>
        <w:t>Common People: The History of an English Family</w:t>
      </w:r>
      <w:r w:rsidRPr="00D65D27">
        <w:t xml:space="preserve"> (Penguin, 2014), xxii.</w:t>
      </w:r>
      <w:r>
        <w:fldChar w:fldCharType="end"/>
      </w:r>
      <w:r>
        <w:t xml:space="preserve"> </w:t>
      </w:r>
    </w:p>
  </w:endnote>
  <w:endnote w:id="15">
    <w:p w14:paraId="2E2B6B1C" w14:textId="70459E70" w:rsidR="00993DE2" w:rsidRPr="005060BA" w:rsidRDefault="00993DE2" w:rsidP="005060BA">
      <w:pPr>
        <w:pStyle w:val="FootnoteText"/>
      </w:pPr>
      <w:r w:rsidRPr="005060BA">
        <w:rPr>
          <w:rStyle w:val="EndnoteReference"/>
        </w:rPr>
        <w:endnoteRef/>
      </w:r>
      <w:r w:rsidRPr="005060BA">
        <w:t xml:space="preserve"> </w:t>
      </w:r>
      <w:r w:rsidRPr="005060BA">
        <w:fldChar w:fldCharType="begin" w:fldLock="1"/>
      </w:r>
      <w:r w:rsidRPr="005060BA">
        <w:instrText>ADDIN CSL_CITATION { "citationItems" : [ { "id" : "ITEM-1", "itemData" : { "container-title" : "The Studio", "id" : "ITEM-1", "issued" : { "date-parts" : [ [ "1894" ] ] }, "page" : "117-122", "title" : "A Studio of Design: An Interview with Mr Arthur Silver", "type" : "article-journal", "volume" : "3" }, "locator" : "117-122", "uris" : [ "http://www.mendeley.com/documents/?uuid=32ac64aa-51b1-46ad-ad7b-165f1d822bf2" ] } ], "mendeley" : { "formattedCitation" : "\u201cA Studio of Design: An Interview with Mr Arthur Silver,\u201d &lt;i&gt;The Studio&lt;/i&gt; 3 (1894): 117\u201322.", "plainTextFormattedCitation" : "\u201cA Studio of Design: An Interview with Mr Arthur Silver,\u201d The Studio 3 (1894): 117\u201322.", "previouslyFormattedCitation" : "\u201cA Studio of Design: An Interview with Mr Arthur Silver,\u201d &lt;i&gt;The Studio&lt;/i&gt; 3 (1894): 117\u201322." }, "properties" : { "noteIndex" : 0 }, "schema" : "https://github.com/citation-style-language/schema/raw/master/csl-citation.json" }</w:instrText>
      </w:r>
      <w:r w:rsidRPr="005060BA">
        <w:fldChar w:fldCharType="separate"/>
      </w:r>
      <w:r w:rsidRPr="005060BA">
        <w:t xml:space="preserve">“A Studio of Design: An Interview with Mr Arthur Silver,” </w:t>
      </w:r>
      <w:r w:rsidRPr="005060BA">
        <w:rPr>
          <w:i/>
        </w:rPr>
        <w:t>The Studio</w:t>
      </w:r>
      <w:r w:rsidRPr="005060BA">
        <w:t xml:space="preserve"> 3 (1894): 117–22.</w:t>
      </w:r>
      <w:r w:rsidRPr="005060BA">
        <w:fldChar w:fldCharType="end"/>
      </w:r>
    </w:p>
  </w:endnote>
  <w:endnote w:id="16">
    <w:p w14:paraId="53A95C72" w14:textId="15856FED" w:rsidR="00993DE2" w:rsidRDefault="00993DE2">
      <w:pPr>
        <w:pStyle w:val="EndnoteText"/>
      </w:pPr>
      <w:r w:rsidRPr="005060BA">
        <w:rPr>
          <w:rStyle w:val="EndnoteReference"/>
          <w:sz w:val="24"/>
          <w:szCs w:val="24"/>
        </w:rPr>
        <w:endnoteRef/>
      </w:r>
      <w:r w:rsidRPr="005060BA">
        <w:rPr>
          <w:sz w:val="24"/>
          <w:szCs w:val="24"/>
        </w:rPr>
        <w:t xml:space="preserve"> </w:t>
      </w:r>
      <w:r w:rsidRPr="005060BA">
        <w:rPr>
          <w:sz w:val="24"/>
          <w:szCs w:val="24"/>
        </w:rPr>
        <w:fldChar w:fldCharType="begin" w:fldLock="1"/>
      </w:r>
      <w:r w:rsidRPr="005060BA">
        <w:rPr>
          <w:sz w:val="24"/>
          <w:szCs w:val="24"/>
        </w:rPr>
        <w:instrText>ADDIN CSL_CITATION { "citationItems" : [ { "id" : "ITEM-1", "itemData" : { "author" : [ { "dropping-particle" : "", "family" : "Turner", "given" : "Mark", "non-dropping-particle" : "", "parse-names" : false, "suffix" : "" } ], "id" : "ITEM-1", "issued" : { "date-parts" : [ [ "1980" ] ] }, "publisher" : "Lund Humphries for Middlesex Polytechnic", "publisher-place" : "London", "title" : "A London Design Studio 1880-1963: The Silver Studio Collection", "type" : "book" }, "locator" : "31", "uris" : [ "http://www.mendeley.com/documents/?uuid=4f14ce98-0bb3-42a7-9879-38734b875592" ] } ], "mendeley" : { "formattedCitation" : "Mark Turner, &lt;i&gt;A London Design Studio 1880-1963: The Silver Studio Collection&lt;/i&gt; (London: Lund Humphries for Middlesex Polytechnic, 1980), 31.", "plainTextFormattedCitation" : "Mark Turner, A London Design Studio 1880-1963: The Silver Studio Collection (London: Lund Humphries for Middlesex Polytechnic, 1980), 31.", "previouslyFormattedCitation" : "Mark Turner, &lt;i&gt;A London Design Studio 1880-1963: The Silver Studio Collection&lt;/i&gt; (London: Lund Humphries for Middlesex Polytechnic, 1980), 31." }, "properties" : { "noteIndex" : 0 }, "schema" : "https://github.com/citation-style-language/schema/raw/master/csl-citation.json" }</w:instrText>
      </w:r>
      <w:r w:rsidRPr="005060BA">
        <w:rPr>
          <w:sz w:val="24"/>
          <w:szCs w:val="24"/>
        </w:rPr>
        <w:fldChar w:fldCharType="separate"/>
      </w:r>
      <w:r w:rsidRPr="005060BA">
        <w:rPr>
          <w:noProof/>
          <w:sz w:val="24"/>
          <w:szCs w:val="24"/>
        </w:rPr>
        <w:t xml:space="preserve">Mark Turner, </w:t>
      </w:r>
      <w:r w:rsidRPr="005060BA">
        <w:rPr>
          <w:i/>
          <w:noProof/>
          <w:sz w:val="24"/>
          <w:szCs w:val="24"/>
        </w:rPr>
        <w:t>A London Design Studio 1880-1963: The Silver Studio Collection</w:t>
      </w:r>
      <w:r w:rsidRPr="005060BA">
        <w:rPr>
          <w:noProof/>
          <w:sz w:val="24"/>
          <w:szCs w:val="24"/>
        </w:rPr>
        <w:t xml:space="preserve"> (London: Lund Humphries for Middlesex Polytechnic, 1980), 31.</w:t>
      </w:r>
      <w:r w:rsidRPr="005060BA">
        <w:rPr>
          <w:sz w:val="24"/>
          <w:szCs w:val="24"/>
        </w:rPr>
        <w:fldChar w:fldCharType="end"/>
      </w:r>
    </w:p>
  </w:endnote>
  <w:endnote w:id="17">
    <w:p w14:paraId="387E91F8" w14:textId="60322E1E" w:rsidR="00993DE2" w:rsidRPr="005060BA" w:rsidRDefault="00993DE2" w:rsidP="005060BA">
      <w:pPr>
        <w:pStyle w:val="FootnoteText"/>
      </w:pPr>
      <w:r w:rsidRPr="005060BA">
        <w:rPr>
          <w:rStyle w:val="EndnoteReference"/>
        </w:rPr>
        <w:endnoteRef/>
      </w:r>
      <w:r w:rsidRPr="005060BA">
        <w:t xml:space="preserve"> </w:t>
      </w:r>
      <w:r w:rsidRPr="005060BA">
        <w:fldChar w:fldCharType="begin" w:fldLock="1"/>
      </w:r>
      <w:r w:rsidRPr="005060BA">
        <w:instrText>ADDIN CSL_CITATION { "citationItems" : [ { "id" : "ITEM-1", "itemData" : { "author" : [ { "dropping-particle" : "", "family" : "Protheroe", "given" : "Keren", "non-dropping-particle" : "", "parse-names" : false, "suffix" : "" } ], "id" : "ITEM-1", "issued" : { "date-parts" : [ [ "2012" ] ] }, "note" : "In 'New Fabrics and Their Designers' [see Furnishing in Britain] ca 1951, pp 70-71, BADDA4642] Lucienne Day's image appears alongside the images of several male designers, all much older than her, looking staid, bespectacled and respectably suited. The photographs of Rex Silver, George Willis, Marcel Libert and James Haward embody them and their work as the image of factory-side professionalism. Unlike Day, they look uncomfortable with the publicity machine and instead appear as key men in the administrative side of the production chain: agents in an industry wherein &amp;quot;the proper function of pattern was to enliven the more serious business of textiles&amp;quot; (quote from Design in Modern Industry Yearbook of DIA, 1922, p 14). page 25\n\n\n&amp;quot;In many respects Rex Silver and his staff of designers represented a twentieth-century evolution of the eighteenth century calico-printer's assistant, a profession defined by the ability to design directly in response to the dictates of the market and an understanding of the technicalities of mechanical reproduction&amp;quot;. pages 26-27\n\n\nAt least one of the designs credited personally to Rex Silver in the 1951 'New Fabrics...' article was designed by Silver Studio designer Frank Price...This practice represented a contrived conservatism on the part of the Studio as the marketable value of 'signed work' was already growing in recognition by the end of the 1920s...{quote from letter from Franklin &amp;amp; Franklin]\npage 29\n\nIn 1921 Rex Silver wrote a ltter to all the Silver Studio's staff warning of the employment 'implications of the current climate' SBR 7/1\n\n\n\ndiscussion of status of female freelance designers versus male studios pages 53-54\n\ndebate is relevant because turns on whether designers need intimate knowledge of production processes or broader artistic education - page 55 \n\n\nBy 1925, the Silver Studio had a client-base gathered over 37 years of business including Liberty &amp;amp; co, the Morton group of companies, the Lancashire manufacturer AH Lee &amp;amp; Son; all had remained loyal and frequent customers. Rex's salary in 1925 was '\u00a3572 plus profits not used for insurance' a wage bracket equivalent to higher professional status. Yet with a payroll to cover, a studio to rent and run, and sales trips abroad to finance, his was a position of responsibility in a profession prone to market fluctuations. page 58\n\n\nnaturalistic flowers were popular but &amp;quot;this was not the characteristic which Rex Silver promoted as the Silver Studio's specialism in the 1920s. Patterns which employed modern interpretations of 17th century embroidered flower motifs, were also offered to consumers as a poetic and historically sanctioned avenue of modern self expression. In 1923 Rex gave an interview to an American newspaper in which he described the Silver Studio's specialism as 'designs for printed linens and cottons based on old silks and embroideries' christain science monitor1923 &amp;quot; page 98\n\nquestion of historicism versus modernity - consumer desire for imaginative self invention - page 99\nQueen Anne styles that imitated wool needlework etc: &amp;quot;They were technologically-enabled examples of contrived surface fakery which appealled to a popular audience to the same extent that they confounded the purist principles of design reformers who demanded honesty of surface and simplicity of construction. Yet their power to express the romantic desires of their self-defining consumers imbued them with the transforming and illusory qualities which chimed with the more prevalent priorities of modern culture&amp;quot; page 101\n\n\n\n&amp;quot;Rex Silver visited the Paris Exposition with a DIA visiting party and returned with several portfolios of design ideas produced by Eugene Alain Seguy...&amp;quot; page 195", "publisher" : "unpublished PhD, Kingston University", "title" : "Bloom and Blotch: Floral Print and Modernity in the Textile Designs of Winifred Mold and Minnie McLeish 1910-1930", "type" : "thesis" }, "locator" : "26-27", "uris" : [ "http://www.mendeley.com/documents/?uuid=a64a39e7-8725-4c55-bd6b-db853323d4f5" ] } ], "mendeley" : { "formattedCitation" : "Protheroe, \u201cBloom and Blotch: Floral Print and Modernity in the Textile Designs of Winifred Mold and Minnie McLeish 1910-1930,\u201d 26\u201327.", "manualFormatting" : "Protheroe, \u201cBloom and Blotch,\u201d 26\u201327.", "plainTextFormattedCitation" : "Protheroe, \u201cBloom and Blotch: Floral Print and Modernity in the Textile Designs of Winifred Mold and Minnie McLeish 1910-1930,\u201d 26\u201327.", "previouslyFormattedCitation" : "Protheroe, \u201cBloom and Blotch: Floral Print and Modernity in the Textile Designs of Winifred Mold and Minnie McLeish 1910-1930,\u201d 26\u201327." }, "properties" : { "noteIndex" : 0 }, "schema" : "https://github.com/citation-style-language/schema/raw/master/csl-citation.json" }</w:instrText>
      </w:r>
      <w:r w:rsidRPr="005060BA">
        <w:fldChar w:fldCharType="separate"/>
      </w:r>
      <w:r w:rsidRPr="005060BA">
        <w:t>Protheroe, “Bloom and Blotch,” 26–27.</w:t>
      </w:r>
      <w:r w:rsidRPr="005060BA">
        <w:fldChar w:fldCharType="end"/>
      </w:r>
      <w:r w:rsidRPr="005060BA">
        <w:t xml:space="preserve"> </w:t>
      </w:r>
    </w:p>
  </w:endnote>
  <w:endnote w:id="18">
    <w:p w14:paraId="7EF0748B" w14:textId="6B184367" w:rsidR="00993DE2" w:rsidRPr="005060BA" w:rsidRDefault="00993DE2">
      <w:pPr>
        <w:pStyle w:val="EndnoteText"/>
        <w:rPr>
          <w:sz w:val="24"/>
          <w:szCs w:val="24"/>
        </w:rPr>
      </w:pPr>
      <w:r w:rsidRPr="005060BA">
        <w:rPr>
          <w:rStyle w:val="EndnoteReference"/>
          <w:sz w:val="24"/>
          <w:szCs w:val="24"/>
        </w:rPr>
        <w:endnoteRef/>
      </w:r>
      <w:r w:rsidRPr="005060BA">
        <w:rPr>
          <w:sz w:val="24"/>
          <w:szCs w:val="24"/>
        </w:rPr>
        <w:t xml:space="preserve"> Correspondence from Miss Mold to Rex Silver, November 1928</w:t>
      </w:r>
    </w:p>
  </w:endnote>
  <w:endnote w:id="19">
    <w:p w14:paraId="078DC31F" w14:textId="468C5430" w:rsidR="00993DE2" w:rsidRPr="005060BA" w:rsidRDefault="00993DE2" w:rsidP="003E1045">
      <w:pPr>
        <w:pStyle w:val="EndnoteText"/>
        <w:rPr>
          <w:sz w:val="24"/>
          <w:szCs w:val="24"/>
        </w:rPr>
      </w:pPr>
      <w:r w:rsidRPr="005060BA">
        <w:rPr>
          <w:rStyle w:val="EndnoteReference"/>
          <w:sz w:val="24"/>
          <w:szCs w:val="24"/>
        </w:rPr>
        <w:endnoteRef/>
      </w:r>
      <w:r w:rsidRPr="005060BA">
        <w:rPr>
          <w:sz w:val="24"/>
          <w:szCs w:val="24"/>
        </w:rPr>
        <w:t xml:space="preserve"> Silver Studio Diary, 1928</w:t>
      </w:r>
    </w:p>
  </w:endnote>
  <w:endnote w:id="20">
    <w:p w14:paraId="129194EE" w14:textId="291C1809" w:rsidR="00993DE2" w:rsidRPr="005060BA" w:rsidRDefault="00993DE2" w:rsidP="00932948">
      <w:pPr>
        <w:pStyle w:val="EndnoteText"/>
        <w:rPr>
          <w:sz w:val="24"/>
          <w:szCs w:val="24"/>
        </w:rPr>
      </w:pPr>
      <w:r w:rsidRPr="005060BA">
        <w:rPr>
          <w:rStyle w:val="EndnoteReference"/>
          <w:sz w:val="24"/>
          <w:szCs w:val="24"/>
        </w:rPr>
        <w:endnoteRef/>
      </w:r>
      <w:r w:rsidRPr="005060BA">
        <w:rPr>
          <w:sz w:val="24"/>
          <w:szCs w:val="24"/>
        </w:rPr>
        <w:t xml:space="preserve"> Ibid</w:t>
      </w:r>
    </w:p>
  </w:endnote>
  <w:endnote w:id="21">
    <w:p w14:paraId="42FA5A63" w14:textId="7292D38E" w:rsidR="00993DE2" w:rsidRPr="005060BA" w:rsidRDefault="00993DE2" w:rsidP="005060BA">
      <w:pPr>
        <w:pStyle w:val="FootnoteText"/>
        <w:rPr>
          <w:lang w:val="en-US"/>
        </w:rPr>
      </w:pPr>
      <w:r w:rsidRPr="005060BA">
        <w:rPr>
          <w:rStyle w:val="EndnoteReference"/>
        </w:rPr>
        <w:endnoteRef/>
      </w:r>
      <w:r w:rsidRPr="005060BA">
        <w:t xml:space="preserve"> </w:t>
      </w:r>
      <w:r w:rsidRPr="005060BA">
        <w:rPr>
          <w:lang w:val="en-US"/>
        </w:rPr>
        <w:fldChar w:fldCharType="begin" w:fldLock="1"/>
      </w:r>
      <w:r w:rsidRPr="005060BA">
        <w:rPr>
          <w:lang w:val="en-US"/>
        </w:rPr>
        <w:instrText>ADDIN CSL_CITATION { "citationItems" : [ { "id" : "ITEM-1", "itemData" : { "author" : [ { "dropping-particle" : "", "family" : "Hochschild", "given" : "Arlie Russell", "non-dropping-particle" : "", "parse-names" : false, "suffix" : "" } ], "id" : "ITEM-1", "issued" : { "date-parts" : [ [ "2003" ] ] }, "publisher" : "University of California Press", "title" : "The Managed Heart: commercialization of human feeling", "type" : "book" }, "uris" : [ "http://www.mendeley.com/documents/?uuid=4014e6da-643e-42d0-9e3d-a7bde27efc8e" ] } ], "mendeley" : { "formattedCitation" : "Arlie Russell Hochschild, &lt;i&gt;The Managed Heart: Commercialization of Human Feeling&lt;/i&gt; (University of California Press, 2003).", "plainTextFormattedCitation" : "Arlie Russell Hochschild, The Managed Heart: Commercialization of Human Feeling (University of California Press, 2003).", "previouslyFormattedCitation" : "Arlie Russell Hochschild, &lt;i&gt;The Managed Heart: Commercialization of Human Feeling&lt;/i&gt; (University of California Press, 2003)." }, "properties" : { "noteIndex" : 0 }, "schema" : "https://github.com/citation-style-language/schema/raw/master/csl-citation.json" }</w:instrText>
      </w:r>
      <w:r w:rsidRPr="005060BA">
        <w:rPr>
          <w:lang w:val="en-US"/>
        </w:rPr>
        <w:fldChar w:fldCharType="separate"/>
      </w:r>
      <w:r w:rsidRPr="005060BA">
        <w:rPr>
          <w:lang w:val="en-US"/>
        </w:rPr>
        <w:t xml:space="preserve">Arlie Russell Hochschild, </w:t>
      </w:r>
      <w:r w:rsidRPr="005060BA">
        <w:rPr>
          <w:i/>
          <w:lang w:val="en-US"/>
        </w:rPr>
        <w:t>The Managed Heart: Commercialization of Human Feeling</w:t>
      </w:r>
      <w:r w:rsidRPr="005060BA">
        <w:rPr>
          <w:lang w:val="en-US"/>
        </w:rPr>
        <w:t xml:space="preserve"> (University of California Press, 2003).</w:t>
      </w:r>
      <w:r w:rsidRPr="005060BA">
        <w:rPr>
          <w:lang w:val="en-US"/>
        </w:rPr>
        <w:fldChar w:fldCharType="end"/>
      </w:r>
    </w:p>
  </w:endnote>
  <w:endnote w:id="22">
    <w:p w14:paraId="353A44D3" w14:textId="562F827D" w:rsidR="00993DE2" w:rsidRPr="005060BA" w:rsidRDefault="00993DE2" w:rsidP="005060BA">
      <w:pPr>
        <w:pStyle w:val="FootnoteText"/>
      </w:pPr>
      <w:r w:rsidRPr="005060BA">
        <w:rPr>
          <w:rStyle w:val="EndnoteReference"/>
        </w:rPr>
        <w:endnoteRef/>
      </w:r>
      <w:r w:rsidRPr="005060BA">
        <w:t xml:space="preserve"> Silver Studio Diary, May 23, 1928 </w:t>
      </w:r>
    </w:p>
  </w:endnote>
  <w:endnote w:id="23">
    <w:p w14:paraId="63C30A43" w14:textId="21FC5CF9" w:rsidR="00993DE2" w:rsidRPr="005060BA" w:rsidRDefault="00993DE2" w:rsidP="000376DD">
      <w:pPr>
        <w:pStyle w:val="EndnoteText"/>
        <w:rPr>
          <w:sz w:val="24"/>
          <w:szCs w:val="24"/>
        </w:rPr>
      </w:pPr>
      <w:r w:rsidRPr="005060BA">
        <w:rPr>
          <w:rStyle w:val="EndnoteReference"/>
          <w:sz w:val="24"/>
          <w:szCs w:val="24"/>
        </w:rPr>
        <w:endnoteRef/>
      </w:r>
      <w:r w:rsidRPr="005060BA">
        <w:rPr>
          <w:sz w:val="24"/>
          <w:szCs w:val="24"/>
        </w:rPr>
        <w:t xml:space="preserve"> Silver Studio Diary, February 22,</w:t>
      </w:r>
      <w:r>
        <w:rPr>
          <w:sz w:val="24"/>
          <w:szCs w:val="24"/>
          <w:vertAlign w:val="superscript"/>
        </w:rPr>
        <w:t xml:space="preserve"> </w:t>
      </w:r>
      <w:r w:rsidRPr="005060BA">
        <w:rPr>
          <w:sz w:val="24"/>
          <w:szCs w:val="24"/>
        </w:rPr>
        <w:t>1928</w:t>
      </w:r>
    </w:p>
  </w:endnote>
  <w:endnote w:id="24">
    <w:p w14:paraId="5A39C01D" w14:textId="558EF4B4" w:rsidR="00993DE2" w:rsidRPr="005060BA" w:rsidRDefault="00993DE2" w:rsidP="005060BA">
      <w:pPr>
        <w:pStyle w:val="FootnoteText"/>
      </w:pPr>
      <w:r w:rsidRPr="005060BA">
        <w:rPr>
          <w:rStyle w:val="EndnoteReference"/>
        </w:rPr>
        <w:endnoteRef/>
      </w:r>
      <w:r w:rsidRPr="005060BA">
        <w:t xml:space="preserve"> Silver Studio Diary, 1928. </w:t>
      </w:r>
    </w:p>
  </w:endnote>
  <w:endnote w:id="25">
    <w:p w14:paraId="64689958" w14:textId="276308B5" w:rsidR="00993DE2" w:rsidRPr="005060BA" w:rsidRDefault="00993DE2" w:rsidP="005060BA">
      <w:pPr>
        <w:pStyle w:val="FootnoteText"/>
      </w:pPr>
      <w:r w:rsidRPr="005060BA">
        <w:rPr>
          <w:rStyle w:val="EndnoteReference"/>
        </w:rPr>
        <w:endnoteRef/>
      </w:r>
      <w:r w:rsidRPr="005060BA">
        <w:t xml:space="preserve"> This is recorded as having been designed by Lewis Jones in 1928 (Museum of Domestic Design and Architecture. SD13726).  </w:t>
      </w:r>
      <w:r w:rsidRPr="005060BA">
        <w:rPr>
          <w:shd w:val="clear" w:color="auto" w:fill="FFFFFF"/>
        </w:rPr>
        <w:t xml:space="preserve">Presumably the words ‘pottery plate’ indicated the source of inspiration rather than the intended use. </w:t>
      </w:r>
    </w:p>
  </w:endnote>
  <w:endnote w:id="26">
    <w:p w14:paraId="763150E2" w14:textId="1357F82D" w:rsidR="00993DE2" w:rsidRPr="005060BA" w:rsidRDefault="00993DE2" w:rsidP="005060BA">
      <w:pPr>
        <w:pStyle w:val="FootnoteText"/>
      </w:pPr>
      <w:r w:rsidRPr="005060BA">
        <w:rPr>
          <w:rStyle w:val="EndnoteReference"/>
        </w:rPr>
        <w:endnoteRef/>
      </w:r>
      <w:r w:rsidRPr="005060BA">
        <w:t xml:space="preserve"> Ibid. The South Kensington Museum (“SKM”) had been renamed the Victoria and Albert Museum (“the V&amp;A”) in 1899, but clearly by 1928 the abbreviated version of the old name was still in colloquial use.  </w:t>
      </w:r>
    </w:p>
  </w:endnote>
  <w:endnote w:id="27">
    <w:p w14:paraId="2AA3A765" w14:textId="40B8320E" w:rsidR="00993DE2" w:rsidRPr="005060BA" w:rsidRDefault="00993DE2" w:rsidP="005060BA">
      <w:pPr>
        <w:pStyle w:val="FootnoteText"/>
      </w:pPr>
      <w:r w:rsidRPr="005060BA">
        <w:rPr>
          <w:rStyle w:val="EndnoteReference"/>
        </w:rPr>
        <w:endnoteRef/>
      </w:r>
      <w:r w:rsidRPr="005060BA">
        <w:t xml:space="preserve"> Correspondence from the Silver Studio to Denby &amp; Son, December 19, 1928.  </w:t>
      </w:r>
      <w:r w:rsidRPr="005060BA">
        <w:rPr>
          <w:shd w:val="clear" w:color="auto" w:fill="FFFFFF"/>
        </w:rPr>
        <w:t>Design number 2006 to which both letters refer must be a sample of a textile belonging to Denby &amp; Son, as it does not relate to the Silver Studio’s records.</w:t>
      </w:r>
    </w:p>
  </w:endnote>
  <w:endnote w:id="28">
    <w:p w14:paraId="49EE48EF" w14:textId="75652457" w:rsidR="00993DE2" w:rsidRPr="005060BA" w:rsidRDefault="00993DE2" w:rsidP="005060BA">
      <w:pPr>
        <w:pStyle w:val="FootnoteText"/>
      </w:pPr>
      <w:r w:rsidRPr="005060BA">
        <w:rPr>
          <w:rStyle w:val="EndnoteReference"/>
        </w:rPr>
        <w:endnoteRef/>
      </w:r>
      <w:r w:rsidRPr="005060BA">
        <w:t xml:space="preserve"> </w:t>
      </w:r>
      <w:r w:rsidRPr="005060BA">
        <w:rPr>
          <w:shd w:val="clear" w:color="auto" w:fill="FFFFFF"/>
        </w:rPr>
        <w:t>Correspondence from Denby &amp; Son to the Silver Studio, December 19, 1928</w:t>
      </w:r>
    </w:p>
  </w:endnote>
  <w:endnote w:id="29">
    <w:p w14:paraId="122798E9" w14:textId="2253394A" w:rsidR="00993DE2" w:rsidRPr="005060BA" w:rsidRDefault="00993DE2" w:rsidP="005060BA">
      <w:pPr>
        <w:pStyle w:val="FootnoteText"/>
        <w:rPr>
          <w:lang w:val="en-US"/>
        </w:rPr>
      </w:pPr>
      <w:r w:rsidRPr="005060BA">
        <w:rPr>
          <w:rStyle w:val="EndnoteReference"/>
        </w:rPr>
        <w:endnoteRef/>
      </w:r>
      <w:r w:rsidRPr="005060BA">
        <w:t xml:space="preserve"> </w:t>
      </w:r>
      <w:r w:rsidRPr="005060BA">
        <w:rPr>
          <w:lang w:val="en-US"/>
        </w:rPr>
        <w:t xml:space="preserve">Nothing more is known about either of these designers; even Cyril’s surname is not noted in the Silver Studio’s records. </w:t>
      </w:r>
    </w:p>
  </w:endnote>
  <w:endnote w:id="30">
    <w:p w14:paraId="05DDE366" w14:textId="002BDE4F" w:rsidR="00993DE2" w:rsidRPr="005060BA" w:rsidRDefault="00993DE2" w:rsidP="005060BA">
      <w:pPr>
        <w:pStyle w:val="FootnoteText"/>
      </w:pPr>
      <w:r w:rsidRPr="005060BA">
        <w:rPr>
          <w:rStyle w:val="EndnoteReference"/>
        </w:rPr>
        <w:endnoteRef/>
      </w:r>
      <w:r w:rsidRPr="005060BA">
        <w:t xml:space="preserve"> </w:t>
      </w:r>
      <w:r w:rsidRPr="005060BA">
        <w:rPr>
          <w:shd w:val="clear" w:color="auto" w:fill="FFFFFF"/>
        </w:rPr>
        <w:t xml:space="preserve">Silver Studio Time Book, 1928 </w:t>
      </w:r>
    </w:p>
  </w:endnote>
  <w:endnote w:id="31">
    <w:p w14:paraId="08D4966A" w14:textId="2D93CE94" w:rsidR="00993DE2" w:rsidRPr="005060BA" w:rsidRDefault="00993DE2" w:rsidP="00246487">
      <w:pPr>
        <w:pStyle w:val="EndnoteText"/>
        <w:rPr>
          <w:sz w:val="24"/>
          <w:szCs w:val="24"/>
        </w:rPr>
      </w:pPr>
      <w:r w:rsidRPr="005060BA">
        <w:rPr>
          <w:rStyle w:val="EndnoteReference"/>
          <w:sz w:val="24"/>
          <w:szCs w:val="24"/>
        </w:rPr>
        <w:endnoteRef/>
      </w:r>
      <w:r w:rsidRPr="005060BA">
        <w:rPr>
          <w:sz w:val="24"/>
          <w:szCs w:val="24"/>
        </w:rPr>
        <w:t xml:space="preserve"> </w:t>
      </w:r>
      <w:r w:rsidRPr="005060BA">
        <w:rPr>
          <w:sz w:val="24"/>
          <w:szCs w:val="24"/>
        </w:rPr>
        <w:fldChar w:fldCharType="begin" w:fldLock="1"/>
      </w:r>
      <w:r>
        <w:rPr>
          <w:sz w:val="24"/>
          <w:szCs w:val="24"/>
        </w:rPr>
        <w:instrText>ADDIN CSL_CITATION { "citationItems" : [ { "id" : "ITEM-1", "itemData" : { "ISBN" : "0195119665", "ISSN" : "0961-754X", "author" : [ { "dropping-particle" : "", "family" : "Saler", "given" : "Michael", "non-dropping-particle" : "", "parse-names" : false, "suffix" : "" } ], "id" : "ITEM-1", "issued" : { "date-parts" : [ [ "1999" ] ] }, "publisher" : "Oxford University Press", "publisher-place" : "New York, Oxford", "title" : "The Avant-Garde in Interwar England: Medieval Modernism and the London Underground", "type" : "book" }, "uris" : [ "http://www.mendeley.com/documents/?uuid=23530b4a-3c8c-4537-94c8-c5198f224153" ] } ], "mendeley" : { "formattedCitation" : "Michael Saler, &lt;i&gt;The Avant-Garde in Interwar England: Medieval Modernism and the London Underground&lt;/i&gt; (New York, Oxford: Oxford University Press, 1999).", "manualFormatting" : "Michael Saler, The Avant-Garde in Interwar England: Medieval Modernism and the London Underground (New York, Oxford: Oxford University Press, 1999).", "plainTextFormattedCitation" : "Michael Saler, The Avant-Garde in Interwar England: Medieval Modernism and the London Underground (New York, Oxford: Oxford University Press, 1999).", "previouslyFormattedCitation" : "Michael Saler, &lt;i&gt;The Avant-Garde in Interwar England: Medieval Modernism and the London Underground&lt;/i&gt; (New York, Oxford: Oxford University Press, 1999)." }, "properties" : { "noteIndex" : 0 }, "schema" : "https://github.com/citation-style-language/schema/raw/master/csl-citation.json" }</w:instrText>
      </w:r>
      <w:r w:rsidRPr="005060BA">
        <w:rPr>
          <w:sz w:val="24"/>
          <w:szCs w:val="24"/>
        </w:rPr>
        <w:fldChar w:fldCharType="separate"/>
      </w:r>
      <w:r w:rsidRPr="005060BA">
        <w:rPr>
          <w:noProof/>
          <w:sz w:val="24"/>
          <w:szCs w:val="24"/>
        </w:rPr>
        <w:t xml:space="preserve">Michael Saler, </w:t>
      </w:r>
      <w:r w:rsidRPr="005060BA">
        <w:rPr>
          <w:i/>
          <w:noProof/>
          <w:sz w:val="24"/>
          <w:szCs w:val="24"/>
        </w:rPr>
        <w:t>The Avant-Garde in Interwar England: Medieval Modernism and the London Underground</w:t>
      </w:r>
      <w:r w:rsidRPr="005060BA">
        <w:rPr>
          <w:noProof/>
          <w:sz w:val="24"/>
          <w:szCs w:val="24"/>
        </w:rPr>
        <w:t xml:space="preserve"> (New York, Oxford: Oxford University Press, 1999).</w:t>
      </w:r>
      <w:r w:rsidRPr="005060BA">
        <w:rPr>
          <w:sz w:val="24"/>
          <w:szCs w:val="24"/>
        </w:rPr>
        <w:fldChar w:fldCharType="end"/>
      </w:r>
    </w:p>
  </w:endnote>
  <w:endnote w:id="32">
    <w:p w14:paraId="045A32AB" w14:textId="3CA98289" w:rsidR="00993DE2" w:rsidRPr="005060BA" w:rsidRDefault="00993DE2" w:rsidP="000376DD">
      <w:pPr>
        <w:pStyle w:val="EndnoteText"/>
        <w:rPr>
          <w:sz w:val="24"/>
          <w:szCs w:val="24"/>
        </w:rPr>
      </w:pPr>
      <w:r w:rsidRPr="005060BA">
        <w:rPr>
          <w:rStyle w:val="EndnoteReference"/>
          <w:sz w:val="24"/>
          <w:szCs w:val="24"/>
        </w:rPr>
        <w:endnoteRef/>
      </w:r>
      <w:r w:rsidRPr="005060BA">
        <w:rPr>
          <w:sz w:val="24"/>
          <w:szCs w:val="24"/>
        </w:rPr>
        <w:t xml:space="preserve"> </w:t>
      </w:r>
      <w:r w:rsidRPr="005060BA">
        <w:rPr>
          <w:sz w:val="24"/>
          <w:szCs w:val="24"/>
        </w:rPr>
        <w:fldChar w:fldCharType="begin" w:fldLock="1"/>
      </w:r>
      <w:r w:rsidRPr="005060BA">
        <w:rPr>
          <w:sz w:val="24"/>
          <w:szCs w:val="24"/>
        </w:rPr>
        <w:instrText>ADDIN CSL_CITATION { "citationItems" : [ { "id" : "ITEM-1", "itemData" : { "author" : [ { "dropping-particle" : "", "family" : "Protheroe", "given" : "Keren", "non-dropping-particle" : "", "parse-names" : false, "suffix" : "" } ], "id" : "ITEM-1", "issued" : { "date-parts" : [ [ "2012" ] ] }, "note" : "In 'New Fabrics and Their Designers' [see Furnishing in Britain] ca 1951, pp 70-71, BADDA4642] Lucienne Day's image appears alongside the images of several male designers, all much older than her, looking staid, bespectacled and respectably suited. The photographs of Rex Silver, George Willis, Marcel Libert and James Haward embody them and their work as the image of factory-side professionalism. Unlike Day, they look uncomfortable with the publicity machine and instead appear as key men in the administrative side of the production chain: agents in an industry wherein &amp;quot;the proper function of pattern was to enliven the more serious business of textiles&amp;quot; (quote from Design in Modern Industry Yearbook of DIA, 1922, p 14). page 25\n\n\n&amp;quot;In many respects Rex Silver and his staff of designers represented a twentieth-century evolution of the eighteenth century calico-printer's assistant, a profession defined by the ability to design directly in response to the dictates of the market and an understanding of the technicalities of mechanical reproduction&amp;quot;. pages 26-27\n\n\nAt least one of the designs credited personally to Rex Silver in the 1951 'New Fabrics...' article was designed by Silver Studio designer Frank Price...This practice represented a contrived conservatism on the part of the Studio as the marketable value of 'signed work' was already growing in recognition by the end of the 1920s...{quote from letter from Franklin &amp;amp; Franklin]\npage 29\n\nIn 1921 Rex Silver wrote a ltter to all the Silver Studio's staff warning of the employment 'implications of the current climate' SBR 7/1\n\n\n\ndiscussion of status of female freelance designers versus male studios pages 53-54\n\ndebate is relevant because turns on whether designers need intimate knowledge of production processes or broader artistic education - page 55 \n\n\nBy 1925, the Silver Studio had a client-base gathered over 37 years of business including Liberty &amp;amp; co, the Morton group of companies, the Lancashire manufacturer AH Lee &amp;amp; Son; all had remained loyal and frequent customers. Rex's salary in 1925 was '\u00a3572 plus profits not used for insurance' a wage bracket equivalent to higher professional status. Yet with a payroll to cover, a studio to rent and run, and sales trips abroad to finance, his was a position of responsibility in a profession prone to market fluctuations. page 58\n\n\nnaturalistic flowers were popular but &amp;quot;this was not the characteristic which Rex Silver promoted as the Silver Studio's specialism in the 1920s. Patterns which employed modern interpretations of 17th century embroidered flower motifs, were also offered to consumers as a poetic and historically sanctioned avenue of modern self expression. In 1923 Rex gave an interview to an American newspaper in which he described the Silver Studio's specialism as 'designs for printed linens and cottons based on old silks and embroideries' christain science monitor1923 &amp;quot; page 98\n\nquestion of historicism versus modernity - consumer desire for imaginative self invention - page 99\nQueen Anne styles that imitated wool needlework etc: &amp;quot;They were technologically-enabled examples of contrived surface fakery which appealled to a popular audience to the same extent that they confounded the purist principles of design reformers who demanded honesty of surface and simplicity of construction. Yet their power to express the romantic desires of their self-defining consumers imbued them with the transforming and illusory qualities which chimed with the more prevalent priorities of modern culture&amp;quot; page 101\n\n\n\n&amp;quot;Rex Silver visited the Paris Exposition with a DIA visiting party and returned with several portfolios of design ideas produced by Eugene Alain Seguy...&amp;quot; page 195", "publisher" : "unpublished PhD, Kingston University", "title" : "Bloom and Blotch: Floral Print and Modernity in the Textile Designs of Winifred Mold and Minnie McLeish 1910-1930", "type" : "thesis" }, "locator" : "29", "uris" : [ "http://www.mendeley.com/documents/?uuid=a64a39e7-8725-4c55-bd6b-db853323d4f5" ] } ], "mendeley" : { "formattedCitation" : "Protheroe, \u201cBloom and Blotch: Floral Print and Modernity in the Textile Designs of Winifred Mold and Minnie McLeish 1910-1930,\u201d 29.", "manualFormatting" : "Protheroe, \u201cBloom and Blotch,\u201d 29.", "plainTextFormattedCitation" : "Protheroe, \u201cBloom and Blotch: Floral Print and Modernity in the Textile Designs of Winifred Mold and Minnie McLeish 1910-1930,\u201d 29.", "previouslyFormattedCitation" : "Protheroe, \u201cBloom and Blotch: Floral Print and Modernity in the Textile Designs of Winifred Mold and Minnie McLeish 1910-1930,\u201d 29." }, "properties" : { "noteIndex" : 0 }, "schema" : "https://github.com/citation-style-language/schema/raw/master/csl-citation.json" }</w:instrText>
      </w:r>
      <w:r w:rsidRPr="005060BA">
        <w:rPr>
          <w:sz w:val="24"/>
          <w:szCs w:val="24"/>
        </w:rPr>
        <w:fldChar w:fldCharType="separate"/>
      </w:r>
      <w:r w:rsidRPr="005060BA">
        <w:rPr>
          <w:noProof/>
          <w:sz w:val="24"/>
          <w:szCs w:val="24"/>
        </w:rPr>
        <w:t>Protheroe, “Bloom and Blotch,” 29.</w:t>
      </w:r>
      <w:r w:rsidRPr="005060BA">
        <w:rPr>
          <w:sz w:val="24"/>
          <w:szCs w:val="24"/>
        </w:rPr>
        <w:fldChar w:fldCharType="end"/>
      </w:r>
    </w:p>
  </w:endnote>
  <w:endnote w:id="33">
    <w:p w14:paraId="642B5365" w14:textId="4706A4C3" w:rsidR="00993DE2" w:rsidRDefault="00993DE2">
      <w:pPr>
        <w:pStyle w:val="EndnoteText"/>
        <w:rPr>
          <w:lang w:val="en-US"/>
        </w:rPr>
      </w:pPr>
      <w:r w:rsidRPr="008D6EE2">
        <w:rPr>
          <w:rStyle w:val="EndnoteReference"/>
          <w:sz w:val="24"/>
          <w:szCs w:val="24"/>
        </w:rPr>
        <w:endnoteRef/>
      </w:r>
      <w:r>
        <w:t xml:space="preserve"> </w:t>
      </w:r>
      <w:r>
        <w:rPr>
          <w:lang w:val="en-US"/>
        </w:rPr>
        <w:fldChar w:fldCharType="begin" w:fldLock="1"/>
      </w:r>
      <w:r>
        <w:rPr>
          <w:lang w:val="en-US"/>
        </w:rPr>
        <w:instrText>ADDIN CSL_CITATION { "citationItems" : [ { "id" : "ITEM-1", "itemData" : { "author" : [ { "dropping-particle" : "", "family" : "Gorman", "given" : "Carma R", "non-dropping-particle" : "", "parse-names" : false, "suffix" : "" } ], "container-title" : "Design Issues", "id" : "ITEM-1", "issue" : "4", "issued" : { "date-parts" : [ [ "2001" ] ] }, "page" : "72-88", "title" : "Reshaping and Rethinking : Recent Feminist Scholarship on Design and Designers", "type" : "article-journal", "volume" : "17" }, "uris" : [ "http://www.mendeley.com/documents/?uuid=8b1da27f-d48e-4e90-a7d9-b2f5b047fd57" ] } ], "mendeley" : { "formattedCitation" : "Carma R Gorman, \u201cReshaping and Rethinking\u202f: Recent Feminist Scholarship on Design and Designers,\u201d &lt;i&gt;Design Issues&lt;/i&gt; 17, no. 4 (2001): 72\u201388.", "plainTextFormattedCitation" : "Carma R Gorman, \u201cReshaping and Rethinking\u202f: Recent Feminist Scholarship on Design and Designers,\u201d Design Issues 17, no. 4 (2001): 72\u201388." }, "properties" : { "noteIndex" : 0 }, "schema" : "https://github.com/citation-style-language/schema/raw/master/csl-citation.json" }</w:instrText>
      </w:r>
      <w:r>
        <w:rPr>
          <w:lang w:val="en-US"/>
        </w:rPr>
        <w:fldChar w:fldCharType="separate"/>
      </w:r>
      <w:r w:rsidRPr="00CE059E">
        <w:rPr>
          <w:noProof/>
          <w:lang w:val="en-US"/>
        </w:rPr>
        <w:t xml:space="preserve">Carma R Gorman, “Reshaping and Rethinking : Recent Feminist Scholarship on Design and Designers,” </w:t>
      </w:r>
      <w:r w:rsidRPr="00CE059E">
        <w:rPr>
          <w:i/>
          <w:noProof/>
          <w:lang w:val="en-US"/>
        </w:rPr>
        <w:t>Design Issues</w:t>
      </w:r>
      <w:r w:rsidRPr="00CE059E">
        <w:rPr>
          <w:noProof/>
          <w:lang w:val="en-US"/>
        </w:rPr>
        <w:t xml:space="preserve"> 17, no. 4 (2001): 72–88.</w:t>
      </w:r>
      <w:r>
        <w:rPr>
          <w:lang w:val="en-US"/>
        </w:rPr>
        <w:fldChar w:fldCharType="end"/>
      </w:r>
    </w:p>
    <w:p w14:paraId="6D2FE6EF" w14:textId="77777777" w:rsidR="00B61F11" w:rsidRDefault="00B61F11">
      <w:pPr>
        <w:pStyle w:val="EndnoteText"/>
        <w:rPr>
          <w:lang w:val="en-US"/>
        </w:rPr>
      </w:pPr>
    </w:p>
    <w:p w14:paraId="61BB58F5" w14:textId="77777777" w:rsidR="00B61F11" w:rsidRDefault="00B61F11">
      <w:pPr>
        <w:pStyle w:val="EndnoteText"/>
        <w:rPr>
          <w:lang w:val="en-US"/>
        </w:rPr>
      </w:pPr>
    </w:p>
    <w:p w14:paraId="6B508BD6" w14:textId="77777777" w:rsidR="00B61F11" w:rsidRPr="00CE059E" w:rsidRDefault="00B61F11">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4DE5C" w14:textId="77777777" w:rsidR="00993DE2" w:rsidRDefault="00993DE2" w:rsidP="000917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5D3271" w14:textId="77777777" w:rsidR="00993DE2" w:rsidRDefault="00993DE2" w:rsidP="0009173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64280" w14:textId="77777777" w:rsidR="00993DE2" w:rsidRDefault="00993DE2" w:rsidP="000917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45E22">
      <w:rPr>
        <w:rStyle w:val="PageNumber"/>
        <w:noProof/>
      </w:rPr>
      <w:t>10</w:t>
    </w:r>
    <w:r>
      <w:rPr>
        <w:rStyle w:val="PageNumber"/>
      </w:rPr>
      <w:fldChar w:fldCharType="end"/>
    </w:r>
  </w:p>
  <w:p w14:paraId="13283FDA" w14:textId="77777777" w:rsidR="00993DE2" w:rsidRDefault="00993DE2" w:rsidP="0009173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1B0954" w14:textId="77777777" w:rsidR="00993DE2" w:rsidRDefault="00993DE2" w:rsidP="00AF2C92">
      <w:r>
        <w:separator/>
      </w:r>
    </w:p>
  </w:footnote>
  <w:footnote w:type="continuationSeparator" w:id="0">
    <w:p w14:paraId="76671AC5" w14:textId="77777777" w:rsidR="00993DE2" w:rsidRDefault="00993DE2" w:rsidP="00AF2C9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3F22E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CB18DCF2"/>
    <w:lvl w:ilvl="0">
      <w:start w:val="1"/>
      <w:numFmt w:val="decimal"/>
      <w:lvlText w:val="%1."/>
      <w:lvlJc w:val="left"/>
      <w:pPr>
        <w:tabs>
          <w:tab w:val="num" w:pos="1492"/>
        </w:tabs>
        <w:ind w:left="1492" w:hanging="360"/>
      </w:pPr>
    </w:lvl>
  </w:abstractNum>
  <w:abstractNum w:abstractNumId="2">
    <w:nsid w:val="FFFFFF7D"/>
    <w:multiLevelType w:val="singleLevel"/>
    <w:tmpl w:val="7F3EEC3E"/>
    <w:lvl w:ilvl="0">
      <w:start w:val="1"/>
      <w:numFmt w:val="decimal"/>
      <w:lvlText w:val="%1."/>
      <w:lvlJc w:val="left"/>
      <w:pPr>
        <w:tabs>
          <w:tab w:val="num" w:pos="1209"/>
        </w:tabs>
        <w:ind w:left="1209" w:hanging="360"/>
      </w:pPr>
    </w:lvl>
  </w:abstractNum>
  <w:abstractNum w:abstractNumId="3">
    <w:nsid w:val="FFFFFF7E"/>
    <w:multiLevelType w:val="singleLevel"/>
    <w:tmpl w:val="9CBA1582"/>
    <w:lvl w:ilvl="0">
      <w:start w:val="1"/>
      <w:numFmt w:val="decimal"/>
      <w:lvlText w:val="%1."/>
      <w:lvlJc w:val="left"/>
      <w:pPr>
        <w:tabs>
          <w:tab w:val="num" w:pos="926"/>
        </w:tabs>
        <w:ind w:left="926" w:hanging="360"/>
      </w:pPr>
    </w:lvl>
  </w:abstractNum>
  <w:abstractNum w:abstractNumId="4">
    <w:nsid w:val="FFFFFF7F"/>
    <w:multiLevelType w:val="singleLevel"/>
    <w:tmpl w:val="72D0214A"/>
    <w:lvl w:ilvl="0">
      <w:start w:val="1"/>
      <w:numFmt w:val="decimal"/>
      <w:lvlText w:val="%1."/>
      <w:lvlJc w:val="left"/>
      <w:pPr>
        <w:tabs>
          <w:tab w:val="num" w:pos="643"/>
        </w:tabs>
        <w:ind w:left="643" w:hanging="360"/>
      </w:pPr>
    </w:lvl>
  </w:abstractNum>
  <w:abstractNum w:abstractNumId="5">
    <w:nsid w:val="FFFFFF80"/>
    <w:multiLevelType w:val="singleLevel"/>
    <w:tmpl w:val="A26A687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C8CDB8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0CE2951C"/>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0DD85F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DB01C0C"/>
    <w:lvl w:ilvl="0">
      <w:start w:val="1"/>
      <w:numFmt w:val="decimal"/>
      <w:lvlText w:val="%1."/>
      <w:lvlJc w:val="left"/>
      <w:pPr>
        <w:tabs>
          <w:tab w:val="num" w:pos="360"/>
        </w:tabs>
        <w:ind w:left="360" w:hanging="360"/>
      </w:pPr>
    </w:lvl>
  </w:abstractNum>
  <w:abstractNum w:abstractNumId="10">
    <w:nsid w:val="FFFFFF89"/>
    <w:multiLevelType w:val="singleLevel"/>
    <w:tmpl w:val="AAA863E0"/>
    <w:lvl w:ilvl="0">
      <w:start w:val="1"/>
      <w:numFmt w:val="bullet"/>
      <w:lvlText w:val=""/>
      <w:lvlJc w:val="left"/>
      <w:pPr>
        <w:tabs>
          <w:tab w:val="num" w:pos="360"/>
        </w:tabs>
        <w:ind w:left="360" w:hanging="360"/>
      </w:pPr>
      <w:rPr>
        <w:rFonts w:ascii="Symbol" w:hAnsi="Symbol" w:hint="default"/>
      </w:rPr>
    </w:lvl>
  </w:abstractNum>
  <w:abstractNum w:abstractNumId="11">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5112B2D"/>
    <w:multiLevelType w:val="hybridMultilevel"/>
    <w:tmpl w:val="9092D3CE"/>
    <w:lvl w:ilvl="0" w:tplc="2DDEFE66">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52FA0E8D"/>
    <w:multiLevelType w:val="hybridMultilevel"/>
    <w:tmpl w:val="15D85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21"/>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8"/>
  </w:num>
  <w:num w:numId="14">
    <w:abstractNumId w:val="22"/>
  </w:num>
  <w:num w:numId="15">
    <w:abstractNumId w:val="14"/>
  </w:num>
  <w:num w:numId="16">
    <w:abstractNumId w:val="17"/>
  </w:num>
  <w:num w:numId="17">
    <w:abstractNumId w:val="11"/>
  </w:num>
  <w:num w:numId="18">
    <w:abstractNumId w:val="0"/>
  </w:num>
  <w:num w:numId="19">
    <w:abstractNumId w:val="12"/>
  </w:num>
  <w:num w:numId="20">
    <w:abstractNumId w:val="22"/>
  </w:num>
  <w:num w:numId="21">
    <w:abstractNumId w:val="22"/>
  </w:num>
  <w:num w:numId="22">
    <w:abstractNumId w:val="22"/>
  </w:num>
  <w:num w:numId="23">
    <w:abstractNumId w:val="22"/>
  </w:num>
  <w:num w:numId="24">
    <w:abstractNumId w:val="18"/>
  </w:num>
  <w:num w:numId="25">
    <w:abstractNumId w:val="19"/>
  </w:num>
  <w:num w:numId="26">
    <w:abstractNumId w:val="23"/>
  </w:num>
  <w:num w:numId="27">
    <w:abstractNumId w:val="24"/>
  </w:num>
  <w:num w:numId="28">
    <w:abstractNumId w:val="22"/>
  </w:num>
  <w:num w:numId="29">
    <w:abstractNumId w:val="13"/>
  </w:num>
  <w:num w:numId="30">
    <w:abstractNumId w:val="25"/>
  </w:num>
  <w:num w:numId="31">
    <w:abstractNumId w:val="15"/>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141"/>
    <w:rsid w:val="00001899"/>
    <w:rsid w:val="000041D6"/>
    <w:rsid w:val="000049AD"/>
    <w:rsid w:val="000060A8"/>
    <w:rsid w:val="000133C0"/>
    <w:rsid w:val="00014C4E"/>
    <w:rsid w:val="00017107"/>
    <w:rsid w:val="000202E2"/>
    <w:rsid w:val="00022441"/>
    <w:rsid w:val="0002261E"/>
    <w:rsid w:val="00022DF3"/>
    <w:rsid w:val="00024839"/>
    <w:rsid w:val="00026871"/>
    <w:rsid w:val="000376DD"/>
    <w:rsid w:val="00037A98"/>
    <w:rsid w:val="000427FB"/>
    <w:rsid w:val="0004455E"/>
    <w:rsid w:val="00047CB5"/>
    <w:rsid w:val="00051FAA"/>
    <w:rsid w:val="00053D4B"/>
    <w:rsid w:val="000572A9"/>
    <w:rsid w:val="00061325"/>
    <w:rsid w:val="00071EAF"/>
    <w:rsid w:val="000733AC"/>
    <w:rsid w:val="00074D22"/>
    <w:rsid w:val="00075081"/>
    <w:rsid w:val="0007528A"/>
    <w:rsid w:val="00080978"/>
    <w:rsid w:val="000811AB"/>
    <w:rsid w:val="00083C5F"/>
    <w:rsid w:val="00085549"/>
    <w:rsid w:val="0009172C"/>
    <w:rsid w:val="0009173C"/>
    <w:rsid w:val="000930EC"/>
    <w:rsid w:val="000930F4"/>
    <w:rsid w:val="00095E61"/>
    <w:rsid w:val="000966C1"/>
    <w:rsid w:val="000970AC"/>
    <w:rsid w:val="000A1167"/>
    <w:rsid w:val="000A2D0B"/>
    <w:rsid w:val="000A4428"/>
    <w:rsid w:val="000A6D40"/>
    <w:rsid w:val="000A7BC3"/>
    <w:rsid w:val="000B1661"/>
    <w:rsid w:val="000B2E88"/>
    <w:rsid w:val="000B4603"/>
    <w:rsid w:val="000C09BE"/>
    <w:rsid w:val="000C1380"/>
    <w:rsid w:val="000C554F"/>
    <w:rsid w:val="000C7B87"/>
    <w:rsid w:val="000D0DC5"/>
    <w:rsid w:val="000D15FF"/>
    <w:rsid w:val="000D28DF"/>
    <w:rsid w:val="000D3749"/>
    <w:rsid w:val="000D488B"/>
    <w:rsid w:val="000D54A0"/>
    <w:rsid w:val="000D68DF"/>
    <w:rsid w:val="000E138D"/>
    <w:rsid w:val="000E187A"/>
    <w:rsid w:val="000E2D61"/>
    <w:rsid w:val="000E450E"/>
    <w:rsid w:val="000E6259"/>
    <w:rsid w:val="000F4677"/>
    <w:rsid w:val="000F5BE0"/>
    <w:rsid w:val="00100587"/>
    <w:rsid w:val="0010284E"/>
    <w:rsid w:val="00103122"/>
    <w:rsid w:val="0010336A"/>
    <w:rsid w:val="001050F1"/>
    <w:rsid w:val="00105AEA"/>
    <w:rsid w:val="00106DAF"/>
    <w:rsid w:val="00116023"/>
    <w:rsid w:val="00133E28"/>
    <w:rsid w:val="00134A51"/>
    <w:rsid w:val="0013629F"/>
    <w:rsid w:val="0014007A"/>
    <w:rsid w:val="00140727"/>
    <w:rsid w:val="00146C5F"/>
    <w:rsid w:val="00146F46"/>
    <w:rsid w:val="00160628"/>
    <w:rsid w:val="00161344"/>
    <w:rsid w:val="00162195"/>
    <w:rsid w:val="0016322A"/>
    <w:rsid w:val="00165A21"/>
    <w:rsid w:val="001705CE"/>
    <w:rsid w:val="0017714B"/>
    <w:rsid w:val="001804DF"/>
    <w:rsid w:val="00181BDC"/>
    <w:rsid w:val="00181DB0"/>
    <w:rsid w:val="001829E3"/>
    <w:rsid w:val="00182FA2"/>
    <w:rsid w:val="0019731E"/>
    <w:rsid w:val="001A09FE"/>
    <w:rsid w:val="001A67C9"/>
    <w:rsid w:val="001A69DE"/>
    <w:rsid w:val="001B1C7C"/>
    <w:rsid w:val="001B398F"/>
    <w:rsid w:val="001B46C6"/>
    <w:rsid w:val="001B4B48"/>
    <w:rsid w:val="001B4D1F"/>
    <w:rsid w:val="001B7681"/>
    <w:rsid w:val="001B7CAE"/>
    <w:rsid w:val="001C0772"/>
    <w:rsid w:val="001C0D4F"/>
    <w:rsid w:val="001C1DEC"/>
    <w:rsid w:val="001C5736"/>
    <w:rsid w:val="001D4A49"/>
    <w:rsid w:val="001E0572"/>
    <w:rsid w:val="001E0A67"/>
    <w:rsid w:val="001E1028"/>
    <w:rsid w:val="001E14E2"/>
    <w:rsid w:val="001E1AC3"/>
    <w:rsid w:val="001E1C8E"/>
    <w:rsid w:val="001E6302"/>
    <w:rsid w:val="001E7DCB"/>
    <w:rsid w:val="001F3411"/>
    <w:rsid w:val="001F4287"/>
    <w:rsid w:val="001F4DBA"/>
    <w:rsid w:val="001F7A9C"/>
    <w:rsid w:val="0020415E"/>
    <w:rsid w:val="00204FF4"/>
    <w:rsid w:val="00205D88"/>
    <w:rsid w:val="00206400"/>
    <w:rsid w:val="0021056E"/>
    <w:rsid w:val="0021075D"/>
    <w:rsid w:val="0021165A"/>
    <w:rsid w:val="00211BC9"/>
    <w:rsid w:val="0021620C"/>
    <w:rsid w:val="00216E78"/>
    <w:rsid w:val="00217275"/>
    <w:rsid w:val="00230C5A"/>
    <w:rsid w:val="00231BB0"/>
    <w:rsid w:val="0023654C"/>
    <w:rsid w:val="00236F4B"/>
    <w:rsid w:val="00242B0D"/>
    <w:rsid w:val="002463E3"/>
    <w:rsid w:val="00246487"/>
    <w:rsid w:val="002467C6"/>
    <w:rsid w:val="0024692A"/>
    <w:rsid w:val="00252BBA"/>
    <w:rsid w:val="00253123"/>
    <w:rsid w:val="00256A0D"/>
    <w:rsid w:val="00264001"/>
    <w:rsid w:val="00266354"/>
    <w:rsid w:val="0026676C"/>
    <w:rsid w:val="00267A18"/>
    <w:rsid w:val="00272D5C"/>
    <w:rsid w:val="00273462"/>
    <w:rsid w:val="0027395B"/>
    <w:rsid w:val="00275854"/>
    <w:rsid w:val="00283B41"/>
    <w:rsid w:val="00285F28"/>
    <w:rsid w:val="00286398"/>
    <w:rsid w:val="002903D1"/>
    <w:rsid w:val="00294C83"/>
    <w:rsid w:val="002A3C42"/>
    <w:rsid w:val="002A5D75"/>
    <w:rsid w:val="002A7FBB"/>
    <w:rsid w:val="002B1B1A"/>
    <w:rsid w:val="002B7228"/>
    <w:rsid w:val="002C53EE"/>
    <w:rsid w:val="002D1121"/>
    <w:rsid w:val="002D24F7"/>
    <w:rsid w:val="002D2799"/>
    <w:rsid w:val="002D2CD7"/>
    <w:rsid w:val="002D4DDC"/>
    <w:rsid w:val="002D4F75"/>
    <w:rsid w:val="002D6493"/>
    <w:rsid w:val="002D66ED"/>
    <w:rsid w:val="002D6DCE"/>
    <w:rsid w:val="002D7AB6"/>
    <w:rsid w:val="002E06D0"/>
    <w:rsid w:val="002E18CE"/>
    <w:rsid w:val="002E3C27"/>
    <w:rsid w:val="002E403A"/>
    <w:rsid w:val="002E60B9"/>
    <w:rsid w:val="002E7F3A"/>
    <w:rsid w:val="002F4EDB"/>
    <w:rsid w:val="002F6054"/>
    <w:rsid w:val="00311141"/>
    <w:rsid w:val="00315713"/>
    <w:rsid w:val="0031686C"/>
    <w:rsid w:val="00316FE0"/>
    <w:rsid w:val="003204D2"/>
    <w:rsid w:val="0032605E"/>
    <w:rsid w:val="003275D1"/>
    <w:rsid w:val="00330B2A"/>
    <w:rsid w:val="00331E17"/>
    <w:rsid w:val="00333063"/>
    <w:rsid w:val="003401DA"/>
    <w:rsid w:val="003408E3"/>
    <w:rsid w:val="00343480"/>
    <w:rsid w:val="00345DDA"/>
    <w:rsid w:val="00345E22"/>
    <w:rsid w:val="00345E89"/>
    <w:rsid w:val="00350C0E"/>
    <w:rsid w:val="003522A1"/>
    <w:rsid w:val="0035254B"/>
    <w:rsid w:val="00353555"/>
    <w:rsid w:val="003565D4"/>
    <w:rsid w:val="003607FB"/>
    <w:rsid w:val="00360FD5"/>
    <w:rsid w:val="003634A5"/>
    <w:rsid w:val="00366868"/>
    <w:rsid w:val="00367506"/>
    <w:rsid w:val="00370085"/>
    <w:rsid w:val="003744A7"/>
    <w:rsid w:val="00376235"/>
    <w:rsid w:val="00381FB6"/>
    <w:rsid w:val="003836D3"/>
    <w:rsid w:val="00383A52"/>
    <w:rsid w:val="00390A37"/>
    <w:rsid w:val="00391652"/>
    <w:rsid w:val="0039507F"/>
    <w:rsid w:val="003A1260"/>
    <w:rsid w:val="003A295F"/>
    <w:rsid w:val="003A41DD"/>
    <w:rsid w:val="003A7033"/>
    <w:rsid w:val="003B47FE"/>
    <w:rsid w:val="003B5673"/>
    <w:rsid w:val="003B56EA"/>
    <w:rsid w:val="003B62C9"/>
    <w:rsid w:val="003C277D"/>
    <w:rsid w:val="003C7176"/>
    <w:rsid w:val="003D0929"/>
    <w:rsid w:val="003D4729"/>
    <w:rsid w:val="003D7CC8"/>
    <w:rsid w:val="003D7DD6"/>
    <w:rsid w:val="003E1045"/>
    <w:rsid w:val="003E5AAF"/>
    <w:rsid w:val="003E600D"/>
    <w:rsid w:val="003E64DF"/>
    <w:rsid w:val="003E6A5D"/>
    <w:rsid w:val="003F193A"/>
    <w:rsid w:val="003F4207"/>
    <w:rsid w:val="003F5C46"/>
    <w:rsid w:val="003F7CBB"/>
    <w:rsid w:val="003F7D34"/>
    <w:rsid w:val="00403BFE"/>
    <w:rsid w:val="00412C8E"/>
    <w:rsid w:val="0041518D"/>
    <w:rsid w:val="0042221D"/>
    <w:rsid w:val="00424DD3"/>
    <w:rsid w:val="004269C5"/>
    <w:rsid w:val="00435939"/>
    <w:rsid w:val="00437CC7"/>
    <w:rsid w:val="00442B9C"/>
    <w:rsid w:val="0044738A"/>
    <w:rsid w:val="004473D3"/>
    <w:rsid w:val="00450C34"/>
    <w:rsid w:val="00452231"/>
    <w:rsid w:val="00460C13"/>
    <w:rsid w:val="00463228"/>
    <w:rsid w:val="004634B6"/>
    <w:rsid w:val="00463782"/>
    <w:rsid w:val="004667E0"/>
    <w:rsid w:val="0046760E"/>
    <w:rsid w:val="00470E10"/>
    <w:rsid w:val="00473368"/>
    <w:rsid w:val="00477A97"/>
    <w:rsid w:val="00481343"/>
    <w:rsid w:val="00483796"/>
    <w:rsid w:val="0048549E"/>
    <w:rsid w:val="004927A8"/>
    <w:rsid w:val="00493347"/>
    <w:rsid w:val="00496092"/>
    <w:rsid w:val="004A08DB"/>
    <w:rsid w:val="004A25D0"/>
    <w:rsid w:val="004A37E8"/>
    <w:rsid w:val="004A5596"/>
    <w:rsid w:val="004A7549"/>
    <w:rsid w:val="004B09D4"/>
    <w:rsid w:val="004B2BDB"/>
    <w:rsid w:val="004B330A"/>
    <w:rsid w:val="004B41A3"/>
    <w:rsid w:val="004B7C8E"/>
    <w:rsid w:val="004C2EEF"/>
    <w:rsid w:val="004D0EDC"/>
    <w:rsid w:val="004D1220"/>
    <w:rsid w:val="004D14B3"/>
    <w:rsid w:val="004D1529"/>
    <w:rsid w:val="004D2253"/>
    <w:rsid w:val="004D5514"/>
    <w:rsid w:val="004D56C3"/>
    <w:rsid w:val="004D768B"/>
    <w:rsid w:val="004E01A5"/>
    <w:rsid w:val="004E0338"/>
    <w:rsid w:val="004E1D53"/>
    <w:rsid w:val="004E4FF3"/>
    <w:rsid w:val="004E56A8"/>
    <w:rsid w:val="004F3B55"/>
    <w:rsid w:val="004F4AEA"/>
    <w:rsid w:val="004F4E46"/>
    <w:rsid w:val="004F6B7D"/>
    <w:rsid w:val="00500D38"/>
    <w:rsid w:val="005015F6"/>
    <w:rsid w:val="005030C4"/>
    <w:rsid w:val="005031C5"/>
    <w:rsid w:val="00503C58"/>
    <w:rsid w:val="00504FDC"/>
    <w:rsid w:val="005060BA"/>
    <w:rsid w:val="005120CC"/>
    <w:rsid w:val="00512B7B"/>
    <w:rsid w:val="00514EA1"/>
    <w:rsid w:val="00516AAB"/>
    <w:rsid w:val="0051798B"/>
    <w:rsid w:val="00521F5A"/>
    <w:rsid w:val="005232EF"/>
    <w:rsid w:val="005257FA"/>
    <w:rsid w:val="00525E06"/>
    <w:rsid w:val="00526454"/>
    <w:rsid w:val="00531823"/>
    <w:rsid w:val="00534ECC"/>
    <w:rsid w:val="005355DB"/>
    <w:rsid w:val="00535622"/>
    <w:rsid w:val="0053720D"/>
    <w:rsid w:val="005378B1"/>
    <w:rsid w:val="00540EF5"/>
    <w:rsid w:val="00540FB2"/>
    <w:rsid w:val="00541BF3"/>
    <w:rsid w:val="00541CD3"/>
    <w:rsid w:val="005476FA"/>
    <w:rsid w:val="0055185A"/>
    <w:rsid w:val="0055595E"/>
    <w:rsid w:val="00557988"/>
    <w:rsid w:val="00562C49"/>
    <w:rsid w:val="00562DEF"/>
    <w:rsid w:val="00563738"/>
    <w:rsid w:val="00563A35"/>
    <w:rsid w:val="00566596"/>
    <w:rsid w:val="0057029E"/>
    <w:rsid w:val="005741E9"/>
    <w:rsid w:val="005748CF"/>
    <w:rsid w:val="00584270"/>
    <w:rsid w:val="00584738"/>
    <w:rsid w:val="005915F4"/>
    <w:rsid w:val="005920B0"/>
    <w:rsid w:val="0059380D"/>
    <w:rsid w:val="005943A9"/>
    <w:rsid w:val="00595A8F"/>
    <w:rsid w:val="0059772E"/>
    <w:rsid w:val="00597BF2"/>
    <w:rsid w:val="005B134E"/>
    <w:rsid w:val="005B2039"/>
    <w:rsid w:val="005B344F"/>
    <w:rsid w:val="005B3FBA"/>
    <w:rsid w:val="005B4A1D"/>
    <w:rsid w:val="005B674D"/>
    <w:rsid w:val="005C0CBE"/>
    <w:rsid w:val="005C1FCF"/>
    <w:rsid w:val="005D1885"/>
    <w:rsid w:val="005D211A"/>
    <w:rsid w:val="005D4A38"/>
    <w:rsid w:val="005E2EEA"/>
    <w:rsid w:val="005E3708"/>
    <w:rsid w:val="005E3CCD"/>
    <w:rsid w:val="005E3D6B"/>
    <w:rsid w:val="005E5E4A"/>
    <w:rsid w:val="005E693D"/>
    <w:rsid w:val="005E75BF"/>
    <w:rsid w:val="005F255E"/>
    <w:rsid w:val="005F57BA"/>
    <w:rsid w:val="005F5F1B"/>
    <w:rsid w:val="005F61E6"/>
    <w:rsid w:val="005F6C45"/>
    <w:rsid w:val="005F7831"/>
    <w:rsid w:val="006038E3"/>
    <w:rsid w:val="00605A69"/>
    <w:rsid w:val="00606C54"/>
    <w:rsid w:val="006105CB"/>
    <w:rsid w:val="00614375"/>
    <w:rsid w:val="00615B0A"/>
    <w:rsid w:val="006168CF"/>
    <w:rsid w:val="0062011B"/>
    <w:rsid w:val="00626DE0"/>
    <w:rsid w:val="00630901"/>
    <w:rsid w:val="00631F8E"/>
    <w:rsid w:val="00636EE9"/>
    <w:rsid w:val="00640950"/>
    <w:rsid w:val="006412A7"/>
    <w:rsid w:val="00641AE7"/>
    <w:rsid w:val="00642629"/>
    <w:rsid w:val="006459F6"/>
    <w:rsid w:val="0065293D"/>
    <w:rsid w:val="00653EFC"/>
    <w:rsid w:val="00654021"/>
    <w:rsid w:val="00661045"/>
    <w:rsid w:val="006627F3"/>
    <w:rsid w:val="00666DA8"/>
    <w:rsid w:val="006702AF"/>
    <w:rsid w:val="00671057"/>
    <w:rsid w:val="00675AAF"/>
    <w:rsid w:val="0068031A"/>
    <w:rsid w:val="006809CF"/>
    <w:rsid w:val="00680F62"/>
    <w:rsid w:val="00681B2F"/>
    <w:rsid w:val="0068295A"/>
    <w:rsid w:val="0068335F"/>
    <w:rsid w:val="00693302"/>
    <w:rsid w:val="0069640B"/>
    <w:rsid w:val="006A1B83"/>
    <w:rsid w:val="006A2035"/>
    <w:rsid w:val="006A21CD"/>
    <w:rsid w:val="006A42CF"/>
    <w:rsid w:val="006A5918"/>
    <w:rsid w:val="006A71DF"/>
    <w:rsid w:val="006B21B2"/>
    <w:rsid w:val="006B4A4A"/>
    <w:rsid w:val="006C19B2"/>
    <w:rsid w:val="006C5BB8"/>
    <w:rsid w:val="006C6936"/>
    <w:rsid w:val="006C7B01"/>
    <w:rsid w:val="006D0FE8"/>
    <w:rsid w:val="006D4B2B"/>
    <w:rsid w:val="006D4F3C"/>
    <w:rsid w:val="006D5C66"/>
    <w:rsid w:val="006E1B3C"/>
    <w:rsid w:val="006E23FB"/>
    <w:rsid w:val="006E325A"/>
    <w:rsid w:val="006E33EC"/>
    <w:rsid w:val="006E3802"/>
    <w:rsid w:val="006E6A7B"/>
    <w:rsid w:val="006E6BD0"/>
    <w:rsid w:val="006E6C02"/>
    <w:rsid w:val="006F231A"/>
    <w:rsid w:val="006F788D"/>
    <w:rsid w:val="006F78E1"/>
    <w:rsid w:val="00701072"/>
    <w:rsid w:val="00702054"/>
    <w:rsid w:val="00702A7B"/>
    <w:rsid w:val="007035A4"/>
    <w:rsid w:val="00711799"/>
    <w:rsid w:val="00712B78"/>
    <w:rsid w:val="0071393B"/>
    <w:rsid w:val="00713EE2"/>
    <w:rsid w:val="007167AB"/>
    <w:rsid w:val="007177FC"/>
    <w:rsid w:val="00720C5E"/>
    <w:rsid w:val="00721701"/>
    <w:rsid w:val="00731835"/>
    <w:rsid w:val="007341F8"/>
    <w:rsid w:val="00734372"/>
    <w:rsid w:val="00734EB8"/>
    <w:rsid w:val="00735F8B"/>
    <w:rsid w:val="00735FEB"/>
    <w:rsid w:val="007403CF"/>
    <w:rsid w:val="007424DD"/>
    <w:rsid w:val="00742D1F"/>
    <w:rsid w:val="00743EBA"/>
    <w:rsid w:val="00744C8E"/>
    <w:rsid w:val="00746BA4"/>
    <w:rsid w:val="0074707E"/>
    <w:rsid w:val="007516DC"/>
    <w:rsid w:val="00754B80"/>
    <w:rsid w:val="00761918"/>
    <w:rsid w:val="00762F03"/>
    <w:rsid w:val="0076413B"/>
    <w:rsid w:val="007648AE"/>
    <w:rsid w:val="00764BF8"/>
    <w:rsid w:val="0076514D"/>
    <w:rsid w:val="007738C1"/>
    <w:rsid w:val="00773D59"/>
    <w:rsid w:val="00781003"/>
    <w:rsid w:val="00782FA6"/>
    <w:rsid w:val="007839F5"/>
    <w:rsid w:val="00790B81"/>
    <w:rsid w:val="007911FD"/>
    <w:rsid w:val="007917DD"/>
    <w:rsid w:val="0079316F"/>
    <w:rsid w:val="00793930"/>
    <w:rsid w:val="00793DD1"/>
    <w:rsid w:val="00794FEC"/>
    <w:rsid w:val="007A003E"/>
    <w:rsid w:val="007A0E37"/>
    <w:rsid w:val="007A1965"/>
    <w:rsid w:val="007A2ED1"/>
    <w:rsid w:val="007A4BE6"/>
    <w:rsid w:val="007A73E4"/>
    <w:rsid w:val="007B0DC6"/>
    <w:rsid w:val="007B1094"/>
    <w:rsid w:val="007B1762"/>
    <w:rsid w:val="007B24E2"/>
    <w:rsid w:val="007B3320"/>
    <w:rsid w:val="007B5904"/>
    <w:rsid w:val="007C301F"/>
    <w:rsid w:val="007C4540"/>
    <w:rsid w:val="007C65AF"/>
    <w:rsid w:val="007D09E7"/>
    <w:rsid w:val="007D135D"/>
    <w:rsid w:val="007D730F"/>
    <w:rsid w:val="007D7CD8"/>
    <w:rsid w:val="007E3AA7"/>
    <w:rsid w:val="007F737D"/>
    <w:rsid w:val="0080134E"/>
    <w:rsid w:val="0080308E"/>
    <w:rsid w:val="00806705"/>
    <w:rsid w:val="00806738"/>
    <w:rsid w:val="00807E80"/>
    <w:rsid w:val="00810909"/>
    <w:rsid w:val="008216D5"/>
    <w:rsid w:val="008249CE"/>
    <w:rsid w:val="008307F2"/>
    <w:rsid w:val="00831A50"/>
    <w:rsid w:val="00831B3C"/>
    <w:rsid w:val="00831C89"/>
    <w:rsid w:val="00832114"/>
    <w:rsid w:val="00833014"/>
    <w:rsid w:val="00834375"/>
    <w:rsid w:val="00834C46"/>
    <w:rsid w:val="0084093E"/>
    <w:rsid w:val="00841C98"/>
    <w:rsid w:val="00841CE1"/>
    <w:rsid w:val="008452FC"/>
    <w:rsid w:val="008473D8"/>
    <w:rsid w:val="008528DC"/>
    <w:rsid w:val="00852B8C"/>
    <w:rsid w:val="00854981"/>
    <w:rsid w:val="00864B2E"/>
    <w:rsid w:val="00865963"/>
    <w:rsid w:val="00867019"/>
    <w:rsid w:val="00870FA2"/>
    <w:rsid w:val="00871A4F"/>
    <w:rsid w:val="0087450E"/>
    <w:rsid w:val="00874F85"/>
    <w:rsid w:val="00875A82"/>
    <w:rsid w:val="008761A7"/>
    <w:rsid w:val="00876CA3"/>
    <w:rsid w:val="008772FE"/>
    <w:rsid w:val="008775F1"/>
    <w:rsid w:val="008821AE"/>
    <w:rsid w:val="00883D3A"/>
    <w:rsid w:val="00884CCC"/>
    <w:rsid w:val="008854F7"/>
    <w:rsid w:val="00885A9D"/>
    <w:rsid w:val="008904A2"/>
    <w:rsid w:val="008929D2"/>
    <w:rsid w:val="008935F6"/>
    <w:rsid w:val="00893636"/>
    <w:rsid w:val="00893B94"/>
    <w:rsid w:val="00896E9D"/>
    <w:rsid w:val="00896F11"/>
    <w:rsid w:val="008A1049"/>
    <w:rsid w:val="008A1C98"/>
    <w:rsid w:val="008A322D"/>
    <w:rsid w:val="008A4D72"/>
    <w:rsid w:val="008A5B3A"/>
    <w:rsid w:val="008A6285"/>
    <w:rsid w:val="008A63B2"/>
    <w:rsid w:val="008B345D"/>
    <w:rsid w:val="008B3EE8"/>
    <w:rsid w:val="008C0106"/>
    <w:rsid w:val="008C1FC2"/>
    <w:rsid w:val="008C2980"/>
    <w:rsid w:val="008C41B8"/>
    <w:rsid w:val="008C5AFB"/>
    <w:rsid w:val="008D07FB"/>
    <w:rsid w:val="008D0C02"/>
    <w:rsid w:val="008D357D"/>
    <w:rsid w:val="008D6EE2"/>
    <w:rsid w:val="008E06EC"/>
    <w:rsid w:val="008E387B"/>
    <w:rsid w:val="008E6087"/>
    <w:rsid w:val="008E758D"/>
    <w:rsid w:val="008F10A7"/>
    <w:rsid w:val="008F755D"/>
    <w:rsid w:val="008F7A39"/>
    <w:rsid w:val="009021E8"/>
    <w:rsid w:val="00905C02"/>
    <w:rsid w:val="00911440"/>
    <w:rsid w:val="00911712"/>
    <w:rsid w:val="00911B27"/>
    <w:rsid w:val="009170BE"/>
    <w:rsid w:val="00917A31"/>
    <w:rsid w:val="00920B55"/>
    <w:rsid w:val="00923A91"/>
    <w:rsid w:val="009262C9"/>
    <w:rsid w:val="00927F33"/>
    <w:rsid w:val="00930EB9"/>
    <w:rsid w:val="00932948"/>
    <w:rsid w:val="00933DC7"/>
    <w:rsid w:val="0094178F"/>
    <w:rsid w:val="009418F4"/>
    <w:rsid w:val="00942BBC"/>
    <w:rsid w:val="00944180"/>
    <w:rsid w:val="00944AA0"/>
    <w:rsid w:val="00947A5F"/>
    <w:rsid w:val="00947DA2"/>
    <w:rsid w:val="00951177"/>
    <w:rsid w:val="00955AFB"/>
    <w:rsid w:val="00957C8F"/>
    <w:rsid w:val="009673E8"/>
    <w:rsid w:val="00974DB8"/>
    <w:rsid w:val="00975446"/>
    <w:rsid w:val="00976DF0"/>
    <w:rsid w:val="00980661"/>
    <w:rsid w:val="0098093B"/>
    <w:rsid w:val="0098314E"/>
    <w:rsid w:val="009876D4"/>
    <w:rsid w:val="009914A5"/>
    <w:rsid w:val="00993DE2"/>
    <w:rsid w:val="0099548E"/>
    <w:rsid w:val="00996456"/>
    <w:rsid w:val="00996A12"/>
    <w:rsid w:val="00997B0F"/>
    <w:rsid w:val="009A1CAD"/>
    <w:rsid w:val="009A3440"/>
    <w:rsid w:val="009A5832"/>
    <w:rsid w:val="009A6838"/>
    <w:rsid w:val="009B24B5"/>
    <w:rsid w:val="009B4EBC"/>
    <w:rsid w:val="009B5ABB"/>
    <w:rsid w:val="009B73CE"/>
    <w:rsid w:val="009B7F27"/>
    <w:rsid w:val="009C2461"/>
    <w:rsid w:val="009C6FE2"/>
    <w:rsid w:val="009C7674"/>
    <w:rsid w:val="009D004A"/>
    <w:rsid w:val="009D5880"/>
    <w:rsid w:val="009E3B07"/>
    <w:rsid w:val="009E51D1"/>
    <w:rsid w:val="009E5531"/>
    <w:rsid w:val="009E5913"/>
    <w:rsid w:val="009F171E"/>
    <w:rsid w:val="009F3D2F"/>
    <w:rsid w:val="009F7052"/>
    <w:rsid w:val="00A01E6A"/>
    <w:rsid w:val="00A02668"/>
    <w:rsid w:val="00A02801"/>
    <w:rsid w:val="00A06A39"/>
    <w:rsid w:val="00A07F58"/>
    <w:rsid w:val="00A131CB"/>
    <w:rsid w:val="00A133B3"/>
    <w:rsid w:val="00A14847"/>
    <w:rsid w:val="00A16D6D"/>
    <w:rsid w:val="00A16DCA"/>
    <w:rsid w:val="00A21383"/>
    <w:rsid w:val="00A2199F"/>
    <w:rsid w:val="00A21B31"/>
    <w:rsid w:val="00A2360E"/>
    <w:rsid w:val="00A268B3"/>
    <w:rsid w:val="00A26E0C"/>
    <w:rsid w:val="00A32FCB"/>
    <w:rsid w:val="00A34C25"/>
    <w:rsid w:val="00A3507D"/>
    <w:rsid w:val="00A3717A"/>
    <w:rsid w:val="00A4088C"/>
    <w:rsid w:val="00A41113"/>
    <w:rsid w:val="00A4456B"/>
    <w:rsid w:val="00A448D4"/>
    <w:rsid w:val="00A452E0"/>
    <w:rsid w:val="00A51792"/>
    <w:rsid w:val="00A51EA5"/>
    <w:rsid w:val="00A53742"/>
    <w:rsid w:val="00A557A1"/>
    <w:rsid w:val="00A614C9"/>
    <w:rsid w:val="00A63059"/>
    <w:rsid w:val="00A63AE3"/>
    <w:rsid w:val="00A651A4"/>
    <w:rsid w:val="00A71361"/>
    <w:rsid w:val="00A721AD"/>
    <w:rsid w:val="00A746E2"/>
    <w:rsid w:val="00A77ED1"/>
    <w:rsid w:val="00A8116C"/>
    <w:rsid w:val="00A81FF2"/>
    <w:rsid w:val="00A83904"/>
    <w:rsid w:val="00A87F2C"/>
    <w:rsid w:val="00A90A79"/>
    <w:rsid w:val="00A94A93"/>
    <w:rsid w:val="00A964A1"/>
    <w:rsid w:val="00A96B30"/>
    <w:rsid w:val="00AA59B5"/>
    <w:rsid w:val="00AA7777"/>
    <w:rsid w:val="00AA7B84"/>
    <w:rsid w:val="00AB0F94"/>
    <w:rsid w:val="00AB3116"/>
    <w:rsid w:val="00AC0B4C"/>
    <w:rsid w:val="00AC1164"/>
    <w:rsid w:val="00AC2296"/>
    <w:rsid w:val="00AC2754"/>
    <w:rsid w:val="00AC48B0"/>
    <w:rsid w:val="00AC4ACD"/>
    <w:rsid w:val="00AC5DFB"/>
    <w:rsid w:val="00AD13DC"/>
    <w:rsid w:val="00AD4097"/>
    <w:rsid w:val="00AD6DE2"/>
    <w:rsid w:val="00AE0A40"/>
    <w:rsid w:val="00AE1ED4"/>
    <w:rsid w:val="00AE21E1"/>
    <w:rsid w:val="00AE2F8D"/>
    <w:rsid w:val="00AE3BAE"/>
    <w:rsid w:val="00AE6A21"/>
    <w:rsid w:val="00AF1C8F"/>
    <w:rsid w:val="00AF2B68"/>
    <w:rsid w:val="00AF2C92"/>
    <w:rsid w:val="00AF3EC1"/>
    <w:rsid w:val="00AF5025"/>
    <w:rsid w:val="00AF519F"/>
    <w:rsid w:val="00AF5387"/>
    <w:rsid w:val="00AF55F5"/>
    <w:rsid w:val="00AF7E86"/>
    <w:rsid w:val="00B024B9"/>
    <w:rsid w:val="00B077FA"/>
    <w:rsid w:val="00B127D7"/>
    <w:rsid w:val="00B12E15"/>
    <w:rsid w:val="00B13711"/>
    <w:rsid w:val="00B13B0C"/>
    <w:rsid w:val="00B1453A"/>
    <w:rsid w:val="00B20F82"/>
    <w:rsid w:val="00B23C25"/>
    <w:rsid w:val="00B25BD5"/>
    <w:rsid w:val="00B26B52"/>
    <w:rsid w:val="00B34079"/>
    <w:rsid w:val="00B34D0B"/>
    <w:rsid w:val="00B3793A"/>
    <w:rsid w:val="00B401BA"/>
    <w:rsid w:val="00B407E4"/>
    <w:rsid w:val="00B425B6"/>
    <w:rsid w:val="00B42A72"/>
    <w:rsid w:val="00B441AE"/>
    <w:rsid w:val="00B45F33"/>
    <w:rsid w:val="00B46D50"/>
    <w:rsid w:val="00B50828"/>
    <w:rsid w:val="00B53170"/>
    <w:rsid w:val="00B601FB"/>
    <w:rsid w:val="00B61F11"/>
    <w:rsid w:val="00B62999"/>
    <w:rsid w:val="00B63BE3"/>
    <w:rsid w:val="00B64885"/>
    <w:rsid w:val="00B66810"/>
    <w:rsid w:val="00B708AF"/>
    <w:rsid w:val="00B72BE3"/>
    <w:rsid w:val="00B73860"/>
    <w:rsid w:val="00B73B80"/>
    <w:rsid w:val="00B73D35"/>
    <w:rsid w:val="00B770C7"/>
    <w:rsid w:val="00B80F26"/>
    <w:rsid w:val="00B822BD"/>
    <w:rsid w:val="00B842F4"/>
    <w:rsid w:val="00B91A7B"/>
    <w:rsid w:val="00B921A2"/>
    <w:rsid w:val="00B929DD"/>
    <w:rsid w:val="00B95405"/>
    <w:rsid w:val="00B963F1"/>
    <w:rsid w:val="00BA020A"/>
    <w:rsid w:val="00BB02A4"/>
    <w:rsid w:val="00BB1270"/>
    <w:rsid w:val="00BB1E44"/>
    <w:rsid w:val="00BB3681"/>
    <w:rsid w:val="00BB5267"/>
    <w:rsid w:val="00BB52B8"/>
    <w:rsid w:val="00BB59D8"/>
    <w:rsid w:val="00BB7E69"/>
    <w:rsid w:val="00BC004F"/>
    <w:rsid w:val="00BC3C1F"/>
    <w:rsid w:val="00BC7CE7"/>
    <w:rsid w:val="00BD295E"/>
    <w:rsid w:val="00BD4664"/>
    <w:rsid w:val="00BE1193"/>
    <w:rsid w:val="00BF0620"/>
    <w:rsid w:val="00BF4849"/>
    <w:rsid w:val="00BF4EA7"/>
    <w:rsid w:val="00C00EDB"/>
    <w:rsid w:val="00C02863"/>
    <w:rsid w:val="00C030EC"/>
    <w:rsid w:val="00C0383A"/>
    <w:rsid w:val="00C067FF"/>
    <w:rsid w:val="00C12862"/>
    <w:rsid w:val="00C13D28"/>
    <w:rsid w:val="00C14585"/>
    <w:rsid w:val="00C165A0"/>
    <w:rsid w:val="00C216CE"/>
    <w:rsid w:val="00C2184F"/>
    <w:rsid w:val="00C21AC3"/>
    <w:rsid w:val="00C22A78"/>
    <w:rsid w:val="00C23C7E"/>
    <w:rsid w:val="00C246C5"/>
    <w:rsid w:val="00C25A82"/>
    <w:rsid w:val="00C30A2A"/>
    <w:rsid w:val="00C33993"/>
    <w:rsid w:val="00C362EA"/>
    <w:rsid w:val="00C4069E"/>
    <w:rsid w:val="00C41ADC"/>
    <w:rsid w:val="00C44149"/>
    <w:rsid w:val="00C44410"/>
    <w:rsid w:val="00C44A15"/>
    <w:rsid w:val="00C4630A"/>
    <w:rsid w:val="00C50F09"/>
    <w:rsid w:val="00C523F0"/>
    <w:rsid w:val="00C526D2"/>
    <w:rsid w:val="00C560F9"/>
    <w:rsid w:val="00C5794E"/>
    <w:rsid w:val="00C60968"/>
    <w:rsid w:val="00C63CC4"/>
    <w:rsid w:val="00C63D39"/>
    <w:rsid w:val="00C63EDD"/>
    <w:rsid w:val="00C65B36"/>
    <w:rsid w:val="00C7292E"/>
    <w:rsid w:val="00C743E7"/>
    <w:rsid w:val="00C74E88"/>
    <w:rsid w:val="00C779D1"/>
    <w:rsid w:val="00C80924"/>
    <w:rsid w:val="00C8286B"/>
    <w:rsid w:val="00C926B2"/>
    <w:rsid w:val="00C947F8"/>
    <w:rsid w:val="00C9515F"/>
    <w:rsid w:val="00C963C5"/>
    <w:rsid w:val="00CA030C"/>
    <w:rsid w:val="00CA1F41"/>
    <w:rsid w:val="00CA32EE"/>
    <w:rsid w:val="00CA6A1A"/>
    <w:rsid w:val="00CB37DB"/>
    <w:rsid w:val="00CC1E75"/>
    <w:rsid w:val="00CC2E0E"/>
    <w:rsid w:val="00CC361C"/>
    <w:rsid w:val="00CC3C07"/>
    <w:rsid w:val="00CC474B"/>
    <w:rsid w:val="00CC658C"/>
    <w:rsid w:val="00CC67BF"/>
    <w:rsid w:val="00CD0843"/>
    <w:rsid w:val="00CD5A78"/>
    <w:rsid w:val="00CD7345"/>
    <w:rsid w:val="00CE059E"/>
    <w:rsid w:val="00CE372E"/>
    <w:rsid w:val="00CF0A1B"/>
    <w:rsid w:val="00CF19F6"/>
    <w:rsid w:val="00CF1DAD"/>
    <w:rsid w:val="00CF2F4F"/>
    <w:rsid w:val="00CF536D"/>
    <w:rsid w:val="00D10CB8"/>
    <w:rsid w:val="00D12806"/>
    <w:rsid w:val="00D12D44"/>
    <w:rsid w:val="00D15018"/>
    <w:rsid w:val="00D158AC"/>
    <w:rsid w:val="00D163FF"/>
    <w:rsid w:val="00D1694C"/>
    <w:rsid w:val="00D20F5E"/>
    <w:rsid w:val="00D23B76"/>
    <w:rsid w:val="00D3338C"/>
    <w:rsid w:val="00D379A3"/>
    <w:rsid w:val="00D42FD0"/>
    <w:rsid w:val="00D43272"/>
    <w:rsid w:val="00D45FF3"/>
    <w:rsid w:val="00D469B7"/>
    <w:rsid w:val="00D512CF"/>
    <w:rsid w:val="00D528B9"/>
    <w:rsid w:val="00D53186"/>
    <w:rsid w:val="00D5487D"/>
    <w:rsid w:val="00D60140"/>
    <w:rsid w:val="00D6024A"/>
    <w:rsid w:val="00D608B5"/>
    <w:rsid w:val="00D65D27"/>
    <w:rsid w:val="00D678BE"/>
    <w:rsid w:val="00D71F99"/>
    <w:rsid w:val="00D73CA4"/>
    <w:rsid w:val="00D73D71"/>
    <w:rsid w:val="00D74396"/>
    <w:rsid w:val="00D80284"/>
    <w:rsid w:val="00D81F71"/>
    <w:rsid w:val="00D8642D"/>
    <w:rsid w:val="00D90A5E"/>
    <w:rsid w:val="00D91A68"/>
    <w:rsid w:val="00D95A68"/>
    <w:rsid w:val="00DA17C7"/>
    <w:rsid w:val="00DA360A"/>
    <w:rsid w:val="00DA400B"/>
    <w:rsid w:val="00DA6A9A"/>
    <w:rsid w:val="00DA756A"/>
    <w:rsid w:val="00DB1EFD"/>
    <w:rsid w:val="00DB3EAF"/>
    <w:rsid w:val="00DC1BE1"/>
    <w:rsid w:val="00DC3203"/>
    <w:rsid w:val="00DC3C99"/>
    <w:rsid w:val="00DC52F5"/>
    <w:rsid w:val="00DC5B61"/>
    <w:rsid w:val="00DC5FD0"/>
    <w:rsid w:val="00DD0354"/>
    <w:rsid w:val="00DD27D7"/>
    <w:rsid w:val="00DD3873"/>
    <w:rsid w:val="00DD458C"/>
    <w:rsid w:val="00DD72E9"/>
    <w:rsid w:val="00DD7605"/>
    <w:rsid w:val="00DE2020"/>
    <w:rsid w:val="00DE3476"/>
    <w:rsid w:val="00DE4B86"/>
    <w:rsid w:val="00DF04A4"/>
    <w:rsid w:val="00DF5B84"/>
    <w:rsid w:val="00DF6D5B"/>
    <w:rsid w:val="00DF771B"/>
    <w:rsid w:val="00DF7EE2"/>
    <w:rsid w:val="00E01BAA"/>
    <w:rsid w:val="00E0282A"/>
    <w:rsid w:val="00E07E14"/>
    <w:rsid w:val="00E14D47"/>
    <w:rsid w:val="00E14F94"/>
    <w:rsid w:val="00E17336"/>
    <w:rsid w:val="00E17D15"/>
    <w:rsid w:val="00E22B95"/>
    <w:rsid w:val="00E30331"/>
    <w:rsid w:val="00E30BB8"/>
    <w:rsid w:val="00E31F9C"/>
    <w:rsid w:val="00E34CEE"/>
    <w:rsid w:val="00E40488"/>
    <w:rsid w:val="00E50367"/>
    <w:rsid w:val="00E51ABA"/>
    <w:rsid w:val="00E524CB"/>
    <w:rsid w:val="00E556FB"/>
    <w:rsid w:val="00E65456"/>
    <w:rsid w:val="00E65A91"/>
    <w:rsid w:val="00E66188"/>
    <w:rsid w:val="00E66238"/>
    <w:rsid w:val="00E664FB"/>
    <w:rsid w:val="00E675F6"/>
    <w:rsid w:val="00E70373"/>
    <w:rsid w:val="00E72E40"/>
    <w:rsid w:val="00E73665"/>
    <w:rsid w:val="00E73999"/>
    <w:rsid w:val="00E73BDC"/>
    <w:rsid w:val="00E73E9E"/>
    <w:rsid w:val="00E77DB9"/>
    <w:rsid w:val="00E81660"/>
    <w:rsid w:val="00E8475D"/>
    <w:rsid w:val="00E854FE"/>
    <w:rsid w:val="00E906CC"/>
    <w:rsid w:val="00E939A0"/>
    <w:rsid w:val="00E96CE4"/>
    <w:rsid w:val="00E97E4E"/>
    <w:rsid w:val="00EA0DE5"/>
    <w:rsid w:val="00EA1CC2"/>
    <w:rsid w:val="00EA2D76"/>
    <w:rsid w:val="00EA4644"/>
    <w:rsid w:val="00EA758A"/>
    <w:rsid w:val="00EB199F"/>
    <w:rsid w:val="00EB27C4"/>
    <w:rsid w:val="00EB5387"/>
    <w:rsid w:val="00EB5C10"/>
    <w:rsid w:val="00EB6211"/>
    <w:rsid w:val="00EB7322"/>
    <w:rsid w:val="00EC0FE9"/>
    <w:rsid w:val="00EC426D"/>
    <w:rsid w:val="00EC571B"/>
    <w:rsid w:val="00EC57D7"/>
    <w:rsid w:val="00EC6385"/>
    <w:rsid w:val="00ED1DE9"/>
    <w:rsid w:val="00ED23D4"/>
    <w:rsid w:val="00ED34BB"/>
    <w:rsid w:val="00ED5E0B"/>
    <w:rsid w:val="00EE37B6"/>
    <w:rsid w:val="00EF0F45"/>
    <w:rsid w:val="00EF2E38"/>
    <w:rsid w:val="00EF55E6"/>
    <w:rsid w:val="00EF6199"/>
    <w:rsid w:val="00EF7463"/>
    <w:rsid w:val="00F002EF"/>
    <w:rsid w:val="00F01EE9"/>
    <w:rsid w:val="00F02F94"/>
    <w:rsid w:val="00F04900"/>
    <w:rsid w:val="00F065A4"/>
    <w:rsid w:val="00F11997"/>
    <w:rsid w:val="00F126B9"/>
    <w:rsid w:val="00F12715"/>
    <w:rsid w:val="00F144D5"/>
    <w:rsid w:val="00F146F0"/>
    <w:rsid w:val="00F15039"/>
    <w:rsid w:val="00F1702E"/>
    <w:rsid w:val="00F20FF3"/>
    <w:rsid w:val="00F2190B"/>
    <w:rsid w:val="00F228B5"/>
    <w:rsid w:val="00F22E32"/>
    <w:rsid w:val="00F2355F"/>
    <w:rsid w:val="00F2389C"/>
    <w:rsid w:val="00F23913"/>
    <w:rsid w:val="00F25C67"/>
    <w:rsid w:val="00F27506"/>
    <w:rsid w:val="00F30DFF"/>
    <w:rsid w:val="00F32B80"/>
    <w:rsid w:val="00F340EB"/>
    <w:rsid w:val="00F35285"/>
    <w:rsid w:val="00F43B9D"/>
    <w:rsid w:val="00F44D5E"/>
    <w:rsid w:val="00F45EA8"/>
    <w:rsid w:val="00F53A35"/>
    <w:rsid w:val="00F55A3D"/>
    <w:rsid w:val="00F5744B"/>
    <w:rsid w:val="00F61209"/>
    <w:rsid w:val="00F6259E"/>
    <w:rsid w:val="00F65DD4"/>
    <w:rsid w:val="00F672B2"/>
    <w:rsid w:val="00F76318"/>
    <w:rsid w:val="00F83973"/>
    <w:rsid w:val="00F87FA3"/>
    <w:rsid w:val="00F93D8C"/>
    <w:rsid w:val="00FA3102"/>
    <w:rsid w:val="00FA418E"/>
    <w:rsid w:val="00FA48D4"/>
    <w:rsid w:val="00FA54FA"/>
    <w:rsid w:val="00FB227E"/>
    <w:rsid w:val="00FB3D61"/>
    <w:rsid w:val="00FB44CE"/>
    <w:rsid w:val="00FB5009"/>
    <w:rsid w:val="00FB76AB"/>
    <w:rsid w:val="00FC4988"/>
    <w:rsid w:val="00FD03FE"/>
    <w:rsid w:val="00FD126E"/>
    <w:rsid w:val="00FD3C36"/>
    <w:rsid w:val="00FD4D81"/>
    <w:rsid w:val="00FD4DF5"/>
    <w:rsid w:val="00FD7498"/>
    <w:rsid w:val="00FD7C19"/>
    <w:rsid w:val="00FD7FB3"/>
    <w:rsid w:val="00FE4713"/>
    <w:rsid w:val="00FF0197"/>
    <w:rsid w:val="00FF1F44"/>
    <w:rsid w:val="00FF225E"/>
    <w:rsid w:val="00FF6685"/>
    <w:rsid w:val="00FF672C"/>
    <w:rsid w:val="00FF6CE8"/>
    <w:rsid w:val="00FF79C7"/>
    <w:rsid w:val="384ED730"/>
    <w:rsid w:val="44F09E7F"/>
    <w:rsid w:val="7316DF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CE2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footnote text" w:uiPriority="99"/>
    <w:lsdException w:name="footnote reference" w:uiPriority="99"/>
  </w:latentStyles>
  <w:style w:type="paragraph" w:default="1" w:styleId="Normal">
    <w:name w:val="Normal"/>
    <w:qFormat/>
    <w:rsid w:val="00F35285"/>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qFormat/>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Abstract"/>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DF5B84"/>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uiPriority w:val="99"/>
    <w:rsid w:val="005060BA"/>
    <w:pPr>
      <w:ind w:left="284" w:hanging="284"/>
    </w:pPr>
    <w:rPr>
      <w:noProof/>
    </w:rPr>
  </w:style>
  <w:style w:type="character" w:customStyle="1" w:styleId="FootnoteTextChar">
    <w:name w:val="Footnote Text Char"/>
    <w:basedOn w:val="DefaultParagraphFont"/>
    <w:link w:val="FootnoteText"/>
    <w:uiPriority w:val="99"/>
    <w:rsid w:val="005060BA"/>
    <w:rPr>
      <w:noProof/>
      <w:sz w:val="24"/>
      <w:szCs w:val="24"/>
    </w:rPr>
  </w:style>
  <w:style w:type="character" w:styleId="FootnoteReference">
    <w:name w:val="footnote reference"/>
    <w:basedOn w:val="DefaultParagraphFont"/>
    <w:uiPriority w:val="99"/>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F02F94"/>
    <w:pPr>
      <w:tabs>
        <w:tab w:val="center" w:pos="4320"/>
        <w:tab w:val="right" w:pos="8640"/>
      </w:tabs>
      <w:spacing w:line="240" w:lineRule="auto"/>
    </w:pPr>
  </w:style>
  <w:style w:type="character" w:customStyle="1" w:styleId="HeaderChar">
    <w:name w:val="Header Char"/>
    <w:basedOn w:val="DefaultParagraphFont"/>
    <w:link w:val="Header"/>
    <w:rsid w:val="00F02F94"/>
    <w:rPr>
      <w:sz w:val="24"/>
      <w:szCs w:val="24"/>
    </w:rPr>
  </w:style>
  <w:style w:type="paragraph" w:styleId="Footer">
    <w:name w:val="footer"/>
    <w:basedOn w:val="Normal"/>
    <w:link w:val="FooterChar"/>
    <w:rsid w:val="00F02F94"/>
    <w:pPr>
      <w:tabs>
        <w:tab w:val="center" w:pos="4320"/>
        <w:tab w:val="right" w:pos="8640"/>
      </w:tabs>
      <w:spacing w:line="240" w:lineRule="auto"/>
    </w:pPr>
  </w:style>
  <w:style w:type="character" w:customStyle="1" w:styleId="FooterChar">
    <w:name w:val="Footer Char"/>
    <w:basedOn w:val="DefaultParagraphFont"/>
    <w:link w:val="Footer"/>
    <w:rsid w:val="00F02F94"/>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rsid w:val="007403CF"/>
    <w:rPr>
      <w:color w:val="0000FF" w:themeColor="hyperlink"/>
      <w:u w:val="single"/>
    </w:rPr>
  </w:style>
  <w:style w:type="paragraph" w:customStyle="1" w:styleId="footnote">
    <w:name w:val="footnote"/>
    <w:basedOn w:val="Normal"/>
    <w:rsid w:val="007403CF"/>
    <w:pPr>
      <w:widowControl w:val="0"/>
      <w:autoSpaceDE w:val="0"/>
      <w:autoSpaceDN w:val="0"/>
      <w:adjustRightInd w:val="0"/>
      <w:spacing w:line="360" w:lineRule="auto"/>
    </w:pPr>
    <w:rPr>
      <w:rFonts w:asciiTheme="minorHAnsi" w:eastAsiaTheme="minorEastAsia" w:hAnsiTheme="minorHAnsi" w:cstheme="minorBidi"/>
      <w:lang w:val="en-US" w:eastAsia="en-US"/>
    </w:rPr>
  </w:style>
  <w:style w:type="paragraph" w:styleId="DocumentMap">
    <w:name w:val="Document Map"/>
    <w:basedOn w:val="Normal"/>
    <w:link w:val="DocumentMapChar"/>
    <w:rsid w:val="0009173C"/>
    <w:pPr>
      <w:spacing w:line="240" w:lineRule="auto"/>
    </w:pPr>
    <w:rPr>
      <w:rFonts w:ascii="Lucida Grande" w:hAnsi="Lucida Grande" w:cs="Lucida Grande"/>
    </w:rPr>
  </w:style>
  <w:style w:type="character" w:customStyle="1" w:styleId="DocumentMapChar">
    <w:name w:val="Document Map Char"/>
    <w:basedOn w:val="DefaultParagraphFont"/>
    <w:link w:val="DocumentMap"/>
    <w:rsid w:val="0009173C"/>
    <w:rPr>
      <w:rFonts w:ascii="Lucida Grande" w:hAnsi="Lucida Grande" w:cs="Lucida Grande"/>
      <w:sz w:val="24"/>
      <w:szCs w:val="24"/>
    </w:rPr>
  </w:style>
  <w:style w:type="character" w:styleId="PageNumber">
    <w:name w:val="page number"/>
    <w:basedOn w:val="DefaultParagraphFont"/>
    <w:rsid w:val="0009173C"/>
  </w:style>
  <w:style w:type="paragraph" w:styleId="BalloonText">
    <w:name w:val="Balloon Text"/>
    <w:basedOn w:val="Normal"/>
    <w:link w:val="BalloonTextChar"/>
    <w:rsid w:val="004C2EEF"/>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4C2EEF"/>
    <w:rPr>
      <w:rFonts w:ascii="Lucida Grande" w:hAnsi="Lucida Grande" w:cs="Lucida Grande"/>
      <w:sz w:val="18"/>
      <w:szCs w:val="18"/>
    </w:rPr>
  </w:style>
  <w:style w:type="character" w:styleId="CommentReference">
    <w:name w:val="annotation reference"/>
    <w:basedOn w:val="DefaultParagraphFont"/>
    <w:rsid w:val="0080134E"/>
    <w:rPr>
      <w:sz w:val="18"/>
      <w:szCs w:val="18"/>
    </w:rPr>
  </w:style>
  <w:style w:type="paragraph" w:styleId="CommentText">
    <w:name w:val="annotation text"/>
    <w:basedOn w:val="Normal"/>
    <w:link w:val="CommentTextChar"/>
    <w:rsid w:val="0080134E"/>
    <w:pPr>
      <w:spacing w:line="240" w:lineRule="auto"/>
    </w:pPr>
  </w:style>
  <w:style w:type="character" w:customStyle="1" w:styleId="CommentTextChar">
    <w:name w:val="Comment Text Char"/>
    <w:basedOn w:val="DefaultParagraphFont"/>
    <w:link w:val="CommentText"/>
    <w:rsid w:val="0080134E"/>
    <w:rPr>
      <w:sz w:val="24"/>
      <w:szCs w:val="24"/>
    </w:rPr>
  </w:style>
  <w:style w:type="paragraph" w:styleId="CommentSubject">
    <w:name w:val="annotation subject"/>
    <w:basedOn w:val="CommentText"/>
    <w:next w:val="CommentText"/>
    <w:link w:val="CommentSubjectChar"/>
    <w:rsid w:val="0080134E"/>
    <w:rPr>
      <w:b/>
      <w:bCs/>
      <w:sz w:val="20"/>
      <w:szCs w:val="20"/>
    </w:rPr>
  </w:style>
  <w:style w:type="character" w:customStyle="1" w:styleId="CommentSubjectChar">
    <w:name w:val="Comment Subject Char"/>
    <w:basedOn w:val="CommentTextChar"/>
    <w:link w:val="CommentSubject"/>
    <w:rsid w:val="0080134E"/>
    <w:rPr>
      <w:b/>
      <w:bCs/>
      <w:sz w:val="24"/>
      <w:szCs w:val="24"/>
    </w:rPr>
  </w:style>
  <w:style w:type="paragraph" w:styleId="ListParagraph">
    <w:name w:val="List Paragraph"/>
    <w:basedOn w:val="Normal"/>
    <w:rsid w:val="00DA400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footnote text" w:uiPriority="99"/>
    <w:lsdException w:name="footnote reference" w:uiPriority="99"/>
  </w:latentStyles>
  <w:style w:type="paragraph" w:default="1" w:styleId="Normal">
    <w:name w:val="Normal"/>
    <w:qFormat/>
    <w:rsid w:val="00F35285"/>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qFormat/>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Abstract"/>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DF5B84"/>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uiPriority w:val="99"/>
    <w:rsid w:val="005060BA"/>
    <w:pPr>
      <w:ind w:left="284" w:hanging="284"/>
    </w:pPr>
    <w:rPr>
      <w:noProof/>
    </w:rPr>
  </w:style>
  <w:style w:type="character" w:customStyle="1" w:styleId="FootnoteTextChar">
    <w:name w:val="Footnote Text Char"/>
    <w:basedOn w:val="DefaultParagraphFont"/>
    <w:link w:val="FootnoteText"/>
    <w:uiPriority w:val="99"/>
    <w:rsid w:val="005060BA"/>
    <w:rPr>
      <w:noProof/>
      <w:sz w:val="24"/>
      <w:szCs w:val="24"/>
    </w:rPr>
  </w:style>
  <w:style w:type="character" w:styleId="FootnoteReference">
    <w:name w:val="footnote reference"/>
    <w:basedOn w:val="DefaultParagraphFont"/>
    <w:uiPriority w:val="99"/>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F02F94"/>
    <w:pPr>
      <w:tabs>
        <w:tab w:val="center" w:pos="4320"/>
        <w:tab w:val="right" w:pos="8640"/>
      </w:tabs>
      <w:spacing w:line="240" w:lineRule="auto"/>
    </w:pPr>
  </w:style>
  <w:style w:type="character" w:customStyle="1" w:styleId="HeaderChar">
    <w:name w:val="Header Char"/>
    <w:basedOn w:val="DefaultParagraphFont"/>
    <w:link w:val="Header"/>
    <w:rsid w:val="00F02F94"/>
    <w:rPr>
      <w:sz w:val="24"/>
      <w:szCs w:val="24"/>
    </w:rPr>
  </w:style>
  <w:style w:type="paragraph" w:styleId="Footer">
    <w:name w:val="footer"/>
    <w:basedOn w:val="Normal"/>
    <w:link w:val="FooterChar"/>
    <w:rsid w:val="00F02F94"/>
    <w:pPr>
      <w:tabs>
        <w:tab w:val="center" w:pos="4320"/>
        <w:tab w:val="right" w:pos="8640"/>
      </w:tabs>
      <w:spacing w:line="240" w:lineRule="auto"/>
    </w:pPr>
  </w:style>
  <w:style w:type="character" w:customStyle="1" w:styleId="FooterChar">
    <w:name w:val="Footer Char"/>
    <w:basedOn w:val="DefaultParagraphFont"/>
    <w:link w:val="Footer"/>
    <w:rsid w:val="00F02F94"/>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rsid w:val="007403CF"/>
    <w:rPr>
      <w:color w:val="0000FF" w:themeColor="hyperlink"/>
      <w:u w:val="single"/>
    </w:rPr>
  </w:style>
  <w:style w:type="paragraph" w:customStyle="1" w:styleId="footnote">
    <w:name w:val="footnote"/>
    <w:basedOn w:val="Normal"/>
    <w:rsid w:val="007403CF"/>
    <w:pPr>
      <w:widowControl w:val="0"/>
      <w:autoSpaceDE w:val="0"/>
      <w:autoSpaceDN w:val="0"/>
      <w:adjustRightInd w:val="0"/>
      <w:spacing w:line="360" w:lineRule="auto"/>
    </w:pPr>
    <w:rPr>
      <w:rFonts w:asciiTheme="minorHAnsi" w:eastAsiaTheme="minorEastAsia" w:hAnsiTheme="minorHAnsi" w:cstheme="minorBidi"/>
      <w:lang w:val="en-US" w:eastAsia="en-US"/>
    </w:rPr>
  </w:style>
  <w:style w:type="paragraph" w:styleId="DocumentMap">
    <w:name w:val="Document Map"/>
    <w:basedOn w:val="Normal"/>
    <w:link w:val="DocumentMapChar"/>
    <w:rsid w:val="0009173C"/>
    <w:pPr>
      <w:spacing w:line="240" w:lineRule="auto"/>
    </w:pPr>
    <w:rPr>
      <w:rFonts w:ascii="Lucida Grande" w:hAnsi="Lucida Grande" w:cs="Lucida Grande"/>
    </w:rPr>
  </w:style>
  <w:style w:type="character" w:customStyle="1" w:styleId="DocumentMapChar">
    <w:name w:val="Document Map Char"/>
    <w:basedOn w:val="DefaultParagraphFont"/>
    <w:link w:val="DocumentMap"/>
    <w:rsid w:val="0009173C"/>
    <w:rPr>
      <w:rFonts w:ascii="Lucida Grande" w:hAnsi="Lucida Grande" w:cs="Lucida Grande"/>
      <w:sz w:val="24"/>
      <w:szCs w:val="24"/>
    </w:rPr>
  </w:style>
  <w:style w:type="character" w:styleId="PageNumber">
    <w:name w:val="page number"/>
    <w:basedOn w:val="DefaultParagraphFont"/>
    <w:rsid w:val="0009173C"/>
  </w:style>
  <w:style w:type="paragraph" w:styleId="BalloonText">
    <w:name w:val="Balloon Text"/>
    <w:basedOn w:val="Normal"/>
    <w:link w:val="BalloonTextChar"/>
    <w:rsid w:val="004C2EEF"/>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4C2EEF"/>
    <w:rPr>
      <w:rFonts w:ascii="Lucida Grande" w:hAnsi="Lucida Grande" w:cs="Lucida Grande"/>
      <w:sz w:val="18"/>
      <w:szCs w:val="18"/>
    </w:rPr>
  </w:style>
  <w:style w:type="character" w:styleId="CommentReference">
    <w:name w:val="annotation reference"/>
    <w:basedOn w:val="DefaultParagraphFont"/>
    <w:rsid w:val="0080134E"/>
    <w:rPr>
      <w:sz w:val="18"/>
      <w:szCs w:val="18"/>
    </w:rPr>
  </w:style>
  <w:style w:type="paragraph" w:styleId="CommentText">
    <w:name w:val="annotation text"/>
    <w:basedOn w:val="Normal"/>
    <w:link w:val="CommentTextChar"/>
    <w:rsid w:val="0080134E"/>
    <w:pPr>
      <w:spacing w:line="240" w:lineRule="auto"/>
    </w:pPr>
  </w:style>
  <w:style w:type="character" w:customStyle="1" w:styleId="CommentTextChar">
    <w:name w:val="Comment Text Char"/>
    <w:basedOn w:val="DefaultParagraphFont"/>
    <w:link w:val="CommentText"/>
    <w:rsid w:val="0080134E"/>
    <w:rPr>
      <w:sz w:val="24"/>
      <w:szCs w:val="24"/>
    </w:rPr>
  </w:style>
  <w:style w:type="paragraph" w:styleId="CommentSubject">
    <w:name w:val="annotation subject"/>
    <w:basedOn w:val="CommentText"/>
    <w:next w:val="CommentText"/>
    <w:link w:val="CommentSubjectChar"/>
    <w:rsid w:val="0080134E"/>
    <w:rPr>
      <w:b/>
      <w:bCs/>
      <w:sz w:val="20"/>
      <w:szCs w:val="20"/>
    </w:rPr>
  </w:style>
  <w:style w:type="character" w:customStyle="1" w:styleId="CommentSubjectChar">
    <w:name w:val="Comment Subject Char"/>
    <w:basedOn w:val="CommentTextChar"/>
    <w:link w:val="CommentSubject"/>
    <w:rsid w:val="0080134E"/>
    <w:rPr>
      <w:b/>
      <w:bCs/>
      <w:sz w:val="24"/>
      <w:szCs w:val="24"/>
    </w:rPr>
  </w:style>
  <w:style w:type="paragraph" w:styleId="ListParagraph">
    <w:name w:val="List Paragraph"/>
    <w:basedOn w:val="Normal"/>
    <w:rsid w:val="00DA40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E7ACC-2BB1-2A44-9130-F9607D270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5526</Words>
  <Characters>31501</Characters>
  <Application>Microsoft Macintosh Word</Application>
  <DocSecurity>0</DocSecurity>
  <Lines>262</Lines>
  <Paragraphs>73</Paragraphs>
  <ScaleCrop>false</ScaleCrop>
  <Company>Middlesex University</Company>
  <LinksUpToDate>false</LinksUpToDate>
  <CharactersWithSpaces>36954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TF_Template_Word_Mac_2011</dc:title>
  <dc:creator>zoe hendon</dc:creator>
  <cp:lastModifiedBy>zoe hendon</cp:lastModifiedBy>
  <cp:revision>5</cp:revision>
  <cp:lastPrinted>2017-08-28T14:51:00Z</cp:lastPrinted>
  <dcterms:created xsi:type="dcterms:W3CDTF">2017-09-30T08:40:00Z</dcterms:created>
  <dcterms:modified xsi:type="dcterms:W3CDTF">2017-10-04T08:39:00Z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df8db890-0ae6-3363-8ae5-221154637cb2</vt:lpwstr>
  </property>
  <property fmtid="{D5CDD505-2E9C-101B-9397-08002B2CF9AE}" pid="4" name="Mendeley Citation Style_1">
    <vt:lpwstr>http://www.zotero.org/styles/chicago-fullnote-bibliography</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16th edition (full note)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7th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