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28E3" w14:textId="4650C0F7" w:rsidR="00CA087D" w:rsidRPr="007C0BB8" w:rsidRDefault="007C0BB8">
      <w:r>
        <w:rPr>
          <w:b/>
        </w:rPr>
        <w:t xml:space="preserve">Title: </w:t>
      </w:r>
      <w:r w:rsidR="00CA087D" w:rsidRPr="007C0BB8">
        <w:t xml:space="preserve">Patterns in reduction or cessation of drinking in Australia </w:t>
      </w:r>
      <w:r w:rsidR="00641D38">
        <w:t>(2001-2013) and motivation</w:t>
      </w:r>
      <w:r w:rsidR="00CA087D" w:rsidRPr="007C0BB8">
        <w:t xml:space="preserve"> for change</w:t>
      </w:r>
    </w:p>
    <w:p w14:paraId="4A0315F1" w14:textId="77777777" w:rsidR="004076A4" w:rsidRDefault="004076A4"/>
    <w:p w14:paraId="67685D51" w14:textId="7574245F" w:rsidR="007C0BB8" w:rsidRPr="007C0BB8" w:rsidRDefault="007C0BB8">
      <w:r>
        <w:rPr>
          <w:b/>
        </w:rPr>
        <w:t xml:space="preserve">Running title: </w:t>
      </w:r>
      <w:r w:rsidR="00641D38">
        <w:t>Motivation</w:t>
      </w:r>
      <w:r>
        <w:t xml:space="preserve"> for reducing drinking in Australia</w:t>
      </w:r>
    </w:p>
    <w:p w14:paraId="29D0D4A7" w14:textId="77777777" w:rsidR="007C0BB8" w:rsidRDefault="007C0BB8"/>
    <w:p w14:paraId="43779501" w14:textId="736D97A3" w:rsidR="004076A4" w:rsidRPr="004076A4" w:rsidRDefault="004076A4">
      <w:pPr>
        <w:rPr>
          <w:b/>
        </w:rPr>
      </w:pPr>
      <w:r w:rsidRPr="004076A4">
        <w:rPr>
          <w:b/>
        </w:rPr>
        <w:t>Authors:</w:t>
      </w:r>
    </w:p>
    <w:p w14:paraId="66928514" w14:textId="7E0B0265" w:rsidR="00FF6D4B" w:rsidRDefault="00FF6D4B" w:rsidP="004076A4">
      <w:pPr>
        <w:pStyle w:val="ListParagraph"/>
        <w:numPr>
          <w:ilvl w:val="0"/>
          <w:numId w:val="1"/>
        </w:numPr>
        <w:spacing w:after="120"/>
        <w:ind w:left="414" w:hanging="357"/>
      </w:pPr>
      <w:r>
        <w:t xml:space="preserve">Amy Pennay, </w:t>
      </w:r>
      <w:r w:rsidR="00003392">
        <w:t>PhD, Research Fellow, Centre for Alcohol Policy Research, La Trobe University, Melbourne, Australia.</w:t>
      </w:r>
    </w:p>
    <w:p w14:paraId="41E5F116" w14:textId="165538D8" w:rsidR="00003392" w:rsidRDefault="00003392" w:rsidP="004076A4">
      <w:pPr>
        <w:pStyle w:val="ListParagraph"/>
        <w:numPr>
          <w:ilvl w:val="0"/>
          <w:numId w:val="1"/>
        </w:numPr>
        <w:spacing w:after="120"/>
        <w:ind w:left="414" w:hanging="357"/>
      </w:pPr>
      <w:r>
        <w:t>Sarah Callinan, PhD, Research Fellow, Centre for Alcohol Policy Research, La Trobe University, Melbourne, Australia.</w:t>
      </w:r>
    </w:p>
    <w:p w14:paraId="2196C1EE" w14:textId="68A1A034" w:rsidR="00003392" w:rsidRPr="004076A4" w:rsidRDefault="00003392" w:rsidP="004076A4">
      <w:pPr>
        <w:pStyle w:val="ListParagraph"/>
        <w:numPr>
          <w:ilvl w:val="0"/>
          <w:numId w:val="1"/>
        </w:numPr>
        <w:spacing w:after="120" w:line="276" w:lineRule="auto"/>
        <w:ind w:left="414" w:hanging="357"/>
        <w:rPr>
          <w:rFonts w:ascii="Calibri" w:hAnsi="Calibri"/>
        </w:rPr>
      </w:pPr>
      <w:r>
        <w:t xml:space="preserve">Michael Livingston, PhD, Senior Research Fellow, Centre for Alcohol Policy Research, La Trobe University, Melbourne Australia; and </w:t>
      </w:r>
      <w:r w:rsidRPr="004076A4">
        <w:rPr>
          <w:rFonts w:ascii="Calibri" w:hAnsi="Calibri"/>
        </w:rPr>
        <w:t xml:space="preserve">Department of Clinical Neurosciences, Karolinska </w:t>
      </w:r>
      <w:proofErr w:type="spellStart"/>
      <w:r w:rsidRPr="004076A4">
        <w:rPr>
          <w:rFonts w:ascii="Calibri" w:hAnsi="Calibri"/>
        </w:rPr>
        <w:t>Institutet</w:t>
      </w:r>
      <w:proofErr w:type="spellEnd"/>
      <w:r w:rsidRPr="004076A4">
        <w:rPr>
          <w:rFonts w:ascii="Calibri" w:hAnsi="Calibri"/>
        </w:rPr>
        <w:t>, Stockholm, Sweden.</w:t>
      </w:r>
    </w:p>
    <w:p w14:paraId="550653E0" w14:textId="35E81598" w:rsidR="00003392" w:rsidRDefault="00003392" w:rsidP="004076A4">
      <w:pPr>
        <w:pStyle w:val="ListParagraph"/>
        <w:numPr>
          <w:ilvl w:val="0"/>
          <w:numId w:val="1"/>
        </w:numPr>
        <w:spacing w:after="120"/>
        <w:ind w:left="414" w:hanging="357"/>
      </w:pPr>
      <w:r>
        <w:t xml:space="preserve">Daniel I Lubman, PhD, </w:t>
      </w:r>
      <w:r w:rsidR="0087017F">
        <w:t>Professor</w:t>
      </w:r>
      <w:r>
        <w:t xml:space="preserve">, Turning Point, Melbourne, Australia; and Monash University, Melbourne, Australia. </w:t>
      </w:r>
    </w:p>
    <w:p w14:paraId="2FA5CA62" w14:textId="77777777" w:rsidR="00003392" w:rsidRPr="004076A4" w:rsidRDefault="00003392" w:rsidP="004076A4">
      <w:pPr>
        <w:pStyle w:val="ListParagraph"/>
        <w:numPr>
          <w:ilvl w:val="0"/>
          <w:numId w:val="1"/>
        </w:numPr>
        <w:spacing w:after="120" w:line="276" w:lineRule="auto"/>
        <w:ind w:left="414" w:hanging="357"/>
        <w:rPr>
          <w:rFonts w:ascii="Calibri" w:hAnsi="Calibri"/>
        </w:rPr>
      </w:pPr>
      <w:r w:rsidRPr="004076A4">
        <w:rPr>
          <w:rFonts w:ascii="Calibri" w:hAnsi="Calibri"/>
        </w:rPr>
        <w:t xml:space="preserve">John Holmes, PhD, Senior Research Fellow, School of Health and Related Research, University of Sheffield, UK.  </w:t>
      </w:r>
    </w:p>
    <w:p w14:paraId="5C2E5121" w14:textId="77777777" w:rsidR="00003392" w:rsidRDefault="00003392" w:rsidP="004076A4">
      <w:pPr>
        <w:pStyle w:val="ListParagraph"/>
        <w:numPr>
          <w:ilvl w:val="0"/>
          <w:numId w:val="1"/>
        </w:numPr>
        <w:spacing w:after="120"/>
        <w:ind w:left="414" w:hanging="357"/>
      </w:pPr>
      <w:r>
        <w:t>Sarah MacLean, PhD, Senior Lecturer, School of Allied Health, La Trobe University, Melbourne, Australia; and Centre for Alcohol Policy Research, La Trobe University, Melbourne, Australia.</w:t>
      </w:r>
    </w:p>
    <w:p w14:paraId="48C2E911" w14:textId="65226249" w:rsidR="00B44366" w:rsidRDefault="00003392" w:rsidP="004076A4">
      <w:pPr>
        <w:pStyle w:val="ListParagraph"/>
        <w:numPr>
          <w:ilvl w:val="0"/>
          <w:numId w:val="1"/>
        </w:numPr>
        <w:spacing w:after="120"/>
        <w:ind w:left="414" w:hanging="357"/>
      </w:pPr>
      <w:r>
        <w:t xml:space="preserve">Rachel Herring, PhD, Senior Research Fellow, </w:t>
      </w:r>
      <w:r w:rsidR="00750373">
        <w:t>Drug and Alcohol Research Centre, Department of Mental Health, Social Work and Integrative Medicine, School of Health Education, Middlesex University, London, UK.</w:t>
      </w:r>
    </w:p>
    <w:p w14:paraId="0651E839" w14:textId="7675680C" w:rsidR="00003392" w:rsidRDefault="00501F43" w:rsidP="004076A4">
      <w:pPr>
        <w:pStyle w:val="ListParagraph"/>
        <w:numPr>
          <w:ilvl w:val="0"/>
          <w:numId w:val="1"/>
        </w:numPr>
        <w:ind w:left="417"/>
      </w:pPr>
      <w:r>
        <w:t xml:space="preserve">Paul Dietze, </w:t>
      </w:r>
      <w:r w:rsidR="0087017F">
        <w:t>PhD, Professor, Centre for Population Health, Burnet Institute, Melbourne, Australia; and School of Public Health and Preventive Medicine, Monash University, Melbourne, Australia</w:t>
      </w:r>
    </w:p>
    <w:p w14:paraId="79A4F3C8" w14:textId="77777777" w:rsidR="00501F43" w:rsidRDefault="00501F43"/>
    <w:p w14:paraId="11258FEB" w14:textId="49BE5040" w:rsidR="0087017F" w:rsidRPr="0087017F" w:rsidRDefault="0087017F">
      <w:r w:rsidRPr="0087017F">
        <w:t>*Corresponding author:</w:t>
      </w:r>
      <w:r>
        <w:t xml:space="preserve"> Amy Pennay, Centre for Alcohol Policy Research, </w:t>
      </w:r>
      <w:r w:rsidR="00E774F1">
        <w:t>La Trobe University, Bundoora</w:t>
      </w:r>
      <w:r>
        <w:t xml:space="preserve">, </w:t>
      </w:r>
      <w:r w:rsidR="00E774F1">
        <w:t>Victoria</w:t>
      </w:r>
      <w:r>
        <w:t>, Australia, 30</w:t>
      </w:r>
      <w:r w:rsidR="00E774F1">
        <w:t>83</w:t>
      </w:r>
      <w:r>
        <w:t xml:space="preserve">. </w:t>
      </w:r>
      <w:hyperlink r:id="rId8" w:history="1">
        <w:r w:rsidRPr="00AE0184">
          <w:rPr>
            <w:rStyle w:val="Hyperlink"/>
          </w:rPr>
          <w:t>a.pennay@latrobe.edu.au</w:t>
        </w:r>
      </w:hyperlink>
      <w:r>
        <w:t xml:space="preserve">; +61 3 9479 8725. </w:t>
      </w:r>
    </w:p>
    <w:p w14:paraId="690EF213" w14:textId="77777777" w:rsidR="0087017F" w:rsidRDefault="0087017F">
      <w:pPr>
        <w:rPr>
          <w:b/>
        </w:rPr>
      </w:pPr>
    </w:p>
    <w:p w14:paraId="7D69BC95" w14:textId="6922B181" w:rsidR="0087017F" w:rsidRPr="007C0BB8" w:rsidRDefault="00E10BCE">
      <w:r>
        <w:rPr>
          <w:b/>
        </w:rPr>
        <w:t>Key</w:t>
      </w:r>
      <w:r w:rsidR="007C0BB8" w:rsidRPr="007C0BB8">
        <w:rPr>
          <w:b/>
        </w:rPr>
        <w:t>words:</w:t>
      </w:r>
      <w:r w:rsidR="007C0BB8">
        <w:rPr>
          <w:b/>
        </w:rPr>
        <w:t xml:space="preserve"> </w:t>
      </w:r>
      <w:r w:rsidR="007C0BB8">
        <w:t xml:space="preserve">alcohol, abstinence, </w:t>
      </w:r>
      <w:r>
        <w:t xml:space="preserve">young people, </w:t>
      </w:r>
      <w:r w:rsidR="007C0BB8">
        <w:t>epidemiology, Australia</w:t>
      </w:r>
    </w:p>
    <w:p w14:paraId="3E1D8726" w14:textId="77777777" w:rsidR="00B01C3B" w:rsidRPr="005F7D2C" w:rsidRDefault="00B01C3B">
      <w:pPr>
        <w:rPr>
          <w:b/>
        </w:rPr>
      </w:pPr>
    </w:p>
    <w:p w14:paraId="685E3DE0" w14:textId="77777777" w:rsidR="00FF6D4B" w:rsidRDefault="00FF6D4B">
      <w:r>
        <w:br w:type="page"/>
      </w:r>
    </w:p>
    <w:p w14:paraId="58074ED8" w14:textId="2B6897C1" w:rsidR="00FF6D4B" w:rsidRDefault="00FF6D4B" w:rsidP="00FF6D4B">
      <w:pPr>
        <w:spacing w:line="360" w:lineRule="auto"/>
        <w:rPr>
          <w:b/>
        </w:rPr>
      </w:pPr>
      <w:r>
        <w:rPr>
          <w:b/>
        </w:rPr>
        <w:lastRenderedPageBreak/>
        <w:t>Abstract</w:t>
      </w:r>
    </w:p>
    <w:p w14:paraId="02789B1D" w14:textId="796C7014" w:rsidR="00FF6D4B" w:rsidRDefault="00E10BCE" w:rsidP="00FF6D4B">
      <w:pPr>
        <w:spacing w:line="360" w:lineRule="auto"/>
      </w:pPr>
      <w:r>
        <w:rPr>
          <w:b/>
          <w:i/>
        </w:rPr>
        <w:t>Aims</w:t>
      </w:r>
      <w:r w:rsidR="00FF6D4B" w:rsidRPr="00FF6D4B">
        <w:rPr>
          <w:b/>
          <w:i/>
        </w:rPr>
        <w:t>:</w:t>
      </w:r>
      <w:r w:rsidR="00FF6D4B">
        <w:t xml:space="preserve"> </w:t>
      </w:r>
      <w:r w:rsidR="000B2E01">
        <w:t>T</w:t>
      </w:r>
      <w:r w:rsidR="00FF6D4B">
        <w:t>his paper</w:t>
      </w:r>
      <w:r w:rsidR="000B2E01">
        <w:t xml:space="preserve"> examines</w:t>
      </w:r>
      <w:r w:rsidR="00FF6D4B">
        <w:t xml:space="preserve">: 1) change over time (2001-2013) </w:t>
      </w:r>
      <w:r w:rsidR="00044362">
        <w:t xml:space="preserve">in </w:t>
      </w:r>
      <w:r w:rsidR="00FF6D4B">
        <w:t>recently reducing or ceasing drinking in the Australian population, and 2) the reasons given for reducing or ceasing drinking in the most recent survey (2013)</w:t>
      </w:r>
      <w:r w:rsidR="00B6670D">
        <w:t>; stratified by sex and age group</w:t>
      </w:r>
      <w:r w:rsidR="00FF6D4B">
        <w:t>.</w:t>
      </w:r>
    </w:p>
    <w:p w14:paraId="283AB1A1" w14:textId="2B52B236" w:rsidR="00044362" w:rsidRDefault="00FF6D4B" w:rsidP="00FF6D4B">
      <w:pPr>
        <w:spacing w:line="360" w:lineRule="auto"/>
        <w:rPr>
          <w:rFonts w:ascii="Calibri" w:hAnsi="Calibri" w:cs="Times New Roman"/>
        </w:rPr>
      </w:pPr>
      <w:r w:rsidRPr="00FF6D4B">
        <w:rPr>
          <w:b/>
          <w:i/>
        </w:rPr>
        <w:t>Methods:</w:t>
      </w:r>
      <w:r>
        <w:rPr>
          <w:b/>
        </w:rPr>
        <w:t xml:space="preserve"> </w:t>
      </w:r>
      <w:r w:rsidR="000B2E01">
        <w:t>Data are from f</w:t>
      </w:r>
      <w:r>
        <w:t xml:space="preserve">ive waves of the National Drug Strategy Household Survey (N=119,397). </w:t>
      </w:r>
      <w:r w:rsidR="00044362">
        <w:rPr>
          <w:rFonts w:ascii="Calibri" w:hAnsi="Calibri" w:cs="Times New Roman"/>
        </w:rPr>
        <w:t xml:space="preserve">Logistic regression models with interaction terms were used to identify a shift in sex </w:t>
      </w:r>
      <w:r w:rsidR="00B6670D">
        <w:rPr>
          <w:rFonts w:ascii="Calibri" w:hAnsi="Calibri" w:cs="Times New Roman"/>
        </w:rPr>
        <w:t xml:space="preserve">or age </w:t>
      </w:r>
      <w:r w:rsidR="00044362">
        <w:rPr>
          <w:rFonts w:ascii="Calibri" w:hAnsi="Calibri" w:cs="Times New Roman"/>
        </w:rPr>
        <w:t xml:space="preserve">over time in predicting reduction or cessation of drinking, and </w:t>
      </w:r>
      <w:r w:rsidR="00044362" w:rsidRPr="003C0801">
        <w:rPr>
          <w:rFonts w:ascii="Calibri" w:hAnsi="Calibri" w:cs="Times New Roman"/>
        </w:rPr>
        <w:t>to</w:t>
      </w:r>
      <w:r w:rsidR="00044362">
        <w:rPr>
          <w:rFonts w:ascii="Calibri" w:hAnsi="Calibri" w:cs="Times New Roman"/>
        </w:rPr>
        <w:t xml:space="preserve"> predict motivations </w:t>
      </w:r>
      <w:r w:rsidR="000B2E01">
        <w:rPr>
          <w:rFonts w:ascii="Calibri" w:hAnsi="Calibri" w:cs="Times New Roman"/>
        </w:rPr>
        <w:t xml:space="preserve">for reducing or ceasing drinking </w:t>
      </w:r>
      <w:r w:rsidR="00044362">
        <w:rPr>
          <w:rFonts w:ascii="Calibri" w:hAnsi="Calibri" w:cs="Times New Roman"/>
        </w:rPr>
        <w:t xml:space="preserve">by sex and age. </w:t>
      </w:r>
    </w:p>
    <w:p w14:paraId="15449501" w14:textId="62E69E5F" w:rsidR="00FF6D4B" w:rsidRPr="005F7D2C" w:rsidRDefault="00FF6D4B" w:rsidP="00FF6D4B">
      <w:pPr>
        <w:spacing w:line="360" w:lineRule="auto"/>
        <w:rPr>
          <w:b/>
        </w:rPr>
      </w:pPr>
      <w:r w:rsidRPr="00FF6D4B">
        <w:rPr>
          <w:b/>
          <w:i/>
        </w:rPr>
        <w:t xml:space="preserve">Results: </w:t>
      </w:r>
      <w:r>
        <w:t xml:space="preserve">Reports of recently reducing the quantity or frequency of drinking increased from 2001 to </w:t>
      </w:r>
      <w:proofErr w:type="gramStart"/>
      <w:r>
        <w:t>2007, and</w:t>
      </w:r>
      <w:proofErr w:type="gramEnd"/>
      <w:r>
        <w:t xml:space="preserve"> remained stable between 2007 and 2013. </w:t>
      </w:r>
      <w:r w:rsidR="00B6670D">
        <w:t>There was a steady increase in the number of Australians reporting recently ceasing drinking from 2001 to 2013</w:t>
      </w:r>
      <w:r w:rsidR="000B2E01">
        <w:t>, with a significant effect for age (younger groups more likely than older groups to cease drinking in the past two waves)</w:t>
      </w:r>
      <w:r w:rsidR="00B6670D">
        <w:t xml:space="preserve">. </w:t>
      </w:r>
      <w:r>
        <w:t xml:space="preserve">Reasons for reducing or ceasing drinking varied by age, with older people more likely to report health reasons, and younger people more likely to report </w:t>
      </w:r>
      <w:r w:rsidR="00125373">
        <w:t xml:space="preserve">lifestyle </w:t>
      </w:r>
      <w:r>
        <w:t xml:space="preserve">reasons or enjoyment. </w:t>
      </w:r>
    </w:p>
    <w:p w14:paraId="03150256" w14:textId="6D54B89E" w:rsidR="00FF6D4B" w:rsidRPr="005F7D2C" w:rsidRDefault="00FF6D4B" w:rsidP="00FF6D4B">
      <w:pPr>
        <w:spacing w:line="360" w:lineRule="auto"/>
        <w:rPr>
          <w:b/>
        </w:rPr>
      </w:pPr>
      <w:r w:rsidRPr="00FF6D4B">
        <w:rPr>
          <w:b/>
          <w:i/>
        </w:rPr>
        <w:t>Conclusion:</w:t>
      </w:r>
      <w:r>
        <w:rPr>
          <w:b/>
        </w:rPr>
        <w:t xml:space="preserve"> </w:t>
      </w:r>
      <w:r>
        <w:t>Increases over time in reports of reduction or cessation of drinking due to health, lifestyle, social and enjoyment reasons, suggests that the social position of alcohol in Australia may be shifting</w:t>
      </w:r>
      <w:r w:rsidR="00B91BF9">
        <w:t>, particularly among young people</w:t>
      </w:r>
      <w:r>
        <w:t>.</w:t>
      </w:r>
    </w:p>
    <w:p w14:paraId="344E2614" w14:textId="77777777" w:rsidR="00B44366" w:rsidRPr="005F7D2C" w:rsidRDefault="00B44366">
      <w:pPr>
        <w:rPr>
          <w:b/>
        </w:rPr>
      </w:pPr>
    </w:p>
    <w:p w14:paraId="73008271" w14:textId="77777777" w:rsidR="00E10BCE" w:rsidRDefault="00E10BCE" w:rsidP="00E10BCE">
      <w:pPr>
        <w:spacing w:after="200" w:line="360" w:lineRule="auto"/>
        <w:rPr>
          <w:b/>
        </w:rPr>
      </w:pPr>
    </w:p>
    <w:p w14:paraId="54B8DDE1" w14:textId="47F090CA" w:rsidR="00E10BCE" w:rsidRPr="00E10BCE" w:rsidRDefault="00E10BCE" w:rsidP="00E10BCE">
      <w:pPr>
        <w:spacing w:after="200" w:line="360" w:lineRule="auto"/>
        <w:rPr>
          <w:b/>
        </w:rPr>
      </w:pPr>
      <w:r>
        <w:rPr>
          <w:b/>
        </w:rPr>
        <w:t>Summary</w:t>
      </w:r>
    </w:p>
    <w:p w14:paraId="7EEACAD0" w14:textId="44567F20" w:rsidR="00E10BCE" w:rsidRDefault="00466F6A" w:rsidP="00E10BCE">
      <w:pPr>
        <w:spacing w:after="200" w:line="360" w:lineRule="auto"/>
      </w:pPr>
      <w:r>
        <w:t>R</w:t>
      </w:r>
      <w:r w:rsidR="00E10BCE" w:rsidRPr="00D41B10">
        <w:t xml:space="preserve">ates of </w:t>
      </w:r>
      <w:r w:rsidR="00E10BCE">
        <w:t xml:space="preserve">reducing and </w:t>
      </w:r>
      <w:r w:rsidR="00E10BCE" w:rsidRPr="00D41B10">
        <w:t xml:space="preserve">ceasing drinking </w:t>
      </w:r>
      <w:r w:rsidR="00E10BCE">
        <w:t xml:space="preserve">increased between 2001 and </w:t>
      </w:r>
      <w:r w:rsidR="00E10BCE" w:rsidRPr="00D41B10">
        <w:t>2013</w:t>
      </w:r>
      <w:r>
        <w:t xml:space="preserve"> in Australia</w:t>
      </w:r>
      <w:r w:rsidR="00E10BCE">
        <w:t xml:space="preserve">. </w:t>
      </w:r>
      <w:r w:rsidR="00E10BCE" w:rsidRPr="00E10BCE">
        <w:rPr>
          <w:rFonts w:ascii="Calibri" w:hAnsi="Calibri"/>
        </w:rPr>
        <w:t xml:space="preserve">Young people were more likely to modify drinking due to </w:t>
      </w:r>
      <w:r w:rsidR="00E10BCE" w:rsidRPr="00E10BCE">
        <w:rPr>
          <w:rFonts w:ascii="Calibri" w:hAnsi="Calibri" w:cs="Times New Roman"/>
        </w:rPr>
        <w:t>lifestyle and enjoyment reasons; o</w:t>
      </w:r>
      <w:r w:rsidR="00E10BCE" w:rsidRPr="00E10BCE">
        <w:rPr>
          <w:rFonts w:ascii="Calibri" w:hAnsi="Calibri"/>
        </w:rPr>
        <w:t xml:space="preserve">lder groups were more likely to report health reasons. </w:t>
      </w:r>
      <w:r w:rsidR="00E10BCE" w:rsidRPr="00D41B10">
        <w:t>The</w:t>
      </w:r>
      <w:r w:rsidR="00E10BCE">
        <w:t>se</w:t>
      </w:r>
      <w:r w:rsidR="00E10BCE" w:rsidRPr="00D41B10">
        <w:t xml:space="preserve"> trends contribute to the broader context of declining alcohol consumption in Australia</w:t>
      </w:r>
      <w:r w:rsidR="00E10BCE">
        <w:t>.</w:t>
      </w:r>
    </w:p>
    <w:p w14:paraId="6E9D9DAC" w14:textId="77777777" w:rsidR="008B24F6" w:rsidRDefault="008B24F6">
      <w:r>
        <w:br w:type="page"/>
      </w:r>
    </w:p>
    <w:p w14:paraId="2FB6CB6B" w14:textId="77777777" w:rsidR="00B44366" w:rsidRPr="00915EF8" w:rsidRDefault="008B24F6" w:rsidP="00D62D0C">
      <w:pPr>
        <w:spacing w:line="360" w:lineRule="auto"/>
        <w:rPr>
          <w:rFonts w:ascii="Calibri" w:hAnsi="Calibri"/>
          <w:b/>
        </w:rPr>
      </w:pPr>
      <w:r w:rsidRPr="00915EF8">
        <w:rPr>
          <w:rFonts w:ascii="Calibri" w:hAnsi="Calibri"/>
          <w:b/>
        </w:rPr>
        <w:lastRenderedPageBreak/>
        <w:t>Introduction</w:t>
      </w:r>
    </w:p>
    <w:p w14:paraId="24CA42A9" w14:textId="7FF3AB68" w:rsidR="00177561" w:rsidRPr="00340DD1" w:rsidRDefault="009171B8" w:rsidP="00177561">
      <w:pPr>
        <w:spacing w:line="360" w:lineRule="auto"/>
        <w:rPr>
          <w:rFonts w:ascii="Calibri" w:hAnsi="Calibri"/>
        </w:rPr>
      </w:pPr>
      <w:r w:rsidRPr="00915EF8">
        <w:rPr>
          <w:rFonts w:ascii="Calibri" w:hAnsi="Calibri"/>
        </w:rPr>
        <w:t>P</w:t>
      </w:r>
      <w:r w:rsidR="00C00C95" w:rsidRPr="00915EF8">
        <w:rPr>
          <w:rFonts w:ascii="Calibri" w:hAnsi="Calibri"/>
        </w:rPr>
        <w:t xml:space="preserve">er capita consumption of alcohol </w:t>
      </w:r>
      <w:r w:rsidRPr="00915EF8">
        <w:rPr>
          <w:rFonts w:ascii="Calibri" w:hAnsi="Calibri"/>
        </w:rPr>
        <w:t xml:space="preserve">in Australia has </w:t>
      </w:r>
      <w:r w:rsidR="001A0167">
        <w:rPr>
          <w:rFonts w:ascii="Calibri" w:hAnsi="Calibri"/>
        </w:rPr>
        <w:t>been in decline</w:t>
      </w:r>
      <w:r w:rsidRPr="00915EF8">
        <w:rPr>
          <w:rFonts w:ascii="Calibri" w:hAnsi="Calibri"/>
        </w:rPr>
        <w:t xml:space="preserve"> over the past ten years</w:t>
      </w:r>
      <w:r w:rsidR="00F907CA">
        <w:rPr>
          <w:rFonts w:ascii="Calibri" w:hAnsi="Calibri"/>
        </w:rPr>
        <w:t>.</w:t>
      </w:r>
      <w:r w:rsidR="008C6BA0" w:rsidRPr="00915EF8">
        <w:rPr>
          <w:rFonts w:ascii="Calibri" w:hAnsi="Calibri"/>
        </w:rPr>
        <w:t xml:space="preserve"> </w:t>
      </w:r>
      <w:r w:rsidR="00F907CA">
        <w:t>Sales data suggests the downward trend began around 2007 (10.76 litre</w:t>
      </w:r>
      <w:r w:rsidR="008C5371">
        <w:t>s per person), decreasing</w:t>
      </w:r>
      <w:r w:rsidR="00F907CA">
        <w:t xml:space="preserve"> over time to </w:t>
      </w:r>
      <w:r w:rsidR="007A32E9">
        <w:t xml:space="preserve">2015 </w:t>
      </w:r>
      <w:r w:rsidR="00F907CA">
        <w:fldChar w:fldCharType="begin"/>
      </w:r>
      <w:r w:rsidR="00EC6699">
        <w:instrText xml:space="preserve"> ADDIN EN.CITE &lt;EndNote&gt;&lt;Cite&gt;&lt;Author&gt;Australian Bureau of Statistics&lt;/Author&gt;&lt;Year&gt;2017&lt;/Year&gt;&lt;RecNum&gt;154&lt;/RecNum&gt;&lt;Prefix&gt;9.52 litres per person`; &lt;/Prefix&gt;&lt;DisplayText&gt;(9.52 litres per person; Australian Bureau of Statistics, 2017)&lt;/DisplayText&gt;&lt;record&gt;&lt;rec-number&gt;154&lt;/rec-number&gt;&lt;foreign-keys&gt;&lt;key app="EN" db-id="xr20xxrwks2v5re509w5r2pftxrevzzxpp0p" timestamp="1493165861"&gt;154&lt;/key&gt;&lt;/foreign-keys&gt;&lt;ref-type name="Report"&gt;27&lt;/ref-type&gt;&lt;contributors&gt;&lt;authors&gt;&lt;author&gt;Australian Bureau of Statistics,&lt;/author&gt;&lt;/authors&gt;&lt;/contributors&gt;&lt;titles&gt;&lt;title&gt;Apparent Consumption of Alcohol, Australia, 2015-2016&lt;/title&gt;&lt;/titles&gt;&lt;dates&gt;&lt;year&gt;2017&lt;/year&gt;&lt;/dates&gt;&lt;pub-location&gt;Canberra&lt;/pub-location&gt;&lt;publisher&gt;Australian Bureau of Statistics. http://www.abs.gov.au/ausstats/abs@.nsf/mf/4307.0.55.001/&lt;/publisher&gt;&lt;urls&gt;&lt;/urls&gt;&lt;/record&gt;&lt;/Cite&gt;&lt;/EndNote&gt;</w:instrText>
      </w:r>
      <w:r w:rsidR="00F907CA">
        <w:fldChar w:fldCharType="separate"/>
      </w:r>
      <w:r w:rsidR="00EC6699">
        <w:rPr>
          <w:noProof/>
        </w:rPr>
        <w:t>(9.52 litres per person; Australian Bureau of Statistics, 2017)</w:t>
      </w:r>
      <w:r w:rsidR="00F907CA">
        <w:fldChar w:fldCharType="end"/>
      </w:r>
      <w:r w:rsidR="00F907CA">
        <w:t xml:space="preserve">. </w:t>
      </w:r>
      <w:r w:rsidR="007A32E9">
        <w:t>This t</w:t>
      </w:r>
      <w:r w:rsidR="0042264A">
        <w:t>rend is not unique to Australia, with</w:t>
      </w:r>
      <w:r w:rsidR="007A32E9">
        <w:t xml:space="preserve"> </w:t>
      </w:r>
      <w:r w:rsidR="0042264A">
        <w:rPr>
          <w:rFonts w:ascii="Calibri" w:hAnsi="Calibri"/>
        </w:rPr>
        <w:t>s</w:t>
      </w:r>
      <w:r w:rsidR="0042264A" w:rsidRPr="00915EF8">
        <w:rPr>
          <w:rFonts w:ascii="Calibri" w:hAnsi="Calibri"/>
        </w:rPr>
        <w:t xml:space="preserve">imilar </w:t>
      </w:r>
      <w:r w:rsidR="0042264A">
        <w:rPr>
          <w:rFonts w:ascii="Calibri" w:hAnsi="Calibri"/>
        </w:rPr>
        <w:t xml:space="preserve">decreases in national consumption </w:t>
      </w:r>
      <w:r w:rsidR="0042264A" w:rsidRPr="00915EF8">
        <w:rPr>
          <w:rFonts w:ascii="Calibri" w:hAnsi="Calibri"/>
        </w:rPr>
        <w:t>evident in other western countries</w:t>
      </w:r>
      <w:r w:rsidR="0042264A">
        <w:rPr>
          <w:rFonts w:ascii="Calibri" w:hAnsi="Calibri"/>
        </w:rPr>
        <w:t>,</w:t>
      </w:r>
      <w:r w:rsidR="0042264A" w:rsidRPr="00915EF8">
        <w:rPr>
          <w:rFonts w:ascii="Calibri" w:hAnsi="Calibri"/>
        </w:rPr>
        <w:t xml:space="preserve"> such as the UK and Sweden </w:t>
      </w:r>
      <w:r w:rsidR="0042264A" w:rsidRPr="00915EF8">
        <w:rPr>
          <w:rFonts w:ascii="Calibri" w:hAnsi="Calibri"/>
        </w:rPr>
        <w:fldChar w:fldCharType="begin"/>
      </w:r>
      <w:r w:rsidR="009E473F">
        <w:rPr>
          <w:rFonts w:ascii="Calibri" w:hAnsi="Calibri"/>
        </w:rPr>
        <w:instrText xml:space="preserve"> ADDIN EN.CITE &lt;EndNote&gt;&lt;Cite&gt;&lt;Author&gt;Meng&lt;/Author&gt;&lt;Year&gt;2014&lt;/Year&gt;&lt;RecNum&gt;90&lt;/RecNum&gt;&lt;DisplayText&gt;(Meng et al., 2014, Kraus et al., 2015)&lt;/DisplayText&gt;&lt;record&gt;&lt;rec-number&gt;90&lt;/rec-number&gt;&lt;foreign-keys&gt;&lt;key app="EN" db-id="xr20xxrwks2v5re509w5r2pftxrevzzxpp0p" timestamp="1422582021"&gt;90&lt;/key&gt;&lt;/foreign-keys&gt;&lt;ref-type name="Journal Article"&gt;17&lt;/ref-type&gt;&lt;contributors&gt;&lt;authors&gt;&lt;author&gt;Meng, Y.&lt;/author&gt;&lt;author&gt;Holmes, J.&lt;/author&gt;&lt;author&gt;Hill-McManus, D.&lt;/author&gt;&lt;author&gt;Brennan, A.&lt;/author&gt;&lt;author&gt;Meier, P.&lt;/author&gt;&lt;/authors&gt;&lt;/contributors&gt;&lt;titles&gt;&lt;title&gt;Trend analysis and modelling of gender-specific age, period and birth cohort effects on alcohol abstention and consumption level for drinkers in Great Britain using the General Lifestyle Survey 1984-2009&lt;/title&gt;&lt;secondary-title&gt;Addiction&lt;/secondary-title&gt;&lt;/titles&gt;&lt;periodical&gt;&lt;full-title&gt;Addiction&lt;/full-title&gt;&lt;/periodical&gt;&lt;pages&gt;206-15&lt;/pages&gt;&lt;volume&gt;109&lt;/volume&gt;&lt;number&gt;2&lt;/number&gt;&lt;dates&gt;&lt;year&gt;2014&lt;/year&gt;&lt;/dates&gt;&lt;urls&gt;&lt;/urls&gt;&lt;/record&gt;&lt;/Cite&gt;&lt;Cite&gt;&lt;Author&gt;Kraus&lt;/Author&gt;&lt;Year&gt;2015&lt;/Year&gt;&lt;RecNum&gt;16&lt;/RecNum&gt;&lt;record&gt;&lt;rec-number&gt;16&lt;/rec-number&gt;&lt;foreign-keys&gt;&lt;key app="EN" db-id="xr20xxrwks2v5re509w5r2pftxrevzzxpp0p" timestamp="1414119293"&gt;16&lt;/key&gt;&lt;/foreign-keys&gt;&lt;ref-type name="Journal Article"&gt;17&lt;/ref-type&gt;&lt;contributors&gt;&lt;authors&gt;&lt;author&gt;Kraus, L.&lt;/author&gt;&lt;author&gt;Eriksson, Tinghög, M.&lt;/author&gt;&lt;author&gt;Lindell, A.&lt;/author&gt;&lt;author&gt;Pabst, A.&lt;/author&gt;&lt;author&gt;Piontek, D.&lt;/author&gt;&lt;author&gt;Room, R.&lt;/author&gt;&lt;/authors&gt;&lt;/contributors&gt;&lt;titles&gt;&lt;title&gt;Age, period, and cohort effects on time trends in alcohol consumption in the Swedish adult population 1979-2011&lt;/title&gt;&lt;secondary-title&gt;Alcohol and Alcoholism&lt;/secondary-title&gt;&lt;/titles&gt;&lt;periodical&gt;&lt;full-title&gt;Alcohol and Alcoholism&lt;/full-title&gt;&lt;/periodical&gt;&lt;pages&gt;319-327&lt;/pages&gt;&lt;volume&gt;50&lt;/volume&gt;&lt;number&gt;3&lt;/number&gt;&lt;dates&gt;&lt;year&gt;2015&lt;/year&gt;&lt;/dates&gt;&lt;urls&gt;&lt;/urls&gt;&lt;/record&gt;&lt;/Cite&gt;&lt;/EndNote&gt;</w:instrText>
      </w:r>
      <w:r w:rsidR="0042264A" w:rsidRPr="00915EF8">
        <w:rPr>
          <w:rFonts w:ascii="Calibri" w:hAnsi="Calibri"/>
        </w:rPr>
        <w:fldChar w:fldCharType="separate"/>
      </w:r>
      <w:r w:rsidR="00B33A90">
        <w:rPr>
          <w:rFonts w:ascii="Calibri" w:hAnsi="Calibri"/>
          <w:noProof/>
        </w:rPr>
        <w:t>(Meng et al., 2014, Kraus et al., 2015)</w:t>
      </w:r>
      <w:r w:rsidR="0042264A" w:rsidRPr="00915EF8">
        <w:rPr>
          <w:rFonts w:ascii="Calibri" w:hAnsi="Calibri"/>
        </w:rPr>
        <w:fldChar w:fldCharType="end"/>
      </w:r>
      <w:r w:rsidR="0042264A">
        <w:rPr>
          <w:rFonts w:ascii="Calibri" w:hAnsi="Calibri"/>
        </w:rPr>
        <w:t>.</w:t>
      </w:r>
      <w:r w:rsidR="0042264A">
        <w:t xml:space="preserve"> </w:t>
      </w:r>
      <w:r w:rsidR="00B33A90">
        <w:t xml:space="preserve">It has been suggested that </w:t>
      </w:r>
      <w:r w:rsidR="00354E6D">
        <w:t>the decline</w:t>
      </w:r>
      <w:r w:rsidR="00B33A90">
        <w:t xml:space="preserve"> in per capita consumption in Australia </w:t>
      </w:r>
      <w:r w:rsidR="00354E6D">
        <w:t xml:space="preserve">is </w:t>
      </w:r>
      <w:r w:rsidR="00B33A90">
        <w:t xml:space="preserve">largely being driven by reduced uptake of drinking and more moderate consumption among younger generations </w:t>
      </w:r>
      <w:r w:rsidR="00B33A90">
        <w:fldChar w:fldCharType="begin"/>
      </w:r>
      <w:r w:rsidR="00B33A90">
        <w:instrText xml:space="preserve"> ADDIN EN.CITE &lt;EndNote&gt;&lt;Cite&gt;&lt;Author&gt;Livingston&lt;/Author&gt;&lt;Year&gt;2016&lt;/Year&gt;&lt;RecNum&gt;135&lt;/RecNum&gt;&lt;DisplayText&gt;(Livingston et al., 2016)&lt;/DisplayText&gt;&lt;record&gt;&lt;rec-number&gt;135&lt;/rec-number&gt;&lt;foreign-keys&gt;&lt;key app="EN" db-id="xr20xxrwks2v5re509w5r2pftxrevzzxpp0p" timestamp="1490764540"&gt;135&lt;/key&gt;&lt;/foreign-keys&gt;&lt;ref-type name="Journal Article"&gt;17&lt;/ref-type&gt;&lt;contributors&gt;&lt;authors&gt;&lt;author&gt;Livingston, M.&lt;/author&gt;&lt;author&gt;Raninen, J.&lt;/author&gt;&lt;author&gt;Slade, T.&lt;/author&gt;&lt;author&gt;Swift, W.&lt;/author&gt;&lt;author&gt;Lloyd, B.&lt;/author&gt;&lt;author&gt;Dietze, P.&lt;/author&gt;&lt;/authors&gt;&lt;/contributors&gt;&lt;titles&gt;&lt;title&gt;Understanding trends in Australian alcohol consumption: an age–period–cohort model&lt;/title&gt;&lt;secondary-title&gt;Addiction&lt;/secondary-title&gt;&lt;/titles&gt;&lt;periodical&gt;&lt;full-title&gt;Addiction&lt;/full-title&gt;&lt;/periodical&gt;&lt;pages&gt;1590-1598&lt;/pages&gt;&lt;volume&gt;111&lt;/volume&gt;&lt;dates&gt;&lt;year&gt;2016&lt;/year&gt;&lt;/dates&gt;&lt;urls&gt;&lt;/urls&gt;&lt;/record&gt;&lt;/Cite&gt;&lt;/EndNote&gt;</w:instrText>
      </w:r>
      <w:r w:rsidR="00B33A90">
        <w:fldChar w:fldCharType="separate"/>
      </w:r>
      <w:r w:rsidR="00B33A90">
        <w:rPr>
          <w:noProof/>
        </w:rPr>
        <w:t>(Livingston et al., 2016)</w:t>
      </w:r>
      <w:r w:rsidR="00B33A90">
        <w:fldChar w:fldCharType="end"/>
      </w:r>
      <w:r w:rsidR="00B33A90">
        <w:t xml:space="preserve">. </w:t>
      </w:r>
      <w:r w:rsidR="00354E6D">
        <w:rPr>
          <w:rFonts w:ascii="Calibri" w:hAnsi="Calibri"/>
        </w:rPr>
        <w:t xml:space="preserve">However, </w:t>
      </w:r>
      <w:r w:rsidR="00354E6D">
        <w:t xml:space="preserve">survey data </w:t>
      </w:r>
      <w:r w:rsidR="00053223">
        <w:t xml:space="preserve">also </w:t>
      </w:r>
      <w:r w:rsidR="00B33A90">
        <w:t xml:space="preserve">show that </w:t>
      </w:r>
      <w:r w:rsidR="00C870E2">
        <w:t xml:space="preserve">there has been an increase over time in classifying as </w:t>
      </w:r>
      <w:r w:rsidR="000B129B">
        <w:t xml:space="preserve">an </w:t>
      </w:r>
      <w:r w:rsidR="00B33A90">
        <w:t>‘</w:t>
      </w:r>
      <w:r w:rsidR="00C870E2">
        <w:t>ex-drinker</w:t>
      </w:r>
      <w:r w:rsidR="00B33A90">
        <w:t>’</w:t>
      </w:r>
      <w:r w:rsidR="00C870E2">
        <w:t xml:space="preserve"> and decreased </w:t>
      </w:r>
      <w:r w:rsidR="000B129B">
        <w:t xml:space="preserve">rates </w:t>
      </w:r>
      <w:r w:rsidR="00F46772">
        <w:t xml:space="preserve">of risky drinking </w:t>
      </w:r>
      <w:r w:rsidR="00354E6D">
        <w:t xml:space="preserve">in the Australian population </w:t>
      </w:r>
      <w:r w:rsidR="00354E6D">
        <w:rPr>
          <w:rFonts w:ascii="Calibri" w:hAnsi="Calibri"/>
        </w:rPr>
        <w:fldChar w:fldCharType="begin"/>
      </w:r>
      <w:r w:rsidR="00354E6D">
        <w:rPr>
          <w:rFonts w:ascii="Calibri" w:hAnsi="Calibri"/>
        </w:rPr>
        <w:instrText xml:space="preserve"> ADDIN EN.CITE &lt;EndNote&gt;&lt;Cite&gt;&lt;Author&gt;Australian Institute of Health and Welfare&lt;/Author&gt;&lt;Year&gt;2014&lt;/Year&gt;&lt;RecNum&gt;133&lt;/RecNum&gt;&lt;DisplayText&gt;(Australian Institute of Health and Welfare, 2014)&lt;/DisplayText&gt;&lt;record&gt;&lt;rec-number&gt;133&lt;/rec-number&gt;&lt;foreign-keys&gt;&lt;key app="EN" db-id="xr20xxrwks2v5re509w5r2pftxrevzzxpp0p" timestamp="1490676045"&gt;133&lt;/key&gt;&lt;/foreign-keys&gt;&lt;ref-type name="Report"&gt;27&lt;/ref-type&gt;&lt;contributors&gt;&lt;authors&gt;&lt;author&gt;Australian Institute of Health and Welfare,&lt;/author&gt;&lt;/authors&gt;&lt;/contributors&gt;&lt;titles&gt;&lt;title&gt;National Drug Strategy Household Survey detailed report 2013. Drug statistics series no. 28. Cat. no. PHE 183&lt;/title&gt;&lt;/titles&gt;&lt;dates&gt;&lt;year&gt;2014&lt;/year&gt;&lt;/dates&gt;&lt;pub-location&gt;Canberra&lt;/pub-location&gt;&lt;publisher&gt;AIHW&lt;/publisher&gt;&lt;urls&gt;&lt;/urls&gt;&lt;/record&gt;&lt;/Cite&gt;&lt;/EndNote&gt;</w:instrText>
      </w:r>
      <w:r w:rsidR="00354E6D">
        <w:rPr>
          <w:rFonts w:ascii="Calibri" w:hAnsi="Calibri"/>
        </w:rPr>
        <w:fldChar w:fldCharType="separate"/>
      </w:r>
      <w:r w:rsidR="00354E6D">
        <w:rPr>
          <w:rFonts w:ascii="Calibri" w:hAnsi="Calibri"/>
          <w:noProof/>
        </w:rPr>
        <w:t>(Australian Institute of Health and Welfare, 2014)</w:t>
      </w:r>
      <w:r w:rsidR="00354E6D">
        <w:rPr>
          <w:rFonts w:ascii="Calibri" w:hAnsi="Calibri"/>
        </w:rPr>
        <w:fldChar w:fldCharType="end"/>
      </w:r>
      <w:r w:rsidR="00354E6D">
        <w:t>. T</w:t>
      </w:r>
      <w:r w:rsidR="00C870E2">
        <w:t xml:space="preserve">his group of existing drinkers who </w:t>
      </w:r>
      <w:r w:rsidR="00817E04">
        <w:t xml:space="preserve">have reduced or </w:t>
      </w:r>
      <w:r w:rsidR="00C870E2">
        <w:t>cease</w:t>
      </w:r>
      <w:r w:rsidR="00817E04">
        <w:t>d</w:t>
      </w:r>
      <w:r w:rsidR="00C870E2">
        <w:t xml:space="preserve"> </w:t>
      </w:r>
      <w:r w:rsidR="000B129B">
        <w:t>drinking has not b</w:t>
      </w:r>
      <w:r w:rsidR="000B129B" w:rsidRPr="00340DD1">
        <w:t>een adequa</w:t>
      </w:r>
      <w:r w:rsidR="00C870E2" w:rsidRPr="00340DD1">
        <w:t>tely studied</w:t>
      </w:r>
      <w:r w:rsidR="00ED065A" w:rsidRPr="00340DD1">
        <w:t xml:space="preserve"> in Australia</w:t>
      </w:r>
      <w:r w:rsidR="00C870E2" w:rsidRPr="00340DD1">
        <w:t>.</w:t>
      </w:r>
      <w:r w:rsidR="000A0885" w:rsidRPr="00340DD1">
        <w:t xml:space="preserve"> </w:t>
      </w:r>
      <w:r w:rsidR="00B33A90" w:rsidRPr="00340DD1">
        <w:t xml:space="preserve">For example, we don’t know which demographic groups </w:t>
      </w:r>
      <w:r w:rsidR="00354E6D" w:rsidRPr="00340DD1">
        <w:t>have modified</w:t>
      </w:r>
      <w:r w:rsidR="00B33A90" w:rsidRPr="00340DD1">
        <w:t xml:space="preserve"> their drinking, </w:t>
      </w:r>
      <w:r w:rsidR="00466F6A" w:rsidRPr="00340DD1">
        <w:t xml:space="preserve">nor </w:t>
      </w:r>
      <w:r w:rsidR="00B33A90" w:rsidRPr="00340DD1">
        <w:t xml:space="preserve">why. </w:t>
      </w:r>
    </w:p>
    <w:p w14:paraId="196D0160" w14:textId="5269C32B" w:rsidR="00B935E7" w:rsidRPr="00340DD1" w:rsidRDefault="008F283A" w:rsidP="00B935E7">
      <w:pPr>
        <w:spacing w:line="360" w:lineRule="auto"/>
        <w:rPr>
          <w:rFonts w:ascii="Calibri" w:hAnsi="Calibri"/>
        </w:rPr>
      </w:pPr>
      <w:r w:rsidRPr="00340DD1">
        <w:rPr>
          <w:rFonts w:ascii="Calibri" w:hAnsi="Calibri"/>
        </w:rPr>
        <w:t>Recent i</w:t>
      </w:r>
      <w:r w:rsidR="00EB79E2" w:rsidRPr="00340DD1">
        <w:rPr>
          <w:rFonts w:ascii="Calibri" w:hAnsi="Calibri"/>
        </w:rPr>
        <w:t xml:space="preserve">nternational studies suggest that </w:t>
      </w:r>
      <w:r w:rsidR="00177561" w:rsidRPr="00340DD1">
        <w:rPr>
          <w:rFonts w:ascii="Calibri" w:hAnsi="Calibri"/>
        </w:rPr>
        <w:t xml:space="preserve">those who </w:t>
      </w:r>
      <w:r w:rsidR="00125373" w:rsidRPr="00340DD1">
        <w:rPr>
          <w:rFonts w:ascii="Calibri" w:hAnsi="Calibri"/>
        </w:rPr>
        <w:t xml:space="preserve">have </w:t>
      </w:r>
      <w:r w:rsidR="00177561" w:rsidRPr="00340DD1">
        <w:rPr>
          <w:rFonts w:ascii="Calibri" w:hAnsi="Calibri"/>
        </w:rPr>
        <w:t xml:space="preserve">recently reduced </w:t>
      </w:r>
      <w:r w:rsidR="00125373" w:rsidRPr="00340DD1">
        <w:rPr>
          <w:rFonts w:ascii="Calibri" w:hAnsi="Calibri"/>
        </w:rPr>
        <w:t xml:space="preserve">or ceased </w:t>
      </w:r>
      <w:r w:rsidR="00177561" w:rsidRPr="00340DD1">
        <w:rPr>
          <w:rFonts w:ascii="Calibri" w:hAnsi="Calibri"/>
        </w:rPr>
        <w:t xml:space="preserve">drinking are more </w:t>
      </w:r>
      <w:r w:rsidR="00ED065A" w:rsidRPr="00340DD1">
        <w:rPr>
          <w:rFonts w:ascii="Calibri" w:hAnsi="Calibri"/>
        </w:rPr>
        <w:t xml:space="preserve">likely to be female </w:t>
      </w:r>
      <w:r w:rsidR="00817E04" w:rsidRPr="00340DD1">
        <w:rPr>
          <w:rFonts w:ascii="Calibri" w:hAnsi="Calibri"/>
        </w:rPr>
        <w:t xml:space="preserve">and </w:t>
      </w:r>
      <w:r w:rsidR="00DA7A8D" w:rsidRPr="00340DD1">
        <w:rPr>
          <w:rFonts w:ascii="Calibri" w:hAnsi="Calibri"/>
        </w:rPr>
        <w:t xml:space="preserve">older </w:t>
      </w:r>
      <w:r w:rsidR="005A29B4" w:rsidRPr="00340DD1">
        <w:rPr>
          <w:rFonts w:ascii="Calibri" w:hAnsi="Calibri"/>
        </w:rPr>
        <w:fldChar w:fldCharType="begin">
          <w:fldData xml:space="preserve">PEVuZE5vdGU+PENpdGU+PEF1dGhvcj5XaWxzbmFjazwvQXV0aG9yPjxZZWFyPjIwMDk8L1llYXI+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</w:fldData>
        </w:fldChar>
      </w:r>
      <w:r w:rsidR="00DF774E" w:rsidRPr="00340DD1">
        <w:rPr>
          <w:rFonts w:ascii="Calibri" w:hAnsi="Calibri"/>
        </w:rPr>
        <w:instrText xml:space="preserve"> ADDIN EN.CITE </w:instrText>
      </w:r>
      <w:r w:rsidR="00DF774E" w:rsidRPr="00340DD1">
        <w:rPr>
          <w:rFonts w:ascii="Calibri" w:hAnsi="Calibri"/>
        </w:rPr>
        <w:fldChar w:fldCharType="begin">
          <w:fldData xml:space="preserve">PEVuZE5vdGU+PENpdGU+PEF1dGhvcj5XaWxzbmFjazwvQXV0aG9yPjxZZWFyPjIwMDk8L1llYXI+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</w:fldData>
        </w:fldChar>
      </w:r>
      <w:r w:rsidR="00DF774E" w:rsidRPr="00340DD1">
        <w:rPr>
          <w:rFonts w:ascii="Calibri" w:hAnsi="Calibri"/>
        </w:rPr>
        <w:instrText xml:space="preserve"> ADDIN EN.CITE.DATA </w:instrText>
      </w:r>
      <w:r w:rsidR="00DF774E" w:rsidRPr="00340DD1">
        <w:rPr>
          <w:rFonts w:ascii="Calibri" w:hAnsi="Calibri"/>
        </w:rPr>
      </w:r>
      <w:r w:rsidR="00DF774E" w:rsidRPr="00340DD1">
        <w:rPr>
          <w:rFonts w:ascii="Calibri" w:hAnsi="Calibri"/>
        </w:rPr>
        <w:fldChar w:fldCharType="end"/>
      </w:r>
      <w:r w:rsidR="005A29B4" w:rsidRPr="00340DD1">
        <w:rPr>
          <w:rFonts w:ascii="Calibri" w:hAnsi="Calibri"/>
        </w:rPr>
      </w:r>
      <w:r w:rsidR="005A29B4" w:rsidRPr="00340DD1">
        <w:rPr>
          <w:rFonts w:ascii="Calibri" w:hAnsi="Calibri"/>
        </w:rPr>
        <w:fldChar w:fldCharType="separate"/>
      </w:r>
      <w:r w:rsidR="00DF774E" w:rsidRPr="00340DD1">
        <w:rPr>
          <w:rFonts w:ascii="Calibri" w:hAnsi="Calibri"/>
          <w:noProof/>
        </w:rPr>
        <w:t>(Wilsnack et al., 2009, Beard et al., 2017, Ng Fat et al., 2015)</w:t>
      </w:r>
      <w:r w:rsidR="005A29B4" w:rsidRPr="00340DD1">
        <w:rPr>
          <w:rFonts w:ascii="Calibri" w:hAnsi="Calibri"/>
        </w:rPr>
        <w:fldChar w:fldCharType="end"/>
      </w:r>
      <w:r w:rsidR="005A29B4" w:rsidRPr="00340DD1">
        <w:rPr>
          <w:rFonts w:ascii="Calibri" w:hAnsi="Calibri"/>
        </w:rPr>
        <w:t>.</w:t>
      </w:r>
      <w:r w:rsidR="008A79BC" w:rsidRPr="00340DD1">
        <w:rPr>
          <w:rFonts w:ascii="Calibri" w:hAnsi="Calibri"/>
        </w:rPr>
        <w:t xml:space="preserve"> </w:t>
      </w:r>
      <w:r w:rsidR="00357CF5" w:rsidRPr="00340DD1">
        <w:rPr>
          <w:rFonts w:ascii="Calibri" w:hAnsi="Calibri"/>
        </w:rPr>
        <w:t>A</w:t>
      </w:r>
      <w:r w:rsidRPr="00340DD1">
        <w:rPr>
          <w:rFonts w:ascii="Calibri" w:hAnsi="Calibri"/>
        </w:rPr>
        <w:t xml:space="preserve"> longitudinal </w:t>
      </w:r>
      <w:r w:rsidR="00357CF5" w:rsidRPr="00340DD1">
        <w:rPr>
          <w:rFonts w:ascii="Calibri" w:hAnsi="Calibri"/>
        </w:rPr>
        <w:t xml:space="preserve">study of </w:t>
      </w:r>
      <w:r w:rsidR="00FA09FA" w:rsidRPr="00340DD1">
        <w:rPr>
          <w:rFonts w:ascii="Calibri" w:hAnsi="Calibri"/>
        </w:rPr>
        <w:t xml:space="preserve">US </w:t>
      </w:r>
      <w:r w:rsidR="00357CF5" w:rsidRPr="00340DD1">
        <w:rPr>
          <w:rFonts w:ascii="Calibri" w:hAnsi="Calibri"/>
        </w:rPr>
        <w:t xml:space="preserve">men in the 1960s and </w:t>
      </w:r>
      <w:r w:rsidR="008C6493" w:rsidRPr="00340DD1">
        <w:rPr>
          <w:rFonts w:ascii="Calibri" w:hAnsi="Calibri"/>
        </w:rPr>
        <w:t>19</w:t>
      </w:r>
      <w:r w:rsidR="00357CF5" w:rsidRPr="00340DD1">
        <w:rPr>
          <w:rFonts w:ascii="Calibri" w:hAnsi="Calibri"/>
        </w:rPr>
        <w:t>70s suggested that those who had ceased drinking were less likely to be married and h</w:t>
      </w:r>
      <w:r w:rsidR="008C6493" w:rsidRPr="00340DD1">
        <w:rPr>
          <w:rFonts w:ascii="Calibri" w:hAnsi="Calibri"/>
        </w:rPr>
        <w:t xml:space="preserve">ad </w:t>
      </w:r>
      <w:r w:rsidR="00357CF5" w:rsidRPr="00340DD1">
        <w:rPr>
          <w:rFonts w:ascii="Calibri" w:hAnsi="Calibri"/>
        </w:rPr>
        <w:t xml:space="preserve">lower socio-economic status </w:t>
      </w:r>
      <w:r w:rsidR="008C6493" w:rsidRPr="00340DD1">
        <w:rPr>
          <w:rFonts w:ascii="Calibri" w:hAnsi="Calibri"/>
        </w:rPr>
        <w:t>than</w:t>
      </w:r>
      <w:r w:rsidR="00357CF5" w:rsidRPr="00340DD1">
        <w:rPr>
          <w:rFonts w:ascii="Calibri" w:hAnsi="Calibri"/>
        </w:rPr>
        <w:t xml:space="preserve"> current drinkers or those who had reduced their drinking</w:t>
      </w:r>
      <w:r w:rsidR="00FA09FA" w:rsidRPr="00340DD1">
        <w:rPr>
          <w:rFonts w:ascii="Calibri" w:hAnsi="Calibri"/>
        </w:rPr>
        <w:t xml:space="preserve"> </w:t>
      </w:r>
      <w:r w:rsidR="00FA09FA" w:rsidRPr="00340DD1">
        <w:rPr>
          <w:rFonts w:ascii="Calibri" w:hAnsi="Calibri"/>
        </w:rPr>
        <w:fldChar w:fldCharType="begin"/>
      </w:r>
      <w:r w:rsidR="00FA09FA" w:rsidRPr="00340DD1">
        <w:rPr>
          <w:rFonts w:ascii="Calibri" w:hAnsi="Calibri"/>
        </w:rPr>
        <w:instrText xml:space="preserve"> ADDIN EN.CITE &lt;EndNote&gt;&lt;Cite&gt;&lt;Author&gt;Hermos&lt;/Author&gt;&lt;Year&gt;1988&lt;/Year&gt;&lt;RecNum&gt;1&lt;/RecNum&gt;&lt;DisplayText&gt;(Hermos et al., 1988)&lt;/DisplayText&gt;&lt;record&gt;&lt;rec-number&gt;1&lt;/rec-number&gt;&lt;foreign-keys&gt;&lt;key app="EN" db-id="2v2xfzds4tvz2wepe0dxxs93szza9ss9zfrz" timestamp="1534992261"&gt;1&lt;/key&gt;&lt;/foreign-keys&gt;&lt;ref-type name="Journal Article"&gt;17&lt;/ref-type&gt;&lt;contributors&gt;&lt;authors&gt;&lt;author&gt;Hermos, J.&lt;/author&gt;&lt;author&gt;Locastro, J.&lt;/author&gt;&lt;author&gt;Glynn, R.&lt;/author&gt;&lt;author&gt;Bouchard, G.&lt;/author&gt;&lt;author&gt;Labry, O.&lt;/author&gt;&lt;/authors&gt;&lt;/contributors&gt;&lt;titles&gt;&lt;title&gt;Predictors of Reduction and Cessation of Drinking in Community-Dwelling Men: Results from the Normative Aging Study&lt;/title&gt;&lt;secondary-title&gt;Journal of Studies on Alcohol&lt;/secondary-title&gt;&lt;/titles&gt;&lt;periodical&gt;&lt;full-title&gt;Journal of Studies on Alcohol&lt;/full-title&gt;&lt;/periodical&gt;&lt;pages&gt;363-368&lt;/pages&gt;&lt;volume&gt;49&lt;/volume&gt;&lt;number&gt;4&lt;/number&gt;&lt;dates&gt;&lt;year&gt;1988&lt;/year&gt;&lt;/dates&gt;&lt;urls&gt;&lt;/urls&gt;&lt;/record&gt;&lt;/Cite&gt;&lt;/EndNote&gt;</w:instrText>
      </w:r>
      <w:r w:rsidR="00FA09FA" w:rsidRPr="00340DD1">
        <w:rPr>
          <w:rFonts w:ascii="Calibri" w:hAnsi="Calibri"/>
        </w:rPr>
        <w:fldChar w:fldCharType="separate"/>
      </w:r>
      <w:r w:rsidR="00FA09FA" w:rsidRPr="00340DD1">
        <w:rPr>
          <w:rFonts w:ascii="Calibri" w:hAnsi="Calibri"/>
          <w:noProof/>
        </w:rPr>
        <w:t>(Hermos et al., 1988)</w:t>
      </w:r>
      <w:r w:rsidR="00FA09FA" w:rsidRPr="00340DD1">
        <w:rPr>
          <w:rFonts w:ascii="Calibri" w:hAnsi="Calibri"/>
        </w:rPr>
        <w:fldChar w:fldCharType="end"/>
      </w:r>
      <w:r w:rsidR="008C6493" w:rsidRPr="00340DD1">
        <w:rPr>
          <w:rFonts w:ascii="Calibri" w:hAnsi="Calibri"/>
        </w:rPr>
        <w:t xml:space="preserve">. A more recent </w:t>
      </w:r>
      <w:r w:rsidR="00DF774E" w:rsidRPr="00340DD1">
        <w:rPr>
          <w:rFonts w:ascii="Calibri" w:hAnsi="Calibri"/>
        </w:rPr>
        <w:t xml:space="preserve">UK longitudinal study indicated </w:t>
      </w:r>
      <w:r w:rsidR="008C6493" w:rsidRPr="00340DD1">
        <w:rPr>
          <w:rFonts w:ascii="Calibri" w:hAnsi="Calibri"/>
        </w:rPr>
        <w:t xml:space="preserve">that </w:t>
      </w:r>
      <w:r w:rsidR="00DF774E" w:rsidRPr="00340DD1">
        <w:rPr>
          <w:rFonts w:ascii="Calibri" w:hAnsi="Calibri"/>
        </w:rPr>
        <w:t xml:space="preserve">those who had ceased drinking were less likely to be married, less likely to have children, less likely to have tertiary qualifications and more likely to have poor psychosocial health </w:t>
      </w:r>
      <w:r w:rsidR="00DF774E" w:rsidRPr="00340DD1">
        <w:rPr>
          <w:rFonts w:ascii="Calibri" w:hAnsi="Calibri"/>
        </w:rPr>
        <w:fldChar w:fldCharType="begin"/>
      </w:r>
      <w:r w:rsidR="00DF774E" w:rsidRPr="00340DD1">
        <w:rPr>
          <w:rFonts w:ascii="Calibri" w:hAnsi="Calibri"/>
        </w:rPr>
        <w:instrText xml:space="preserve"> ADDIN EN.CITE &lt;EndNote&gt;&lt;Cite&gt;&lt;Author&gt;Ng Fat&lt;/Author&gt;&lt;Year&gt;2015&lt;/Year&gt;&lt;RecNum&gt;2&lt;/RecNum&gt;&lt;DisplayText&gt;(Ng Fat et al., 2015)&lt;/DisplayText&gt;&lt;record&gt;&lt;rec-number&gt;2&lt;/rec-number&gt;&lt;foreign-keys&gt;&lt;key app="EN" db-id="2v2xfzds4tvz2wepe0dxxs93szza9ss9zfrz" timestamp="1534993564"&gt;2&lt;/key&gt;&lt;/foreign-keys&gt;&lt;ref-type name="Journal Article"&gt;17&lt;/ref-type&gt;&lt;contributors&gt;&lt;authors&gt;&lt;author&gt;Ng Fat, L.&lt;/author&gt;&lt;author&gt;Cable, N.&lt;/author&gt;&lt;author&gt;Shelton, S.&lt;/author&gt;&lt;/authors&gt;&lt;/contributors&gt;&lt;titles&gt;&lt;title&gt;Worsening of Health and a Cessation or Reduction in Alcohol Consumption to Special Occasion Drinking Across Three Decades of the Life Course&lt;/title&gt;&lt;secondary-title&gt;Alcoholism: Clinical and Experimental Research&lt;/secondary-title&gt;&lt;/titles&gt;&lt;periodical&gt;&lt;full-title&gt;Alcoholism: Clinical and Experimental Research&lt;/full-title&gt;&lt;/periodical&gt;&lt;pages&gt;166-174&lt;/pages&gt;&lt;volume&gt;39&lt;/volume&gt;&lt;number&gt;1&lt;/number&gt;&lt;dates&gt;&lt;year&gt;2015&lt;/year&gt;&lt;/dates&gt;&lt;urls&gt;&lt;/urls&gt;&lt;/record&gt;&lt;/Cite&gt;&lt;/EndNote&gt;</w:instrText>
      </w:r>
      <w:r w:rsidR="00DF774E" w:rsidRPr="00340DD1">
        <w:rPr>
          <w:rFonts w:ascii="Calibri" w:hAnsi="Calibri"/>
        </w:rPr>
        <w:fldChar w:fldCharType="separate"/>
      </w:r>
      <w:r w:rsidR="00DF774E" w:rsidRPr="00340DD1">
        <w:rPr>
          <w:rFonts w:ascii="Calibri" w:hAnsi="Calibri"/>
          <w:noProof/>
        </w:rPr>
        <w:t>(Ng Fat et al., 2015)</w:t>
      </w:r>
      <w:r w:rsidR="00DF774E" w:rsidRPr="00340DD1">
        <w:rPr>
          <w:rFonts w:ascii="Calibri" w:hAnsi="Calibri"/>
        </w:rPr>
        <w:fldChar w:fldCharType="end"/>
      </w:r>
      <w:r w:rsidR="00357CF5" w:rsidRPr="00340DD1">
        <w:rPr>
          <w:rFonts w:ascii="Calibri" w:hAnsi="Calibri"/>
        </w:rPr>
        <w:t xml:space="preserve">. </w:t>
      </w:r>
      <w:r w:rsidR="00B935E7" w:rsidRPr="00340DD1">
        <w:rPr>
          <w:rFonts w:ascii="Calibri" w:hAnsi="Calibri"/>
        </w:rPr>
        <w:t>It is not clear how reflective these demographic patterns are of Australia, and unfortunately t</w:t>
      </w:r>
      <w:r w:rsidR="008A79BC" w:rsidRPr="00340DD1">
        <w:rPr>
          <w:rFonts w:ascii="Calibri" w:hAnsi="Calibri"/>
        </w:rPr>
        <w:t xml:space="preserve">hese </w:t>
      </w:r>
      <w:r w:rsidR="003C6425" w:rsidRPr="00340DD1">
        <w:rPr>
          <w:rFonts w:ascii="Calibri" w:hAnsi="Calibri"/>
        </w:rPr>
        <w:t xml:space="preserve">prior </w:t>
      </w:r>
      <w:r w:rsidR="008A79BC" w:rsidRPr="00340DD1">
        <w:rPr>
          <w:rFonts w:ascii="Calibri" w:hAnsi="Calibri"/>
        </w:rPr>
        <w:t xml:space="preserve">studies </w:t>
      </w:r>
      <w:r w:rsidR="0078606F" w:rsidRPr="00340DD1">
        <w:rPr>
          <w:rFonts w:ascii="Calibri" w:hAnsi="Calibri"/>
        </w:rPr>
        <w:t xml:space="preserve">have </w:t>
      </w:r>
      <w:r w:rsidR="008A79BC" w:rsidRPr="00340DD1">
        <w:rPr>
          <w:rFonts w:ascii="Calibri" w:hAnsi="Calibri"/>
        </w:rPr>
        <w:t>not explore</w:t>
      </w:r>
      <w:r w:rsidR="0078606F" w:rsidRPr="00340DD1">
        <w:rPr>
          <w:rFonts w:ascii="Calibri" w:hAnsi="Calibri"/>
        </w:rPr>
        <w:t>d</w:t>
      </w:r>
      <w:r w:rsidR="00D07C77" w:rsidRPr="00340DD1">
        <w:rPr>
          <w:rFonts w:ascii="Calibri" w:hAnsi="Calibri"/>
        </w:rPr>
        <w:t xml:space="preserve"> </w:t>
      </w:r>
      <w:r w:rsidR="008A79BC" w:rsidRPr="00340DD1">
        <w:rPr>
          <w:rFonts w:ascii="Calibri" w:hAnsi="Calibri"/>
        </w:rPr>
        <w:t>change over time</w:t>
      </w:r>
      <w:r w:rsidR="0078606F" w:rsidRPr="00340DD1">
        <w:rPr>
          <w:rFonts w:ascii="Calibri" w:hAnsi="Calibri"/>
        </w:rPr>
        <w:t xml:space="preserve"> in </w:t>
      </w:r>
      <w:r w:rsidR="003C6425" w:rsidRPr="00340DD1">
        <w:rPr>
          <w:rFonts w:ascii="Calibri" w:hAnsi="Calibri"/>
        </w:rPr>
        <w:t xml:space="preserve">population </w:t>
      </w:r>
      <w:r w:rsidR="0078606F" w:rsidRPr="00340DD1">
        <w:rPr>
          <w:rFonts w:ascii="Calibri" w:hAnsi="Calibri"/>
        </w:rPr>
        <w:t>patterns of reduction or cessation of drinking</w:t>
      </w:r>
      <w:r w:rsidR="008A79BC" w:rsidRPr="00340DD1">
        <w:rPr>
          <w:rFonts w:ascii="Calibri" w:hAnsi="Calibri"/>
        </w:rPr>
        <w:t>.</w:t>
      </w:r>
      <w:r w:rsidR="00B935E7" w:rsidRPr="00340DD1">
        <w:rPr>
          <w:rFonts w:ascii="Calibri" w:hAnsi="Calibri"/>
        </w:rPr>
        <w:t xml:space="preserve"> </w:t>
      </w:r>
    </w:p>
    <w:p w14:paraId="2AEBD263" w14:textId="77777777" w:rsidR="00FA09FA" w:rsidRPr="00340DD1" w:rsidRDefault="00DA7A8D" w:rsidP="000151FD">
      <w:pPr>
        <w:spacing w:line="360" w:lineRule="auto"/>
        <w:rPr>
          <w:rFonts w:ascii="Calibri" w:hAnsi="Calibri"/>
        </w:rPr>
      </w:pPr>
      <w:r w:rsidRPr="00340DD1">
        <w:t xml:space="preserve">With rates of ceasing and reducing drinking </w:t>
      </w:r>
      <w:r w:rsidR="008A79BC" w:rsidRPr="00340DD1">
        <w:t xml:space="preserve">seemingly </w:t>
      </w:r>
      <w:r w:rsidRPr="00340DD1">
        <w:t>on the rise</w:t>
      </w:r>
      <w:r w:rsidR="00177561" w:rsidRPr="00340DD1">
        <w:t xml:space="preserve"> in Australia</w:t>
      </w:r>
      <w:r w:rsidRPr="00340DD1">
        <w:t xml:space="preserve">, it </w:t>
      </w:r>
      <w:r w:rsidR="009B2FAA" w:rsidRPr="00340DD1">
        <w:t xml:space="preserve">is important to understand </w:t>
      </w:r>
      <w:r w:rsidR="004630BA" w:rsidRPr="00340DD1">
        <w:t xml:space="preserve">what is motivating individuals to </w:t>
      </w:r>
      <w:r w:rsidR="000B129B" w:rsidRPr="00340DD1">
        <w:t>modify their consumption</w:t>
      </w:r>
      <w:r w:rsidRPr="00340DD1">
        <w:t xml:space="preserve"> </w:t>
      </w:r>
      <w:proofErr w:type="gramStart"/>
      <w:r w:rsidR="008A79BC" w:rsidRPr="00340DD1">
        <w:t xml:space="preserve">so as </w:t>
      </w:r>
      <w:r w:rsidRPr="00340DD1">
        <w:t>to</w:t>
      </w:r>
      <w:proofErr w:type="gramEnd"/>
      <w:r w:rsidRPr="00340DD1">
        <w:t xml:space="preserve"> support the maintenance of these trends</w:t>
      </w:r>
      <w:r w:rsidR="009B2FAA" w:rsidRPr="00340DD1">
        <w:t xml:space="preserve">. </w:t>
      </w:r>
      <w:r w:rsidR="000151FD" w:rsidRPr="00340DD1">
        <w:rPr>
          <w:rFonts w:ascii="Calibri" w:hAnsi="Calibri"/>
        </w:rPr>
        <w:t>However, little is known about these reasons at present. In a recent UK population study, the main reason reported by participants who had recently attempted to reduce their drinking were</w:t>
      </w:r>
      <w:r w:rsidR="0078606F" w:rsidRPr="00340DD1">
        <w:rPr>
          <w:rFonts w:ascii="Calibri" w:hAnsi="Calibri"/>
        </w:rPr>
        <w:t xml:space="preserve"> all health focused</w:t>
      </w:r>
      <w:r w:rsidR="000151FD" w:rsidRPr="00340DD1">
        <w:rPr>
          <w:rFonts w:ascii="Calibri" w:hAnsi="Calibri"/>
        </w:rPr>
        <w:t xml:space="preserve">: </w:t>
      </w:r>
      <w:r w:rsidR="0078606F" w:rsidRPr="00340DD1">
        <w:rPr>
          <w:rFonts w:ascii="Calibri" w:hAnsi="Calibri"/>
        </w:rPr>
        <w:t xml:space="preserve">to </w:t>
      </w:r>
      <w:r w:rsidR="000151FD" w:rsidRPr="00340DD1">
        <w:rPr>
          <w:rFonts w:ascii="Calibri" w:hAnsi="Calibri"/>
        </w:rPr>
        <w:t xml:space="preserve">‘Improve my fitness’, ‘Help with weight loss’, and ‘A concern about future health problems’ </w:t>
      </w:r>
      <w:r w:rsidR="000151FD" w:rsidRPr="00340DD1">
        <w:rPr>
          <w:rFonts w:ascii="Calibri" w:hAnsi="Calibri"/>
        </w:rPr>
        <w:fldChar w:fldCharType="begin"/>
      </w:r>
      <w:r w:rsidR="000151FD" w:rsidRPr="00340DD1">
        <w:rPr>
          <w:rFonts w:ascii="Calibri" w:hAnsi="Calibri"/>
        </w:rPr>
        <w:instrText xml:space="preserve"> ADDIN EN.CITE &lt;EndNote&gt;&lt;Cite&gt;&lt;Author&gt;Beard&lt;/Author&gt;&lt;Year&gt;2017&lt;/Year&gt;&lt;RecNum&gt;144&lt;/RecNum&gt;&lt;DisplayText&gt;(Beard et al., 2017)&lt;/DisplayText&gt;&lt;record&gt;&lt;rec-number&gt;144&lt;/rec-number&gt;&lt;foreign-keys&gt;&lt;key app="EN" db-id="xr20xxrwks2v5re509w5r2pftxrevzzxpp0p" timestamp="1490921357"&gt;144&lt;/key&gt;&lt;/foreign-keys&gt;&lt;ref-type name="Journal Article"&gt;17&lt;/ref-type&gt;&lt;contributors&gt;&lt;authors&gt;&lt;author&gt;Beard, E.&lt;/author&gt;&lt;author&gt;Brown, J.&lt;/author&gt;&lt;author&gt;Kaner, E.&lt;/author&gt;&lt;author&gt;West, R.&lt;/author&gt;&lt;author&gt;Michie, S.&lt;/author&gt;&lt;/authors&gt;&lt;/contributors&gt;&lt;titles&gt;&lt;title&gt;Predictors of and reasons for attempts to reduce alcohol intake: A population survey of adults in England&lt;/title&gt;&lt;secondary-title&gt;PLoS One&lt;/secondary-title&gt;&lt;/titles&gt;&lt;periodical&gt;&lt;full-title&gt;PLoS One&lt;/full-title&gt;&lt;/periodical&gt;&lt;pages&gt;e0173458&lt;/pages&gt;&lt;volume&gt;12&lt;/volume&gt;&lt;number&gt;3&lt;/number&gt;&lt;dates&gt;&lt;year&gt;2017&lt;/year&gt;&lt;/dates&gt;&lt;urls&gt;&lt;/urls&gt;&lt;/record&gt;&lt;/Cite&gt;&lt;/EndNote&gt;</w:instrText>
      </w:r>
      <w:r w:rsidR="000151FD" w:rsidRPr="00340DD1">
        <w:rPr>
          <w:rFonts w:ascii="Calibri" w:hAnsi="Calibri"/>
        </w:rPr>
        <w:fldChar w:fldCharType="separate"/>
      </w:r>
      <w:r w:rsidR="000151FD" w:rsidRPr="00340DD1">
        <w:rPr>
          <w:rFonts w:ascii="Calibri" w:hAnsi="Calibri"/>
          <w:noProof/>
        </w:rPr>
        <w:t>(Beard et al., 2017)</w:t>
      </w:r>
      <w:r w:rsidR="000151FD" w:rsidRPr="00340DD1">
        <w:rPr>
          <w:rFonts w:ascii="Calibri" w:hAnsi="Calibri"/>
        </w:rPr>
        <w:fldChar w:fldCharType="end"/>
      </w:r>
      <w:r w:rsidR="000151FD" w:rsidRPr="00340DD1">
        <w:rPr>
          <w:rFonts w:ascii="Calibri" w:hAnsi="Calibri"/>
        </w:rPr>
        <w:t xml:space="preserve">.  </w:t>
      </w:r>
      <w:r w:rsidR="00B935E7" w:rsidRPr="00340DD1">
        <w:rPr>
          <w:rFonts w:ascii="Calibri" w:hAnsi="Calibri"/>
        </w:rPr>
        <w:t xml:space="preserve">International data </w:t>
      </w:r>
      <w:r w:rsidR="00F54D92" w:rsidRPr="00340DD1">
        <w:rPr>
          <w:rFonts w:ascii="Calibri" w:hAnsi="Calibri"/>
        </w:rPr>
        <w:t>from eight countries (Argentina, Peru, Uruguay, Nigeria, Uganda, Sri Lanka, Sweden and Canada)</w:t>
      </w:r>
      <w:r w:rsidR="001F171F" w:rsidRPr="00340DD1">
        <w:rPr>
          <w:rFonts w:ascii="Calibri" w:hAnsi="Calibri"/>
        </w:rPr>
        <w:t xml:space="preserve"> identified </w:t>
      </w:r>
      <w:r w:rsidR="00C76FCA" w:rsidRPr="00340DD1">
        <w:rPr>
          <w:rFonts w:ascii="Calibri" w:hAnsi="Calibri"/>
        </w:rPr>
        <w:t>that</w:t>
      </w:r>
      <w:r w:rsidR="00B935E7" w:rsidRPr="00340DD1">
        <w:rPr>
          <w:rFonts w:ascii="Calibri" w:hAnsi="Calibri"/>
        </w:rPr>
        <w:t xml:space="preserve"> among former drinkers</w:t>
      </w:r>
      <w:r w:rsidR="009C1BD0" w:rsidRPr="00340DD1">
        <w:rPr>
          <w:rFonts w:ascii="Calibri" w:hAnsi="Calibri"/>
        </w:rPr>
        <w:t xml:space="preserve">, </w:t>
      </w:r>
      <w:r w:rsidR="00B935E7" w:rsidRPr="00340DD1">
        <w:rPr>
          <w:rFonts w:ascii="Calibri" w:hAnsi="Calibri"/>
        </w:rPr>
        <w:t xml:space="preserve">having no interest in drinking </w:t>
      </w:r>
      <w:r w:rsidR="009C1BD0" w:rsidRPr="00340DD1">
        <w:rPr>
          <w:rFonts w:ascii="Calibri" w:hAnsi="Calibri"/>
        </w:rPr>
        <w:t xml:space="preserve">was the most commonly </w:t>
      </w:r>
      <w:r w:rsidR="00C76FCA" w:rsidRPr="00340DD1">
        <w:rPr>
          <w:rFonts w:ascii="Calibri" w:hAnsi="Calibri"/>
        </w:rPr>
        <w:t xml:space="preserve">selected </w:t>
      </w:r>
      <w:r w:rsidR="009C1BD0" w:rsidRPr="00340DD1">
        <w:rPr>
          <w:rFonts w:ascii="Calibri" w:hAnsi="Calibri"/>
        </w:rPr>
        <w:t>reason</w:t>
      </w:r>
      <w:r w:rsidR="00C76FCA" w:rsidRPr="00340DD1">
        <w:rPr>
          <w:rFonts w:ascii="Calibri" w:hAnsi="Calibri"/>
        </w:rPr>
        <w:t xml:space="preserve"> for not drinking</w:t>
      </w:r>
      <w:r w:rsidR="0060229B" w:rsidRPr="00340DD1">
        <w:rPr>
          <w:rFonts w:ascii="Calibri" w:hAnsi="Calibri"/>
        </w:rPr>
        <w:t xml:space="preserve">, followed by </w:t>
      </w:r>
      <w:r w:rsidR="00485D64" w:rsidRPr="00340DD1">
        <w:rPr>
          <w:rFonts w:ascii="Calibri" w:hAnsi="Calibri"/>
        </w:rPr>
        <w:t xml:space="preserve">concerns about effects on </w:t>
      </w:r>
      <w:r w:rsidR="00B935E7" w:rsidRPr="00340DD1">
        <w:rPr>
          <w:rFonts w:ascii="Calibri" w:hAnsi="Calibri"/>
        </w:rPr>
        <w:t>health</w:t>
      </w:r>
      <w:r w:rsidR="00C76FCA" w:rsidRPr="00340DD1">
        <w:rPr>
          <w:rFonts w:ascii="Calibri" w:hAnsi="Calibri"/>
        </w:rPr>
        <w:t xml:space="preserve">, </w:t>
      </w:r>
      <w:r w:rsidR="00B935E7" w:rsidRPr="00340DD1">
        <w:rPr>
          <w:rFonts w:ascii="Calibri" w:hAnsi="Calibri"/>
        </w:rPr>
        <w:t xml:space="preserve">cost </w:t>
      </w:r>
      <w:r w:rsidR="0060229B" w:rsidRPr="00340DD1">
        <w:rPr>
          <w:rFonts w:ascii="Calibri" w:hAnsi="Calibri"/>
        </w:rPr>
        <w:t xml:space="preserve">and taste </w:t>
      </w:r>
      <w:r w:rsidR="00B935E7" w:rsidRPr="00340DD1">
        <w:rPr>
          <w:rFonts w:ascii="Calibri" w:hAnsi="Calibri"/>
        </w:rPr>
        <w:fldChar w:fldCharType="begin"/>
      </w:r>
      <w:r w:rsidR="00B935E7" w:rsidRPr="00340DD1">
        <w:rPr>
          <w:rFonts w:ascii="Calibri" w:hAnsi="Calibri"/>
        </w:rPr>
        <w:instrText xml:space="preserve"> ADDIN EN.CITE &lt;EndNote&gt;&lt;Cite&gt;&lt;Author&gt;Bernards&lt;/Author&gt;&lt;Year&gt;2009&lt;/Year&gt;&lt;RecNum&gt;149&lt;/RecNum&gt;&lt;DisplayText&gt;(Bernards et al., 2009)&lt;/DisplayText&gt;&lt;record&gt;&lt;rec-number&gt;149&lt;/rec-number&gt;&lt;foreign-keys&gt;&lt;key app="EN" db-id="xr20xxrwks2v5re509w5r2pftxrevzzxpp0p" timestamp="1491439246"&gt;149&lt;/key&gt;&lt;/foreign-keys&gt;&lt;ref-type name="Journal Article"&gt;17&lt;/ref-type&gt;&lt;contributors&gt;&lt;authors&gt;&lt;author&gt;Bernards, S.&lt;/author&gt;&lt;author&gt;Graham, K.&lt;/author&gt;&lt;author&gt;Kuendig, H.&lt;/author&gt;&lt;author&gt;Hettige, S.&lt;/author&gt;&lt;author&gt;Obot, I.&lt;/author&gt;&lt;/authors&gt;&lt;/contributors&gt;&lt;titles&gt;&lt;title&gt;‘I have no interest in drinking’: a cross-national comparison of reasons why men and women abstain from alcohol use&lt;/title&gt;&lt;secondary-title&gt;Addiction&lt;/secondary-title&gt;&lt;/titles&gt;&lt;periodical&gt;&lt;full-title&gt;Addiction&lt;/full-title&gt;&lt;/periodical&gt;&lt;pages&gt;1658-1668&lt;/pages&gt;&lt;volume&gt;104&lt;/volume&gt;&lt;dates&gt;&lt;year&gt;2009&lt;/year&gt;&lt;/dates&gt;&lt;urls&gt;&lt;/urls&gt;&lt;/record&gt;&lt;/Cite&gt;&lt;/EndNote&gt;</w:instrText>
      </w:r>
      <w:r w:rsidR="00B935E7" w:rsidRPr="00340DD1">
        <w:rPr>
          <w:rFonts w:ascii="Calibri" w:hAnsi="Calibri"/>
        </w:rPr>
        <w:fldChar w:fldCharType="separate"/>
      </w:r>
      <w:r w:rsidR="00B935E7" w:rsidRPr="00340DD1">
        <w:rPr>
          <w:rFonts w:ascii="Calibri" w:hAnsi="Calibri"/>
          <w:noProof/>
        </w:rPr>
        <w:t>(Bernards et al., 2009)</w:t>
      </w:r>
      <w:r w:rsidR="00B935E7" w:rsidRPr="00340DD1">
        <w:rPr>
          <w:rFonts w:ascii="Calibri" w:hAnsi="Calibri"/>
        </w:rPr>
        <w:fldChar w:fldCharType="end"/>
      </w:r>
      <w:r w:rsidR="009C1BD0" w:rsidRPr="00340DD1">
        <w:rPr>
          <w:rFonts w:ascii="Calibri" w:hAnsi="Calibri"/>
        </w:rPr>
        <w:t xml:space="preserve">. </w:t>
      </w:r>
      <w:r w:rsidR="00BD21A5" w:rsidRPr="00340DD1">
        <w:rPr>
          <w:rFonts w:ascii="Calibri" w:hAnsi="Calibri"/>
        </w:rPr>
        <w:t>This study found variation</w:t>
      </w:r>
      <w:r w:rsidR="00C76FCA" w:rsidRPr="00340DD1">
        <w:rPr>
          <w:rFonts w:ascii="Calibri" w:hAnsi="Calibri"/>
        </w:rPr>
        <w:t xml:space="preserve"> </w:t>
      </w:r>
      <w:r w:rsidR="00BD21A5" w:rsidRPr="00340DD1">
        <w:rPr>
          <w:rFonts w:ascii="Calibri" w:hAnsi="Calibri"/>
        </w:rPr>
        <w:t xml:space="preserve">in </w:t>
      </w:r>
      <w:r w:rsidR="00C76FCA" w:rsidRPr="00340DD1">
        <w:rPr>
          <w:rFonts w:ascii="Calibri" w:hAnsi="Calibri"/>
        </w:rPr>
        <w:t>reasons by age</w:t>
      </w:r>
      <w:r w:rsidR="00370874" w:rsidRPr="00340DD1">
        <w:rPr>
          <w:rFonts w:ascii="Calibri" w:hAnsi="Calibri"/>
        </w:rPr>
        <w:t xml:space="preserve"> and </w:t>
      </w:r>
      <w:r w:rsidR="00044362" w:rsidRPr="00340DD1">
        <w:rPr>
          <w:rFonts w:ascii="Calibri" w:hAnsi="Calibri"/>
        </w:rPr>
        <w:t>sex</w:t>
      </w:r>
      <w:r w:rsidR="00C76FCA" w:rsidRPr="00340DD1">
        <w:rPr>
          <w:rFonts w:ascii="Calibri" w:hAnsi="Calibri"/>
        </w:rPr>
        <w:t>, specifically that y</w:t>
      </w:r>
      <w:r w:rsidR="009C1BD0" w:rsidRPr="00340DD1">
        <w:rPr>
          <w:rFonts w:ascii="Calibri" w:hAnsi="Calibri"/>
        </w:rPr>
        <w:t>ounger respondents were more likely</w:t>
      </w:r>
      <w:r w:rsidR="009D6419" w:rsidRPr="00340DD1">
        <w:rPr>
          <w:rFonts w:ascii="Calibri" w:hAnsi="Calibri"/>
        </w:rPr>
        <w:t xml:space="preserve"> than older respondents</w:t>
      </w:r>
      <w:r w:rsidR="009C1BD0" w:rsidRPr="00340DD1">
        <w:rPr>
          <w:rFonts w:ascii="Calibri" w:hAnsi="Calibri"/>
        </w:rPr>
        <w:t xml:space="preserve"> to report no interest in drinking, </w:t>
      </w:r>
      <w:r w:rsidR="00ED6140" w:rsidRPr="00340DD1">
        <w:rPr>
          <w:rFonts w:ascii="Calibri" w:hAnsi="Calibri"/>
        </w:rPr>
        <w:t xml:space="preserve">and to be concerned about </w:t>
      </w:r>
      <w:r w:rsidR="009C1BD0" w:rsidRPr="00340DD1">
        <w:rPr>
          <w:rFonts w:ascii="Calibri" w:hAnsi="Calibri"/>
        </w:rPr>
        <w:t>taste, cost</w:t>
      </w:r>
      <w:r w:rsidR="00EE63C6" w:rsidRPr="00340DD1">
        <w:rPr>
          <w:rFonts w:ascii="Calibri" w:hAnsi="Calibri"/>
        </w:rPr>
        <w:t>,</w:t>
      </w:r>
      <w:r w:rsidR="009C1BD0" w:rsidRPr="00340DD1">
        <w:rPr>
          <w:rFonts w:ascii="Calibri" w:hAnsi="Calibri"/>
        </w:rPr>
        <w:t xml:space="preserve"> </w:t>
      </w:r>
      <w:r w:rsidR="009C1BD0" w:rsidRPr="00340DD1">
        <w:rPr>
          <w:rFonts w:ascii="Calibri" w:hAnsi="Calibri"/>
        </w:rPr>
        <w:lastRenderedPageBreak/>
        <w:t xml:space="preserve">and </w:t>
      </w:r>
      <w:r w:rsidR="00091D80" w:rsidRPr="00340DD1">
        <w:rPr>
          <w:rFonts w:ascii="Calibri" w:hAnsi="Calibri"/>
        </w:rPr>
        <w:t xml:space="preserve">developing </w:t>
      </w:r>
      <w:r w:rsidR="009C1BD0" w:rsidRPr="00340DD1">
        <w:rPr>
          <w:rFonts w:ascii="Calibri" w:hAnsi="Calibri"/>
        </w:rPr>
        <w:t>alcohol problems</w:t>
      </w:r>
      <w:r w:rsidR="00370874" w:rsidRPr="00340DD1">
        <w:rPr>
          <w:rFonts w:ascii="Calibri" w:hAnsi="Calibri"/>
        </w:rPr>
        <w:t xml:space="preserve">, and </w:t>
      </w:r>
      <w:r w:rsidR="00B82705" w:rsidRPr="00340DD1">
        <w:rPr>
          <w:rFonts w:ascii="Calibri" w:hAnsi="Calibri"/>
        </w:rPr>
        <w:t xml:space="preserve">females </w:t>
      </w:r>
      <w:r w:rsidR="00370874" w:rsidRPr="00340DD1">
        <w:rPr>
          <w:rFonts w:ascii="Calibri" w:hAnsi="Calibri"/>
        </w:rPr>
        <w:t xml:space="preserve">were more likely than </w:t>
      </w:r>
      <w:r w:rsidR="00B82705" w:rsidRPr="00340DD1">
        <w:rPr>
          <w:rFonts w:ascii="Calibri" w:hAnsi="Calibri"/>
        </w:rPr>
        <w:t xml:space="preserve">males </w:t>
      </w:r>
      <w:r w:rsidR="00370874" w:rsidRPr="00340DD1">
        <w:rPr>
          <w:rFonts w:ascii="Calibri" w:hAnsi="Calibri"/>
        </w:rPr>
        <w:t>to report no interest in drinking and not liking the taste of alcohol</w:t>
      </w:r>
      <w:r w:rsidR="009C1BD0" w:rsidRPr="00340DD1">
        <w:rPr>
          <w:rFonts w:ascii="Calibri" w:hAnsi="Calibri"/>
        </w:rPr>
        <w:t>.</w:t>
      </w:r>
      <w:r w:rsidR="00EE445B" w:rsidRPr="00340DD1">
        <w:rPr>
          <w:rFonts w:ascii="Calibri" w:hAnsi="Calibri"/>
        </w:rPr>
        <w:t xml:space="preserve"> </w:t>
      </w:r>
    </w:p>
    <w:p w14:paraId="7CEC59C1" w14:textId="3E71205D" w:rsidR="009C1BD0" w:rsidRPr="00340DD1" w:rsidRDefault="00FA09FA" w:rsidP="000151FD">
      <w:pPr>
        <w:spacing w:line="360" w:lineRule="auto"/>
        <w:rPr>
          <w:rFonts w:ascii="Calibri" w:hAnsi="Calibri"/>
        </w:rPr>
      </w:pPr>
      <w:r w:rsidRPr="00340DD1">
        <w:rPr>
          <w:rFonts w:ascii="Calibri" w:hAnsi="Calibri"/>
        </w:rPr>
        <w:t xml:space="preserve">Among specific populations, a longitudinal of US men indicated that men who had reduced drinking were more likely to report social-situational reasons, while those who had ceased drinking were more likely to report health reasons </w:t>
      </w:r>
      <w:r w:rsidR="007660EF" w:rsidRPr="00340DD1">
        <w:rPr>
          <w:rFonts w:ascii="Calibri" w:hAnsi="Calibri"/>
        </w:rPr>
        <w:fldChar w:fldCharType="begin"/>
      </w:r>
      <w:r w:rsidR="007660EF" w:rsidRPr="00340DD1">
        <w:rPr>
          <w:rFonts w:ascii="Calibri" w:hAnsi="Calibri"/>
        </w:rPr>
        <w:instrText xml:space="preserve"> ADDIN EN.CITE &lt;EndNote&gt;&lt;Cite&gt;&lt;Author&gt;Hermos&lt;/Author&gt;&lt;Year&gt;1988&lt;/Year&gt;&lt;RecNum&gt;1&lt;/RecNum&gt;&lt;DisplayText&gt;(Hermos et al., 1988)&lt;/DisplayText&gt;&lt;record&gt;&lt;rec-number&gt;1&lt;/rec-number&gt;&lt;foreign-keys&gt;&lt;key app="EN" db-id="2v2xfzds4tvz2wepe0dxxs93szza9ss9zfrz" timestamp="1534992261"&gt;1&lt;/key&gt;&lt;/foreign-keys&gt;&lt;ref-type name="Journal Article"&gt;17&lt;/ref-type&gt;&lt;contributors&gt;&lt;authors&gt;&lt;author&gt;Hermos, J.&lt;/author&gt;&lt;author&gt;Locastro, J.&lt;/author&gt;&lt;author&gt;Glynn, R.&lt;/author&gt;&lt;author&gt;Bouchard, G.&lt;/author&gt;&lt;author&gt;Labry, O.&lt;/author&gt;&lt;/authors&gt;&lt;/contributors&gt;&lt;titles&gt;&lt;title&gt;Predictors of Reduction and Cessation of Drinking in Community-Dwelling Men: Results from the Normative Aging Study&lt;/title&gt;&lt;secondary-title&gt;Journal of Studies on Alcohol&lt;/secondary-title&gt;&lt;/titles&gt;&lt;periodical&gt;&lt;full-title&gt;Journal of Studies on Alcohol&lt;/full-title&gt;&lt;/periodical&gt;&lt;pages&gt;363-368&lt;/pages&gt;&lt;volume&gt;49&lt;/volume&gt;&lt;number&gt;4&lt;/number&gt;&lt;dates&gt;&lt;year&gt;1988&lt;/year&gt;&lt;/dates&gt;&lt;urls&gt;&lt;/urls&gt;&lt;/record&gt;&lt;/Cite&gt;&lt;/EndNote&gt;</w:instrText>
      </w:r>
      <w:r w:rsidR="007660EF" w:rsidRPr="00340DD1">
        <w:rPr>
          <w:rFonts w:ascii="Calibri" w:hAnsi="Calibri"/>
        </w:rPr>
        <w:fldChar w:fldCharType="separate"/>
      </w:r>
      <w:r w:rsidR="007660EF" w:rsidRPr="00340DD1">
        <w:rPr>
          <w:rFonts w:ascii="Calibri" w:hAnsi="Calibri"/>
          <w:noProof/>
        </w:rPr>
        <w:t>(Hermos et al., 1988)</w:t>
      </w:r>
      <w:r w:rsidR="007660EF" w:rsidRPr="00340DD1">
        <w:rPr>
          <w:rFonts w:ascii="Calibri" w:hAnsi="Calibri"/>
        </w:rPr>
        <w:fldChar w:fldCharType="end"/>
      </w:r>
      <w:r w:rsidRPr="00340DD1">
        <w:rPr>
          <w:rFonts w:ascii="Calibri" w:hAnsi="Calibri"/>
        </w:rPr>
        <w:t xml:space="preserve">. Similarly, </w:t>
      </w:r>
      <w:r w:rsidR="008C6493" w:rsidRPr="00340DD1">
        <w:rPr>
          <w:rFonts w:ascii="Calibri" w:hAnsi="Calibri"/>
        </w:rPr>
        <w:t xml:space="preserve">a </w:t>
      </w:r>
      <w:r w:rsidR="00EE445B" w:rsidRPr="00340DD1">
        <w:rPr>
          <w:rFonts w:ascii="Calibri" w:hAnsi="Calibri"/>
        </w:rPr>
        <w:t xml:space="preserve">longitudinal study from the UK reported that among older people (60-85 years), </w:t>
      </w:r>
      <w:r w:rsidR="00C5634E" w:rsidRPr="00340DD1">
        <w:rPr>
          <w:rFonts w:ascii="Calibri" w:hAnsi="Calibri"/>
        </w:rPr>
        <w:t xml:space="preserve">concern about health </w:t>
      </w:r>
      <w:r w:rsidR="00EE445B" w:rsidRPr="00340DD1">
        <w:rPr>
          <w:rFonts w:ascii="Calibri" w:hAnsi="Calibri"/>
        </w:rPr>
        <w:t xml:space="preserve">and </w:t>
      </w:r>
      <w:r w:rsidR="00C5634E" w:rsidRPr="00340DD1">
        <w:rPr>
          <w:rFonts w:ascii="Calibri" w:hAnsi="Calibri"/>
        </w:rPr>
        <w:t xml:space="preserve">fewer opportunities for </w:t>
      </w:r>
      <w:r w:rsidR="00EE445B" w:rsidRPr="00340DD1">
        <w:rPr>
          <w:rFonts w:ascii="Calibri" w:hAnsi="Calibri"/>
        </w:rPr>
        <w:t xml:space="preserve">social occasions were common reasons for reducing drinking </w:t>
      </w:r>
      <w:r w:rsidR="00EE445B" w:rsidRPr="00340DD1">
        <w:rPr>
          <w:rFonts w:ascii="Calibri" w:hAnsi="Calibri"/>
        </w:rPr>
        <w:fldChar w:fldCharType="begin"/>
      </w:r>
      <w:r w:rsidR="00EE445B" w:rsidRPr="00340DD1">
        <w:rPr>
          <w:rFonts w:ascii="Calibri" w:hAnsi="Calibri"/>
        </w:rPr>
        <w:instrText xml:space="preserve"> ADDIN EN.CITE &lt;EndNote&gt;&lt;Cite&gt;&lt;Author&gt;Britton&lt;/Author&gt;&lt;Year&gt;2015&lt;/Year&gt;&lt;RecNum&gt;276&lt;/RecNum&gt;&lt;DisplayText&gt;(Britton and Bell, 2015)&lt;/DisplayText&gt;&lt;record&gt;&lt;rec-number&gt;276&lt;/rec-number&gt;&lt;foreign-keys&gt;&lt;key app="EN" db-id="xr20xxrwks2v5re509w5r2pftxrevzzxpp0p" timestamp="1530580634"&gt;276&lt;/key&gt;&lt;/foreign-keys&gt;&lt;ref-type name="Journal Article"&gt;17&lt;/ref-type&gt;&lt;contributors&gt;&lt;authors&gt;&lt;author&gt;Britton, A.&lt;/author&gt;&lt;author&gt;Bell, S.&lt;/author&gt;&lt;/authors&gt;&lt;/contributors&gt;&lt;titles&gt;&lt;title&gt;Reasons Why People Change Their Alcohol Consumption in Later Life: Findings from the Whitehall II Cohort Study&lt;/title&gt;&lt;secondary-title&gt;PLoS One&lt;/secondary-title&gt;&lt;/titles&gt;&lt;periodical&gt;&lt;full-title&gt;PLoS One&lt;/full-title&gt;&lt;/periodical&gt;&lt;pages&gt;1-8&lt;/pages&gt;&lt;volume&gt;10&lt;/volume&gt;&lt;number&gt;3&lt;/number&gt;&lt;dates&gt;&lt;year&gt;2015&lt;/year&gt;&lt;/dates&gt;&lt;urls&gt;&lt;/urls&gt;&lt;/record&gt;&lt;/Cite&gt;&lt;/EndNote&gt;</w:instrText>
      </w:r>
      <w:r w:rsidR="00EE445B" w:rsidRPr="00340DD1">
        <w:rPr>
          <w:rFonts w:ascii="Calibri" w:hAnsi="Calibri"/>
        </w:rPr>
        <w:fldChar w:fldCharType="separate"/>
      </w:r>
      <w:r w:rsidR="00EE445B" w:rsidRPr="00340DD1">
        <w:rPr>
          <w:rFonts w:ascii="Calibri" w:hAnsi="Calibri"/>
          <w:noProof/>
        </w:rPr>
        <w:t>(Britton and Bell, 2015)</w:t>
      </w:r>
      <w:r w:rsidR="00EE445B" w:rsidRPr="00340DD1">
        <w:rPr>
          <w:rFonts w:ascii="Calibri" w:hAnsi="Calibri"/>
        </w:rPr>
        <w:fldChar w:fldCharType="end"/>
      </w:r>
      <w:r w:rsidR="00EE445B" w:rsidRPr="00340DD1">
        <w:rPr>
          <w:rFonts w:ascii="Calibri" w:hAnsi="Calibri"/>
        </w:rPr>
        <w:t xml:space="preserve">. University students in the US reported that their reasons for limiting drinking included </w:t>
      </w:r>
      <w:r w:rsidR="001F171F" w:rsidRPr="00340DD1">
        <w:rPr>
          <w:rFonts w:ascii="Calibri" w:hAnsi="Calibri"/>
        </w:rPr>
        <w:t>concern about health</w:t>
      </w:r>
      <w:r w:rsidR="00EE445B" w:rsidRPr="00340DD1">
        <w:rPr>
          <w:rFonts w:ascii="Calibri" w:hAnsi="Calibri"/>
        </w:rPr>
        <w:t xml:space="preserve">, </w:t>
      </w:r>
      <w:r w:rsidR="0078606F" w:rsidRPr="00340DD1">
        <w:rPr>
          <w:rFonts w:ascii="Calibri" w:hAnsi="Calibri"/>
        </w:rPr>
        <w:t xml:space="preserve">being brought up not to drink, or concern about the influence </w:t>
      </w:r>
      <w:r w:rsidR="003C6425" w:rsidRPr="00340DD1">
        <w:rPr>
          <w:rFonts w:ascii="Calibri" w:hAnsi="Calibri"/>
        </w:rPr>
        <w:t xml:space="preserve">of drinking </w:t>
      </w:r>
      <w:r w:rsidR="0078606F" w:rsidRPr="00340DD1">
        <w:rPr>
          <w:rFonts w:ascii="Calibri" w:hAnsi="Calibri"/>
        </w:rPr>
        <w:t xml:space="preserve">on school or sport performance, as well as parental disapproval </w:t>
      </w:r>
      <w:r w:rsidR="0078606F" w:rsidRPr="00340DD1">
        <w:rPr>
          <w:rFonts w:ascii="Calibri" w:hAnsi="Calibri"/>
        </w:rPr>
        <w:fldChar w:fldCharType="begin"/>
      </w:r>
      <w:r w:rsidR="0078606F" w:rsidRPr="00340DD1">
        <w:rPr>
          <w:rFonts w:ascii="Calibri" w:hAnsi="Calibri"/>
        </w:rPr>
        <w:instrText xml:space="preserve"> ADDIN EN.CITE &lt;EndNote&gt;&lt;Cite&gt;&lt;Author&gt;Greenfield&lt;/Author&gt;&lt;Year&gt;1989&lt;/Year&gt;&lt;RecNum&gt;277&lt;/RecNum&gt;&lt;DisplayText&gt;(Greenfield et al., 1989)&lt;/DisplayText&gt;&lt;record&gt;&lt;rec-number&gt;277&lt;/rec-number&gt;&lt;foreign-keys&gt;&lt;key app="EN" db-id="xr20xxrwks2v5re509w5r2pftxrevzzxpp0p" timestamp="1530580701"&gt;277&lt;/key&gt;&lt;/foreign-keys&gt;&lt;ref-type name="Journal Article"&gt;17&lt;/ref-type&gt;&lt;contributors&gt;&lt;authors&gt;&lt;author&gt;Greenfield, T.&lt;/author&gt;&lt;author&gt;Guydish, J.&lt;/author&gt;&lt;author&gt;Temple, M.&lt;/author&gt;&lt;/authors&gt;&lt;/contributors&gt;&lt;titles&gt;&lt;title&gt;Reasons Students Give for Limiting Drinking: A Factor Analysis with Implications for Research and Practice&lt;/title&gt;&lt;secondary-title&gt;Journal of Studies on Alcohol&lt;/secondary-title&gt;&lt;/titles&gt;&lt;periodical&gt;&lt;full-title&gt;Journal of Studies on Alcohol&lt;/full-title&gt;&lt;/periodical&gt;&lt;pages&gt;108-115&lt;/pages&gt;&lt;volume&gt;50&lt;/volume&gt;&lt;number&gt;2&lt;/number&gt;&lt;dates&gt;&lt;year&gt;1989&lt;/year&gt;&lt;/dates&gt;&lt;urls&gt;&lt;/urls&gt;&lt;/record&gt;&lt;/Cite&gt;&lt;/EndNote&gt;</w:instrText>
      </w:r>
      <w:r w:rsidR="0078606F" w:rsidRPr="00340DD1">
        <w:rPr>
          <w:rFonts w:ascii="Calibri" w:hAnsi="Calibri"/>
        </w:rPr>
        <w:fldChar w:fldCharType="separate"/>
      </w:r>
      <w:r w:rsidR="0078606F" w:rsidRPr="00340DD1">
        <w:rPr>
          <w:rFonts w:ascii="Calibri" w:hAnsi="Calibri"/>
          <w:noProof/>
        </w:rPr>
        <w:t>(Greenfield et al., 1989)</w:t>
      </w:r>
      <w:r w:rsidR="0078606F" w:rsidRPr="00340DD1">
        <w:rPr>
          <w:rFonts w:ascii="Calibri" w:hAnsi="Calibri"/>
        </w:rPr>
        <w:fldChar w:fldCharType="end"/>
      </w:r>
      <w:r w:rsidR="0078606F" w:rsidRPr="00340DD1">
        <w:rPr>
          <w:rFonts w:ascii="Calibri" w:hAnsi="Calibri"/>
        </w:rPr>
        <w:t>.</w:t>
      </w:r>
    </w:p>
    <w:p w14:paraId="2D0A0D85" w14:textId="14F35E2A" w:rsidR="00B61291" w:rsidRPr="00340DD1" w:rsidRDefault="001B3889" w:rsidP="00D62D0C">
      <w:pPr>
        <w:spacing w:line="360" w:lineRule="auto"/>
        <w:rPr>
          <w:rFonts w:ascii="Calibri" w:hAnsi="Calibri"/>
        </w:rPr>
      </w:pPr>
      <w:r w:rsidRPr="00340DD1">
        <w:rPr>
          <w:rFonts w:ascii="Calibri" w:hAnsi="Calibri"/>
        </w:rPr>
        <w:t>In sum, previous research indicates that ol</w:t>
      </w:r>
      <w:r w:rsidR="003A57DC" w:rsidRPr="00340DD1">
        <w:rPr>
          <w:rFonts w:ascii="Calibri" w:hAnsi="Calibri"/>
        </w:rPr>
        <w:t xml:space="preserve">der </w:t>
      </w:r>
      <w:r w:rsidR="00B82705" w:rsidRPr="00340DD1">
        <w:rPr>
          <w:rFonts w:ascii="Calibri" w:hAnsi="Calibri"/>
        </w:rPr>
        <w:t xml:space="preserve">females </w:t>
      </w:r>
      <w:r w:rsidR="003A57DC" w:rsidRPr="00340DD1">
        <w:rPr>
          <w:rFonts w:ascii="Calibri" w:hAnsi="Calibri"/>
        </w:rPr>
        <w:t xml:space="preserve">tend to report reducing or ceasing drinking at higher rates than other demographic groups, and most </w:t>
      </w:r>
      <w:r w:rsidR="00A172D1" w:rsidRPr="00340DD1">
        <w:rPr>
          <w:rFonts w:ascii="Calibri" w:hAnsi="Calibri"/>
        </w:rPr>
        <w:t xml:space="preserve">studies </w:t>
      </w:r>
      <w:r w:rsidR="003A57DC" w:rsidRPr="00340DD1">
        <w:rPr>
          <w:rFonts w:ascii="Calibri" w:hAnsi="Calibri"/>
        </w:rPr>
        <w:t xml:space="preserve">indicate </w:t>
      </w:r>
      <w:r w:rsidR="00485D64" w:rsidRPr="00340DD1">
        <w:rPr>
          <w:rFonts w:ascii="Calibri" w:hAnsi="Calibri"/>
        </w:rPr>
        <w:t xml:space="preserve">that </w:t>
      </w:r>
      <w:r w:rsidR="00161F05" w:rsidRPr="00340DD1">
        <w:rPr>
          <w:rFonts w:ascii="Calibri" w:hAnsi="Calibri"/>
        </w:rPr>
        <w:t>health</w:t>
      </w:r>
      <w:r w:rsidR="003A57DC" w:rsidRPr="00340DD1">
        <w:rPr>
          <w:rFonts w:ascii="Calibri" w:hAnsi="Calibri"/>
        </w:rPr>
        <w:t xml:space="preserve"> is a concern for people who reduce</w:t>
      </w:r>
      <w:r w:rsidR="008C6493" w:rsidRPr="00340DD1">
        <w:rPr>
          <w:rFonts w:ascii="Calibri" w:hAnsi="Calibri"/>
        </w:rPr>
        <w:t>, but particularly</w:t>
      </w:r>
      <w:r w:rsidR="003A57DC" w:rsidRPr="00340DD1">
        <w:rPr>
          <w:rFonts w:ascii="Calibri" w:hAnsi="Calibri"/>
        </w:rPr>
        <w:t xml:space="preserve"> cease</w:t>
      </w:r>
      <w:r w:rsidR="008C6493" w:rsidRPr="00340DD1">
        <w:rPr>
          <w:rFonts w:ascii="Calibri" w:hAnsi="Calibri"/>
        </w:rPr>
        <w:t>,</w:t>
      </w:r>
      <w:r w:rsidR="003A57DC" w:rsidRPr="00340DD1">
        <w:rPr>
          <w:rFonts w:ascii="Calibri" w:hAnsi="Calibri"/>
        </w:rPr>
        <w:t xml:space="preserve"> drin</w:t>
      </w:r>
      <w:r w:rsidR="006C4C9A" w:rsidRPr="00340DD1">
        <w:rPr>
          <w:rFonts w:ascii="Calibri" w:hAnsi="Calibri"/>
        </w:rPr>
        <w:t>k</w:t>
      </w:r>
      <w:r w:rsidR="003A57DC" w:rsidRPr="00340DD1">
        <w:rPr>
          <w:rFonts w:ascii="Calibri" w:hAnsi="Calibri"/>
        </w:rPr>
        <w:t>ing</w:t>
      </w:r>
      <w:r w:rsidR="00A172D1" w:rsidRPr="00340DD1">
        <w:rPr>
          <w:rFonts w:ascii="Calibri" w:hAnsi="Calibri"/>
        </w:rPr>
        <w:t xml:space="preserve">, </w:t>
      </w:r>
      <w:r w:rsidR="00485D64" w:rsidRPr="00340DD1">
        <w:rPr>
          <w:rFonts w:ascii="Calibri" w:hAnsi="Calibri"/>
        </w:rPr>
        <w:t xml:space="preserve">with </w:t>
      </w:r>
      <w:r w:rsidR="003A57DC" w:rsidRPr="00340DD1">
        <w:rPr>
          <w:rFonts w:ascii="Calibri" w:hAnsi="Calibri"/>
        </w:rPr>
        <w:t xml:space="preserve">age </w:t>
      </w:r>
      <w:r w:rsidR="0078606F" w:rsidRPr="00340DD1">
        <w:rPr>
          <w:rFonts w:ascii="Calibri" w:hAnsi="Calibri"/>
        </w:rPr>
        <w:t>influenc</w:t>
      </w:r>
      <w:r w:rsidR="00485D64" w:rsidRPr="00340DD1">
        <w:rPr>
          <w:rFonts w:ascii="Calibri" w:hAnsi="Calibri"/>
        </w:rPr>
        <w:t>ing</w:t>
      </w:r>
      <w:r w:rsidR="0078606F" w:rsidRPr="00340DD1">
        <w:rPr>
          <w:rFonts w:ascii="Calibri" w:hAnsi="Calibri"/>
        </w:rPr>
        <w:t xml:space="preserve"> </w:t>
      </w:r>
      <w:r w:rsidR="003A57DC" w:rsidRPr="00340DD1">
        <w:rPr>
          <w:rFonts w:ascii="Calibri" w:hAnsi="Calibri"/>
        </w:rPr>
        <w:t xml:space="preserve">these </w:t>
      </w:r>
      <w:r w:rsidR="0078606F" w:rsidRPr="00340DD1">
        <w:rPr>
          <w:rFonts w:ascii="Calibri" w:hAnsi="Calibri"/>
        </w:rPr>
        <w:t>reasons</w:t>
      </w:r>
      <w:r w:rsidRPr="00340DD1">
        <w:rPr>
          <w:rFonts w:ascii="Calibri" w:hAnsi="Calibri"/>
        </w:rPr>
        <w:t>.</w:t>
      </w:r>
      <w:r w:rsidR="0078606F" w:rsidRPr="00340DD1">
        <w:rPr>
          <w:rFonts w:ascii="Calibri" w:hAnsi="Calibri"/>
        </w:rPr>
        <w:t xml:space="preserve"> </w:t>
      </w:r>
      <w:r w:rsidR="00D1411A" w:rsidRPr="00340DD1">
        <w:rPr>
          <w:rFonts w:ascii="Calibri" w:hAnsi="Calibri"/>
        </w:rPr>
        <w:t xml:space="preserve">The </w:t>
      </w:r>
      <w:r w:rsidR="00485D64" w:rsidRPr="00340DD1">
        <w:rPr>
          <w:rFonts w:ascii="Calibri" w:hAnsi="Calibri"/>
        </w:rPr>
        <w:t xml:space="preserve">primary </w:t>
      </w:r>
      <w:r w:rsidR="00D1411A" w:rsidRPr="00340DD1">
        <w:rPr>
          <w:rFonts w:ascii="Calibri" w:hAnsi="Calibri"/>
        </w:rPr>
        <w:t xml:space="preserve">purpose of this paper is to </w:t>
      </w:r>
      <w:r w:rsidR="00EB3E94" w:rsidRPr="00340DD1">
        <w:rPr>
          <w:rFonts w:ascii="Calibri" w:hAnsi="Calibri"/>
        </w:rPr>
        <w:t xml:space="preserve">explore </w:t>
      </w:r>
      <w:r w:rsidR="008D272E" w:rsidRPr="00340DD1">
        <w:rPr>
          <w:rFonts w:ascii="Calibri" w:hAnsi="Calibri"/>
        </w:rPr>
        <w:t>patterns of reduction or cessation of drinking in Australia over time</w:t>
      </w:r>
      <w:r w:rsidR="00EB3E94" w:rsidRPr="00340DD1">
        <w:rPr>
          <w:rFonts w:ascii="Calibri" w:hAnsi="Calibri"/>
        </w:rPr>
        <w:t xml:space="preserve">, </w:t>
      </w:r>
      <w:r w:rsidR="008D272E" w:rsidRPr="00340DD1">
        <w:rPr>
          <w:rFonts w:ascii="Calibri" w:hAnsi="Calibri"/>
        </w:rPr>
        <w:t xml:space="preserve">and </w:t>
      </w:r>
      <w:r w:rsidR="001F171F" w:rsidRPr="00340DD1">
        <w:rPr>
          <w:rFonts w:ascii="Calibri" w:hAnsi="Calibri"/>
        </w:rPr>
        <w:t xml:space="preserve">to detect </w:t>
      </w:r>
      <w:r w:rsidRPr="00340DD1">
        <w:rPr>
          <w:rFonts w:ascii="Calibri" w:hAnsi="Calibri"/>
        </w:rPr>
        <w:t xml:space="preserve">whether this is being driven by </w:t>
      </w:r>
      <w:proofErr w:type="gramStart"/>
      <w:r w:rsidRPr="00340DD1">
        <w:rPr>
          <w:rFonts w:ascii="Calibri" w:hAnsi="Calibri"/>
        </w:rPr>
        <w:t>particular demographic</w:t>
      </w:r>
      <w:proofErr w:type="gramEnd"/>
      <w:r w:rsidRPr="00340DD1">
        <w:rPr>
          <w:rFonts w:ascii="Calibri" w:hAnsi="Calibri"/>
        </w:rPr>
        <w:t xml:space="preserve"> groups. Our secondary aim is to explore </w:t>
      </w:r>
      <w:r w:rsidR="00EB3E94" w:rsidRPr="00340DD1">
        <w:rPr>
          <w:rFonts w:ascii="Calibri" w:hAnsi="Calibri"/>
        </w:rPr>
        <w:t xml:space="preserve">motivations for </w:t>
      </w:r>
      <w:r w:rsidRPr="00340DD1">
        <w:rPr>
          <w:rFonts w:ascii="Calibri" w:hAnsi="Calibri"/>
        </w:rPr>
        <w:t xml:space="preserve">reducing or ceasing or drinking </w:t>
      </w:r>
      <w:r w:rsidR="003A57DC" w:rsidRPr="00340DD1">
        <w:rPr>
          <w:rFonts w:ascii="Calibri" w:hAnsi="Calibri"/>
        </w:rPr>
        <w:t xml:space="preserve">and how they differ </w:t>
      </w:r>
      <w:r w:rsidR="003C6425" w:rsidRPr="00340DD1">
        <w:rPr>
          <w:rFonts w:ascii="Calibri" w:hAnsi="Calibri"/>
        </w:rPr>
        <w:t>across demographic groups</w:t>
      </w:r>
      <w:r w:rsidR="00EB3E94" w:rsidRPr="00340DD1">
        <w:rPr>
          <w:rFonts w:ascii="Calibri" w:hAnsi="Calibri"/>
        </w:rPr>
        <w:t xml:space="preserve">. </w:t>
      </w:r>
    </w:p>
    <w:p w14:paraId="7186B04C" w14:textId="77777777" w:rsidR="0049614F" w:rsidRPr="00340DD1" w:rsidRDefault="0049614F" w:rsidP="00D62D0C">
      <w:pPr>
        <w:spacing w:line="360" w:lineRule="auto"/>
        <w:rPr>
          <w:rFonts w:ascii="Calibri" w:hAnsi="Calibri" w:cs="Times New Roman"/>
          <w:b/>
        </w:rPr>
      </w:pPr>
    </w:p>
    <w:p w14:paraId="4B267B5F" w14:textId="77777777" w:rsidR="00915EF8" w:rsidRPr="00340DD1" w:rsidRDefault="00915EF8" w:rsidP="00D62D0C">
      <w:pPr>
        <w:spacing w:line="360" w:lineRule="auto"/>
        <w:rPr>
          <w:rFonts w:ascii="Calibri" w:hAnsi="Calibri" w:cs="Times New Roman"/>
          <w:b/>
        </w:rPr>
      </w:pPr>
      <w:r w:rsidRPr="00340DD1">
        <w:rPr>
          <w:rFonts w:ascii="Calibri" w:hAnsi="Calibri" w:cs="Times New Roman"/>
          <w:b/>
        </w:rPr>
        <w:t>Method</w:t>
      </w:r>
    </w:p>
    <w:p w14:paraId="1E57D264" w14:textId="77777777" w:rsidR="00915EF8" w:rsidRPr="00340DD1" w:rsidRDefault="00915EF8" w:rsidP="00D62D0C">
      <w:pPr>
        <w:spacing w:line="360" w:lineRule="auto"/>
        <w:rPr>
          <w:rFonts w:ascii="Calibri" w:hAnsi="Calibri" w:cs="Times New Roman"/>
          <w:b/>
          <w:i/>
        </w:rPr>
      </w:pPr>
      <w:r w:rsidRPr="00340DD1">
        <w:rPr>
          <w:rFonts w:ascii="Calibri" w:hAnsi="Calibri" w:cs="Times New Roman"/>
          <w:b/>
          <w:i/>
        </w:rPr>
        <w:t>Sample</w:t>
      </w:r>
    </w:p>
    <w:p w14:paraId="5EFFA9D2" w14:textId="6CB0DCB3" w:rsidR="00E76CE8" w:rsidRPr="00340DD1" w:rsidRDefault="00915EF8" w:rsidP="004076A4">
      <w:pPr>
        <w:autoSpaceDE w:val="0"/>
        <w:autoSpaceDN w:val="0"/>
        <w:adjustRightInd w:val="0"/>
        <w:spacing w:line="360" w:lineRule="auto"/>
        <w:rPr>
          <w:rFonts w:ascii="Calibri" w:hAnsi="Calibri" w:cs="Times New Roman"/>
        </w:rPr>
      </w:pPr>
      <w:r w:rsidRPr="00340DD1">
        <w:rPr>
          <w:rFonts w:ascii="Calibri" w:hAnsi="Calibri" w:cs="Times New Roman"/>
        </w:rPr>
        <w:t xml:space="preserve">Data were taken from five waves of </w:t>
      </w:r>
      <w:r w:rsidR="001C4F29" w:rsidRPr="00340DD1">
        <w:rPr>
          <w:rFonts w:ascii="Calibri" w:hAnsi="Calibri" w:cs="Times New Roman"/>
        </w:rPr>
        <w:t xml:space="preserve">Australia’s </w:t>
      </w:r>
      <w:r w:rsidRPr="00340DD1">
        <w:rPr>
          <w:rFonts w:ascii="Calibri" w:hAnsi="Calibri" w:cs="Times New Roman"/>
        </w:rPr>
        <w:t>National Drug Strategy Household Survey (NDSHS), administered every three years from 2001 to 2013. A multi-stage stratified area random sample design was employed at a household level.</w:t>
      </w:r>
      <w:r w:rsidR="00C30665" w:rsidRPr="00340DD1">
        <w:rPr>
          <w:rFonts w:ascii="Calibri" w:hAnsi="Calibri" w:cs="Times New Roman"/>
        </w:rPr>
        <w:t xml:space="preserve"> </w:t>
      </w:r>
      <w:r w:rsidR="003F0A75" w:rsidRPr="00340DD1">
        <w:rPr>
          <w:rFonts w:ascii="Calibri" w:hAnsi="Calibri" w:cs="Times New Roman"/>
        </w:rPr>
        <w:t>One</w:t>
      </w:r>
      <w:r w:rsidR="00F012F9" w:rsidRPr="00340DD1">
        <w:rPr>
          <w:rFonts w:ascii="Calibri" w:hAnsi="Calibri" w:cs="Times New Roman"/>
        </w:rPr>
        <w:t xml:space="preserve"> person within each household wa</w:t>
      </w:r>
      <w:r w:rsidR="003F0A75" w:rsidRPr="00340DD1">
        <w:rPr>
          <w:rFonts w:ascii="Calibri" w:hAnsi="Calibri" w:cs="Times New Roman"/>
        </w:rPr>
        <w:t>s randomly selected to participate in the study</w:t>
      </w:r>
      <w:r w:rsidR="00052A77" w:rsidRPr="00340DD1">
        <w:rPr>
          <w:rFonts w:ascii="Calibri" w:hAnsi="Calibri" w:cs="Times New Roman"/>
        </w:rPr>
        <w:t xml:space="preserve">, that is, </w:t>
      </w:r>
      <w:r w:rsidR="00052A77" w:rsidRPr="00340DD1">
        <w:rPr>
          <w:rFonts w:ascii="Calibri" w:hAnsi="Calibri" w:cs="MyriadPro-Light"/>
        </w:rPr>
        <w:t>the household member aged 12 or older with the next birthday</w:t>
      </w:r>
      <w:r w:rsidR="003F0A75" w:rsidRPr="00340DD1">
        <w:rPr>
          <w:rFonts w:ascii="Calibri" w:hAnsi="Calibri" w:cs="Times New Roman"/>
        </w:rPr>
        <w:t xml:space="preserve">. </w:t>
      </w:r>
      <w:r w:rsidR="00F012F9" w:rsidRPr="00340DD1">
        <w:rPr>
          <w:rFonts w:ascii="Calibri" w:hAnsi="Calibri" w:cs="Times New Roman"/>
        </w:rPr>
        <w:t xml:space="preserve">If that person was unavailable or declined, the interviewer moved to the next house. </w:t>
      </w:r>
      <w:r w:rsidR="00C30665" w:rsidRPr="00340DD1">
        <w:rPr>
          <w:rFonts w:ascii="Calibri" w:hAnsi="Calibri" w:cs="Times New Roman"/>
        </w:rPr>
        <w:t xml:space="preserve">Details of each survey </w:t>
      </w:r>
      <w:r w:rsidRPr="00340DD1">
        <w:rPr>
          <w:rFonts w:ascii="Calibri" w:hAnsi="Calibri" w:cs="Times New Roman"/>
        </w:rPr>
        <w:t>are shown in Table 1</w:t>
      </w:r>
      <w:r w:rsidR="000D3CF9" w:rsidRPr="00340DD1">
        <w:rPr>
          <w:rFonts w:ascii="Calibri" w:hAnsi="Calibri" w:cs="Times New Roman"/>
        </w:rPr>
        <w:t xml:space="preserve">. </w:t>
      </w:r>
      <w:r w:rsidRPr="00340DD1">
        <w:rPr>
          <w:rFonts w:ascii="Calibri" w:hAnsi="Calibri" w:cs="Times New Roman"/>
        </w:rPr>
        <w:t>While the response rates</w:t>
      </w:r>
      <w:r w:rsidR="00C95FF5" w:rsidRPr="00340DD1">
        <w:rPr>
          <w:rFonts w:ascii="Calibri" w:hAnsi="Calibri" w:cs="Times New Roman"/>
        </w:rPr>
        <w:t xml:space="preserve"> (~50%)</w:t>
      </w:r>
      <w:r w:rsidRPr="00340DD1">
        <w:rPr>
          <w:rFonts w:ascii="Calibri" w:hAnsi="Calibri" w:cs="Times New Roman"/>
        </w:rPr>
        <w:t xml:space="preserve"> </w:t>
      </w:r>
      <w:r w:rsidR="00761326" w:rsidRPr="00340DD1">
        <w:rPr>
          <w:rFonts w:ascii="Calibri" w:hAnsi="Calibri" w:cs="Times New Roman"/>
        </w:rPr>
        <w:t xml:space="preserve">might be considered </w:t>
      </w:r>
      <w:r w:rsidRPr="00340DD1">
        <w:rPr>
          <w:rFonts w:ascii="Calibri" w:hAnsi="Calibri" w:cs="Times New Roman"/>
        </w:rPr>
        <w:t xml:space="preserve">low compared to surveys in other countries, it is worth noting that it is </w:t>
      </w:r>
      <w:r w:rsidR="00761326" w:rsidRPr="00340DD1">
        <w:rPr>
          <w:rFonts w:ascii="Calibri" w:hAnsi="Calibri" w:cs="Times New Roman"/>
        </w:rPr>
        <w:t xml:space="preserve">relatively </w:t>
      </w:r>
      <w:r w:rsidRPr="00340DD1">
        <w:rPr>
          <w:rFonts w:ascii="Calibri" w:hAnsi="Calibri" w:cs="Times New Roman"/>
        </w:rPr>
        <w:t>high in an Australian context and has been shown to broadly reflect total shifts in alcohol consumption in Australia over time</w:t>
      </w:r>
      <w:r w:rsidR="000D2035" w:rsidRPr="00340DD1">
        <w:rPr>
          <w:rFonts w:ascii="Calibri" w:hAnsi="Calibri" w:cs="Times New Roman"/>
        </w:rPr>
        <w:t xml:space="preserve"> </w:t>
      </w:r>
      <w:r w:rsidR="00F43601" w:rsidRPr="00340DD1">
        <w:rPr>
          <w:rFonts w:ascii="Calibri" w:hAnsi="Calibri" w:cs="Times New Roman"/>
        </w:rPr>
        <w:t xml:space="preserve">when compared to sales data </w:t>
      </w:r>
      <w:r w:rsidR="000D2035" w:rsidRPr="00340DD1">
        <w:rPr>
          <w:rFonts w:ascii="Calibri" w:hAnsi="Calibri" w:cs="Times New Roman"/>
        </w:rPr>
        <w:fldChar w:fldCharType="begin"/>
      </w:r>
      <w:r w:rsidR="00EC6699" w:rsidRPr="00340DD1">
        <w:rPr>
          <w:rFonts w:ascii="Calibri" w:hAnsi="Calibri" w:cs="Times New Roman"/>
        </w:rPr>
        <w:instrText xml:space="preserve"> ADDIN EN.CITE &lt;EndNote&gt;&lt;Cite&gt;&lt;Author&gt;Livingston&lt;/Author&gt;&lt;Year&gt;2016&lt;/Year&gt;&lt;RecNum&gt;152&lt;/RecNum&gt;&lt;DisplayText&gt;(Livingston and Dietze, 2016, O&amp;apos;Toole et al., 2008)&lt;/DisplayText&gt;&lt;record&gt;&lt;rec-number&gt;152&lt;/rec-number&gt;&lt;foreign-keys&gt;&lt;key app="EN" db-id="xr20xxrwks2v5re509w5r2pftxrevzzxpp0p" timestamp="1491449631"&gt;152&lt;/key&gt;&lt;/foreign-keys&gt;&lt;ref-type name="Journal Article"&gt;17&lt;/ref-type&gt;&lt;contributors&gt;&lt;authors&gt;&lt;author&gt;Livingston, M.&lt;/author&gt;&lt;author&gt;Dietze, P.&lt;/author&gt;&lt;/authors&gt;&lt;/contributors&gt;&lt;titles&gt;&lt;title&gt;National survey data can be used to measure trends  in population alcohol consumption in Australia&lt;/title&gt;&lt;secondary-title&gt;Australian and New Zealand Journal of Public Health&lt;/secondary-title&gt;&lt;/titles&gt;&lt;periodical&gt;&lt;full-title&gt;Australian and New Zealand Journal of Public Health&lt;/full-title&gt;&lt;/periodical&gt;&lt;pages&gt;233-235&lt;/pages&gt;&lt;volume&gt;40&lt;/volume&gt;&lt;number&gt;3&lt;/number&gt;&lt;dates&gt;&lt;year&gt;2016&lt;/year&gt;&lt;/dates&gt;&lt;urls&gt;&lt;/urls&gt;&lt;/record&gt;&lt;/Cite&gt;&lt;Cite&gt;&lt;Author&gt;O&amp;apos;Toole&lt;/Author&gt;&lt;Year&gt;2008&lt;/Year&gt;&lt;RecNum&gt;156&lt;/RecNum&gt;&lt;record&gt;&lt;rec-number&gt;156&lt;/rec-number&gt;&lt;foreign-keys&gt;&lt;key app="EN" db-id="xr20xxrwks2v5re509w5r2pftxrevzzxpp0p" timestamp="1493785026"&gt;156&lt;/key&gt;&lt;/foreign-keys&gt;&lt;ref-type name="Journal Article"&gt;17&lt;/ref-type&gt;&lt;contributors&gt;&lt;authors&gt;&lt;author&gt;O&amp;apos;Toole, J.&lt;/author&gt;&lt;author&gt;Sinclair, M.&lt;/author&gt;&lt;author&gt;Leder, K.&lt;/author&gt;&lt;/authors&gt;&lt;/contributors&gt;&lt;titles&gt;&lt;title&gt;Maximising response rates in household telephone surveys&lt;/title&gt;&lt;secondary-title&gt;BMC Medical Research Methodology&lt;/secondary-title&gt;&lt;/titles&gt;&lt;periodical&gt;&lt;full-title&gt;BMC Medical Research Methodology&lt;/full-title&gt;&lt;/periodical&gt;&lt;volume&gt;8&lt;/volume&gt;&lt;number&gt;71&lt;/number&gt;&lt;dates&gt;&lt;year&gt;2008&lt;/year&gt;&lt;/dates&gt;&lt;urls&gt;&lt;/urls&gt;&lt;/record&gt;&lt;/Cite&gt;&lt;/EndNote&gt;</w:instrText>
      </w:r>
      <w:r w:rsidR="000D2035" w:rsidRPr="00340DD1">
        <w:rPr>
          <w:rFonts w:ascii="Calibri" w:hAnsi="Calibri" w:cs="Times New Roman"/>
        </w:rPr>
        <w:fldChar w:fldCharType="separate"/>
      </w:r>
      <w:r w:rsidR="00EC6699" w:rsidRPr="00340DD1">
        <w:rPr>
          <w:rFonts w:ascii="Calibri" w:hAnsi="Calibri" w:cs="Times New Roman"/>
          <w:noProof/>
        </w:rPr>
        <w:t>(Livingston and Dietze, 2016, O'Toole et al., 2008)</w:t>
      </w:r>
      <w:r w:rsidR="000D2035" w:rsidRPr="00340DD1">
        <w:rPr>
          <w:rFonts w:ascii="Calibri" w:hAnsi="Calibri" w:cs="Times New Roman"/>
        </w:rPr>
        <w:fldChar w:fldCharType="end"/>
      </w:r>
      <w:r w:rsidRPr="00340DD1">
        <w:rPr>
          <w:rFonts w:ascii="Calibri" w:hAnsi="Calibri" w:cs="Times New Roman"/>
        </w:rPr>
        <w:t>. Respondents who had not consumed alcohol in the past twelve months and those aged under 14 were excluded</w:t>
      </w:r>
      <w:r w:rsidR="00447C25" w:rsidRPr="00340DD1">
        <w:rPr>
          <w:rFonts w:ascii="Calibri" w:hAnsi="Calibri" w:cs="Times New Roman"/>
        </w:rPr>
        <w:t xml:space="preserve"> </w:t>
      </w:r>
      <w:r w:rsidR="00B01C3B" w:rsidRPr="00340DD1">
        <w:rPr>
          <w:rFonts w:ascii="Calibri" w:hAnsi="Calibri" w:cs="Times New Roman"/>
        </w:rPr>
        <w:t>(</w:t>
      </w:r>
      <w:r w:rsidR="00447C25" w:rsidRPr="00340DD1">
        <w:rPr>
          <w:rFonts w:ascii="Calibri" w:hAnsi="Calibri" w:cs="Times New Roman"/>
        </w:rPr>
        <w:t>as this was the minimum age in some waves</w:t>
      </w:r>
      <w:r w:rsidR="00B01C3B" w:rsidRPr="00340DD1">
        <w:rPr>
          <w:rFonts w:ascii="Calibri" w:hAnsi="Calibri" w:cs="Times New Roman"/>
        </w:rPr>
        <w:t>)</w:t>
      </w:r>
      <w:r w:rsidRPr="00340DD1">
        <w:rPr>
          <w:rFonts w:ascii="Calibri" w:hAnsi="Calibri" w:cs="Times New Roman"/>
        </w:rPr>
        <w:t xml:space="preserve">. There was no upper age limit. </w:t>
      </w:r>
    </w:p>
    <w:p w14:paraId="7391C313" w14:textId="77777777" w:rsidR="000934D6" w:rsidRPr="00340DD1" w:rsidRDefault="000934D6" w:rsidP="00D62D0C">
      <w:pPr>
        <w:spacing w:line="360" w:lineRule="auto"/>
        <w:rPr>
          <w:rFonts w:ascii="Calibri" w:hAnsi="Calibri" w:cs="Times New Roman"/>
          <w:b/>
          <w:i/>
        </w:rPr>
      </w:pPr>
    </w:p>
    <w:p w14:paraId="73DFC3B5" w14:textId="77777777" w:rsidR="008C6493" w:rsidRPr="00340DD1" w:rsidRDefault="008C6493" w:rsidP="00D62D0C">
      <w:pPr>
        <w:spacing w:line="360" w:lineRule="auto"/>
        <w:rPr>
          <w:rFonts w:ascii="Calibri" w:hAnsi="Calibri" w:cs="Times New Roman"/>
          <w:b/>
          <w:i/>
        </w:rPr>
      </w:pPr>
    </w:p>
    <w:p w14:paraId="55385BA9" w14:textId="72D1C0D6" w:rsidR="00915EF8" w:rsidRPr="00340DD1" w:rsidRDefault="00915EF8" w:rsidP="00D62D0C">
      <w:pPr>
        <w:spacing w:line="360" w:lineRule="auto"/>
        <w:rPr>
          <w:rFonts w:ascii="Calibri" w:hAnsi="Calibri" w:cs="Times New Roman"/>
          <w:b/>
          <w:i/>
        </w:rPr>
      </w:pPr>
      <w:r w:rsidRPr="00340DD1">
        <w:rPr>
          <w:rFonts w:ascii="Calibri" w:hAnsi="Calibri" w:cs="Times New Roman"/>
          <w:b/>
          <w:i/>
        </w:rPr>
        <w:lastRenderedPageBreak/>
        <w:t>Measures</w:t>
      </w:r>
    </w:p>
    <w:p w14:paraId="3B0DCFC9" w14:textId="2BB0058F" w:rsidR="00E76CE8" w:rsidRPr="00340DD1" w:rsidRDefault="00915EF8" w:rsidP="00D62D0C">
      <w:pPr>
        <w:spacing w:line="360" w:lineRule="auto"/>
        <w:rPr>
          <w:rFonts w:ascii="Calibri" w:hAnsi="Calibri" w:cs="Times New Roman"/>
        </w:rPr>
      </w:pPr>
      <w:r w:rsidRPr="00340DD1">
        <w:rPr>
          <w:rFonts w:ascii="Calibri" w:hAnsi="Calibri" w:cs="Times New Roman"/>
        </w:rPr>
        <w:t>The NDSHS survey includes questions on alcohol, tobacco and illicit drug use as well as a wide range of de</w:t>
      </w:r>
      <w:r w:rsidR="007E1584" w:rsidRPr="00340DD1">
        <w:rPr>
          <w:rFonts w:ascii="Calibri" w:hAnsi="Calibri" w:cs="Times New Roman"/>
        </w:rPr>
        <w:t>mographic questions</w:t>
      </w:r>
      <w:r w:rsidRPr="00340DD1">
        <w:rPr>
          <w:rFonts w:ascii="Calibri" w:hAnsi="Calibri" w:cs="Times New Roman"/>
        </w:rPr>
        <w:t xml:space="preserve">. </w:t>
      </w:r>
      <w:r w:rsidR="00DE487C" w:rsidRPr="00340DD1">
        <w:rPr>
          <w:rFonts w:ascii="Calibri" w:hAnsi="Calibri" w:cs="Times New Roman"/>
        </w:rPr>
        <w:t>Participants we</w:t>
      </w:r>
      <w:r w:rsidR="002B4FD0" w:rsidRPr="00340DD1">
        <w:rPr>
          <w:rFonts w:ascii="Calibri" w:hAnsi="Calibri" w:cs="Times New Roman"/>
        </w:rPr>
        <w:t xml:space="preserve">re asked if they </w:t>
      </w:r>
      <w:r w:rsidR="00DE487C" w:rsidRPr="00340DD1">
        <w:rPr>
          <w:rFonts w:ascii="Calibri" w:hAnsi="Calibri" w:cs="Times New Roman"/>
        </w:rPr>
        <w:t xml:space="preserve">had </w:t>
      </w:r>
      <w:r w:rsidR="002B4FD0" w:rsidRPr="00340DD1">
        <w:rPr>
          <w:rFonts w:ascii="Calibri" w:hAnsi="Calibri" w:cs="Times New Roman"/>
        </w:rPr>
        <w:t>consumed alcohol</w:t>
      </w:r>
      <w:r w:rsidR="00DE487C" w:rsidRPr="00340DD1">
        <w:rPr>
          <w:rFonts w:ascii="Calibri" w:hAnsi="Calibri" w:cs="Times New Roman"/>
        </w:rPr>
        <w:t xml:space="preserve"> in the past 12 months</w:t>
      </w:r>
      <w:r w:rsidR="002B4FD0" w:rsidRPr="00340DD1">
        <w:rPr>
          <w:rFonts w:ascii="Calibri" w:hAnsi="Calibri" w:cs="Times New Roman"/>
        </w:rPr>
        <w:t xml:space="preserve">, and quantity and frequency </w:t>
      </w:r>
      <w:r w:rsidR="00DE487C" w:rsidRPr="00340DD1">
        <w:rPr>
          <w:rFonts w:ascii="Calibri" w:hAnsi="Calibri" w:cs="Times New Roman"/>
        </w:rPr>
        <w:t xml:space="preserve">of consumption over the </w:t>
      </w:r>
      <w:proofErr w:type="gramStart"/>
      <w:r w:rsidR="00DE487C" w:rsidRPr="00340DD1">
        <w:rPr>
          <w:rFonts w:ascii="Calibri" w:hAnsi="Calibri" w:cs="Times New Roman"/>
        </w:rPr>
        <w:t>12 month</w:t>
      </w:r>
      <w:proofErr w:type="gramEnd"/>
      <w:r w:rsidR="00DE487C" w:rsidRPr="00340DD1">
        <w:rPr>
          <w:rFonts w:ascii="Calibri" w:hAnsi="Calibri" w:cs="Times New Roman"/>
        </w:rPr>
        <w:t xml:space="preserve"> period was </w:t>
      </w:r>
      <w:r w:rsidR="002B4FD0" w:rsidRPr="00340DD1">
        <w:rPr>
          <w:rFonts w:ascii="Calibri" w:hAnsi="Calibri" w:cs="Times New Roman"/>
        </w:rPr>
        <w:t xml:space="preserve">collected. </w:t>
      </w:r>
      <w:r w:rsidR="001437C1" w:rsidRPr="00340DD1">
        <w:rPr>
          <w:rFonts w:ascii="Calibri" w:hAnsi="Calibri" w:cs="Times New Roman"/>
        </w:rPr>
        <w:t>T</w:t>
      </w:r>
      <w:r w:rsidRPr="00340DD1">
        <w:rPr>
          <w:rFonts w:ascii="Calibri" w:hAnsi="Calibri" w:cs="Times New Roman"/>
        </w:rPr>
        <w:t>hose who had consumed alcohol in the past twelve months were</w:t>
      </w:r>
      <w:r w:rsidR="001437C1" w:rsidRPr="00340DD1">
        <w:rPr>
          <w:rFonts w:ascii="Calibri" w:hAnsi="Calibri" w:cs="Times New Roman"/>
        </w:rPr>
        <w:t xml:space="preserve"> also</w:t>
      </w:r>
      <w:r w:rsidRPr="00340DD1">
        <w:rPr>
          <w:rFonts w:ascii="Calibri" w:hAnsi="Calibri" w:cs="Times New Roman"/>
        </w:rPr>
        <w:t xml:space="preserve"> asked </w:t>
      </w:r>
      <w:r w:rsidR="001437C1" w:rsidRPr="00340DD1">
        <w:rPr>
          <w:rFonts w:ascii="Calibri" w:hAnsi="Calibri" w:cs="Times New Roman"/>
        </w:rPr>
        <w:t xml:space="preserve">‘In the last 12 months have you </w:t>
      </w:r>
      <w:r w:rsidR="001437C1" w:rsidRPr="00340DD1">
        <w:rPr>
          <w:rFonts w:ascii="Calibri" w:hAnsi="Calibri" w:cs="Times New Roman"/>
          <w:i/>
        </w:rPr>
        <w:t>(mark all that apply)</w:t>
      </w:r>
      <w:r w:rsidR="00A05394" w:rsidRPr="00340DD1">
        <w:rPr>
          <w:rFonts w:ascii="Calibri" w:hAnsi="Calibri" w:cs="Times New Roman"/>
          <w:i/>
        </w:rPr>
        <w:t>:</w:t>
      </w:r>
      <w:r w:rsidRPr="00340DD1">
        <w:rPr>
          <w:rFonts w:ascii="Calibri" w:hAnsi="Calibri" w:cs="Times New Roman"/>
        </w:rPr>
        <w:t xml:space="preserve"> </w:t>
      </w:r>
      <w:proofErr w:type="spellStart"/>
      <w:r w:rsidR="001437C1" w:rsidRPr="00340DD1">
        <w:rPr>
          <w:rFonts w:ascii="Calibri" w:hAnsi="Calibri" w:cs="Times New Roman"/>
        </w:rPr>
        <w:t>i</w:t>
      </w:r>
      <w:proofErr w:type="spellEnd"/>
      <w:r w:rsidR="001437C1" w:rsidRPr="00340DD1">
        <w:rPr>
          <w:rFonts w:ascii="Calibri" w:hAnsi="Calibri" w:cs="Times New Roman"/>
        </w:rPr>
        <w:t xml:space="preserve">) </w:t>
      </w:r>
      <w:r w:rsidRPr="00340DD1">
        <w:rPr>
          <w:rFonts w:ascii="Calibri" w:hAnsi="Calibri" w:cs="Times New Roman"/>
        </w:rPr>
        <w:t xml:space="preserve">Reduced the amount of alcohol you drink at any one time; </w:t>
      </w:r>
      <w:r w:rsidR="001437C1" w:rsidRPr="00340DD1">
        <w:rPr>
          <w:rFonts w:ascii="Calibri" w:hAnsi="Calibri" w:cs="Times New Roman"/>
        </w:rPr>
        <w:t xml:space="preserve">ii) </w:t>
      </w:r>
      <w:r w:rsidRPr="00340DD1">
        <w:rPr>
          <w:rFonts w:ascii="Calibri" w:hAnsi="Calibri" w:cs="Times New Roman"/>
        </w:rPr>
        <w:t xml:space="preserve">Reduced the number of times you drink; </w:t>
      </w:r>
      <w:r w:rsidR="001437C1" w:rsidRPr="00340DD1">
        <w:rPr>
          <w:rFonts w:ascii="Calibri" w:hAnsi="Calibri" w:cs="Times New Roman"/>
        </w:rPr>
        <w:t xml:space="preserve">iii) </w:t>
      </w:r>
      <w:r w:rsidRPr="00340DD1">
        <w:rPr>
          <w:rFonts w:ascii="Calibri" w:hAnsi="Calibri" w:cs="Times New Roman"/>
        </w:rPr>
        <w:t>Switched to drinking more low-alcoholic drinks than you used to</w:t>
      </w:r>
      <w:r w:rsidR="00761326" w:rsidRPr="00340DD1">
        <w:rPr>
          <w:rFonts w:ascii="Calibri" w:hAnsi="Calibri" w:cs="Times New Roman"/>
        </w:rPr>
        <w:t>;</w:t>
      </w:r>
      <w:r w:rsidR="00DD3699" w:rsidRPr="00340DD1">
        <w:rPr>
          <w:rFonts w:ascii="Calibri" w:hAnsi="Calibri" w:cs="Times New Roman"/>
        </w:rPr>
        <w:t xml:space="preserve"> or</w:t>
      </w:r>
      <w:r w:rsidRPr="00340DD1">
        <w:rPr>
          <w:rFonts w:ascii="Calibri" w:hAnsi="Calibri" w:cs="Times New Roman"/>
        </w:rPr>
        <w:t xml:space="preserve"> </w:t>
      </w:r>
      <w:r w:rsidR="001437C1" w:rsidRPr="00340DD1">
        <w:rPr>
          <w:rFonts w:ascii="Calibri" w:hAnsi="Calibri" w:cs="Times New Roman"/>
        </w:rPr>
        <w:t xml:space="preserve">iv) </w:t>
      </w:r>
      <w:r w:rsidRPr="00340DD1">
        <w:rPr>
          <w:rFonts w:ascii="Calibri" w:hAnsi="Calibri" w:cs="Times New Roman"/>
        </w:rPr>
        <w:t xml:space="preserve">Stopped drinking </w:t>
      </w:r>
      <w:r w:rsidR="00DE487C" w:rsidRPr="00340DD1">
        <w:rPr>
          <w:rFonts w:ascii="Calibri" w:hAnsi="Calibri" w:cs="Times New Roman"/>
        </w:rPr>
        <w:t>alcohol</w:t>
      </w:r>
      <w:r w:rsidR="00F47575" w:rsidRPr="00340DD1">
        <w:rPr>
          <w:rFonts w:ascii="Calibri" w:hAnsi="Calibri" w:cs="Times New Roman"/>
        </w:rPr>
        <w:t>’</w:t>
      </w:r>
      <w:r w:rsidRPr="00340DD1">
        <w:rPr>
          <w:rFonts w:ascii="Calibri" w:hAnsi="Calibri" w:cs="Times New Roman"/>
        </w:rPr>
        <w:t>.</w:t>
      </w:r>
      <w:r w:rsidR="002B4FD0" w:rsidRPr="00340DD1">
        <w:rPr>
          <w:rFonts w:ascii="Calibri" w:hAnsi="Calibri" w:cs="Times New Roman"/>
        </w:rPr>
        <w:t xml:space="preserve"> </w:t>
      </w:r>
      <w:r w:rsidR="001265F4" w:rsidRPr="00340DD1">
        <w:rPr>
          <w:rFonts w:ascii="Calibri" w:hAnsi="Calibri" w:cs="Times New Roman"/>
        </w:rPr>
        <w:t xml:space="preserve">These questions remained consistent over the </w:t>
      </w:r>
      <w:proofErr w:type="gramStart"/>
      <w:r w:rsidR="001265F4" w:rsidRPr="00340DD1">
        <w:rPr>
          <w:rFonts w:ascii="Calibri" w:hAnsi="Calibri" w:cs="Times New Roman"/>
        </w:rPr>
        <w:t>time period</w:t>
      </w:r>
      <w:proofErr w:type="gramEnd"/>
      <w:r w:rsidR="001265F4" w:rsidRPr="00340DD1">
        <w:rPr>
          <w:rFonts w:ascii="Calibri" w:hAnsi="Calibri" w:cs="Times New Roman"/>
        </w:rPr>
        <w:t xml:space="preserve"> 2001 to 2013. </w:t>
      </w:r>
      <w:r w:rsidRPr="00340DD1">
        <w:rPr>
          <w:rFonts w:ascii="Calibri" w:hAnsi="Calibri" w:cs="Times New Roman"/>
        </w:rPr>
        <w:t xml:space="preserve">Anyone who responded yes to any of these questions was asked </w:t>
      </w:r>
      <w:r w:rsidR="00C43137" w:rsidRPr="00340DD1">
        <w:rPr>
          <w:rFonts w:ascii="Calibri" w:hAnsi="Calibri" w:cs="Times New Roman"/>
        </w:rPr>
        <w:t xml:space="preserve">to choose </w:t>
      </w:r>
      <w:r w:rsidR="00485D64" w:rsidRPr="00340DD1">
        <w:rPr>
          <w:rFonts w:ascii="Calibri" w:hAnsi="Calibri" w:cs="Times New Roman"/>
        </w:rPr>
        <w:t xml:space="preserve">their reasons for doing so </w:t>
      </w:r>
      <w:r w:rsidR="00C43137" w:rsidRPr="00340DD1">
        <w:rPr>
          <w:rFonts w:ascii="Calibri" w:hAnsi="Calibri" w:cs="Times New Roman"/>
        </w:rPr>
        <w:t>from a range of multiple response options</w:t>
      </w:r>
      <w:r w:rsidRPr="00340DD1">
        <w:rPr>
          <w:rFonts w:ascii="Calibri" w:hAnsi="Calibri" w:cs="Times New Roman"/>
        </w:rPr>
        <w:t>.</w:t>
      </w:r>
      <w:r w:rsidR="002E6530" w:rsidRPr="00340DD1">
        <w:rPr>
          <w:rFonts w:ascii="Calibri" w:hAnsi="Calibri" w:cs="Times New Roman"/>
        </w:rPr>
        <w:t xml:space="preserve"> The</w:t>
      </w:r>
      <w:r w:rsidR="00C43137" w:rsidRPr="00340DD1">
        <w:rPr>
          <w:rFonts w:ascii="Calibri" w:hAnsi="Calibri" w:cs="Times New Roman"/>
        </w:rPr>
        <w:t>s</w:t>
      </w:r>
      <w:r w:rsidR="002E6530" w:rsidRPr="00340DD1">
        <w:rPr>
          <w:rFonts w:ascii="Calibri" w:hAnsi="Calibri" w:cs="Times New Roman"/>
        </w:rPr>
        <w:t>e</w:t>
      </w:r>
      <w:r w:rsidR="00C43137" w:rsidRPr="00340DD1">
        <w:rPr>
          <w:rFonts w:ascii="Calibri" w:hAnsi="Calibri" w:cs="Times New Roman"/>
        </w:rPr>
        <w:t xml:space="preserve"> reasons </w:t>
      </w:r>
      <w:r w:rsidR="00D13E0B" w:rsidRPr="00340DD1">
        <w:rPr>
          <w:rFonts w:ascii="Calibri" w:hAnsi="Calibri" w:cs="Times New Roman"/>
        </w:rPr>
        <w:t xml:space="preserve">were </w:t>
      </w:r>
      <w:r w:rsidR="00E76CE8" w:rsidRPr="00340DD1">
        <w:rPr>
          <w:rFonts w:ascii="Calibri" w:hAnsi="Calibri" w:cs="Times New Roman"/>
        </w:rPr>
        <w:t>presented in the following way:</w:t>
      </w:r>
    </w:p>
    <w:p w14:paraId="2240E4EF" w14:textId="77777777"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a) </w:t>
      </w:r>
      <w:r w:rsidR="00C43137" w:rsidRPr="00340DD1">
        <w:rPr>
          <w:rFonts w:ascii="Calibri" w:hAnsi="Calibri" w:cs="Times New Roman"/>
        </w:rPr>
        <w:t>Health reasons (e.g. wei</w:t>
      </w:r>
      <w:r w:rsidR="00E76CE8" w:rsidRPr="00340DD1">
        <w:rPr>
          <w:rFonts w:ascii="Calibri" w:hAnsi="Calibri" w:cs="Times New Roman"/>
        </w:rPr>
        <w:t>ght, diabetes, avoid hangover)</w:t>
      </w:r>
    </w:p>
    <w:p w14:paraId="0F4A8386" w14:textId="77777777"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b) </w:t>
      </w:r>
      <w:r w:rsidR="00C43137" w:rsidRPr="00340DD1">
        <w:rPr>
          <w:rFonts w:ascii="Calibri" w:hAnsi="Calibri" w:cs="Times New Roman"/>
        </w:rPr>
        <w:t>Lifestyle reasons (e.g. work/study, less opportu</w:t>
      </w:r>
      <w:r w:rsidR="00E76CE8" w:rsidRPr="00340DD1">
        <w:rPr>
          <w:rFonts w:ascii="Calibri" w:hAnsi="Calibri" w:cs="Times New Roman"/>
        </w:rPr>
        <w:t>nity, young family)</w:t>
      </w:r>
    </w:p>
    <w:p w14:paraId="424B7C1A" w14:textId="53228A4E"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c) </w:t>
      </w:r>
      <w:r w:rsidR="00C43137" w:rsidRPr="00340DD1">
        <w:rPr>
          <w:rFonts w:ascii="Calibri" w:hAnsi="Calibri" w:cs="Times New Roman"/>
        </w:rPr>
        <w:t>Social reasons (</w:t>
      </w:r>
      <w:r w:rsidR="00DE487C" w:rsidRPr="00340DD1">
        <w:rPr>
          <w:rFonts w:ascii="Calibri" w:hAnsi="Calibri" w:cs="Times New Roman"/>
        </w:rPr>
        <w:t xml:space="preserve">e.g. </w:t>
      </w:r>
      <w:r w:rsidR="00C43137" w:rsidRPr="00340DD1">
        <w:rPr>
          <w:rFonts w:ascii="Calibri" w:hAnsi="Calibri" w:cs="Times New Roman"/>
        </w:rPr>
        <w:t xml:space="preserve">believe in moderation, concerned about </w:t>
      </w:r>
      <w:r w:rsidR="00E76CE8" w:rsidRPr="00340DD1">
        <w:rPr>
          <w:rFonts w:ascii="Calibri" w:hAnsi="Calibri" w:cs="Times New Roman"/>
        </w:rPr>
        <w:t>violence, avoid getting drunk)</w:t>
      </w:r>
    </w:p>
    <w:p w14:paraId="4D48D533" w14:textId="77777777"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d) </w:t>
      </w:r>
      <w:r w:rsidR="00E76CE8" w:rsidRPr="00340DD1">
        <w:rPr>
          <w:rFonts w:ascii="Calibri" w:hAnsi="Calibri" w:cs="Times New Roman"/>
        </w:rPr>
        <w:t>Pregnant and/or breastfeeding</w:t>
      </w:r>
    </w:p>
    <w:p w14:paraId="578AA9B8" w14:textId="77777777"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e) </w:t>
      </w:r>
      <w:r w:rsidR="00C43137" w:rsidRPr="00340DD1">
        <w:rPr>
          <w:rFonts w:ascii="Calibri" w:hAnsi="Calibri" w:cs="Times New Roman"/>
        </w:rPr>
        <w:t xml:space="preserve">Taste/enjoyment (e.g. prefer low </w:t>
      </w:r>
      <w:r w:rsidR="00E76CE8" w:rsidRPr="00340DD1">
        <w:rPr>
          <w:rFonts w:ascii="Calibri" w:hAnsi="Calibri" w:cs="Times New Roman"/>
        </w:rPr>
        <w:t>alcohol beer, don’t get drunk)</w:t>
      </w:r>
    </w:p>
    <w:p w14:paraId="1DA66378" w14:textId="77777777"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f) </w:t>
      </w:r>
      <w:r w:rsidR="00E76CE8" w:rsidRPr="00340DD1">
        <w:rPr>
          <w:rFonts w:ascii="Calibri" w:hAnsi="Calibri" w:cs="Times New Roman"/>
        </w:rPr>
        <w:t>Financial reasons</w:t>
      </w:r>
    </w:p>
    <w:p w14:paraId="09FDD35A" w14:textId="77777777"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g) </w:t>
      </w:r>
      <w:r w:rsidR="00C43137" w:rsidRPr="00340DD1">
        <w:rPr>
          <w:rFonts w:ascii="Calibri" w:hAnsi="Calibri" w:cs="Times New Roman"/>
        </w:rPr>
        <w:t>Adult/parent press</w:t>
      </w:r>
      <w:r w:rsidR="00E76CE8" w:rsidRPr="00340DD1">
        <w:rPr>
          <w:rFonts w:ascii="Calibri" w:hAnsi="Calibri" w:cs="Times New Roman"/>
        </w:rPr>
        <w:t>ure</w:t>
      </w:r>
    </w:p>
    <w:p w14:paraId="7E338C2D" w14:textId="77777777" w:rsidR="00E76CE8" w:rsidRPr="00340DD1" w:rsidRDefault="0007318F" w:rsidP="00DE487C">
      <w:pPr>
        <w:spacing w:after="0" w:line="240" w:lineRule="auto"/>
        <w:rPr>
          <w:rFonts w:ascii="Calibri" w:hAnsi="Calibri" w:cs="Times New Roman"/>
        </w:rPr>
      </w:pPr>
      <w:r w:rsidRPr="00340DD1">
        <w:rPr>
          <w:rFonts w:ascii="Calibri" w:hAnsi="Calibri" w:cs="Times New Roman"/>
        </w:rPr>
        <w:t xml:space="preserve">h) </w:t>
      </w:r>
      <w:r w:rsidR="00E76CE8" w:rsidRPr="00340DD1">
        <w:rPr>
          <w:rFonts w:ascii="Calibri" w:hAnsi="Calibri" w:cs="Times New Roman"/>
        </w:rPr>
        <w:t>Peer pressure</w:t>
      </w:r>
    </w:p>
    <w:p w14:paraId="7340EED1" w14:textId="62F4BCC2" w:rsidR="00E76CE8" w:rsidRPr="00340DD1" w:rsidRDefault="00E76CE8" w:rsidP="00F47575">
      <w:pPr>
        <w:spacing w:line="360" w:lineRule="auto"/>
        <w:rPr>
          <w:rFonts w:ascii="Calibri" w:hAnsi="Calibri" w:cs="Times New Roman"/>
        </w:rPr>
      </w:pPr>
      <w:proofErr w:type="spellStart"/>
      <w:r w:rsidRPr="00340DD1">
        <w:rPr>
          <w:rFonts w:ascii="Calibri" w:hAnsi="Calibri" w:cs="Times New Roman"/>
        </w:rPr>
        <w:t>i</w:t>
      </w:r>
      <w:proofErr w:type="spellEnd"/>
      <w:r w:rsidRPr="00340DD1">
        <w:rPr>
          <w:rFonts w:ascii="Calibri" w:hAnsi="Calibri" w:cs="Times New Roman"/>
        </w:rPr>
        <w:t>)</w:t>
      </w:r>
      <w:r w:rsidR="00B114C7" w:rsidRPr="00340DD1">
        <w:rPr>
          <w:rFonts w:ascii="Calibri" w:hAnsi="Calibri" w:cs="Times New Roman"/>
        </w:rPr>
        <w:t xml:space="preserve"> </w:t>
      </w:r>
      <w:r w:rsidR="00C43137" w:rsidRPr="00340DD1">
        <w:rPr>
          <w:rFonts w:ascii="Calibri" w:hAnsi="Calibri" w:cs="Times New Roman"/>
        </w:rPr>
        <w:t xml:space="preserve">The price of </w:t>
      </w:r>
      <w:r w:rsidR="00320838" w:rsidRPr="00340DD1">
        <w:rPr>
          <w:rFonts w:ascii="Calibri" w:hAnsi="Calibri" w:cs="Times New Roman"/>
        </w:rPr>
        <w:t>the alcohol I drink increased</w:t>
      </w:r>
    </w:p>
    <w:p w14:paraId="39F597D4" w14:textId="2D2B086D" w:rsidR="000934D6" w:rsidRPr="00340DD1" w:rsidRDefault="00C43137" w:rsidP="005026AF">
      <w:pPr>
        <w:spacing w:line="360" w:lineRule="auto"/>
        <w:rPr>
          <w:rFonts w:ascii="Calibri" w:hAnsi="Calibri" w:cs="Times New Roman"/>
          <w:b/>
          <w:i/>
        </w:rPr>
      </w:pPr>
      <w:r w:rsidRPr="00340DD1">
        <w:rPr>
          <w:rFonts w:ascii="Calibri" w:hAnsi="Calibri" w:cs="Times New Roman"/>
        </w:rPr>
        <w:t>P</w:t>
      </w:r>
      <w:r w:rsidR="006821CE" w:rsidRPr="00340DD1">
        <w:rPr>
          <w:rFonts w:ascii="Calibri" w:hAnsi="Calibri" w:cs="Times New Roman"/>
        </w:rPr>
        <w:t>rior to 2010</w:t>
      </w:r>
      <w:r w:rsidR="00604E34" w:rsidRPr="00340DD1">
        <w:rPr>
          <w:rFonts w:ascii="Calibri" w:hAnsi="Calibri" w:cs="Times New Roman"/>
        </w:rPr>
        <w:t xml:space="preserve"> p</w:t>
      </w:r>
      <w:r w:rsidRPr="00340DD1">
        <w:rPr>
          <w:rFonts w:ascii="Calibri" w:hAnsi="Calibri" w:cs="Times New Roman"/>
        </w:rPr>
        <w:t xml:space="preserve">articipants were </w:t>
      </w:r>
      <w:r w:rsidR="00604E34" w:rsidRPr="00340DD1">
        <w:rPr>
          <w:rFonts w:ascii="Calibri" w:hAnsi="Calibri" w:cs="Times New Roman"/>
        </w:rPr>
        <w:t xml:space="preserve">only able to choose one </w:t>
      </w:r>
      <w:r w:rsidR="006821CE" w:rsidRPr="00340DD1">
        <w:rPr>
          <w:rFonts w:ascii="Calibri" w:hAnsi="Calibri" w:cs="Times New Roman"/>
        </w:rPr>
        <w:t>option</w:t>
      </w:r>
      <w:r w:rsidR="00604E34" w:rsidRPr="00340DD1">
        <w:rPr>
          <w:rFonts w:ascii="Calibri" w:hAnsi="Calibri" w:cs="Times New Roman"/>
        </w:rPr>
        <w:t xml:space="preserve">. In 2010 and 2013 participants were </w:t>
      </w:r>
      <w:r w:rsidRPr="00340DD1">
        <w:rPr>
          <w:rFonts w:ascii="Calibri" w:hAnsi="Calibri" w:cs="Times New Roman"/>
        </w:rPr>
        <w:t xml:space="preserve">able to choose </w:t>
      </w:r>
      <w:r w:rsidR="00604E34" w:rsidRPr="00340DD1">
        <w:rPr>
          <w:rFonts w:ascii="Calibri" w:hAnsi="Calibri" w:cs="Times New Roman"/>
        </w:rPr>
        <w:t xml:space="preserve">multiple </w:t>
      </w:r>
      <w:r w:rsidRPr="00340DD1">
        <w:rPr>
          <w:rFonts w:ascii="Calibri" w:hAnsi="Calibri" w:cs="Times New Roman"/>
        </w:rPr>
        <w:t>option</w:t>
      </w:r>
      <w:r w:rsidR="00604E34" w:rsidRPr="00340DD1">
        <w:rPr>
          <w:rFonts w:ascii="Calibri" w:hAnsi="Calibri" w:cs="Times New Roman"/>
        </w:rPr>
        <w:t>s</w:t>
      </w:r>
      <w:r w:rsidRPr="00340DD1">
        <w:rPr>
          <w:rFonts w:ascii="Calibri" w:hAnsi="Calibri" w:cs="Times New Roman"/>
        </w:rPr>
        <w:t>.</w:t>
      </w:r>
      <w:r w:rsidR="001265F4" w:rsidRPr="00340DD1">
        <w:rPr>
          <w:rFonts w:ascii="Calibri" w:hAnsi="Calibri" w:cs="Times New Roman"/>
        </w:rPr>
        <w:t xml:space="preserve"> This precludes analysis of change over </w:t>
      </w:r>
      <w:r w:rsidR="009A0BE1" w:rsidRPr="00340DD1">
        <w:rPr>
          <w:rFonts w:ascii="Calibri" w:hAnsi="Calibri" w:cs="Times New Roman"/>
        </w:rPr>
        <w:t>from 2001</w:t>
      </w:r>
      <w:r w:rsidR="00485D64" w:rsidRPr="00340DD1">
        <w:rPr>
          <w:rFonts w:ascii="Calibri" w:hAnsi="Calibri" w:cs="Times New Roman"/>
        </w:rPr>
        <w:t xml:space="preserve">-2013 </w:t>
      </w:r>
      <w:r w:rsidR="001265F4" w:rsidRPr="00340DD1">
        <w:rPr>
          <w:rFonts w:ascii="Calibri" w:hAnsi="Calibri" w:cs="Times New Roman"/>
        </w:rPr>
        <w:t xml:space="preserve">for this measure so we have focused these analyses on responses from the most recent survey in 2013. </w:t>
      </w:r>
      <w:r w:rsidR="00915EF8" w:rsidRPr="00340DD1">
        <w:rPr>
          <w:rFonts w:ascii="Calibri" w:hAnsi="Calibri" w:cs="Times New Roman"/>
        </w:rPr>
        <w:t xml:space="preserve">  </w:t>
      </w:r>
    </w:p>
    <w:p w14:paraId="32289810" w14:textId="77777777" w:rsidR="008948B2" w:rsidRPr="00340DD1" w:rsidRDefault="008948B2" w:rsidP="005026AF">
      <w:pPr>
        <w:spacing w:line="360" w:lineRule="auto"/>
        <w:rPr>
          <w:rFonts w:ascii="Calibri" w:hAnsi="Calibri" w:cs="Times New Roman"/>
          <w:b/>
          <w:i/>
        </w:rPr>
      </w:pPr>
    </w:p>
    <w:p w14:paraId="0DDBA1D2" w14:textId="1033E6C4" w:rsidR="00761326" w:rsidRPr="00340DD1" w:rsidRDefault="00761326" w:rsidP="005026AF">
      <w:pPr>
        <w:spacing w:line="360" w:lineRule="auto"/>
        <w:rPr>
          <w:rFonts w:ascii="Calibri" w:hAnsi="Calibri" w:cs="Times New Roman"/>
          <w:b/>
          <w:i/>
        </w:rPr>
      </w:pPr>
      <w:r w:rsidRPr="00340DD1">
        <w:rPr>
          <w:rFonts w:ascii="Calibri" w:hAnsi="Calibri" w:cs="Times New Roman"/>
          <w:b/>
          <w:i/>
        </w:rPr>
        <w:t>Analyses</w:t>
      </w:r>
    </w:p>
    <w:p w14:paraId="5F7D4DDA" w14:textId="6A63DB3B" w:rsidR="00752342" w:rsidRPr="00340DD1" w:rsidRDefault="003C0801" w:rsidP="005026AF">
      <w:pPr>
        <w:spacing w:line="360" w:lineRule="auto"/>
        <w:rPr>
          <w:rFonts w:ascii="Calibri" w:hAnsi="Calibri" w:cs="Times New Roman"/>
        </w:rPr>
      </w:pPr>
      <w:r w:rsidRPr="00340DD1">
        <w:rPr>
          <w:rFonts w:ascii="Calibri" w:hAnsi="Calibri" w:cs="Times New Roman"/>
        </w:rPr>
        <w:t xml:space="preserve">Analyses were undertaken in Stata 14 </w:t>
      </w:r>
      <w:r w:rsidRPr="00340DD1">
        <w:rPr>
          <w:rFonts w:ascii="Calibri" w:hAnsi="Calibri" w:cs="Times New Roman"/>
          <w:color w:val="000000"/>
        </w:rPr>
        <w:fldChar w:fldCharType="begin"/>
      </w:r>
      <w:r w:rsidR="00EC6699" w:rsidRPr="00340DD1">
        <w:rPr>
          <w:rFonts w:ascii="Calibri" w:hAnsi="Calibri" w:cs="Times New Roman"/>
          <w:color w:val="000000"/>
        </w:rPr>
        <w:instrText xml:space="preserve"> ADDIN EN.CITE &lt;EndNote&gt;&lt;Cite&gt;&lt;Author&gt;StataCorp&lt;/Author&gt;&lt;Year&gt;2015&lt;/Year&gt;&lt;RecNum&gt;72&lt;/RecNum&gt;&lt;DisplayText&gt;(StataCorp, 2015)&lt;/DisplayText&gt;&lt;record&gt;&lt;rec-number&gt;72&lt;/rec-number&gt;&lt;foreign-keys&gt;&lt;key app="EN" db-id="a290depswzfts1efr23xawt7pxra5vwv2efv" timestamp="1442462516"&gt;72&lt;/key&gt;&lt;/foreign-keys&gt;&lt;ref-type name="Report"&gt;27&lt;/ref-type&gt;&lt;contributors&gt;&lt;authors&gt;&lt;author&gt;StataCorp,&lt;/author&gt;&lt;/authors&gt;&lt;/contributors&gt;&lt;titles&gt;&lt;title&gt;Stata Statistical Software: Release 14&lt;/title&gt;&lt;/titles&gt;&lt;dates&gt;&lt;year&gt;2015&lt;/year&gt;&lt;/dates&gt;&lt;pub-location&gt;College Station, TX&lt;/pub-location&gt;&lt;publisher&gt;StataCorp LP&lt;/publisher&gt;&lt;urls&gt;&lt;/urls&gt;&lt;/record&gt;&lt;/Cite&gt;&lt;/EndNote&gt;</w:instrText>
      </w:r>
      <w:r w:rsidRPr="00340DD1">
        <w:rPr>
          <w:rFonts w:ascii="Calibri" w:hAnsi="Calibri" w:cs="Times New Roman"/>
          <w:color w:val="000000"/>
        </w:rPr>
        <w:fldChar w:fldCharType="separate"/>
      </w:r>
      <w:r w:rsidR="00EC6699" w:rsidRPr="00340DD1">
        <w:rPr>
          <w:rFonts w:ascii="Calibri" w:hAnsi="Calibri" w:cs="Times New Roman"/>
          <w:noProof/>
          <w:color w:val="000000"/>
        </w:rPr>
        <w:t>(StataCorp, 2015)</w:t>
      </w:r>
      <w:r w:rsidRPr="00340DD1">
        <w:rPr>
          <w:rFonts w:ascii="Calibri" w:hAnsi="Calibri" w:cs="Times New Roman"/>
          <w:color w:val="000000"/>
        </w:rPr>
        <w:fldChar w:fldCharType="end"/>
      </w:r>
      <w:r w:rsidR="001A5626" w:rsidRPr="00340DD1">
        <w:rPr>
          <w:rFonts w:ascii="Calibri" w:hAnsi="Calibri" w:cs="Times New Roman"/>
        </w:rPr>
        <w:t xml:space="preserve">. Given </w:t>
      </w:r>
      <w:r w:rsidR="00375878" w:rsidRPr="00340DD1">
        <w:rPr>
          <w:rFonts w:ascii="Calibri" w:hAnsi="Calibri" w:cs="Times New Roman"/>
        </w:rPr>
        <w:t xml:space="preserve">the importance of age identified in previous work </w:t>
      </w:r>
      <w:r w:rsidR="00375878" w:rsidRPr="00340DD1">
        <w:rPr>
          <w:rFonts w:ascii="Calibri" w:hAnsi="Calibri" w:cs="Times New Roman"/>
        </w:rPr>
        <w:fldChar w:fldCharType="begin"/>
      </w:r>
      <w:r w:rsidR="00A05394" w:rsidRPr="00340DD1">
        <w:rPr>
          <w:rFonts w:ascii="Calibri" w:hAnsi="Calibri" w:cs="Times New Roman"/>
        </w:rPr>
        <w:instrText xml:space="preserve"> ADDIN EN.CITE &lt;EndNote&gt;&lt;Cite&gt;&lt;Author&gt;Australian Institute of Health and Welfare&lt;/Author&gt;&lt;Year&gt;2014&lt;/Year&gt;&lt;RecNum&gt;133&lt;/RecNum&gt;&lt;DisplayText&gt;(Australian Institute of Health and Welfare, 2014, Livingston et al., 2016)&lt;/DisplayText&gt;&lt;record&gt;&lt;rec-number&gt;133&lt;/rec-number&gt;&lt;foreign-keys&gt;&lt;key app="EN" db-id="xr20xxrwks2v5re509w5r2pftxrevzzxpp0p" timestamp="1490676045"&gt;133&lt;/key&gt;&lt;/foreign-keys&gt;&lt;ref-type name="Report"&gt;27&lt;/ref-type&gt;&lt;contributors&gt;&lt;authors&gt;&lt;author&gt;Australian Institute of Health and Welfare,&lt;/author&gt;&lt;/authors&gt;&lt;/contributors&gt;&lt;titles&gt;&lt;title&gt;National Drug Strategy Household Survey detailed report 2013. Drug statistics series no. 28. Cat. no. PHE 183&lt;/title&gt;&lt;/titles&gt;&lt;dates&gt;&lt;year&gt;2014&lt;/year&gt;&lt;/dates&gt;&lt;pub-location&gt;Canberra&lt;/pub-location&gt;&lt;publisher&gt;AIHW&lt;/publisher&gt;&lt;urls&gt;&lt;/urls&gt;&lt;/record&gt;&lt;/Cite&gt;&lt;Cite&gt;&lt;Author&gt;Livingston&lt;/Author&gt;&lt;Year&gt;2016&lt;/Year&gt;&lt;RecNum&gt;135&lt;/RecNum&gt;&lt;record&gt;&lt;rec-number&gt;135&lt;/rec-number&gt;&lt;foreign-keys&gt;&lt;key app="EN" db-id="xr20xxrwks2v5re509w5r2pftxrevzzxpp0p" timestamp="1490764540"&gt;135&lt;/key&gt;&lt;/foreign-keys&gt;&lt;ref-type name="Journal Article"&gt;17&lt;/ref-type&gt;&lt;contributors&gt;&lt;authors&gt;&lt;author&gt;Livingston, M.&lt;/author&gt;&lt;author&gt;Raninen, J.&lt;/author&gt;&lt;author&gt;Slade, T.&lt;/author&gt;&lt;author&gt;Swift, W.&lt;/author&gt;&lt;author&gt;Lloyd, B.&lt;/author&gt;&lt;author&gt;Dietze, P.&lt;/author&gt;&lt;/authors&gt;&lt;/contributors&gt;&lt;titles&gt;&lt;title&gt;Understanding trends in Australian alcohol consumption: an age–period–cohort model&lt;/title&gt;&lt;secondary-title&gt;Addiction&lt;/secondary-title&gt;&lt;/titles&gt;&lt;periodical&gt;&lt;full-title&gt;Addiction&lt;/full-title&gt;&lt;/periodical&gt;&lt;pages&gt;1590-1598&lt;/pages&gt;&lt;volume&gt;111&lt;/volume&gt;&lt;dates&gt;&lt;year&gt;2016&lt;/year&gt;&lt;/dates&gt;&lt;urls&gt;&lt;/urls&gt;&lt;/record&gt;&lt;/Cite&gt;&lt;/EndNote&gt;</w:instrText>
      </w:r>
      <w:r w:rsidR="00375878" w:rsidRPr="00340DD1">
        <w:rPr>
          <w:rFonts w:ascii="Calibri" w:hAnsi="Calibri" w:cs="Times New Roman"/>
        </w:rPr>
        <w:fldChar w:fldCharType="separate"/>
      </w:r>
      <w:r w:rsidR="00A05394" w:rsidRPr="00340DD1">
        <w:rPr>
          <w:rFonts w:ascii="Calibri" w:hAnsi="Calibri" w:cs="Times New Roman"/>
          <w:noProof/>
        </w:rPr>
        <w:t>(Australian Institute of Health and Welfare, 2014, Livingston et al., 2016)</w:t>
      </w:r>
      <w:r w:rsidR="00375878" w:rsidRPr="00340DD1">
        <w:rPr>
          <w:rFonts w:ascii="Calibri" w:hAnsi="Calibri" w:cs="Times New Roman"/>
        </w:rPr>
        <w:fldChar w:fldCharType="end"/>
      </w:r>
      <w:r w:rsidR="001A5626" w:rsidRPr="00340DD1">
        <w:rPr>
          <w:rFonts w:ascii="Calibri" w:hAnsi="Calibri" w:cs="Times New Roman"/>
        </w:rPr>
        <w:t xml:space="preserve">, we divided age into </w:t>
      </w:r>
      <w:r w:rsidR="0007318F" w:rsidRPr="00340DD1">
        <w:rPr>
          <w:rFonts w:ascii="Calibri" w:hAnsi="Calibri" w:cs="Times New Roman"/>
        </w:rPr>
        <w:t xml:space="preserve">the </w:t>
      </w:r>
      <w:r w:rsidR="002E6530" w:rsidRPr="00340DD1">
        <w:rPr>
          <w:rFonts w:ascii="Calibri" w:hAnsi="Calibri" w:cs="Times New Roman"/>
        </w:rPr>
        <w:t xml:space="preserve">following </w:t>
      </w:r>
      <w:r w:rsidR="001A5626" w:rsidRPr="00340DD1">
        <w:rPr>
          <w:rFonts w:ascii="Calibri" w:hAnsi="Calibri" w:cs="Times New Roman"/>
        </w:rPr>
        <w:t>groups</w:t>
      </w:r>
      <w:r w:rsidR="002E6530" w:rsidRPr="00340DD1">
        <w:rPr>
          <w:rFonts w:ascii="Calibri" w:hAnsi="Calibri" w:cs="Times New Roman"/>
        </w:rPr>
        <w:t xml:space="preserve"> to enable detection of differences in the patterns </w:t>
      </w:r>
      <w:r w:rsidR="00B23744" w:rsidRPr="00340DD1">
        <w:rPr>
          <w:rFonts w:ascii="Calibri" w:hAnsi="Calibri" w:cs="Times New Roman"/>
        </w:rPr>
        <w:t xml:space="preserve">particularly </w:t>
      </w:r>
      <w:r w:rsidR="002E6530" w:rsidRPr="00340DD1">
        <w:rPr>
          <w:rFonts w:ascii="Calibri" w:hAnsi="Calibri" w:cs="Times New Roman"/>
        </w:rPr>
        <w:t>of younger drinkers</w:t>
      </w:r>
      <w:r w:rsidR="0007318F" w:rsidRPr="00340DD1">
        <w:rPr>
          <w:rFonts w:ascii="Calibri" w:hAnsi="Calibri" w:cs="Times New Roman"/>
        </w:rPr>
        <w:t>:</w:t>
      </w:r>
      <w:r w:rsidR="001A5626" w:rsidRPr="00340DD1">
        <w:rPr>
          <w:rFonts w:ascii="Calibri" w:hAnsi="Calibri" w:cs="Times New Roman"/>
        </w:rPr>
        <w:t xml:space="preserve"> 14-17 years; 18-23 years; 24-29 years; 30-49 years</w:t>
      </w:r>
      <w:r w:rsidR="00B23744" w:rsidRPr="00340DD1">
        <w:rPr>
          <w:rFonts w:ascii="Calibri" w:hAnsi="Calibri" w:cs="Times New Roman"/>
        </w:rPr>
        <w:t>,</w:t>
      </w:r>
      <w:r w:rsidR="001A5626" w:rsidRPr="00340DD1">
        <w:rPr>
          <w:rFonts w:ascii="Calibri" w:hAnsi="Calibri" w:cs="Times New Roman"/>
        </w:rPr>
        <w:t xml:space="preserve"> 50</w:t>
      </w:r>
      <w:r w:rsidR="00B23744" w:rsidRPr="00340DD1">
        <w:rPr>
          <w:rFonts w:ascii="Calibri" w:hAnsi="Calibri" w:cs="Times New Roman"/>
        </w:rPr>
        <w:t>-64 years and 65</w:t>
      </w:r>
      <w:r w:rsidR="008C6493" w:rsidRPr="00340DD1">
        <w:rPr>
          <w:rFonts w:ascii="Calibri" w:hAnsi="Calibri" w:cs="Times New Roman"/>
        </w:rPr>
        <w:t xml:space="preserve"> </w:t>
      </w:r>
      <w:r w:rsidR="001A5626" w:rsidRPr="00340DD1">
        <w:rPr>
          <w:rFonts w:ascii="Calibri" w:hAnsi="Calibri" w:cs="Times New Roman"/>
        </w:rPr>
        <w:t>years.</w:t>
      </w:r>
      <w:r w:rsidR="006821CE" w:rsidRPr="00340DD1">
        <w:rPr>
          <w:rFonts w:ascii="Calibri" w:hAnsi="Calibri" w:cs="Times New Roman"/>
        </w:rPr>
        <w:t xml:space="preserve"> </w:t>
      </w:r>
      <w:r w:rsidRPr="00340DD1">
        <w:rPr>
          <w:rFonts w:ascii="Calibri" w:hAnsi="Calibri" w:cs="Times New Roman"/>
        </w:rPr>
        <w:t xml:space="preserve">Given the distinctive nature of the youngest and oldest age groups, we selected the 30-49 age group as the reference category to </w:t>
      </w:r>
      <w:r w:rsidR="00296C93" w:rsidRPr="00340DD1">
        <w:rPr>
          <w:rFonts w:ascii="Calibri" w:hAnsi="Calibri" w:cs="Times New Roman"/>
        </w:rPr>
        <w:t xml:space="preserve">enable </w:t>
      </w:r>
      <w:r w:rsidRPr="00340DD1">
        <w:rPr>
          <w:rFonts w:ascii="Calibri" w:hAnsi="Calibri" w:cs="Times New Roman"/>
        </w:rPr>
        <w:t xml:space="preserve">findings </w:t>
      </w:r>
      <w:r w:rsidR="00296C93" w:rsidRPr="00340DD1">
        <w:rPr>
          <w:rFonts w:ascii="Calibri" w:hAnsi="Calibri" w:cs="Times New Roman"/>
        </w:rPr>
        <w:t xml:space="preserve">to </w:t>
      </w:r>
      <w:r w:rsidRPr="00340DD1">
        <w:rPr>
          <w:rFonts w:ascii="Calibri" w:hAnsi="Calibri" w:cs="Times New Roman"/>
        </w:rPr>
        <w:t xml:space="preserve">be </w:t>
      </w:r>
      <w:r w:rsidR="00593B88" w:rsidRPr="00340DD1">
        <w:rPr>
          <w:rFonts w:ascii="Calibri" w:hAnsi="Calibri" w:cs="Times New Roman"/>
        </w:rPr>
        <w:t xml:space="preserve">more easily </w:t>
      </w:r>
      <w:r w:rsidRPr="00340DD1">
        <w:rPr>
          <w:rFonts w:ascii="Calibri" w:hAnsi="Calibri" w:cs="Times New Roman"/>
        </w:rPr>
        <w:t>interpreted.</w:t>
      </w:r>
      <w:r w:rsidR="007B268B" w:rsidRPr="00340DD1">
        <w:rPr>
          <w:rFonts w:ascii="Calibri" w:hAnsi="Calibri" w:cs="Times New Roman"/>
        </w:rPr>
        <w:t xml:space="preserve"> </w:t>
      </w:r>
      <w:r w:rsidR="009A0BE1" w:rsidRPr="00340DD1">
        <w:rPr>
          <w:rFonts w:ascii="Calibri" w:hAnsi="Calibri" w:cs="Times New Roman"/>
        </w:rPr>
        <w:t>Residential p</w:t>
      </w:r>
      <w:r w:rsidR="007B268B" w:rsidRPr="00340DD1">
        <w:rPr>
          <w:rFonts w:ascii="Calibri" w:hAnsi="Calibri" w:cs="Times New Roman"/>
        </w:rPr>
        <w:t xml:space="preserve">ostcodes were </w:t>
      </w:r>
      <w:r w:rsidR="009A0BE1" w:rsidRPr="00340DD1">
        <w:rPr>
          <w:rFonts w:ascii="Calibri" w:hAnsi="Calibri" w:cs="Times New Roman"/>
        </w:rPr>
        <w:t xml:space="preserve">linked to the </w:t>
      </w:r>
      <w:r w:rsidR="007B268B" w:rsidRPr="00340DD1">
        <w:rPr>
          <w:rFonts w:ascii="Calibri" w:hAnsi="Calibri" w:cs="Times New Roman"/>
        </w:rPr>
        <w:t>Socio-Economic Indexes for Areas (SEIFA)</w:t>
      </w:r>
      <w:r w:rsidR="009A0BE1" w:rsidRPr="00340DD1">
        <w:rPr>
          <w:rFonts w:ascii="Calibri" w:hAnsi="Calibri" w:cs="Times New Roman"/>
        </w:rPr>
        <w:t xml:space="preserve"> index of relative disadvantage</w:t>
      </w:r>
      <w:r w:rsidR="007B268B" w:rsidRPr="00340DD1">
        <w:rPr>
          <w:rFonts w:ascii="Calibri" w:hAnsi="Calibri" w:cs="Times New Roman"/>
        </w:rPr>
        <w:t xml:space="preserve">, reflecting the level of socio-economic disadvantage in an area. Rankings are generated on a five point scale, with 1 being the most disadvantaged and 5 being the most advantaged </w:t>
      </w:r>
      <w:r w:rsidR="007B268B" w:rsidRPr="00340DD1">
        <w:rPr>
          <w:rFonts w:ascii="Calibri" w:hAnsi="Calibri" w:cs="Times New Roman"/>
        </w:rPr>
        <w:fldChar w:fldCharType="begin"/>
      </w:r>
      <w:r w:rsidR="007B268B" w:rsidRPr="00340DD1">
        <w:rPr>
          <w:rFonts w:ascii="Calibri" w:hAnsi="Calibri" w:cs="Times New Roman"/>
        </w:rPr>
        <w:instrText xml:space="preserve"> ADDIN EN.CITE &lt;EndNote&gt;&lt;Cite&gt;&lt;Author&gt;Australian Bureau of Statistics&lt;/Author&gt;&lt;Year&gt;2011&lt;/Year&gt;&lt;RecNum&gt;760&lt;/RecNum&gt;&lt;DisplayText&gt;(Australian Bureau of Statistics, 2011)&lt;/DisplayText&gt;&lt;record&gt;&lt;rec-number&gt;760&lt;/rec-number&gt;&lt;foreign-keys&gt;&lt;key app="EN" db-id="5rpwe50ddewwfte2svmvr5f5d5a25x0zxs5p" timestamp="1499304782"&gt;760&lt;/key&gt;&lt;/foreign-keys&gt;&lt;ref-type name="Web Page"&gt;12&lt;/ref-type&gt;&lt;contributors&gt;&lt;authors&gt;&lt;author&gt;Australian Bureau of Statistics,&lt;/author&gt;&lt;/authors&gt;&lt;/contributors&gt;&lt;titles&gt;&lt;title&gt;Socio-Economic Indexes for Areas (SEIFA)&lt;/title&gt;&lt;/titles&gt;&lt;dates&gt;&lt;year&gt;2011&lt;/year&gt;&lt;/dates&gt;&lt;pub-location&gt;Canberra&lt;/pub-location&gt;&lt;publisher&gt;Australian Bureau of Statistics. http://www.abs.gov.au/websitedbs/censushome.nsf/home/seifa&lt;/publisher&gt;&lt;urls&gt;&lt;/urls&gt;&lt;/record&gt;&lt;/Cite&gt;&lt;/EndNote&gt;</w:instrText>
      </w:r>
      <w:r w:rsidR="007B268B" w:rsidRPr="00340DD1">
        <w:rPr>
          <w:rFonts w:ascii="Calibri" w:hAnsi="Calibri" w:cs="Times New Roman"/>
        </w:rPr>
        <w:fldChar w:fldCharType="separate"/>
      </w:r>
      <w:r w:rsidR="007B268B" w:rsidRPr="00340DD1">
        <w:rPr>
          <w:rFonts w:ascii="Calibri" w:hAnsi="Calibri" w:cs="Times New Roman"/>
          <w:noProof/>
        </w:rPr>
        <w:t>(Australian Bureau of Statistics, 2011)</w:t>
      </w:r>
      <w:r w:rsidR="007B268B" w:rsidRPr="00340DD1">
        <w:rPr>
          <w:rFonts w:ascii="Calibri" w:hAnsi="Calibri" w:cs="Times New Roman"/>
        </w:rPr>
        <w:fldChar w:fldCharType="end"/>
      </w:r>
      <w:r w:rsidR="007B268B" w:rsidRPr="00340DD1">
        <w:rPr>
          <w:rFonts w:ascii="Calibri" w:hAnsi="Calibri" w:cs="Times New Roman"/>
        </w:rPr>
        <w:t xml:space="preserve">. </w:t>
      </w:r>
    </w:p>
    <w:p w14:paraId="63CD666B" w14:textId="314EE982" w:rsidR="008A79BC" w:rsidRPr="00340DD1" w:rsidRDefault="009A0BE1" w:rsidP="008948B2">
      <w:pPr>
        <w:spacing w:line="360" w:lineRule="auto"/>
        <w:rPr>
          <w:rFonts w:ascii="Calibri" w:hAnsi="Calibri" w:cs="Times New Roman"/>
          <w:b/>
        </w:rPr>
      </w:pPr>
      <w:r w:rsidRPr="00340DD1">
        <w:rPr>
          <w:rFonts w:ascii="Calibri" w:hAnsi="Calibri" w:cs="Times New Roman"/>
        </w:rPr>
        <w:lastRenderedPageBreak/>
        <w:t xml:space="preserve">The proportion of people stating that they reduced or ceased drinking in each wave was calculated.  </w:t>
      </w:r>
      <w:proofErr w:type="gramStart"/>
      <w:r w:rsidR="003E03A9" w:rsidRPr="00340DD1">
        <w:rPr>
          <w:rFonts w:ascii="Calibri" w:hAnsi="Calibri" w:cs="Times New Roman"/>
        </w:rPr>
        <w:t>In order to</w:t>
      </w:r>
      <w:proofErr w:type="gramEnd"/>
      <w:r w:rsidR="003E03A9" w:rsidRPr="00340DD1">
        <w:rPr>
          <w:rFonts w:ascii="Calibri" w:hAnsi="Calibri" w:cs="Times New Roman"/>
        </w:rPr>
        <w:t xml:space="preserve"> identify a shift in age or sex over time in predicting outcome variables, logistic regression models with interaction terms (year x age and year x sex) were calculated, </w:t>
      </w:r>
      <w:r w:rsidRPr="00340DD1">
        <w:rPr>
          <w:rFonts w:ascii="Calibri" w:hAnsi="Calibri" w:cs="Times New Roman"/>
        </w:rPr>
        <w:t xml:space="preserve">controlling for neighbourhood disadvantage and marital status, </w:t>
      </w:r>
      <w:r w:rsidR="003E03A9" w:rsidRPr="00340DD1">
        <w:rPr>
          <w:rFonts w:ascii="Calibri" w:hAnsi="Calibri" w:cs="Times New Roman"/>
        </w:rPr>
        <w:t xml:space="preserve">and test parameters were compared using an adjusted Wald test. </w:t>
      </w:r>
      <w:r w:rsidRPr="00340DD1">
        <w:rPr>
          <w:rFonts w:ascii="Calibri" w:hAnsi="Calibri" w:cs="Times New Roman"/>
        </w:rPr>
        <w:t>The proportion of respondents selecting each reason for reducing or drinking, among tho</w:t>
      </w:r>
      <w:r w:rsidR="008B03F9" w:rsidRPr="00340DD1">
        <w:rPr>
          <w:rFonts w:ascii="Calibri" w:hAnsi="Calibri" w:cs="Times New Roman"/>
        </w:rPr>
        <w:t>se who had reduced or ceased consuming</w:t>
      </w:r>
      <w:r w:rsidRPr="00340DD1">
        <w:rPr>
          <w:rFonts w:ascii="Calibri" w:hAnsi="Calibri" w:cs="Times New Roman"/>
        </w:rPr>
        <w:t xml:space="preserve"> alcohol was also calculated. In the analysis of reasons for reducing or ceasing drinking in 2013, w</w:t>
      </w:r>
      <w:r w:rsidR="001A5626" w:rsidRPr="00340DD1">
        <w:rPr>
          <w:rFonts w:ascii="Calibri" w:hAnsi="Calibri" w:cs="Times New Roman"/>
        </w:rPr>
        <w:t xml:space="preserve">e were unable to include the pregnant/breastfeeding category due to low cell sizes </w:t>
      </w:r>
      <w:r w:rsidR="009A2A9F" w:rsidRPr="00340DD1">
        <w:rPr>
          <w:rFonts w:ascii="Calibri" w:hAnsi="Calibri" w:cs="Times New Roman"/>
        </w:rPr>
        <w:t>when split by age</w:t>
      </w:r>
      <w:r w:rsidR="00375878" w:rsidRPr="00340DD1">
        <w:rPr>
          <w:rFonts w:ascii="Calibri" w:hAnsi="Calibri" w:cs="Times New Roman"/>
        </w:rPr>
        <w:t>,</w:t>
      </w:r>
      <w:r w:rsidR="003F0A75" w:rsidRPr="00340DD1">
        <w:rPr>
          <w:rFonts w:ascii="Calibri" w:hAnsi="Calibri" w:cs="Times New Roman"/>
        </w:rPr>
        <w:t xml:space="preserve"> making the model unstable</w:t>
      </w:r>
      <w:r w:rsidR="001A5626" w:rsidRPr="00340DD1">
        <w:rPr>
          <w:rFonts w:ascii="Calibri" w:hAnsi="Calibri" w:cs="Times New Roman"/>
        </w:rPr>
        <w:t>.</w:t>
      </w:r>
      <w:r w:rsidR="00320838" w:rsidRPr="00340DD1">
        <w:rPr>
          <w:rFonts w:ascii="Calibri" w:hAnsi="Calibri" w:cs="Times New Roman"/>
        </w:rPr>
        <w:t xml:space="preserve"> </w:t>
      </w:r>
      <w:r w:rsidR="003E03A9" w:rsidRPr="00340DD1">
        <w:rPr>
          <w:rFonts w:ascii="Calibri" w:hAnsi="Calibri" w:cs="Times New Roman"/>
        </w:rPr>
        <w:t xml:space="preserve">All results presented are weighted to correct for disproportionate representation </w:t>
      </w:r>
      <w:proofErr w:type="gramStart"/>
      <w:r w:rsidR="003E03A9" w:rsidRPr="00340DD1">
        <w:rPr>
          <w:rFonts w:ascii="Calibri" w:hAnsi="Calibri" w:cs="Times New Roman"/>
        </w:rPr>
        <w:t>on the basis of</w:t>
      </w:r>
      <w:proofErr w:type="gramEnd"/>
      <w:r w:rsidR="003E03A9" w:rsidRPr="00340DD1">
        <w:rPr>
          <w:rFonts w:ascii="Calibri" w:hAnsi="Calibri" w:cs="Times New Roman"/>
        </w:rPr>
        <w:t xml:space="preserve"> age, sex and location.</w:t>
      </w:r>
      <w:r w:rsidRPr="00340DD1">
        <w:rPr>
          <w:rFonts w:ascii="Calibri" w:hAnsi="Calibri" w:cs="Times New Roman"/>
        </w:rPr>
        <w:t xml:space="preserve"> </w:t>
      </w:r>
    </w:p>
    <w:p w14:paraId="00387585" w14:textId="13DE569B" w:rsidR="008948B2" w:rsidRPr="00340DD1" w:rsidRDefault="008948B2" w:rsidP="005026AF">
      <w:pPr>
        <w:spacing w:line="360" w:lineRule="auto"/>
        <w:rPr>
          <w:rFonts w:ascii="Calibri" w:hAnsi="Calibri" w:cs="Times New Roman"/>
          <w:b/>
        </w:rPr>
      </w:pPr>
    </w:p>
    <w:p w14:paraId="3DDBBDF8" w14:textId="5413372C" w:rsidR="00915EF8" w:rsidRPr="00340DD1" w:rsidRDefault="00915EF8" w:rsidP="005026AF">
      <w:pPr>
        <w:spacing w:line="360" w:lineRule="auto"/>
        <w:rPr>
          <w:rFonts w:ascii="Calibri" w:hAnsi="Calibri" w:cs="Times New Roman"/>
          <w:b/>
        </w:rPr>
      </w:pPr>
      <w:r w:rsidRPr="00340DD1">
        <w:rPr>
          <w:rFonts w:ascii="Calibri" w:hAnsi="Calibri" w:cs="Times New Roman"/>
          <w:b/>
        </w:rPr>
        <w:t>Results</w:t>
      </w:r>
    </w:p>
    <w:p w14:paraId="71D291B6" w14:textId="1F74B5F5" w:rsidR="005F3780" w:rsidRPr="00340DD1" w:rsidRDefault="005F3780" w:rsidP="005026AF">
      <w:pPr>
        <w:spacing w:line="360" w:lineRule="auto"/>
        <w:rPr>
          <w:rFonts w:ascii="Calibri" w:hAnsi="Calibri" w:cs="Times New Roman"/>
          <w:b/>
          <w:i/>
        </w:rPr>
      </w:pPr>
      <w:r w:rsidRPr="00340DD1">
        <w:rPr>
          <w:rFonts w:ascii="Calibri" w:hAnsi="Calibri" w:cs="Times New Roman"/>
          <w:b/>
          <w:i/>
        </w:rPr>
        <w:t>Rates of</w:t>
      </w:r>
      <w:r w:rsidR="003A5714" w:rsidRPr="00340DD1">
        <w:rPr>
          <w:rFonts w:ascii="Calibri" w:hAnsi="Calibri" w:cs="Times New Roman"/>
          <w:b/>
          <w:i/>
        </w:rPr>
        <w:t xml:space="preserve"> </w:t>
      </w:r>
      <w:r w:rsidRPr="00340DD1">
        <w:rPr>
          <w:rFonts w:ascii="Calibri" w:hAnsi="Calibri" w:cs="Times New Roman"/>
          <w:b/>
          <w:i/>
        </w:rPr>
        <w:t>reducing or ceasing drinking</w:t>
      </w:r>
      <w:r w:rsidR="003A5714" w:rsidRPr="00340DD1">
        <w:rPr>
          <w:rFonts w:ascii="Calibri" w:hAnsi="Calibri" w:cs="Times New Roman"/>
          <w:b/>
          <w:i/>
        </w:rPr>
        <w:t xml:space="preserve"> in the past 12 months</w:t>
      </w:r>
    </w:p>
    <w:p w14:paraId="4A81A5CA" w14:textId="6D5BB1B3" w:rsidR="00472E19" w:rsidRPr="00340DD1" w:rsidRDefault="00004014" w:rsidP="001625E0">
      <w:pPr>
        <w:spacing w:line="360" w:lineRule="auto"/>
        <w:rPr>
          <w:rFonts w:ascii="Calibri" w:hAnsi="Calibri" w:cs="Times New Roman"/>
        </w:rPr>
      </w:pPr>
      <w:r w:rsidRPr="00340DD1">
        <w:rPr>
          <w:rFonts w:ascii="Calibri" w:hAnsi="Calibri" w:cs="Times New Roman"/>
        </w:rPr>
        <w:t xml:space="preserve">Table 2 shows </w:t>
      </w:r>
      <w:r w:rsidR="008333FA" w:rsidRPr="00340DD1">
        <w:rPr>
          <w:rFonts w:ascii="Calibri" w:hAnsi="Calibri" w:cs="Times New Roman"/>
        </w:rPr>
        <w:t>that t</w:t>
      </w:r>
      <w:r w:rsidRPr="00340DD1">
        <w:rPr>
          <w:rFonts w:ascii="Calibri" w:hAnsi="Calibri" w:cs="Times New Roman"/>
        </w:rPr>
        <w:t>here was an i</w:t>
      </w:r>
      <w:r w:rsidR="00880C74" w:rsidRPr="00340DD1">
        <w:rPr>
          <w:rFonts w:ascii="Calibri" w:hAnsi="Calibri" w:cs="Times New Roman"/>
        </w:rPr>
        <w:t>ncrease between 2001 and 2007 in</w:t>
      </w:r>
      <w:r w:rsidRPr="00340DD1">
        <w:rPr>
          <w:rFonts w:ascii="Calibri" w:hAnsi="Calibri" w:cs="Times New Roman"/>
        </w:rPr>
        <w:t xml:space="preserve"> </w:t>
      </w:r>
      <w:r w:rsidR="00AF203A" w:rsidRPr="00340DD1">
        <w:rPr>
          <w:rFonts w:ascii="Calibri" w:hAnsi="Calibri" w:cs="Times New Roman"/>
        </w:rPr>
        <w:t xml:space="preserve">the </w:t>
      </w:r>
      <w:r w:rsidR="00EF0B9A" w:rsidRPr="00340DD1">
        <w:rPr>
          <w:rFonts w:ascii="Calibri" w:hAnsi="Calibri" w:cs="Times New Roman"/>
        </w:rPr>
        <w:t xml:space="preserve">percentage </w:t>
      </w:r>
      <w:r w:rsidR="00AF203A" w:rsidRPr="00340DD1">
        <w:rPr>
          <w:rFonts w:ascii="Calibri" w:hAnsi="Calibri" w:cs="Times New Roman"/>
        </w:rPr>
        <w:t xml:space="preserve">of </w:t>
      </w:r>
      <w:r w:rsidRPr="00340DD1">
        <w:rPr>
          <w:rFonts w:ascii="Calibri" w:hAnsi="Calibri" w:cs="Times New Roman"/>
        </w:rPr>
        <w:t>people who reported reducing the quantity or frequency of their drinking</w:t>
      </w:r>
      <w:r w:rsidR="00320838" w:rsidRPr="00340DD1">
        <w:rPr>
          <w:rFonts w:ascii="Calibri" w:hAnsi="Calibri" w:cs="Times New Roman"/>
        </w:rPr>
        <w:t xml:space="preserve"> in the past twelve months</w:t>
      </w:r>
      <w:r w:rsidR="00472E19" w:rsidRPr="00340DD1">
        <w:rPr>
          <w:rFonts w:ascii="Calibri" w:hAnsi="Calibri" w:cs="Times New Roman"/>
        </w:rPr>
        <w:t>, followed by a</w:t>
      </w:r>
      <w:r w:rsidR="00EF0B9A" w:rsidRPr="00340DD1">
        <w:rPr>
          <w:rFonts w:ascii="Calibri" w:hAnsi="Calibri" w:cs="Times New Roman"/>
        </w:rPr>
        <w:t xml:space="preserve"> </w:t>
      </w:r>
      <w:r w:rsidR="004D105A" w:rsidRPr="00340DD1">
        <w:rPr>
          <w:rFonts w:ascii="Calibri" w:hAnsi="Calibri" w:cs="Times New Roman"/>
        </w:rPr>
        <w:t xml:space="preserve">stable trend </w:t>
      </w:r>
      <w:r w:rsidRPr="00340DD1">
        <w:rPr>
          <w:rFonts w:ascii="Calibri" w:hAnsi="Calibri" w:cs="Times New Roman"/>
        </w:rPr>
        <w:t xml:space="preserve">between 2007 and 2013. </w:t>
      </w:r>
      <w:r w:rsidR="003A5714" w:rsidRPr="00340DD1">
        <w:rPr>
          <w:rFonts w:ascii="Calibri" w:hAnsi="Calibri" w:cs="Times New Roman"/>
        </w:rPr>
        <w:t>R</w:t>
      </w:r>
      <w:r w:rsidR="004D105A" w:rsidRPr="00340DD1">
        <w:rPr>
          <w:rFonts w:ascii="Calibri" w:hAnsi="Calibri" w:cs="Times New Roman"/>
        </w:rPr>
        <w:t>eported r</w:t>
      </w:r>
      <w:r w:rsidR="003A5714" w:rsidRPr="00340DD1">
        <w:rPr>
          <w:rFonts w:ascii="Calibri" w:hAnsi="Calibri" w:cs="Times New Roman"/>
        </w:rPr>
        <w:t xml:space="preserve">ates of </w:t>
      </w:r>
      <w:r w:rsidR="004D105A" w:rsidRPr="00340DD1">
        <w:rPr>
          <w:rFonts w:ascii="Calibri" w:hAnsi="Calibri" w:cs="Times New Roman"/>
        </w:rPr>
        <w:t xml:space="preserve">ceasing </w:t>
      </w:r>
      <w:r w:rsidR="003A5714" w:rsidRPr="00340DD1">
        <w:rPr>
          <w:rFonts w:ascii="Calibri" w:hAnsi="Calibri" w:cs="Times New Roman"/>
        </w:rPr>
        <w:t xml:space="preserve">drinking increased over the study period. </w:t>
      </w:r>
      <w:r w:rsidR="00EF0B9A" w:rsidRPr="00340DD1">
        <w:rPr>
          <w:rFonts w:ascii="Calibri" w:hAnsi="Calibri" w:cs="Times New Roman"/>
        </w:rPr>
        <w:t>Reports of s</w:t>
      </w:r>
      <w:r w:rsidRPr="00340DD1">
        <w:rPr>
          <w:rFonts w:ascii="Calibri" w:hAnsi="Calibri" w:cs="Times New Roman"/>
        </w:rPr>
        <w:t xml:space="preserve">witching to lower alcohol drinks decreased over time. </w:t>
      </w:r>
      <w:r w:rsidR="002600F6" w:rsidRPr="00340DD1">
        <w:rPr>
          <w:rFonts w:ascii="Calibri" w:hAnsi="Calibri" w:cs="Times New Roman"/>
        </w:rPr>
        <w:t>Supplementary Table 1 displays change over time in the proportion of participants reporting recently reducing or ceasing drinking, stratified by age and sex.</w:t>
      </w:r>
    </w:p>
    <w:p w14:paraId="53C9EE8F" w14:textId="71BD2399" w:rsidR="002679CD" w:rsidRPr="00340DD1" w:rsidRDefault="002679CD" w:rsidP="002679CD">
      <w:pPr>
        <w:spacing w:line="360" w:lineRule="auto"/>
        <w:rPr>
          <w:rFonts w:ascii="Calibri" w:hAnsi="Calibri" w:cs="Times New Roman"/>
        </w:rPr>
      </w:pPr>
      <w:r w:rsidRPr="00340DD1">
        <w:rPr>
          <w:rFonts w:ascii="Calibri" w:hAnsi="Calibri" w:cs="Times New Roman"/>
        </w:rPr>
        <w:t>Table 3 demonstrates</w:t>
      </w:r>
      <w:r w:rsidR="009A0BE1" w:rsidRPr="00340DD1">
        <w:rPr>
          <w:rFonts w:ascii="Calibri" w:hAnsi="Calibri" w:cs="Times New Roman"/>
        </w:rPr>
        <w:t xml:space="preserve"> that respondents were significantly more likely to have reduced or ceased drinking over the last 12 months in each year after 2001</w:t>
      </w:r>
      <w:r w:rsidRPr="00340DD1">
        <w:rPr>
          <w:rFonts w:ascii="Calibri" w:hAnsi="Calibri" w:cs="Times New Roman"/>
        </w:rPr>
        <w:t xml:space="preserve">. It also shows that younger people were significantly more likely to report </w:t>
      </w:r>
      <w:r w:rsidR="007A710D" w:rsidRPr="00340DD1">
        <w:rPr>
          <w:rFonts w:ascii="Calibri" w:hAnsi="Calibri" w:cs="Times New Roman"/>
        </w:rPr>
        <w:t xml:space="preserve">ceasing </w:t>
      </w:r>
      <w:r w:rsidRPr="00340DD1">
        <w:rPr>
          <w:rFonts w:ascii="Calibri" w:hAnsi="Calibri" w:cs="Times New Roman"/>
        </w:rPr>
        <w:t xml:space="preserve">drinking than older groups. The </w:t>
      </w:r>
      <w:proofErr w:type="gramStart"/>
      <w:r w:rsidRPr="00340DD1">
        <w:rPr>
          <w:rFonts w:ascii="Calibri" w:hAnsi="Calibri" w:cs="Times New Roman"/>
        </w:rPr>
        <w:t xml:space="preserve">14-17 </w:t>
      </w:r>
      <w:r w:rsidR="009A0BE1" w:rsidRPr="00340DD1">
        <w:rPr>
          <w:rFonts w:ascii="Calibri" w:hAnsi="Calibri" w:cs="Times New Roman"/>
        </w:rPr>
        <w:t>year old</w:t>
      </w:r>
      <w:proofErr w:type="gramEnd"/>
      <w:r w:rsidR="009A0BE1" w:rsidRPr="00340DD1">
        <w:rPr>
          <w:rFonts w:ascii="Calibri" w:hAnsi="Calibri" w:cs="Times New Roman"/>
        </w:rPr>
        <w:t xml:space="preserve"> </w:t>
      </w:r>
      <w:r w:rsidRPr="00340DD1">
        <w:rPr>
          <w:rFonts w:ascii="Calibri" w:hAnsi="Calibri" w:cs="Times New Roman"/>
        </w:rPr>
        <w:t xml:space="preserve">age group were almost three times more likely to report </w:t>
      </w:r>
      <w:r w:rsidR="007A710D" w:rsidRPr="00340DD1">
        <w:rPr>
          <w:rFonts w:ascii="Calibri" w:hAnsi="Calibri" w:cs="Times New Roman"/>
        </w:rPr>
        <w:t xml:space="preserve">ceasing </w:t>
      </w:r>
      <w:r w:rsidRPr="00340DD1">
        <w:rPr>
          <w:rFonts w:ascii="Calibri" w:hAnsi="Calibri" w:cs="Times New Roman"/>
        </w:rPr>
        <w:t xml:space="preserve">drinking compared with 30-49 year </w:t>
      </w:r>
      <w:proofErr w:type="spellStart"/>
      <w:r w:rsidRPr="00340DD1">
        <w:rPr>
          <w:rFonts w:ascii="Calibri" w:hAnsi="Calibri" w:cs="Times New Roman"/>
        </w:rPr>
        <w:t>olds</w:t>
      </w:r>
      <w:proofErr w:type="spellEnd"/>
      <w:r w:rsidRPr="00340DD1">
        <w:rPr>
          <w:rFonts w:ascii="Calibri" w:hAnsi="Calibri" w:cs="Times New Roman"/>
        </w:rPr>
        <w:t xml:space="preserve">. On the other hand, this age group </w:t>
      </w:r>
      <w:r w:rsidR="009A0BE1" w:rsidRPr="00340DD1">
        <w:rPr>
          <w:rFonts w:ascii="Calibri" w:hAnsi="Calibri" w:cs="Times New Roman"/>
        </w:rPr>
        <w:t>(14-</w:t>
      </w:r>
      <w:proofErr w:type="gramStart"/>
      <w:r w:rsidR="009A0BE1" w:rsidRPr="00340DD1">
        <w:rPr>
          <w:rFonts w:ascii="Calibri" w:hAnsi="Calibri" w:cs="Times New Roman"/>
        </w:rPr>
        <w:t>17 year</w:t>
      </w:r>
      <w:proofErr w:type="gramEnd"/>
      <w:r w:rsidR="009A0BE1" w:rsidRPr="00340DD1">
        <w:rPr>
          <w:rFonts w:ascii="Calibri" w:hAnsi="Calibri" w:cs="Times New Roman"/>
        </w:rPr>
        <w:t xml:space="preserve"> </w:t>
      </w:r>
      <w:proofErr w:type="spellStart"/>
      <w:r w:rsidR="009A0BE1" w:rsidRPr="00340DD1">
        <w:rPr>
          <w:rFonts w:ascii="Calibri" w:hAnsi="Calibri" w:cs="Times New Roman"/>
        </w:rPr>
        <w:t>olds</w:t>
      </w:r>
      <w:proofErr w:type="spellEnd"/>
      <w:r w:rsidR="009A0BE1" w:rsidRPr="00340DD1">
        <w:rPr>
          <w:rFonts w:ascii="Calibri" w:hAnsi="Calibri" w:cs="Times New Roman"/>
        </w:rPr>
        <w:t xml:space="preserve">) </w:t>
      </w:r>
      <w:r w:rsidRPr="00340DD1">
        <w:rPr>
          <w:rFonts w:ascii="Calibri" w:hAnsi="Calibri" w:cs="Times New Roman"/>
        </w:rPr>
        <w:t xml:space="preserve">were the least likely to </w:t>
      </w:r>
      <w:r w:rsidR="007A710D" w:rsidRPr="00340DD1">
        <w:rPr>
          <w:rFonts w:ascii="Calibri" w:hAnsi="Calibri" w:cs="Times New Roman"/>
        </w:rPr>
        <w:t xml:space="preserve">report reducing </w:t>
      </w:r>
      <w:r w:rsidRPr="00340DD1">
        <w:rPr>
          <w:rFonts w:ascii="Calibri" w:hAnsi="Calibri" w:cs="Times New Roman"/>
        </w:rPr>
        <w:t xml:space="preserve">drinking, with 24-29 year </w:t>
      </w:r>
      <w:proofErr w:type="spellStart"/>
      <w:r w:rsidRPr="00340DD1">
        <w:rPr>
          <w:rFonts w:ascii="Calibri" w:hAnsi="Calibri" w:cs="Times New Roman"/>
        </w:rPr>
        <w:t>olds</w:t>
      </w:r>
      <w:proofErr w:type="spellEnd"/>
      <w:r w:rsidRPr="00340DD1">
        <w:rPr>
          <w:rFonts w:ascii="Calibri" w:hAnsi="Calibri" w:cs="Times New Roman"/>
        </w:rPr>
        <w:t xml:space="preserve"> most likely to report </w:t>
      </w:r>
      <w:r w:rsidR="007A710D" w:rsidRPr="00340DD1">
        <w:rPr>
          <w:rFonts w:ascii="Calibri" w:hAnsi="Calibri" w:cs="Times New Roman"/>
        </w:rPr>
        <w:t xml:space="preserve">reducing </w:t>
      </w:r>
      <w:r w:rsidRPr="00340DD1">
        <w:rPr>
          <w:rFonts w:ascii="Calibri" w:hAnsi="Calibri" w:cs="Times New Roman"/>
        </w:rPr>
        <w:t xml:space="preserve">drinking. Females were more likely </w:t>
      </w:r>
      <w:r w:rsidR="008B03F9" w:rsidRPr="00340DD1">
        <w:rPr>
          <w:rFonts w:ascii="Calibri" w:hAnsi="Calibri" w:cs="Times New Roman"/>
        </w:rPr>
        <w:t xml:space="preserve">than males </w:t>
      </w:r>
      <w:r w:rsidRPr="00340DD1">
        <w:rPr>
          <w:rFonts w:ascii="Calibri" w:hAnsi="Calibri" w:cs="Times New Roman"/>
        </w:rPr>
        <w:t xml:space="preserve">to report </w:t>
      </w:r>
      <w:r w:rsidR="007A710D" w:rsidRPr="00340DD1">
        <w:rPr>
          <w:rFonts w:ascii="Calibri" w:hAnsi="Calibri" w:cs="Times New Roman"/>
        </w:rPr>
        <w:t xml:space="preserve">ceasing </w:t>
      </w:r>
      <w:r w:rsidRPr="00340DD1">
        <w:rPr>
          <w:rFonts w:ascii="Calibri" w:hAnsi="Calibri" w:cs="Times New Roman"/>
        </w:rPr>
        <w:t xml:space="preserve">drinking, but males were more likely to report </w:t>
      </w:r>
      <w:r w:rsidR="007A710D" w:rsidRPr="00340DD1">
        <w:rPr>
          <w:rFonts w:ascii="Calibri" w:hAnsi="Calibri" w:cs="Times New Roman"/>
        </w:rPr>
        <w:t xml:space="preserve">reducing their </w:t>
      </w:r>
      <w:r w:rsidRPr="00340DD1">
        <w:rPr>
          <w:rFonts w:ascii="Calibri" w:hAnsi="Calibri" w:cs="Times New Roman"/>
        </w:rPr>
        <w:t>drinking. Those in more disadvantaged neighbourhoods were more likely to report reducing and ceasing drinking.</w:t>
      </w:r>
    </w:p>
    <w:p w14:paraId="2DDFC2EC" w14:textId="591FAEFF" w:rsidR="00012948" w:rsidRPr="00340DD1" w:rsidRDefault="002679CD" w:rsidP="00012948">
      <w:pPr>
        <w:spacing w:line="360" w:lineRule="auto"/>
        <w:rPr>
          <w:rFonts w:ascii="Calibri" w:hAnsi="Calibri" w:cs="Times New Roman"/>
        </w:rPr>
      </w:pPr>
      <w:r w:rsidRPr="00340DD1">
        <w:rPr>
          <w:rFonts w:ascii="Calibri" w:hAnsi="Calibri" w:cs="Times New Roman"/>
        </w:rPr>
        <w:t xml:space="preserve">With regards to interaction analyses, Table 3 shows that there was a significant interaction between year and age in relation to </w:t>
      </w:r>
      <w:r w:rsidR="007A710D" w:rsidRPr="00340DD1">
        <w:rPr>
          <w:rFonts w:ascii="Calibri" w:hAnsi="Calibri" w:cs="Times New Roman"/>
        </w:rPr>
        <w:t xml:space="preserve">cessation of </w:t>
      </w:r>
      <w:r w:rsidRPr="00340DD1">
        <w:rPr>
          <w:rFonts w:ascii="Calibri" w:hAnsi="Calibri" w:cs="Times New Roman"/>
        </w:rPr>
        <w:t xml:space="preserve">drinking, primarily driven by </w:t>
      </w:r>
      <w:proofErr w:type="gramStart"/>
      <w:r w:rsidRPr="00340DD1">
        <w:rPr>
          <w:rFonts w:ascii="Calibri" w:hAnsi="Calibri" w:cs="Times New Roman"/>
        </w:rPr>
        <w:t>24-29 year</w:t>
      </w:r>
      <w:proofErr w:type="gramEnd"/>
      <w:r w:rsidRPr="00340DD1">
        <w:rPr>
          <w:rFonts w:ascii="Calibri" w:hAnsi="Calibri" w:cs="Times New Roman"/>
        </w:rPr>
        <w:t xml:space="preserve"> </w:t>
      </w:r>
      <w:proofErr w:type="spellStart"/>
      <w:r w:rsidRPr="00340DD1">
        <w:rPr>
          <w:rFonts w:ascii="Calibri" w:hAnsi="Calibri" w:cs="Times New Roman"/>
        </w:rPr>
        <w:t>olds</w:t>
      </w:r>
      <w:proofErr w:type="spellEnd"/>
      <w:r w:rsidRPr="00340DD1">
        <w:rPr>
          <w:rFonts w:ascii="Calibri" w:hAnsi="Calibri" w:cs="Times New Roman"/>
        </w:rPr>
        <w:t xml:space="preserve"> being more likely to </w:t>
      </w:r>
      <w:r w:rsidR="007A710D" w:rsidRPr="00340DD1">
        <w:rPr>
          <w:rFonts w:ascii="Calibri" w:hAnsi="Calibri" w:cs="Times New Roman"/>
        </w:rPr>
        <w:t xml:space="preserve">cease </w:t>
      </w:r>
      <w:r w:rsidRPr="00340DD1">
        <w:rPr>
          <w:rFonts w:ascii="Calibri" w:hAnsi="Calibri" w:cs="Times New Roman"/>
        </w:rPr>
        <w:t xml:space="preserve">drinking in 2010 relative to 30-49 year </w:t>
      </w:r>
      <w:proofErr w:type="spellStart"/>
      <w:r w:rsidRPr="00340DD1">
        <w:rPr>
          <w:rFonts w:ascii="Calibri" w:hAnsi="Calibri" w:cs="Times New Roman"/>
        </w:rPr>
        <w:t>olds</w:t>
      </w:r>
      <w:proofErr w:type="spellEnd"/>
      <w:r w:rsidRPr="00340DD1">
        <w:rPr>
          <w:rFonts w:ascii="Calibri" w:hAnsi="Calibri" w:cs="Times New Roman"/>
        </w:rPr>
        <w:t>, and those aged 50</w:t>
      </w:r>
      <w:r w:rsidR="009A0BE1" w:rsidRPr="00340DD1">
        <w:rPr>
          <w:rFonts w:ascii="Calibri" w:hAnsi="Calibri" w:cs="Times New Roman"/>
        </w:rPr>
        <w:t>-64 and 65</w:t>
      </w:r>
      <w:r w:rsidRPr="00340DD1">
        <w:rPr>
          <w:rFonts w:ascii="Calibri" w:hAnsi="Calibri" w:cs="Times New Roman"/>
        </w:rPr>
        <w:t xml:space="preserve">+ being less likely to </w:t>
      </w:r>
      <w:r w:rsidR="007A710D" w:rsidRPr="00340DD1">
        <w:rPr>
          <w:rFonts w:ascii="Calibri" w:hAnsi="Calibri" w:cs="Times New Roman"/>
        </w:rPr>
        <w:t xml:space="preserve">cease </w:t>
      </w:r>
      <w:r w:rsidRPr="00340DD1">
        <w:rPr>
          <w:rFonts w:ascii="Calibri" w:hAnsi="Calibri" w:cs="Times New Roman"/>
        </w:rPr>
        <w:t xml:space="preserve">drinking in 2013 relative to 30-49 year </w:t>
      </w:r>
      <w:proofErr w:type="spellStart"/>
      <w:r w:rsidRPr="00340DD1">
        <w:rPr>
          <w:rFonts w:ascii="Calibri" w:hAnsi="Calibri" w:cs="Times New Roman"/>
        </w:rPr>
        <w:t>olds</w:t>
      </w:r>
      <w:proofErr w:type="spellEnd"/>
      <w:r w:rsidRPr="00340DD1">
        <w:rPr>
          <w:rFonts w:ascii="Calibri" w:hAnsi="Calibri" w:cs="Times New Roman"/>
        </w:rPr>
        <w:t xml:space="preserve">. </w:t>
      </w:r>
      <w:r w:rsidR="00012948" w:rsidRPr="00340DD1">
        <w:rPr>
          <w:rFonts w:ascii="Calibri" w:hAnsi="Calibri" w:cs="Times New Roman"/>
        </w:rPr>
        <w:t xml:space="preserve">This suggests the interaction is stemming from an increase in younger drinkers and </w:t>
      </w:r>
      <w:r w:rsidR="009A0BE1" w:rsidRPr="00340DD1">
        <w:rPr>
          <w:rFonts w:ascii="Calibri" w:hAnsi="Calibri" w:cs="Times New Roman"/>
        </w:rPr>
        <w:t xml:space="preserve">a </w:t>
      </w:r>
      <w:r w:rsidR="00012948" w:rsidRPr="00340DD1">
        <w:rPr>
          <w:rFonts w:ascii="Calibri" w:hAnsi="Calibri" w:cs="Times New Roman"/>
        </w:rPr>
        <w:t xml:space="preserve">decrease in older drinkers </w:t>
      </w:r>
      <w:r w:rsidR="00125373" w:rsidRPr="00340DD1">
        <w:rPr>
          <w:rFonts w:ascii="Calibri" w:hAnsi="Calibri" w:cs="Times New Roman"/>
        </w:rPr>
        <w:t xml:space="preserve">ceasing </w:t>
      </w:r>
      <w:r w:rsidR="00012948" w:rsidRPr="00340DD1">
        <w:rPr>
          <w:rFonts w:ascii="Calibri" w:hAnsi="Calibri" w:cs="Times New Roman"/>
        </w:rPr>
        <w:t xml:space="preserve">drinking over the past two surveys.  </w:t>
      </w:r>
    </w:p>
    <w:p w14:paraId="0AD2E395" w14:textId="55B43F6E" w:rsidR="00C43137" w:rsidRPr="00340DD1" w:rsidRDefault="00C43137" w:rsidP="005026AF">
      <w:pPr>
        <w:spacing w:line="360" w:lineRule="auto"/>
        <w:rPr>
          <w:rFonts w:ascii="Calibri" w:hAnsi="Calibri" w:cs="Times New Roman"/>
          <w:b/>
          <w:i/>
        </w:rPr>
      </w:pPr>
      <w:r w:rsidRPr="00340DD1">
        <w:rPr>
          <w:rFonts w:ascii="Calibri" w:hAnsi="Calibri" w:cs="Times New Roman"/>
          <w:b/>
          <w:i/>
        </w:rPr>
        <w:lastRenderedPageBreak/>
        <w:t>Reasons for reducing or ceasing drinking</w:t>
      </w:r>
      <w:r w:rsidR="00C74694" w:rsidRPr="00340DD1">
        <w:rPr>
          <w:rFonts w:ascii="Calibri" w:hAnsi="Calibri" w:cs="Times New Roman"/>
          <w:b/>
          <w:i/>
        </w:rPr>
        <w:t xml:space="preserve"> in the past 12 months</w:t>
      </w:r>
    </w:p>
    <w:p w14:paraId="6ED5ADAF" w14:textId="072146A2" w:rsidR="005D5238" w:rsidRPr="00340DD1" w:rsidRDefault="001303B1" w:rsidP="005026AF">
      <w:pPr>
        <w:spacing w:line="360" w:lineRule="auto"/>
        <w:rPr>
          <w:rFonts w:ascii="Calibri" w:hAnsi="Calibri" w:cs="Times New Roman"/>
        </w:rPr>
      </w:pPr>
      <w:r w:rsidRPr="00340DD1">
        <w:rPr>
          <w:rFonts w:ascii="Calibri" w:hAnsi="Calibri" w:cs="Times New Roman"/>
        </w:rPr>
        <w:t xml:space="preserve">Table </w:t>
      </w:r>
      <w:r w:rsidR="003279AB" w:rsidRPr="00340DD1">
        <w:rPr>
          <w:rFonts w:ascii="Calibri" w:hAnsi="Calibri" w:cs="Times New Roman"/>
        </w:rPr>
        <w:t>4</w:t>
      </w:r>
      <w:r w:rsidRPr="00340DD1">
        <w:rPr>
          <w:rFonts w:ascii="Calibri" w:hAnsi="Calibri" w:cs="Times New Roman"/>
        </w:rPr>
        <w:t xml:space="preserve"> </w:t>
      </w:r>
      <w:r w:rsidR="00C43137" w:rsidRPr="00340DD1">
        <w:rPr>
          <w:rFonts w:ascii="Calibri" w:hAnsi="Calibri" w:cs="Times New Roman"/>
        </w:rPr>
        <w:t>show</w:t>
      </w:r>
      <w:r w:rsidR="00FE17A4" w:rsidRPr="00340DD1">
        <w:rPr>
          <w:rFonts w:ascii="Calibri" w:hAnsi="Calibri" w:cs="Times New Roman"/>
        </w:rPr>
        <w:t>s</w:t>
      </w:r>
      <w:r w:rsidR="00C43137" w:rsidRPr="00340DD1">
        <w:rPr>
          <w:rFonts w:ascii="Calibri" w:hAnsi="Calibri" w:cs="Times New Roman"/>
        </w:rPr>
        <w:t xml:space="preserve"> that</w:t>
      </w:r>
      <w:r w:rsidR="009D45AF" w:rsidRPr="00340DD1">
        <w:rPr>
          <w:rFonts w:ascii="Calibri" w:hAnsi="Calibri" w:cs="Times New Roman"/>
        </w:rPr>
        <w:t xml:space="preserve"> </w:t>
      </w:r>
      <w:r w:rsidR="006E244E" w:rsidRPr="00340DD1">
        <w:rPr>
          <w:rFonts w:ascii="Calibri" w:hAnsi="Calibri" w:cs="Times New Roman"/>
        </w:rPr>
        <w:t>health wa</w:t>
      </w:r>
      <w:r w:rsidR="00C43137" w:rsidRPr="00340DD1">
        <w:rPr>
          <w:rFonts w:ascii="Calibri" w:hAnsi="Calibri" w:cs="Times New Roman"/>
        </w:rPr>
        <w:t>s the most commonly reported reason</w:t>
      </w:r>
      <w:r w:rsidR="00C74694" w:rsidRPr="00340DD1">
        <w:rPr>
          <w:rFonts w:ascii="Calibri" w:hAnsi="Calibri" w:cs="Times New Roman"/>
        </w:rPr>
        <w:t xml:space="preserve"> for both reducing and ceasing drinking</w:t>
      </w:r>
      <w:r w:rsidR="009D45AF" w:rsidRPr="00340DD1">
        <w:rPr>
          <w:rFonts w:ascii="Calibri" w:hAnsi="Calibri" w:cs="Times New Roman"/>
        </w:rPr>
        <w:t>, followed by lifestyle reasons and social reasons</w:t>
      </w:r>
      <w:r w:rsidR="00C43137" w:rsidRPr="00340DD1">
        <w:rPr>
          <w:rFonts w:ascii="Calibri" w:hAnsi="Calibri" w:cs="Times New Roman"/>
        </w:rPr>
        <w:t xml:space="preserve">. </w:t>
      </w:r>
      <w:r w:rsidR="00C74694" w:rsidRPr="00340DD1">
        <w:rPr>
          <w:rFonts w:ascii="Calibri" w:hAnsi="Calibri" w:cs="Times New Roman"/>
        </w:rPr>
        <w:t>Differences by age we</w:t>
      </w:r>
      <w:r w:rsidR="00DF6282" w:rsidRPr="00340DD1">
        <w:rPr>
          <w:rFonts w:ascii="Calibri" w:hAnsi="Calibri" w:cs="Times New Roman"/>
        </w:rPr>
        <w:t>re evident</w:t>
      </w:r>
      <w:r w:rsidR="001A5626" w:rsidRPr="00340DD1">
        <w:rPr>
          <w:rFonts w:ascii="Calibri" w:hAnsi="Calibri" w:cs="Times New Roman"/>
        </w:rPr>
        <w:t xml:space="preserve">, with health reasons more </w:t>
      </w:r>
      <w:r w:rsidR="009D45AF" w:rsidRPr="00340DD1">
        <w:rPr>
          <w:rFonts w:ascii="Calibri" w:hAnsi="Calibri" w:cs="Times New Roman"/>
        </w:rPr>
        <w:t>common</w:t>
      </w:r>
      <w:r w:rsidR="00294442" w:rsidRPr="00340DD1">
        <w:rPr>
          <w:rFonts w:ascii="Calibri" w:hAnsi="Calibri" w:cs="Times New Roman"/>
        </w:rPr>
        <w:t>ly reported by</w:t>
      </w:r>
      <w:r w:rsidR="00D62D0C" w:rsidRPr="00340DD1">
        <w:rPr>
          <w:rFonts w:ascii="Calibri" w:hAnsi="Calibri" w:cs="Times New Roman"/>
        </w:rPr>
        <w:t xml:space="preserve"> </w:t>
      </w:r>
      <w:r w:rsidR="001A5626" w:rsidRPr="00340DD1">
        <w:rPr>
          <w:rFonts w:ascii="Calibri" w:hAnsi="Calibri" w:cs="Times New Roman"/>
        </w:rPr>
        <w:t>older age groups</w:t>
      </w:r>
      <w:r w:rsidR="008A2398" w:rsidRPr="00340DD1">
        <w:rPr>
          <w:rFonts w:ascii="Calibri" w:hAnsi="Calibri" w:cs="Times New Roman"/>
        </w:rPr>
        <w:t xml:space="preserve"> both in terms of reducing and ceasing drinking</w:t>
      </w:r>
      <w:r w:rsidR="008333FA" w:rsidRPr="00340DD1">
        <w:rPr>
          <w:rFonts w:ascii="Calibri" w:hAnsi="Calibri" w:cs="Times New Roman"/>
        </w:rPr>
        <w:t>. L</w:t>
      </w:r>
      <w:r w:rsidR="008A2398" w:rsidRPr="00340DD1">
        <w:rPr>
          <w:rFonts w:ascii="Calibri" w:hAnsi="Calibri" w:cs="Times New Roman"/>
        </w:rPr>
        <w:t>ifestyle</w:t>
      </w:r>
      <w:r w:rsidR="001A5626" w:rsidRPr="00340DD1">
        <w:rPr>
          <w:rFonts w:ascii="Calibri" w:hAnsi="Calibri" w:cs="Times New Roman"/>
        </w:rPr>
        <w:t xml:space="preserve"> </w:t>
      </w:r>
      <w:r w:rsidR="008A2398" w:rsidRPr="00340DD1">
        <w:rPr>
          <w:rFonts w:ascii="Calibri" w:hAnsi="Calibri" w:cs="Times New Roman"/>
        </w:rPr>
        <w:t xml:space="preserve">and financial </w:t>
      </w:r>
      <w:r w:rsidR="001A5626" w:rsidRPr="00340DD1">
        <w:rPr>
          <w:rFonts w:ascii="Calibri" w:hAnsi="Calibri" w:cs="Times New Roman"/>
        </w:rPr>
        <w:t xml:space="preserve">reasons </w:t>
      </w:r>
      <w:r w:rsidR="008333FA" w:rsidRPr="00340DD1">
        <w:rPr>
          <w:rFonts w:ascii="Calibri" w:hAnsi="Calibri" w:cs="Times New Roman"/>
        </w:rPr>
        <w:t xml:space="preserve">were </w:t>
      </w:r>
      <w:r w:rsidR="001A5626" w:rsidRPr="00340DD1">
        <w:rPr>
          <w:rFonts w:ascii="Calibri" w:hAnsi="Calibri" w:cs="Times New Roman"/>
        </w:rPr>
        <w:t xml:space="preserve">more </w:t>
      </w:r>
      <w:r w:rsidR="009D45AF" w:rsidRPr="00340DD1">
        <w:rPr>
          <w:rFonts w:ascii="Calibri" w:hAnsi="Calibri" w:cs="Times New Roman"/>
        </w:rPr>
        <w:t>common</w:t>
      </w:r>
      <w:r w:rsidR="00294442" w:rsidRPr="00340DD1">
        <w:rPr>
          <w:rFonts w:ascii="Calibri" w:hAnsi="Calibri" w:cs="Times New Roman"/>
        </w:rPr>
        <w:t xml:space="preserve">ly reported by </w:t>
      </w:r>
      <w:r w:rsidR="001A5626" w:rsidRPr="00340DD1">
        <w:rPr>
          <w:rFonts w:ascii="Calibri" w:hAnsi="Calibri" w:cs="Times New Roman"/>
        </w:rPr>
        <w:t>young people (aged 1</w:t>
      </w:r>
      <w:r w:rsidR="008A2398" w:rsidRPr="00340DD1">
        <w:rPr>
          <w:rFonts w:ascii="Calibri" w:hAnsi="Calibri" w:cs="Times New Roman"/>
        </w:rPr>
        <w:t>8</w:t>
      </w:r>
      <w:r w:rsidR="001A5626" w:rsidRPr="00340DD1">
        <w:rPr>
          <w:rFonts w:ascii="Calibri" w:hAnsi="Calibri" w:cs="Times New Roman"/>
        </w:rPr>
        <w:t>-29)</w:t>
      </w:r>
      <w:r w:rsidR="009D45AF" w:rsidRPr="00340DD1">
        <w:rPr>
          <w:rFonts w:ascii="Calibri" w:hAnsi="Calibri" w:cs="Times New Roman"/>
        </w:rPr>
        <w:t xml:space="preserve"> </w:t>
      </w:r>
      <w:r w:rsidR="0029789E" w:rsidRPr="00340DD1">
        <w:rPr>
          <w:rFonts w:ascii="Calibri" w:hAnsi="Calibri" w:cs="Times New Roman"/>
        </w:rPr>
        <w:t>for</w:t>
      </w:r>
      <w:r w:rsidR="009D45AF" w:rsidRPr="00340DD1">
        <w:rPr>
          <w:rFonts w:ascii="Calibri" w:hAnsi="Calibri" w:cs="Times New Roman"/>
        </w:rPr>
        <w:t xml:space="preserve"> reducing drinking (but not ceasing drinking)</w:t>
      </w:r>
      <w:r w:rsidR="001A5626" w:rsidRPr="00340DD1">
        <w:rPr>
          <w:rFonts w:ascii="Calibri" w:hAnsi="Calibri" w:cs="Times New Roman"/>
        </w:rPr>
        <w:t>,</w:t>
      </w:r>
      <w:r w:rsidR="008A2398" w:rsidRPr="00340DD1">
        <w:rPr>
          <w:rFonts w:ascii="Calibri" w:hAnsi="Calibri" w:cs="Times New Roman"/>
        </w:rPr>
        <w:t xml:space="preserve"> and</w:t>
      </w:r>
      <w:r w:rsidR="001A5626" w:rsidRPr="00340DD1">
        <w:rPr>
          <w:rFonts w:ascii="Calibri" w:hAnsi="Calibri" w:cs="Times New Roman"/>
        </w:rPr>
        <w:t xml:space="preserve"> taste/enjoyment</w:t>
      </w:r>
      <w:r w:rsidR="002231E6" w:rsidRPr="00340DD1">
        <w:rPr>
          <w:rFonts w:ascii="Calibri" w:hAnsi="Calibri" w:cs="Times New Roman"/>
        </w:rPr>
        <w:t xml:space="preserve"> was</w:t>
      </w:r>
      <w:r w:rsidR="001A5626" w:rsidRPr="00340DD1">
        <w:rPr>
          <w:rFonts w:ascii="Calibri" w:hAnsi="Calibri" w:cs="Times New Roman"/>
        </w:rPr>
        <w:t xml:space="preserve"> </w:t>
      </w:r>
      <w:r w:rsidR="008A2398" w:rsidRPr="00340DD1">
        <w:rPr>
          <w:rFonts w:ascii="Calibri" w:hAnsi="Calibri" w:cs="Times New Roman"/>
        </w:rPr>
        <w:t>a more common</w:t>
      </w:r>
      <w:r w:rsidR="00294442" w:rsidRPr="00340DD1">
        <w:rPr>
          <w:rFonts w:ascii="Calibri" w:hAnsi="Calibri" w:cs="Times New Roman"/>
        </w:rPr>
        <w:t>ly reported</w:t>
      </w:r>
      <w:r w:rsidR="008A2398" w:rsidRPr="00340DD1">
        <w:rPr>
          <w:rFonts w:ascii="Calibri" w:hAnsi="Calibri" w:cs="Times New Roman"/>
        </w:rPr>
        <w:t xml:space="preserve"> reason for reducing drinking among </w:t>
      </w:r>
      <w:proofErr w:type="gramStart"/>
      <w:r w:rsidR="008A2398" w:rsidRPr="00340DD1">
        <w:rPr>
          <w:rFonts w:ascii="Calibri" w:hAnsi="Calibri" w:cs="Times New Roman"/>
        </w:rPr>
        <w:t>14-29 year</w:t>
      </w:r>
      <w:proofErr w:type="gramEnd"/>
      <w:r w:rsidR="008A2398" w:rsidRPr="00340DD1">
        <w:rPr>
          <w:rFonts w:ascii="Calibri" w:hAnsi="Calibri" w:cs="Times New Roman"/>
        </w:rPr>
        <w:t xml:space="preserve"> </w:t>
      </w:r>
      <w:proofErr w:type="spellStart"/>
      <w:r w:rsidR="008A2398" w:rsidRPr="00340DD1">
        <w:rPr>
          <w:rFonts w:ascii="Calibri" w:hAnsi="Calibri" w:cs="Times New Roman"/>
        </w:rPr>
        <w:t>olds</w:t>
      </w:r>
      <w:proofErr w:type="spellEnd"/>
      <w:r w:rsidR="00C74694" w:rsidRPr="00340DD1">
        <w:rPr>
          <w:rFonts w:ascii="Calibri" w:hAnsi="Calibri" w:cs="Times New Roman"/>
        </w:rPr>
        <w:t xml:space="preserve"> relative to older age groups</w:t>
      </w:r>
      <w:r w:rsidR="005D5238" w:rsidRPr="00340DD1">
        <w:rPr>
          <w:rFonts w:ascii="Calibri" w:hAnsi="Calibri" w:cs="Times New Roman"/>
        </w:rPr>
        <w:t>.</w:t>
      </w:r>
      <w:r w:rsidR="004D5C94" w:rsidRPr="00340DD1">
        <w:rPr>
          <w:rFonts w:ascii="Calibri" w:hAnsi="Calibri" w:cs="Times New Roman"/>
        </w:rPr>
        <w:t xml:space="preserve"> Social reasons for reducing drinking were commonly reported by younger groups, but also those aged 50-64 years.  </w:t>
      </w:r>
    </w:p>
    <w:p w14:paraId="5B306542" w14:textId="356CBE91" w:rsidR="001625E0" w:rsidRPr="00340DD1" w:rsidRDefault="008A2398" w:rsidP="005026AF">
      <w:pPr>
        <w:spacing w:line="360" w:lineRule="auto"/>
        <w:rPr>
          <w:rFonts w:ascii="Calibri" w:hAnsi="Calibri" w:cs="Times New Roman"/>
        </w:rPr>
      </w:pPr>
      <w:r w:rsidRPr="00340DD1">
        <w:rPr>
          <w:rFonts w:ascii="Calibri" w:hAnsi="Calibri" w:cs="Times New Roman"/>
        </w:rPr>
        <w:t>D</w:t>
      </w:r>
      <w:r w:rsidR="001A5626" w:rsidRPr="00340DD1">
        <w:rPr>
          <w:rFonts w:ascii="Calibri" w:hAnsi="Calibri" w:cs="Times New Roman"/>
        </w:rPr>
        <w:t xml:space="preserve">rink driving </w:t>
      </w:r>
      <w:r w:rsidRPr="00340DD1">
        <w:rPr>
          <w:rFonts w:ascii="Calibri" w:hAnsi="Calibri" w:cs="Times New Roman"/>
        </w:rPr>
        <w:t>was a more common</w:t>
      </w:r>
      <w:r w:rsidR="00294442" w:rsidRPr="00340DD1">
        <w:rPr>
          <w:rFonts w:ascii="Calibri" w:hAnsi="Calibri" w:cs="Times New Roman"/>
        </w:rPr>
        <w:t>ly</w:t>
      </w:r>
      <w:r w:rsidRPr="00340DD1">
        <w:rPr>
          <w:rFonts w:ascii="Calibri" w:hAnsi="Calibri" w:cs="Times New Roman"/>
        </w:rPr>
        <w:t xml:space="preserve"> </w:t>
      </w:r>
      <w:r w:rsidR="00020FF9" w:rsidRPr="00340DD1">
        <w:rPr>
          <w:rFonts w:ascii="Calibri" w:hAnsi="Calibri" w:cs="Times New Roman"/>
        </w:rPr>
        <w:t xml:space="preserve">reported </w:t>
      </w:r>
      <w:r w:rsidRPr="00340DD1">
        <w:rPr>
          <w:rFonts w:ascii="Calibri" w:hAnsi="Calibri" w:cs="Times New Roman"/>
        </w:rPr>
        <w:t xml:space="preserve">reason for reducing and ceasing drinking </w:t>
      </w:r>
      <w:r w:rsidR="00294442" w:rsidRPr="00340DD1">
        <w:rPr>
          <w:rFonts w:ascii="Calibri" w:hAnsi="Calibri" w:cs="Times New Roman"/>
        </w:rPr>
        <w:t xml:space="preserve">by </w:t>
      </w:r>
      <w:r w:rsidR="001A5626" w:rsidRPr="00340DD1">
        <w:rPr>
          <w:rFonts w:ascii="Calibri" w:hAnsi="Calibri" w:cs="Times New Roman"/>
        </w:rPr>
        <w:t>the oldest group (50+)</w:t>
      </w:r>
      <w:r w:rsidR="00F15C20" w:rsidRPr="00340DD1">
        <w:rPr>
          <w:rFonts w:ascii="Calibri" w:hAnsi="Calibri" w:cs="Times New Roman"/>
        </w:rPr>
        <w:t xml:space="preserve"> as well as</w:t>
      </w:r>
      <w:r w:rsidRPr="00340DD1">
        <w:rPr>
          <w:rFonts w:ascii="Calibri" w:hAnsi="Calibri" w:cs="Times New Roman"/>
        </w:rPr>
        <w:t xml:space="preserve"> reducing drinking among</w:t>
      </w:r>
      <w:r w:rsidR="00F15C20" w:rsidRPr="00340DD1">
        <w:rPr>
          <w:rFonts w:ascii="Calibri" w:hAnsi="Calibri" w:cs="Times New Roman"/>
        </w:rPr>
        <w:t xml:space="preserve"> </w:t>
      </w:r>
      <w:proofErr w:type="gramStart"/>
      <w:r w:rsidR="00F15C20" w:rsidRPr="00340DD1">
        <w:rPr>
          <w:rFonts w:ascii="Calibri" w:hAnsi="Calibri" w:cs="Times New Roman"/>
        </w:rPr>
        <w:t>18-23 year</w:t>
      </w:r>
      <w:proofErr w:type="gramEnd"/>
      <w:r w:rsidR="00F15C20" w:rsidRPr="00340DD1">
        <w:rPr>
          <w:rFonts w:ascii="Calibri" w:hAnsi="Calibri" w:cs="Times New Roman"/>
        </w:rPr>
        <w:t xml:space="preserve"> </w:t>
      </w:r>
      <w:proofErr w:type="spellStart"/>
      <w:r w:rsidR="00F15C20" w:rsidRPr="00340DD1">
        <w:rPr>
          <w:rFonts w:ascii="Calibri" w:hAnsi="Calibri" w:cs="Times New Roman"/>
        </w:rPr>
        <w:t>olds</w:t>
      </w:r>
      <w:proofErr w:type="spellEnd"/>
      <w:r w:rsidR="00604E34" w:rsidRPr="00340DD1">
        <w:rPr>
          <w:rFonts w:ascii="Calibri" w:hAnsi="Calibri" w:cs="Times New Roman"/>
        </w:rPr>
        <w:t>.</w:t>
      </w:r>
      <w:r w:rsidR="00DF6282" w:rsidRPr="00340DD1">
        <w:rPr>
          <w:rFonts w:ascii="Calibri" w:hAnsi="Calibri" w:cs="Times New Roman"/>
        </w:rPr>
        <w:t xml:space="preserve"> P</w:t>
      </w:r>
      <w:r w:rsidR="00FE17A4" w:rsidRPr="00340DD1">
        <w:rPr>
          <w:rFonts w:ascii="Calibri" w:hAnsi="Calibri" w:cs="Times New Roman"/>
        </w:rPr>
        <w:t>arent</w:t>
      </w:r>
      <w:r w:rsidRPr="00340DD1">
        <w:rPr>
          <w:rFonts w:ascii="Calibri" w:hAnsi="Calibri" w:cs="Times New Roman"/>
        </w:rPr>
        <w:t>al</w:t>
      </w:r>
      <w:r w:rsidR="00FE17A4" w:rsidRPr="00340DD1">
        <w:rPr>
          <w:rFonts w:ascii="Calibri" w:hAnsi="Calibri" w:cs="Times New Roman"/>
        </w:rPr>
        <w:t xml:space="preserve"> </w:t>
      </w:r>
      <w:r w:rsidR="00407765" w:rsidRPr="00340DD1">
        <w:rPr>
          <w:rFonts w:ascii="Calibri" w:hAnsi="Calibri" w:cs="Times New Roman"/>
        </w:rPr>
        <w:t xml:space="preserve">and peer </w:t>
      </w:r>
      <w:r w:rsidR="00FE17A4" w:rsidRPr="00340DD1">
        <w:rPr>
          <w:rFonts w:ascii="Calibri" w:hAnsi="Calibri" w:cs="Times New Roman"/>
        </w:rPr>
        <w:t>pressure</w:t>
      </w:r>
      <w:r w:rsidR="00DF6282" w:rsidRPr="00340DD1">
        <w:rPr>
          <w:rFonts w:ascii="Calibri" w:hAnsi="Calibri" w:cs="Times New Roman"/>
        </w:rPr>
        <w:t xml:space="preserve"> was</w:t>
      </w:r>
      <w:r w:rsidR="00FE17A4" w:rsidRPr="00340DD1">
        <w:rPr>
          <w:rFonts w:ascii="Calibri" w:hAnsi="Calibri" w:cs="Times New Roman"/>
        </w:rPr>
        <w:t xml:space="preserve"> </w:t>
      </w:r>
      <w:r w:rsidRPr="00340DD1">
        <w:rPr>
          <w:rFonts w:ascii="Calibri" w:hAnsi="Calibri" w:cs="Times New Roman"/>
        </w:rPr>
        <w:t xml:space="preserve">only reported as a reason for reducing and ceasing drinking </w:t>
      </w:r>
      <w:r w:rsidR="00294442" w:rsidRPr="00340DD1">
        <w:rPr>
          <w:rFonts w:ascii="Calibri" w:hAnsi="Calibri" w:cs="Times New Roman"/>
        </w:rPr>
        <w:t xml:space="preserve">by </w:t>
      </w:r>
      <w:proofErr w:type="gramStart"/>
      <w:r w:rsidR="00294442" w:rsidRPr="00340DD1">
        <w:rPr>
          <w:rFonts w:ascii="Calibri" w:hAnsi="Calibri" w:cs="Times New Roman"/>
        </w:rPr>
        <w:t>14-17 year</w:t>
      </w:r>
      <w:proofErr w:type="gramEnd"/>
      <w:r w:rsidR="00294442" w:rsidRPr="00340DD1">
        <w:rPr>
          <w:rFonts w:ascii="Calibri" w:hAnsi="Calibri" w:cs="Times New Roman"/>
        </w:rPr>
        <w:t xml:space="preserve"> </w:t>
      </w:r>
      <w:proofErr w:type="spellStart"/>
      <w:r w:rsidR="00294442" w:rsidRPr="00340DD1">
        <w:rPr>
          <w:rFonts w:ascii="Calibri" w:hAnsi="Calibri" w:cs="Times New Roman"/>
        </w:rPr>
        <w:t>olds</w:t>
      </w:r>
      <w:proofErr w:type="spellEnd"/>
      <w:r w:rsidR="00FE17A4" w:rsidRPr="00340DD1">
        <w:rPr>
          <w:rFonts w:ascii="Calibri" w:hAnsi="Calibri" w:cs="Times New Roman"/>
        </w:rPr>
        <w:t xml:space="preserve">. </w:t>
      </w:r>
      <w:r w:rsidR="0025254E" w:rsidRPr="00340DD1">
        <w:rPr>
          <w:rFonts w:ascii="Calibri" w:hAnsi="Calibri" w:cs="Times New Roman"/>
        </w:rPr>
        <w:t>It is important to note that the youngest group report</w:t>
      </w:r>
      <w:r w:rsidR="006E244E" w:rsidRPr="00340DD1">
        <w:rPr>
          <w:rFonts w:ascii="Calibri" w:hAnsi="Calibri" w:cs="Times New Roman"/>
        </w:rPr>
        <w:t>ed</w:t>
      </w:r>
      <w:r w:rsidR="0025254E" w:rsidRPr="00340DD1">
        <w:rPr>
          <w:rFonts w:ascii="Calibri" w:hAnsi="Calibri" w:cs="Times New Roman"/>
        </w:rPr>
        <w:t xml:space="preserve"> the highest rate of ‘other’ reasons, which unfortunately </w:t>
      </w:r>
      <w:r w:rsidR="006E244E" w:rsidRPr="00340DD1">
        <w:rPr>
          <w:rFonts w:ascii="Calibri" w:hAnsi="Calibri" w:cs="Times New Roman"/>
        </w:rPr>
        <w:t>was</w:t>
      </w:r>
      <w:r w:rsidR="0025254E" w:rsidRPr="00340DD1">
        <w:rPr>
          <w:rFonts w:ascii="Calibri" w:hAnsi="Calibri" w:cs="Times New Roman"/>
        </w:rPr>
        <w:t xml:space="preserve"> not captured by a subsequent free text response.</w:t>
      </w:r>
      <w:r w:rsidRPr="00340DD1">
        <w:rPr>
          <w:rFonts w:ascii="Calibri" w:hAnsi="Calibri" w:cs="Times New Roman"/>
        </w:rPr>
        <w:t xml:space="preserve"> With regards to </w:t>
      </w:r>
      <w:r w:rsidR="00044362" w:rsidRPr="00340DD1">
        <w:rPr>
          <w:rFonts w:ascii="Calibri" w:hAnsi="Calibri" w:cs="Times New Roman"/>
        </w:rPr>
        <w:t>sex</w:t>
      </w:r>
      <w:r w:rsidRPr="00340DD1">
        <w:rPr>
          <w:rFonts w:ascii="Calibri" w:hAnsi="Calibri" w:cs="Times New Roman"/>
        </w:rPr>
        <w:t xml:space="preserve">, </w:t>
      </w:r>
      <w:r w:rsidR="00125373" w:rsidRPr="00340DD1">
        <w:rPr>
          <w:rFonts w:ascii="Calibri" w:hAnsi="Calibri" w:cs="Times New Roman"/>
        </w:rPr>
        <w:t xml:space="preserve">females </w:t>
      </w:r>
      <w:r w:rsidRPr="00340DD1">
        <w:rPr>
          <w:rFonts w:ascii="Calibri" w:hAnsi="Calibri" w:cs="Times New Roman"/>
        </w:rPr>
        <w:t>were more likely to reduce drinking for health reasons</w:t>
      </w:r>
      <w:r w:rsidR="00C74694" w:rsidRPr="00340DD1">
        <w:rPr>
          <w:rFonts w:ascii="Calibri" w:hAnsi="Calibri" w:cs="Times New Roman"/>
        </w:rPr>
        <w:t xml:space="preserve"> </w:t>
      </w:r>
      <w:r w:rsidR="009B4641" w:rsidRPr="00340DD1">
        <w:rPr>
          <w:rFonts w:ascii="Calibri" w:hAnsi="Calibri" w:cs="Times New Roman"/>
        </w:rPr>
        <w:t xml:space="preserve">while </w:t>
      </w:r>
      <w:r w:rsidR="00125373" w:rsidRPr="00340DD1">
        <w:rPr>
          <w:rFonts w:ascii="Calibri" w:hAnsi="Calibri" w:cs="Times New Roman"/>
        </w:rPr>
        <w:t xml:space="preserve">males </w:t>
      </w:r>
      <w:r w:rsidR="00C74694" w:rsidRPr="00340DD1">
        <w:rPr>
          <w:rFonts w:ascii="Calibri" w:hAnsi="Calibri" w:cs="Times New Roman"/>
        </w:rPr>
        <w:t>were more likely to cease drinking for the same reason</w:t>
      </w:r>
      <w:r w:rsidRPr="00340DD1">
        <w:rPr>
          <w:rFonts w:ascii="Calibri" w:hAnsi="Calibri" w:cs="Times New Roman"/>
        </w:rPr>
        <w:t xml:space="preserve">. </w:t>
      </w:r>
      <w:r w:rsidR="00125373" w:rsidRPr="00340DD1">
        <w:rPr>
          <w:rFonts w:ascii="Calibri" w:hAnsi="Calibri" w:cs="Times New Roman"/>
        </w:rPr>
        <w:t xml:space="preserve">Males </w:t>
      </w:r>
      <w:r w:rsidRPr="00340DD1">
        <w:rPr>
          <w:rFonts w:ascii="Calibri" w:hAnsi="Calibri" w:cs="Times New Roman"/>
        </w:rPr>
        <w:t xml:space="preserve">were more likely </w:t>
      </w:r>
      <w:r w:rsidR="009B4641" w:rsidRPr="00340DD1">
        <w:rPr>
          <w:rFonts w:ascii="Calibri" w:hAnsi="Calibri" w:cs="Times New Roman"/>
        </w:rPr>
        <w:t xml:space="preserve">than </w:t>
      </w:r>
      <w:r w:rsidR="00125373" w:rsidRPr="00340DD1">
        <w:rPr>
          <w:rFonts w:ascii="Calibri" w:hAnsi="Calibri" w:cs="Times New Roman"/>
        </w:rPr>
        <w:t xml:space="preserve">females </w:t>
      </w:r>
      <w:r w:rsidRPr="00340DD1">
        <w:rPr>
          <w:rFonts w:ascii="Calibri" w:hAnsi="Calibri" w:cs="Times New Roman"/>
        </w:rPr>
        <w:t xml:space="preserve">to reduce or cease drinking for lifestyle reasons, </w:t>
      </w:r>
      <w:r w:rsidR="00795FFD" w:rsidRPr="00340DD1">
        <w:rPr>
          <w:rFonts w:ascii="Calibri" w:hAnsi="Calibri" w:cs="Times New Roman"/>
        </w:rPr>
        <w:t xml:space="preserve">and cease </w:t>
      </w:r>
      <w:r w:rsidR="001625E0" w:rsidRPr="00340DD1">
        <w:rPr>
          <w:rFonts w:ascii="Calibri" w:hAnsi="Calibri" w:cs="Times New Roman"/>
        </w:rPr>
        <w:t>drinking due to social reasons.</w:t>
      </w:r>
    </w:p>
    <w:p w14:paraId="44237A1B" w14:textId="77777777" w:rsidR="001625E0" w:rsidRPr="00340DD1" w:rsidRDefault="001625E0" w:rsidP="005026AF">
      <w:pPr>
        <w:spacing w:line="360" w:lineRule="auto"/>
        <w:rPr>
          <w:b/>
        </w:rPr>
      </w:pPr>
    </w:p>
    <w:p w14:paraId="61E365B5" w14:textId="6AA988F7" w:rsidR="00331550" w:rsidRPr="00340DD1" w:rsidRDefault="007A6A69" w:rsidP="005026AF">
      <w:pPr>
        <w:spacing w:line="360" w:lineRule="auto"/>
        <w:rPr>
          <w:b/>
        </w:rPr>
      </w:pPr>
      <w:r w:rsidRPr="00340DD1">
        <w:rPr>
          <w:b/>
        </w:rPr>
        <w:t>Discussion</w:t>
      </w:r>
    </w:p>
    <w:p w14:paraId="7F4A46A5" w14:textId="484C2FF7" w:rsidR="00EC25FB" w:rsidRPr="00340DD1" w:rsidRDefault="00A03A09" w:rsidP="005026AF">
      <w:pPr>
        <w:spacing w:line="360" w:lineRule="auto"/>
      </w:pPr>
      <w:r w:rsidRPr="00340DD1">
        <w:t xml:space="preserve">Declines in per capita consumption of </w:t>
      </w:r>
      <w:r w:rsidR="00725176" w:rsidRPr="00340DD1">
        <w:t xml:space="preserve">alcohol in </w:t>
      </w:r>
      <w:r w:rsidRPr="00340DD1">
        <w:t xml:space="preserve">Australia over the past ten years </w:t>
      </w:r>
      <w:r w:rsidR="00725176" w:rsidRPr="00340DD1">
        <w:t xml:space="preserve">have </w:t>
      </w:r>
      <w:r w:rsidR="00D15AA2" w:rsidRPr="00340DD1">
        <w:t xml:space="preserve">occurred alongside </w:t>
      </w:r>
      <w:r w:rsidR="00407765" w:rsidRPr="00340DD1">
        <w:t xml:space="preserve">an increase over time in the number of Australians who </w:t>
      </w:r>
      <w:r w:rsidR="00294442" w:rsidRPr="00340DD1">
        <w:t xml:space="preserve">report </w:t>
      </w:r>
      <w:r w:rsidR="00407765" w:rsidRPr="00340DD1">
        <w:t xml:space="preserve">having reduced </w:t>
      </w:r>
      <w:r w:rsidR="007F6CEE" w:rsidRPr="00340DD1">
        <w:t xml:space="preserve">or </w:t>
      </w:r>
      <w:r w:rsidR="00407765" w:rsidRPr="00340DD1">
        <w:t xml:space="preserve">ceased </w:t>
      </w:r>
      <w:r w:rsidR="00BD71CC" w:rsidRPr="00340DD1">
        <w:t>drinking</w:t>
      </w:r>
      <w:r w:rsidR="002231E6" w:rsidRPr="00340DD1">
        <w:t xml:space="preserve"> in the past 12 months</w:t>
      </w:r>
      <w:r w:rsidR="007F6CEE" w:rsidRPr="00340DD1">
        <w:t xml:space="preserve">. </w:t>
      </w:r>
      <w:r w:rsidR="00BD71CC" w:rsidRPr="00340DD1">
        <w:t xml:space="preserve">We found that rates of </w:t>
      </w:r>
      <w:r w:rsidR="00EE63C6" w:rsidRPr="00340DD1">
        <w:t xml:space="preserve">ceasing </w:t>
      </w:r>
      <w:r w:rsidR="00BD71CC" w:rsidRPr="00340DD1">
        <w:t xml:space="preserve">drinking in the past 12 months </w:t>
      </w:r>
      <w:r w:rsidR="0030742C" w:rsidRPr="00340DD1">
        <w:t xml:space="preserve">increased steadily between 2001 and </w:t>
      </w:r>
      <w:r w:rsidR="00BD71CC" w:rsidRPr="00340DD1">
        <w:t>2013</w:t>
      </w:r>
      <w:r w:rsidR="0030742C" w:rsidRPr="00340DD1">
        <w:t xml:space="preserve"> (from 4.3% to 6%), and that rates of reducing either the quantity or frequency of drinking </w:t>
      </w:r>
      <w:r w:rsidR="00EE63C6" w:rsidRPr="00340DD1">
        <w:t xml:space="preserve">also </w:t>
      </w:r>
      <w:r w:rsidR="0030742C" w:rsidRPr="00340DD1">
        <w:t xml:space="preserve">increased </w:t>
      </w:r>
      <w:r w:rsidR="007F6CEE" w:rsidRPr="00340DD1">
        <w:t>over the study period</w:t>
      </w:r>
      <w:r w:rsidR="00FC355F" w:rsidRPr="00340DD1">
        <w:t xml:space="preserve"> (from around 24% to 29% in both)</w:t>
      </w:r>
      <w:r w:rsidR="007F6CEE" w:rsidRPr="00340DD1">
        <w:t xml:space="preserve">, with most of the change happening </w:t>
      </w:r>
      <w:r w:rsidR="0030742C" w:rsidRPr="00340DD1">
        <w:t>between 2001 and 2007.</w:t>
      </w:r>
      <w:r w:rsidR="00AE2845" w:rsidRPr="00340DD1">
        <w:t xml:space="preserve"> </w:t>
      </w:r>
      <w:r w:rsidR="0030742C" w:rsidRPr="00340DD1">
        <w:t xml:space="preserve">It is interesting to note that </w:t>
      </w:r>
      <w:r w:rsidR="00382504" w:rsidRPr="00340DD1">
        <w:t>almost one in two drinkers (</w:t>
      </w:r>
      <w:r w:rsidR="0030742C" w:rsidRPr="00340DD1">
        <w:t>43.4%</w:t>
      </w:r>
      <w:r w:rsidR="00382504" w:rsidRPr="00340DD1">
        <w:t>)</w:t>
      </w:r>
      <w:r w:rsidR="0030742C" w:rsidRPr="00340DD1">
        <w:t xml:space="preserve"> reported using at least one method to reduce their drinking in 2013. </w:t>
      </w:r>
    </w:p>
    <w:p w14:paraId="3084516F" w14:textId="2DD8E2C9" w:rsidR="004C2496" w:rsidRPr="00340DD1" w:rsidRDefault="0030742C" w:rsidP="005026AF">
      <w:pPr>
        <w:pStyle w:val="CommentText"/>
        <w:spacing w:line="360" w:lineRule="auto"/>
        <w:rPr>
          <w:sz w:val="22"/>
          <w:szCs w:val="22"/>
        </w:rPr>
      </w:pPr>
      <w:r w:rsidRPr="00340DD1">
        <w:rPr>
          <w:sz w:val="22"/>
          <w:szCs w:val="22"/>
        </w:rPr>
        <w:t>T</w:t>
      </w:r>
      <w:r w:rsidR="007F6CEE" w:rsidRPr="00340DD1">
        <w:rPr>
          <w:sz w:val="22"/>
          <w:szCs w:val="22"/>
        </w:rPr>
        <w:t>he</w:t>
      </w:r>
      <w:r w:rsidRPr="00340DD1">
        <w:rPr>
          <w:sz w:val="22"/>
          <w:szCs w:val="22"/>
        </w:rPr>
        <w:t xml:space="preserve"> trends </w:t>
      </w:r>
      <w:r w:rsidR="007F6CEE" w:rsidRPr="00340DD1">
        <w:rPr>
          <w:sz w:val="22"/>
          <w:szCs w:val="22"/>
        </w:rPr>
        <w:t>we</w:t>
      </w:r>
      <w:r w:rsidR="00294442" w:rsidRPr="00340DD1">
        <w:rPr>
          <w:sz w:val="22"/>
          <w:szCs w:val="22"/>
        </w:rPr>
        <w:t xml:space="preserve"> ha</w:t>
      </w:r>
      <w:r w:rsidR="007F6CEE" w:rsidRPr="00340DD1">
        <w:rPr>
          <w:sz w:val="22"/>
          <w:szCs w:val="22"/>
        </w:rPr>
        <w:t xml:space="preserve">ve identified here </w:t>
      </w:r>
      <w:r w:rsidRPr="00340DD1">
        <w:rPr>
          <w:sz w:val="22"/>
          <w:szCs w:val="22"/>
        </w:rPr>
        <w:t xml:space="preserve">contribute to the broader national </w:t>
      </w:r>
      <w:r w:rsidR="007F6CEE" w:rsidRPr="00340DD1">
        <w:rPr>
          <w:sz w:val="22"/>
          <w:szCs w:val="22"/>
        </w:rPr>
        <w:t xml:space="preserve">context </w:t>
      </w:r>
      <w:r w:rsidRPr="00340DD1">
        <w:rPr>
          <w:sz w:val="22"/>
          <w:szCs w:val="22"/>
        </w:rPr>
        <w:t>of declining alcohol consumption in Australia. Recent analyses have suggested</w:t>
      </w:r>
      <w:r w:rsidR="009C3CCC" w:rsidRPr="00340DD1">
        <w:rPr>
          <w:sz w:val="22"/>
          <w:szCs w:val="22"/>
        </w:rPr>
        <w:t xml:space="preserve"> </w:t>
      </w:r>
      <w:r w:rsidR="007F6CEE" w:rsidRPr="00340DD1">
        <w:rPr>
          <w:sz w:val="22"/>
          <w:szCs w:val="22"/>
        </w:rPr>
        <w:t xml:space="preserve">national </w:t>
      </w:r>
      <w:r w:rsidRPr="00340DD1">
        <w:rPr>
          <w:sz w:val="22"/>
          <w:szCs w:val="22"/>
        </w:rPr>
        <w:t xml:space="preserve">trends are largely </w:t>
      </w:r>
      <w:r w:rsidR="009C3CCC" w:rsidRPr="00340DD1">
        <w:rPr>
          <w:sz w:val="22"/>
          <w:szCs w:val="22"/>
        </w:rPr>
        <w:t xml:space="preserve">being </w:t>
      </w:r>
      <w:r w:rsidRPr="00340DD1">
        <w:rPr>
          <w:sz w:val="22"/>
          <w:szCs w:val="22"/>
        </w:rPr>
        <w:t xml:space="preserve">driven by </w:t>
      </w:r>
      <w:r w:rsidR="00D13E0B" w:rsidRPr="00340DD1">
        <w:rPr>
          <w:sz w:val="22"/>
          <w:szCs w:val="22"/>
        </w:rPr>
        <w:t>cohort effects</w:t>
      </w:r>
      <w:r w:rsidRPr="00340DD1">
        <w:rPr>
          <w:sz w:val="22"/>
          <w:szCs w:val="22"/>
        </w:rPr>
        <w:t>,</w:t>
      </w:r>
      <w:r w:rsidR="00D13E0B" w:rsidRPr="00340DD1">
        <w:rPr>
          <w:sz w:val="22"/>
          <w:szCs w:val="22"/>
        </w:rPr>
        <w:t xml:space="preserve"> with younger drinkers generally consuming less than previous generations at the same age</w:t>
      </w:r>
      <w:r w:rsidR="009C3CCC" w:rsidRPr="00340DD1">
        <w:rPr>
          <w:sz w:val="22"/>
          <w:szCs w:val="22"/>
        </w:rPr>
        <w:t>,</w:t>
      </w:r>
      <w:r w:rsidR="009578A4" w:rsidRPr="00340DD1">
        <w:rPr>
          <w:sz w:val="22"/>
          <w:szCs w:val="22"/>
        </w:rPr>
        <w:t xml:space="preserve"> while heavy drinking generations </w:t>
      </w:r>
      <w:r w:rsidR="009C3CCC" w:rsidRPr="00340DD1">
        <w:rPr>
          <w:sz w:val="22"/>
          <w:szCs w:val="22"/>
        </w:rPr>
        <w:t>are moving</w:t>
      </w:r>
      <w:r w:rsidR="009578A4" w:rsidRPr="00340DD1">
        <w:rPr>
          <w:sz w:val="22"/>
          <w:szCs w:val="22"/>
        </w:rPr>
        <w:t xml:space="preserve"> into traditionally lighter consuming periods of the life course</w:t>
      </w:r>
      <w:r w:rsidRPr="00340DD1">
        <w:rPr>
          <w:sz w:val="22"/>
          <w:szCs w:val="22"/>
        </w:rPr>
        <w:t xml:space="preserve"> </w:t>
      </w:r>
      <w:r w:rsidRPr="00340DD1">
        <w:rPr>
          <w:sz w:val="22"/>
          <w:szCs w:val="22"/>
        </w:rPr>
        <w:fldChar w:fldCharType="begin"/>
      </w:r>
      <w:r w:rsidR="008333FA" w:rsidRPr="00340DD1">
        <w:rPr>
          <w:sz w:val="22"/>
          <w:szCs w:val="22"/>
        </w:rPr>
        <w:instrText xml:space="preserve"> ADDIN EN.CITE &lt;EndNote&gt;&lt;Cite&gt;&lt;Author&gt;Livingston&lt;/Author&gt;&lt;Year&gt;2016&lt;/Year&gt;&lt;RecNum&gt;135&lt;/RecNum&gt;&lt;DisplayText&gt;(Livingston et al., 2016)&lt;/DisplayText&gt;&lt;record&gt;&lt;rec-number&gt;135&lt;/rec-number&gt;&lt;foreign-keys&gt;&lt;key app="EN" db-id="xr20xxrwks2v5re509w5r2pftxrevzzxpp0p" timestamp="1490764540"&gt;135&lt;/key&gt;&lt;/foreign-keys&gt;&lt;ref-type name="Journal Article"&gt;17&lt;/ref-type&gt;&lt;contributors&gt;&lt;authors&gt;&lt;author&gt;Livingston, M.&lt;/author&gt;&lt;author&gt;Raninen, J.&lt;/author&gt;&lt;author&gt;Slade, T.&lt;/author&gt;&lt;author&gt;Swift, W.&lt;/author&gt;&lt;author&gt;Lloyd, B.&lt;/author&gt;&lt;author&gt;Dietze, P.&lt;/author&gt;&lt;/authors&gt;&lt;/contributors&gt;&lt;titles&gt;&lt;title&gt;Understanding trends in Australian alcohol consumption: an age–period–cohort model&lt;/title&gt;&lt;secondary-title&gt;Addiction&lt;/secondary-title&gt;&lt;/titles&gt;&lt;periodical&gt;&lt;full-title&gt;Addiction&lt;/full-title&gt;&lt;/periodical&gt;&lt;pages&gt;1590-1598&lt;/pages&gt;&lt;volume&gt;111&lt;/volume&gt;&lt;dates&gt;&lt;year&gt;2016&lt;/year&gt;&lt;/dates&gt;&lt;urls&gt;&lt;/urls&gt;&lt;/record&gt;&lt;/Cite&gt;&lt;/EndNote&gt;</w:instrText>
      </w:r>
      <w:r w:rsidRPr="00340DD1">
        <w:rPr>
          <w:sz w:val="22"/>
          <w:szCs w:val="22"/>
        </w:rPr>
        <w:fldChar w:fldCharType="separate"/>
      </w:r>
      <w:r w:rsidR="008333FA" w:rsidRPr="00340DD1">
        <w:rPr>
          <w:noProof/>
          <w:sz w:val="22"/>
          <w:szCs w:val="22"/>
        </w:rPr>
        <w:t>(Livingston et al., 2016)</w:t>
      </w:r>
      <w:r w:rsidRPr="00340DD1">
        <w:rPr>
          <w:sz w:val="22"/>
          <w:szCs w:val="22"/>
        </w:rPr>
        <w:fldChar w:fldCharType="end"/>
      </w:r>
      <w:r w:rsidR="00382504" w:rsidRPr="00340DD1">
        <w:rPr>
          <w:sz w:val="22"/>
          <w:szCs w:val="22"/>
        </w:rPr>
        <w:t>.</w:t>
      </w:r>
      <w:r w:rsidR="00D13E0B" w:rsidRPr="00340DD1">
        <w:rPr>
          <w:sz w:val="22"/>
          <w:szCs w:val="22"/>
        </w:rPr>
        <w:t xml:space="preserve"> However, i</w:t>
      </w:r>
      <w:r w:rsidRPr="00340DD1">
        <w:rPr>
          <w:sz w:val="22"/>
          <w:szCs w:val="22"/>
        </w:rPr>
        <w:t xml:space="preserve">n </w:t>
      </w:r>
      <w:r w:rsidR="00D62D0C" w:rsidRPr="00340DD1">
        <w:rPr>
          <w:sz w:val="22"/>
          <w:szCs w:val="22"/>
        </w:rPr>
        <w:t xml:space="preserve">addition to this, in </w:t>
      </w:r>
      <w:r w:rsidR="007F6CEE" w:rsidRPr="00340DD1">
        <w:rPr>
          <w:sz w:val="22"/>
          <w:szCs w:val="22"/>
        </w:rPr>
        <w:t xml:space="preserve">the current </w:t>
      </w:r>
      <w:r w:rsidRPr="00340DD1">
        <w:rPr>
          <w:sz w:val="22"/>
          <w:szCs w:val="22"/>
        </w:rPr>
        <w:t>analysis we</w:t>
      </w:r>
      <w:r w:rsidR="00B66EE3" w:rsidRPr="00340DD1">
        <w:rPr>
          <w:sz w:val="22"/>
          <w:szCs w:val="22"/>
        </w:rPr>
        <w:t xml:space="preserve"> found an </w:t>
      </w:r>
      <w:r w:rsidR="00D13E0B" w:rsidRPr="00340DD1">
        <w:rPr>
          <w:sz w:val="22"/>
          <w:szCs w:val="22"/>
        </w:rPr>
        <w:t xml:space="preserve">increase in the proportion of people </w:t>
      </w:r>
      <w:r w:rsidR="00D62D0C" w:rsidRPr="00340DD1">
        <w:rPr>
          <w:sz w:val="22"/>
          <w:szCs w:val="22"/>
        </w:rPr>
        <w:t xml:space="preserve">reporting that they have </w:t>
      </w:r>
      <w:r w:rsidR="002231E6" w:rsidRPr="00340DD1">
        <w:rPr>
          <w:sz w:val="22"/>
          <w:szCs w:val="22"/>
        </w:rPr>
        <w:t xml:space="preserve">recently </w:t>
      </w:r>
      <w:r w:rsidR="00D62D0C" w:rsidRPr="00340DD1">
        <w:rPr>
          <w:sz w:val="22"/>
          <w:szCs w:val="22"/>
        </w:rPr>
        <w:t>reduced</w:t>
      </w:r>
      <w:r w:rsidR="00D13E0B" w:rsidRPr="00340DD1">
        <w:rPr>
          <w:sz w:val="22"/>
          <w:szCs w:val="22"/>
        </w:rPr>
        <w:t xml:space="preserve"> or </w:t>
      </w:r>
      <w:r w:rsidR="00D62D0C" w:rsidRPr="00340DD1">
        <w:rPr>
          <w:sz w:val="22"/>
          <w:szCs w:val="22"/>
        </w:rPr>
        <w:t xml:space="preserve">ceased </w:t>
      </w:r>
      <w:r w:rsidR="00D13E0B" w:rsidRPr="00340DD1">
        <w:rPr>
          <w:sz w:val="22"/>
          <w:szCs w:val="22"/>
        </w:rPr>
        <w:t>drinking, suggesting broader changes in consumption even among established drinkers.</w:t>
      </w:r>
      <w:r w:rsidR="004C2496" w:rsidRPr="00340DD1">
        <w:rPr>
          <w:sz w:val="22"/>
          <w:szCs w:val="22"/>
        </w:rPr>
        <w:t xml:space="preserve"> These shifts </w:t>
      </w:r>
      <w:r w:rsidR="004C2496" w:rsidRPr="00340DD1">
        <w:rPr>
          <w:sz w:val="22"/>
          <w:szCs w:val="22"/>
        </w:rPr>
        <w:lastRenderedPageBreak/>
        <w:t xml:space="preserve">may reflect social processes described by Skog </w:t>
      </w:r>
      <w:r w:rsidR="00EC6699" w:rsidRPr="00340DD1">
        <w:rPr>
          <w:sz w:val="22"/>
          <w:szCs w:val="22"/>
        </w:rPr>
        <w:fldChar w:fldCharType="begin"/>
      </w:r>
      <w:r w:rsidR="00EC6699" w:rsidRPr="00340DD1">
        <w:rPr>
          <w:sz w:val="22"/>
          <w:szCs w:val="22"/>
        </w:rPr>
        <w:instrText xml:space="preserve"> ADDIN EN.CITE &lt;EndNote&gt;&lt;Cite ExcludeAuth="1"&gt;&lt;Author&gt;Skog&lt;/Author&gt;&lt;Year&gt;1985&lt;/Year&gt;&lt;RecNum&gt;8&lt;/RecNum&gt;&lt;DisplayText&gt;(1985)&lt;/DisplayText&gt;&lt;record&gt;&lt;rec-number&gt;8&lt;/rec-number&gt;&lt;foreign-keys&gt;&lt;key app="EN" db-id="xr20xxrwks2v5re509w5r2pftxrevzzxpp0p" timestamp="1414042160"&gt;8&lt;/key&gt;&lt;/foreign-keys&gt;&lt;ref-type name="Journal Article"&gt;17&lt;/ref-type&gt;&lt;contributors&gt;&lt;authors&gt;&lt;author&gt;Skog, OJ.&lt;/author&gt;&lt;/authors&gt;&lt;/contributors&gt;&lt;titles&gt;&lt;title&gt;The collectivity of drinking cultures: a theory of the ditribution of alcohol consumption&lt;/title&gt;&lt;secondary-title&gt;British Journal of Addiction&lt;/secondary-title&gt;&lt;/titles&gt;&lt;periodical&gt;&lt;full-title&gt;British Journal of Addiction&lt;/full-title&gt;&lt;/periodical&gt;&lt;pages&gt;83-99&lt;/pages&gt;&lt;volume&gt;80&lt;/volume&gt;&lt;dates&gt;&lt;year&gt;1985&lt;/year&gt;&lt;/dates&gt;&lt;urls&gt;&lt;/urls&gt;&lt;/record&gt;&lt;/Cite&gt;&lt;/EndNote&gt;</w:instrText>
      </w:r>
      <w:r w:rsidR="00EC6699" w:rsidRPr="00340DD1">
        <w:rPr>
          <w:sz w:val="22"/>
          <w:szCs w:val="22"/>
        </w:rPr>
        <w:fldChar w:fldCharType="separate"/>
      </w:r>
      <w:r w:rsidR="00EC6699" w:rsidRPr="00340DD1">
        <w:rPr>
          <w:noProof/>
          <w:sz w:val="22"/>
          <w:szCs w:val="22"/>
        </w:rPr>
        <w:t>(1985)</w:t>
      </w:r>
      <w:r w:rsidR="00EC6699" w:rsidRPr="00340DD1">
        <w:rPr>
          <w:sz w:val="22"/>
          <w:szCs w:val="22"/>
        </w:rPr>
        <w:fldChar w:fldCharType="end"/>
      </w:r>
      <w:r w:rsidR="004C2496" w:rsidRPr="00340DD1">
        <w:rPr>
          <w:sz w:val="22"/>
          <w:szCs w:val="22"/>
        </w:rPr>
        <w:t xml:space="preserve"> to explain changes in population drinking – as abstention and lighter drinking becomes more normalised via recent cohort changes we would expect to see reductions in drinking among established drinkers due to reduced drinking in their social networks. More complex quantitative data</w:t>
      </w:r>
      <w:r w:rsidR="00D13E0B" w:rsidRPr="00340DD1">
        <w:rPr>
          <w:sz w:val="22"/>
          <w:szCs w:val="22"/>
        </w:rPr>
        <w:t xml:space="preserve"> </w:t>
      </w:r>
      <w:r w:rsidR="00A7386A" w:rsidRPr="00340DD1">
        <w:rPr>
          <w:sz w:val="22"/>
          <w:szCs w:val="22"/>
        </w:rPr>
        <w:t>are</w:t>
      </w:r>
      <w:r w:rsidR="004C2496" w:rsidRPr="00340DD1">
        <w:rPr>
          <w:sz w:val="22"/>
          <w:szCs w:val="22"/>
        </w:rPr>
        <w:t xml:space="preserve"> necessary to test these processes comprehensively, but our findings are suggestive, especially when placed alongside broader changes in </w:t>
      </w:r>
      <w:r w:rsidR="00D62D0C" w:rsidRPr="00340DD1">
        <w:rPr>
          <w:sz w:val="22"/>
          <w:szCs w:val="22"/>
        </w:rPr>
        <w:t>social attitudes to alcohol</w:t>
      </w:r>
      <w:r w:rsidR="006A35F0" w:rsidRPr="00340DD1">
        <w:rPr>
          <w:sz w:val="22"/>
          <w:szCs w:val="22"/>
        </w:rPr>
        <w:t xml:space="preserve"> </w:t>
      </w:r>
      <w:r w:rsidR="006A35F0" w:rsidRPr="00340DD1">
        <w:rPr>
          <w:sz w:val="22"/>
          <w:szCs w:val="22"/>
        </w:rPr>
        <w:fldChar w:fldCharType="begin"/>
      </w:r>
      <w:r w:rsidR="006A35F0" w:rsidRPr="00340DD1">
        <w:rPr>
          <w:sz w:val="22"/>
          <w:szCs w:val="22"/>
        </w:rPr>
        <w:instrText xml:space="preserve"> ADDIN EN.CITE &lt;EndNote&gt;&lt;Cite&gt;&lt;Author&gt;Livingston&lt;/Author&gt;&lt;Year&gt;2017&lt;/Year&gt;&lt;RecNum&gt;131&lt;/RecNum&gt;&lt;DisplayText&gt;(Livingston and Callinan, 2017)&lt;/DisplayText&gt;&lt;record&gt;&lt;rec-number&gt;131&lt;/rec-number&gt;&lt;foreign-keys&gt;&lt;key app="EN" db-id="xr20xxrwks2v5re509w5r2pftxrevzzxpp0p" timestamp="1490674637"&gt;131&lt;/key&gt;&lt;/foreign-keys&gt;&lt;ref-type name="Journal Article"&gt;17&lt;/ref-type&gt;&lt;contributors&gt;&lt;authors&gt;&lt;author&gt;Livingston, M.&lt;/author&gt;&lt;author&gt;Callinan, S.&lt;/author&gt;&lt;/authors&gt;&lt;/contributors&gt;&lt;titles&gt;&lt;title&gt;Changing attitudes to alcohol in Australia&lt;/title&gt;&lt;secondary-title&gt;Journal of Studies on Alcohol and Drugs&lt;/secondary-title&gt;&lt;/titles&gt;&lt;periodical&gt;&lt;full-title&gt;Journal of Studies on Alcohol and Drugs&lt;/full-title&gt;&lt;/periodical&gt;&lt;pages&gt;844-852&lt;/pages&gt;&lt;volume&gt;78&lt;/volume&gt;&lt;number&gt;6&lt;/number&gt;&lt;dates&gt;&lt;year&gt;2017&lt;/year&gt;&lt;/dates&gt;&lt;urls&gt;&lt;/urls&gt;&lt;/record&gt;&lt;/Cite&gt;&lt;/EndNote&gt;</w:instrText>
      </w:r>
      <w:r w:rsidR="006A35F0" w:rsidRPr="00340DD1">
        <w:rPr>
          <w:sz w:val="22"/>
          <w:szCs w:val="22"/>
        </w:rPr>
        <w:fldChar w:fldCharType="separate"/>
      </w:r>
      <w:r w:rsidR="006A35F0" w:rsidRPr="00340DD1">
        <w:rPr>
          <w:noProof/>
          <w:sz w:val="22"/>
          <w:szCs w:val="22"/>
        </w:rPr>
        <w:t>(Livingston and Callinan, 2017)</w:t>
      </w:r>
      <w:r w:rsidR="006A35F0" w:rsidRPr="00340DD1">
        <w:rPr>
          <w:sz w:val="22"/>
          <w:szCs w:val="22"/>
        </w:rPr>
        <w:fldChar w:fldCharType="end"/>
      </w:r>
      <w:r w:rsidR="004C2496" w:rsidRPr="00340DD1">
        <w:rPr>
          <w:sz w:val="22"/>
          <w:szCs w:val="22"/>
        </w:rPr>
        <w:t xml:space="preserve">. </w:t>
      </w:r>
    </w:p>
    <w:p w14:paraId="0EF000A7" w14:textId="1EE387DF" w:rsidR="00EC2C4A" w:rsidRPr="00340DD1" w:rsidRDefault="00D41B10" w:rsidP="005026AF">
      <w:pPr>
        <w:pStyle w:val="CommentText"/>
        <w:spacing w:line="360" w:lineRule="auto"/>
        <w:rPr>
          <w:sz w:val="22"/>
          <w:szCs w:val="22"/>
        </w:rPr>
      </w:pPr>
      <w:r w:rsidRPr="00340DD1">
        <w:rPr>
          <w:sz w:val="22"/>
          <w:szCs w:val="22"/>
        </w:rPr>
        <w:t xml:space="preserve">When interpreting </w:t>
      </w:r>
      <w:r w:rsidR="004C2496" w:rsidRPr="00340DD1">
        <w:rPr>
          <w:sz w:val="22"/>
          <w:szCs w:val="22"/>
        </w:rPr>
        <w:t xml:space="preserve">our </w:t>
      </w:r>
      <w:proofErr w:type="gramStart"/>
      <w:r w:rsidR="004C2496" w:rsidRPr="00340DD1">
        <w:rPr>
          <w:sz w:val="22"/>
          <w:szCs w:val="22"/>
        </w:rPr>
        <w:t>results</w:t>
      </w:r>
      <w:proofErr w:type="gramEnd"/>
      <w:r w:rsidRPr="00340DD1">
        <w:rPr>
          <w:sz w:val="22"/>
          <w:szCs w:val="22"/>
        </w:rPr>
        <w:t xml:space="preserve"> it </w:t>
      </w:r>
      <w:r w:rsidR="00225B7D" w:rsidRPr="00340DD1">
        <w:rPr>
          <w:sz w:val="22"/>
          <w:szCs w:val="22"/>
        </w:rPr>
        <w:t xml:space="preserve">is important to note that the wording of the item used to understand recent reduction or cessation of drinking is interpretable in a number of ways. It is possible that it includes people who have permanently reduced or ceased drinking, people who reduced or ceased drinking for a period of time before returning to previous or higher consumption levels, or people who temporarily reduced or ceased drinking as part of illness or change in </w:t>
      </w:r>
      <w:r w:rsidR="00F96667" w:rsidRPr="00340DD1">
        <w:rPr>
          <w:sz w:val="22"/>
          <w:szCs w:val="22"/>
        </w:rPr>
        <w:t xml:space="preserve">life </w:t>
      </w:r>
      <w:r w:rsidR="00225B7D" w:rsidRPr="00340DD1">
        <w:rPr>
          <w:sz w:val="22"/>
          <w:szCs w:val="22"/>
        </w:rPr>
        <w:t xml:space="preserve">circumstances, or engagement in initiatives such as </w:t>
      </w:r>
      <w:proofErr w:type="spellStart"/>
      <w:r w:rsidR="00225B7D" w:rsidRPr="00340DD1">
        <w:rPr>
          <w:sz w:val="22"/>
          <w:szCs w:val="22"/>
        </w:rPr>
        <w:t>FebFast</w:t>
      </w:r>
      <w:proofErr w:type="spellEnd"/>
      <w:r w:rsidR="00225B7D" w:rsidRPr="00340DD1">
        <w:rPr>
          <w:sz w:val="22"/>
          <w:szCs w:val="22"/>
        </w:rPr>
        <w:t>, Dry July or similar programs e</w:t>
      </w:r>
      <w:r w:rsidR="006A35F0" w:rsidRPr="00340DD1">
        <w:rPr>
          <w:sz w:val="22"/>
          <w:szCs w:val="22"/>
        </w:rPr>
        <w:t>ncouraging temporary abstinence</w:t>
      </w:r>
      <w:r w:rsidR="00225B7D" w:rsidRPr="00340DD1">
        <w:rPr>
          <w:sz w:val="22"/>
          <w:szCs w:val="22"/>
        </w:rPr>
        <w:t xml:space="preserve"> which have increased in popularity over the past ten years </w:t>
      </w:r>
      <w:r w:rsidR="00225B7D" w:rsidRPr="00340DD1">
        <w:rPr>
          <w:sz w:val="22"/>
          <w:szCs w:val="22"/>
        </w:rPr>
        <w:fldChar w:fldCharType="begin"/>
      </w:r>
      <w:r w:rsidR="008333FA" w:rsidRPr="00340DD1">
        <w:rPr>
          <w:sz w:val="22"/>
          <w:szCs w:val="22"/>
        </w:rPr>
        <w:instrText xml:space="preserve"> ADDIN EN.CITE &lt;EndNote&gt;&lt;Cite&gt;&lt;Author&gt;de Visser&lt;/Author&gt;&lt;Year&gt;2016&lt;/Year&gt;&lt;RecNum&gt;65&lt;/RecNum&gt;&lt;DisplayText&gt;(de Visser et al., 2016, Pennay et al., 2016)&lt;/DisplayText&gt;&lt;record&gt;&lt;rec-number&gt;65&lt;/rec-number&gt;&lt;foreign-keys&gt;&lt;key app="EN" db-id="szdffvr9ixtp5be0s2q5ppa8dvezv50092pv" timestamp="1485990022"&gt;65&lt;/key&gt;&lt;/foreign-keys&gt;&lt;ref-type name="Journal Article"&gt;17&lt;/ref-type&gt;&lt;contributors&gt;&lt;authors&gt;&lt;author&gt;de Visser, R.O.&lt;/author&gt;&lt;author&gt;Robinson, E.&lt;/author&gt;&lt;author&gt;Bond, R.&lt;/author&gt;&lt;/authors&gt;&lt;/contributors&gt;&lt;titles&gt;&lt;title&gt;Voluntary temporary abstinence from alcohol during &amp;quot;Dry January&amp;quot; and subsequent alcohol use&lt;/title&gt;&lt;secondary-title&gt;Health Psychology&lt;/secondary-title&gt;&lt;/titles&gt;&lt;periodical&gt;&lt;full-title&gt;Health Psychology&lt;/full-title&gt;&lt;/periodical&gt;&lt;pages&gt;281-289&lt;/pages&gt;&lt;volume&gt;35&lt;/volume&gt;&lt;number&gt;3&lt;/number&gt;&lt;dates&gt;&lt;year&gt;2016&lt;/year&gt;&lt;/dates&gt;&lt;urls&gt;&lt;/urls&gt;&lt;/record&gt;&lt;/Cite&gt;&lt;Cite&gt;&lt;Author&gt;Pennay&lt;/Author&gt;&lt;Year&gt;2016&lt;/Year&gt;&lt;RecNum&gt;64&lt;/RecNum&gt;&lt;record&gt;&lt;rec-number&gt;64&lt;/rec-number&gt;&lt;foreign-keys&gt;&lt;key app="EN" db-id="szdffvr9ixtp5be0s2q5ppa8dvezv50092pv" timestamp="1485989650"&gt;64&lt;/key&gt;&lt;/foreign-keys&gt;&lt;ref-type name="Journal Article"&gt;17&lt;/ref-type&gt;&lt;contributors&gt;&lt;authors&gt;&lt;author&gt;Pennay, A.&lt;/author&gt;&lt;author&gt;MacLean, S.&lt;/author&gt;&lt;author&gt;Rankin, G.&lt;/author&gt;&lt;/authors&gt;&lt;/contributors&gt;&lt;titles&gt;&lt;title&gt;Hello Sunday Morning: Alcohol, (non)consumption and selfhood&lt;/title&gt;&lt;secondary-title&gt;International Journal of Drug Policy&lt;/secondary-title&gt;&lt;/titles&gt;&lt;periodical&gt;&lt;full-title&gt;International Journal of Drug Policy&lt;/full-title&gt;&lt;/periodical&gt;&lt;pages&gt;67-75&lt;/pages&gt;&lt;volume&gt;28&lt;/volume&gt;&lt;dates&gt;&lt;year&gt;2016&lt;/year&gt;&lt;/dates&gt;&lt;urls&gt;&lt;/urls&gt;&lt;/record&gt;&lt;/Cite&gt;&lt;/EndNote&gt;</w:instrText>
      </w:r>
      <w:r w:rsidR="00225B7D" w:rsidRPr="00340DD1">
        <w:rPr>
          <w:sz w:val="22"/>
          <w:szCs w:val="22"/>
        </w:rPr>
        <w:fldChar w:fldCharType="separate"/>
      </w:r>
      <w:r w:rsidR="008333FA" w:rsidRPr="00340DD1">
        <w:rPr>
          <w:noProof/>
          <w:sz w:val="22"/>
          <w:szCs w:val="22"/>
        </w:rPr>
        <w:t>(de Visser et al., 2016, Pennay et al., 2016)</w:t>
      </w:r>
      <w:r w:rsidR="00225B7D" w:rsidRPr="00340DD1">
        <w:rPr>
          <w:sz w:val="22"/>
          <w:szCs w:val="22"/>
        </w:rPr>
        <w:fldChar w:fldCharType="end"/>
      </w:r>
      <w:r w:rsidR="00225B7D" w:rsidRPr="00340DD1">
        <w:rPr>
          <w:sz w:val="22"/>
          <w:szCs w:val="22"/>
        </w:rPr>
        <w:t xml:space="preserve">. </w:t>
      </w:r>
      <w:r w:rsidRPr="00340DD1">
        <w:rPr>
          <w:sz w:val="22"/>
          <w:szCs w:val="22"/>
        </w:rPr>
        <w:t xml:space="preserve">The cross-sectional nature of the data </w:t>
      </w:r>
      <w:r w:rsidR="0037021E" w:rsidRPr="00340DD1">
        <w:rPr>
          <w:sz w:val="22"/>
          <w:szCs w:val="22"/>
        </w:rPr>
        <w:t xml:space="preserve">also </w:t>
      </w:r>
      <w:r w:rsidR="00F96667" w:rsidRPr="00340DD1">
        <w:rPr>
          <w:sz w:val="22"/>
          <w:szCs w:val="22"/>
        </w:rPr>
        <w:t>makes it difficult to interpret</w:t>
      </w:r>
      <w:r w:rsidRPr="00340DD1">
        <w:rPr>
          <w:sz w:val="22"/>
          <w:szCs w:val="22"/>
        </w:rPr>
        <w:t xml:space="preserve"> </w:t>
      </w:r>
      <w:r w:rsidR="00F96667" w:rsidRPr="00340DD1">
        <w:rPr>
          <w:sz w:val="22"/>
          <w:szCs w:val="22"/>
        </w:rPr>
        <w:t xml:space="preserve">the </w:t>
      </w:r>
      <w:r w:rsidRPr="00340DD1">
        <w:rPr>
          <w:sz w:val="22"/>
          <w:szCs w:val="22"/>
        </w:rPr>
        <w:t>temporal</w:t>
      </w:r>
      <w:r w:rsidR="00F96667" w:rsidRPr="00340DD1">
        <w:rPr>
          <w:sz w:val="22"/>
          <w:szCs w:val="22"/>
        </w:rPr>
        <w:t>ity of these</w:t>
      </w:r>
      <w:r w:rsidRPr="00340DD1">
        <w:rPr>
          <w:sz w:val="22"/>
          <w:szCs w:val="22"/>
        </w:rPr>
        <w:t xml:space="preserve"> trends. For example, it is not clear whether the same group of people are showing up in these data in each wave</w:t>
      </w:r>
      <w:r w:rsidR="00F96667" w:rsidRPr="00340DD1">
        <w:rPr>
          <w:sz w:val="22"/>
          <w:szCs w:val="22"/>
        </w:rPr>
        <w:t xml:space="preserve"> (with successive attempts to reduce or cease consumption)</w:t>
      </w:r>
      <w:r w:rsidRPr="00340DD1">
        <w:rPr>
          <w:sz w:val="22"/>
          <w:szCs w:val="22"/>
        </w:rPr>
        <w:t xml:space="preserve">, or whether drinkers who reduced or discontinued drinking remained doing so and it is </w:t>
      </w:r>
      <w:r w:rsidR="008333FA" w:rsidRPr="00340DD1">
        <w:rPr>
          <w:sz w:val="22"/>
          <w:szCs w:val="22"/>
        </w:rPr>
        <w:t xml:space="preserve">therefore </w:t>
      </w:r>
      <w:r w:rsidRPr="00340DD1">
        <w:rPr>
          <w:sz w:val="22"/>
          <w:szCs w:val="22"/>
        </w:rPr>
        <w:t>a new group of drinkers reducing or ceasing drinking</w:t>
      </w:r>
      <w:r w:rsidR="0037021E" w:rsidRPr="00340DD1">
        <w:rPr>
          <w:sz w:val="22"/>
          <w:szCs w:val="22"/>
        </w:rPr>
        <w:t xml:space="preserve"> in each wave</w:t>
      </w:r>
      <w:r w:rsidRPr="00340DD1">
        <w:rPr>
          <w:sz w:val="22"/>
          <w:szCs w:val="22"/>
        </w:rPr>
        <w:t xml:space="preserve">. It is </w:t>
      </w:r>
      <w:r w:rsidR="00F96667" w:rsidRPr="00340DD1">
        <w:rPr>
          <w:sz w:val="22"/>
          <w:szCs w:val="22"/>
        </w:rPr>
        <w:t>probable</w:t>
      </w:r>
      <w:r w:rsidRPr="00340DD1">
        <w:rPr>
          <w:sz w:val="22"/>
          <w:szCs w:val="22"/>
        </w:rPr>
        <w:t xml:space="preserve"> </w:t>
      </w:r>
      <w:r w:rsidR="00F96667" w:rsidRPr="00340DD1">
        <w:rPr>
          <w:sz w:val="22"/>
          <w:szCs w:val="22"/>
        </w:rPr>
        <w:t xml:space="preserve">that the data represents a combination of these scenarios. </w:t>
      </w:r>
    </w:p>
    <w:p w14:paraId="1989EFCC" w14:textId="77777777" w:rsidR="00101AAB" w:rsidRPr="00340DD1" w:rsidRDefault="00D13E0B" w:rsidP="005026AF">
      <w:pPr>
        <w:spacing w:line="360" w:lineRule="auto"/>
      </w:pPr>
      <w:r w:rsidRPr="00340DD1">
        <w:t>W</w:t>
      </w:r>
      <w:r w:rsidR="00F96667" w:rsidRPr="00340DD1">
        <w:t>ith respect to demographics, w</w:t>
      </w:r>
      <w:r w:rsidRPr="00340DD1">
        <w:t>e</w:t>
      </w:r>
      <w:r w:rsidR="0030742C" w:rsidRPr="00340DD1">
        <w:t xml:space="preserve"> </w:t>
      </w:r>
      <w:r w:rsidR="007F6CEE" w:rsidRPr="00340DD1">
        <w:t xml:space="preserve">identified </w:t>
      </w:r>
      <w:r w:rsidR="00407765" w:rsidRPr="00340DD1">
        <w:t xml:space="preserve">that </w:t>
      </w:r>
      <w:r w:rsidR="00B66EE3" w:rsidRPr="00340DD1">
        <w:t xml:space="preserve">younger groups </w:t>
      </w:r>
      <w:r w:rsidR="005A29B4" w:rsidRPr="00340DD1">
        <w:t xml:space="preserve">are more likely to have reported recently </w:t>
      </w:r>
      <w:r w:rsidR="00B66EE3" w:rsidRPr="00340DD1">
        <w:t>ceasing drinking than older groups</w:t>
      </w:r>
      <w:r w:rsidR="006A35F0" w:rsidRPr="00340DD1">
        <w:t>, particularly in the last two waves</w:t>
      </w:r>
      <w:r w:rsidR="00237A03" w:rsidRPr="00340DD1">
        <w:t>.</w:t>
      </w:r>
      <w:r w:rsidR="0030742C" w:rsidRPr="00340DD1">
        <w:t xml:space="preserve"> </w:t>
      </w:r>
      <w:r w:rsidR="00382504" w:rsidRPr="00340DD1">
        <w:t xml:space="preserve">Interestingly, </w:t>
      </w:r>
      <w:r w:rsidR="00A7386A" w:rsidRPr="00340DD1">
        <w:t xml:space="preserve">we found </w:t>
      </w:r>
      <w:r w:rsidR="00382504" w:rsidRPr="00340DD1">
        <w:t>the youngest group (</w:t>
      </w:r>
      <w:r w:rsidR="003949B5" w:rsidRPr="00340DD1">
        <w:rPr>
          <w:rFonts w:ascii="Calibri" w:hAnsi="Calibri" w:cs="Times New Roman"/>
        </w:rPr>
        <w:t>14-</w:t>
      </w:r>
      <w:proofErr w:type="gramStart"/>
      <w:r w:rsidR="003949B5" w:rsidRPr="00340DD1">
        <w:rPr>
          <w:rFonts w:ascii="Calibri" w:hAnsi="Calibri" w:cs="Times New Roman"/>
        </w:rPr>
        <w:t>17 year</w:t>
      </w:r>
      <w:proofErr w:type="gramEnd"/>
      <w:r w:rsidR="003949B5" w:rsidRPr="00340DD1">
        <w:rPr>
          <w:rFonts w:ascii="Calibri" w:hAnsi="Calibri" w:cs="Times New Roman"/>
        </w:rPr>
        <w:t xml:space="preserve"> </w:t>
      </w:r>
      <w:proofErr w:type="spellStart"/>
      <w:r w:rsidR="003949B5" w:rsidRPr="00340DD1">
        <w:rPr>
          <w:rFonts w:ascii="Calibri" w:hAnsi="Calibri" w:cs="Times New Roman"/>
        </w:rPr>
        <w:t>olds</w:t>
      </w:r>
      <w:proofErr w:type="spellEnd"/>
      <w:r w:rsidR="00382504" w:rsidRPr="00340DD1">
        <w:rPr>
          <w:rFonts w:ascii="Calibri" w:hAnsi="Calibri" w:cs="Times New Roman"/>
        </w:rPr>
        <w:t>)</w:t>
      </w:r>
      <w:r w:rsidR="003949B5" w:rsidRPr="00340DD1">
        <w:rPr>
          <w:rFonts w:ascii="Calibri" w:hAnsi="Calibri" w:cs="Times New Roman"/>
        </w:rPr>
        <w:t xml:space="preserve"> </w:t>
      </w:r>
      <w:r w:rsidR="005A29B4" w:rsidRPr="00340DD1">
        <w:rPr>
          <w:rFonts w:ascii="Calibri" w:hAnsi="Calibri" w:cs="Times New Roman"/>
        </w:rPr>
        <w:t xml:space="preserve">were </w:t>
      </w:r>
      <w:r w:rsidR="00AA524D" w:rsidRPr="00340DD1">
        <w:rPr>
          <w:rFonts w:ascii="Calibri" w:hAnsi="Calibri" w:cs="Times New Roman"/>
        </w:rPr>
        <w:t xml:space="preserve">also </w:t>
      </w:r>
      <w:r w:rsidR="005A29B4" w:rsidRPr="00340DD1">
        <w:rPr>
          <w:rFonts w:ascii="Calibri" w:hAnsi="Calibri" w:cs="Times New Roman"/>
        </w:rPr>
        <w:t xml:space="preserve">the least likely to report </w:t>
      </w:r>
      <w:r w:rsidR="00B66EE3" w:rsidRPr="00340DD1">
        <w:rPr>
          <w:rFonts w:ascii="Calibri" w:hAnsi="Calibri" w:cs="Times New Roman"/>
        </w:rPr>
        <w:t>recently reducing drinking but the</w:t>
      </w:r>
      <w:r w:rsidR="003949B5" w:rsidRPr="00340DD1">
        <w:rPr>
          <w:rFonts w:ascii="Calibri" w:hAnsi="Calibri" w:cs="Times New Roman"/>
        </w:rPr>
        <w:t xml:space="preserve"> </w:t>
      </w:r>
      <w:r w:rsidR="005A29B4" w:rsidRPr="00340DD1">
        <w:rPr>
          <w:rFonts w:ascii="Calibri" w:hAnsi="Calibri" w:cs="Times New Roman"/>
        </w:rPr>
        <w:t xml:space="preserve">most likely to report recently </w:t>
      </w:r>
      <w:r w:rsidR="003949B5" w:rsidRPr="00340DD1">
        <w:rPr>
          <w:rFonts w:ascii="Calibri" w:hAnsi="Calibri" w:cs="Times New Roman"/>
        </w:rPr>
        <w:t>ceasing drinking.</w:t>
      </w:r>
      <w:r w:rsidR="0030742C" w:rsidRPr="00340DD1">
        <w:rPr>
          <w:rFonts w:ascii="Calibri" w:hAnsi="Calibri" w:cs="Times New Roman"/>
        </w:rPr>
        <w:t xml:space="preserve"> </w:t>
      </w:r>
      <w:r w:rsidR="005A29B4" w:rsidRPr="00340DD1">
        <w:rPr>
          <w:rFonts w:ascii="Calibri" w:hAnsi="Calibri" w:cs="Times New Roman"/>
        </w:rPr>
        <w:t>With less time to have established a regular drinking pattern, i</w:t>
      </w:r>
      <w:r w:rsidR="00B66EE3" w:rsidRPr="00340DD1">
        <w:rPr>
          <w:rFonts w:ascii="Calibri" w:hAnsi="Calibri" w:cs="Times New Roman"/>
        </w:rPr>
        <w:t>t</w:t>
      </w:r>
      <w:r w:rsidR="003423B1" w:rsidRPr="00340DD1">
        <w:rPr>
          <w:rFonts w:ascii="Calibri" w:hAnsi="Calibri" w:cs="Times New Roman"/>
        </w:rPr>
        <w:t xml:space="preserve"> is possible that </w:t>
      </w:r>
      <w:r w:rsidR="007F6CEE" w:rsidRPr="00340DD1">
        <w:rPr>
          <w:rFonts w:ascii="Calibri" w:hAnsi="Calibri" w:cs="Times New Roman"/>
        </w:rPr>
        <w:t xml:space="preserve">14-17 year </w:t>
      </w:r>
      <w:proofErr w:type="spellStart"/>
      <w:r w:rsidR="007F6CEE" w:rsidRPr="00340DD1">
        <w:rPr>
          <w:rFonts w:ascii="Calibri" w:hAnsi="Calibri" w:cs="Times New Roman"/>
        </w:rPr>
        <w:t>olds</w:t>
      </w:r>
      <w:proofErr w:type="spellEnd"/>
      <w:r w:rsidR="00C74694" w:rsidRPr="00340DD1">
        <w:rPr>
          <w:rFonts w:ascii="Calibri" w:hAnsi="Calibri" w:cs="Times New Roman"/>
        </w:rPr>
        <w:t xml:space="preserve"> may</w:t>
      </w:r>
      <w:r w:rsidR="007F6CEE" w:rsidRPr="00340DD1">
        <w:rPr>
          <w:rFonts w:ascii="Calibri" w:hAnsi="Calibri" w:cs="Times New Roman"/>
        </w:rPr>
        <w:t xml:space="preserve"> </w:t>
      </w:r>
      <w:r w:rsidR="003423B1" w:rsidRPr="00340DD1">
        <w:rPr>
          <w:rFonts w:ascii="Calibri" w:hAnsi="Calibri" w:cs="Times New Roman"/>
        </w:rPr>
        <w:t xml:space="preserve">have </w:t>
      </w:r>
      <w:r w:rsidR="00B66EE3" w:rsidRPr="00340DD1">
        <w:rPr>
          <w:rFonts w:ascii="Calibri" w:hAnsi="Calibri" w:cs="Times New Roman"/>
        </w:rPr>
        <w:t>reported discontinuing</w:t>
      </w:r>
      <w:r w:rsidR="003423B1" w:rsidRPr="00340DD1">
        <w:rPr>
          <w:rFonts w:ascii="Calibri" w:hAnsi="Calibri" w:cs="Times New Roman"/>
        </w:rPr>
        <w:t xml:space="preserve"> drinking after a bad experience or while completing </w:t>
      </w:r>
      <w:r w:rsidR="00EE288F" w:rsidRPr="00340DD1">
        <w:rPr>
          <w:rFonts w:ascii="Calibri" w:hAnsi="Calibri" w:cs="Times New Roman"/>
        </w:rPr>
        <w:t xml:space="preserve">secondary </w:t>
      </w:r>
      <w:r w:rsidR="003423B1" w:rsidRPr="00340DD1">
        <w:rPr>
          <w:rFonts w:ascii="Calibri" w:hAnsi="Calibri" w:cs="Times New Roman"/>
        </w:rPr>
        <w:t xml:space="preserve">school, and </w:t>
      </w:r>
      <w:r w:rsidR="007F6CEE" w:rsidRPr="00340DD1">
        <w:rPr>
          <w:rFonts w:ascii="Calibri" w:hAnsi="Calibri" w:cs="Times New Roman"/>
        </w:rPr>
        <w:t xml:space="preserve">might </w:t>
      </w:r>
      <w:r w:rsidR="003423B1" w:rsidRPr="00340DD1">
        <w:rPr>
          <w:rFonts w:ascii="Calibri" w:hAnsi="Calibri" w:cs="Times New Roman"/>
        </w:rPr>
        <w:t xml:space="preserve">recommence drinking again in the </w:t>
      </w:r>
      <w:r w:rsidR="001B11B8" w:rsidRPr="00340DD1">
        <w:rPr>
          <w:rFonts w:ascii="Calibri" w:hAnsi="Calibri" w:cs="Times New Roman"/>
        </w:rPr>
        <w:t xml:space="preserve">short-term </w:t>
      </w:r>
      <w:r w:rsidR="003423B1" w:rsidRPr="00340DD1">
        <w:rPr>
          <w:rFonts w:ascii="Calibri" w:hAnsi="Calibri" w:cs="Times New Roman"/>
        </w:rPr>
        <w:t>future</w:t>
      </w:r>
      <w:r w:rsidR="00D01B91" w:rsidRPr="00340DD1">
        <w:rPr>
          <w:rFonts w:ascii="Calibri" w:hAnsi="Calibri" w:cs="Times New Roman"/>
        </w:rPr>
        <w:t xml:space="preserve">; however, these findings do support trends reflecting </w:t>
      </w:r>
      <w:r w:rsidR="00872977" w:rsidRPr="00340DD1">
        <w:rPr>
          <w:rFonts w:ascii="Calibri" w:hAnsi="Calibri" w:cs="Times New Roman"/>
        </w:rPr>
        <w:t xml:space="preserve">a preference for abstinence </w:t>
      </w:r>
      <w:r w:rsidR="00D01B91" w:rsidRPr="00340DD1">
        <w:rPr>
          <w:rFonts w:ascii="Calibri" w:hAnsi="Calibri" w:cs="Times New Roman"/>
        </w:rPr>
        <w:t xml:space="preserve">among young people in Australia </w:t>
      </w:r>
      <w:r w:rsidR="00D01B91" w:rsidRPr="00340DD1">
        <w:rPr>
          <w:rFonts w:ascii="Calibri" w:hAnsi="Calibri" w:cs="Times New Roman"/>
        </w:rPr>
        <w:fldChar w:fldCharType="begin"/>
      </w:r>
      <w:r w:rsidR="00872977" w:rsidRPr="00340DD1">
        <w:rPr>
          <w:rFonts w:ascii="Calibri" w:hAnsi="Calibri" w:cs="Times New Roman"/>
        </w:rPr>
        <w:instrText xml:space="preserve"> ADDIN EN.CITE &lt;EndNote&gt;&lt;Cite&gt;&lt;Author&gt;Livingston&lt;/Author&gt;&lt;Year&gt;2014&lt;/Year&gt;&lt;RecNum&gt;1&lt;/RecNum&gt;&lt;DisplayText&gt;(Livingston, 2014)&lt;/DisplayText&gt;&lt;record&gt;&lt;rec-number&gt;1&lt;/rec-number&gt;&lt;foreign-keys&gt;&lt;key app="EN" db-id="xr20xxrwks2v5re509w5r2pftxrevzzxpp0p" timestamp="1413859811"&gt;1&lt;/key&gt;&lt;/foreign-keys&gt;&lt;ref-type name="Journal Article"&gt;17&lt;/ref-type&gt;&lt;contributors&gt;&lt;authors&gt;&lt;author&gt;Livingston, M.&lt;/author&gt;&lt;/authors&gt;&lt;/contributors&gt;&lt;titles&gt;&lt;title&gt;Trends in non-drinking among Australian adolescents&lt;/title&gt;&lt;secondary-title&gt;Addiction&lt;/secondary-title&gt;&lt;/titles&gt;&lt;periodical&gt;&lt;full-title&gt;Addiction&lt;/full-title&gt;&lt;/periodical&gt;&lt;pages&gt;922-929&lt;/pages&gt;&lt;volume&gt;109&lt;/volume&gt;&lt;number&gt;6&lt;/number&gt;&lt;dates&gt;&lt;year&gt;2014&lt;/year&gt;&lt;/dates&gt;&lt;urls&gt;&lt;/urls&gt;&lt;/record&gt;&lt;/Cite&gt;&lt;/EndNote&gt;</w:instrText>
      </w:r>
      <w:r w:rsidR="00D01B91" w:rsidRPr="00340DD1">
        <w:rPr>
          <w:rFonts w:ascii="Calibri" w:hAnsi="Calibri" w:cs="Times New Roman"/>
        </w:rPr>
        <w:fldChar w:fldCharType="separate"/>
      </w:r>
      <w:r w:rsidR="00872977" w:rsidRPr="00340DD1">
        <w:rPr>
          <w:rFonts w:ascii="Calibri" w:hAnsi="Calibri" w:cs="Times New Roman"/>
          <w:noProof/>
        </w:rPr>
        <w:t>(Livingston, 2014)</w:t>
      </w:r>
      <w:r w:rsidR="00D01B91" w:rsidRPr="00340DD1">
        <w:rPr>
          <w:rFonts w:ascii="Calibri" w:hAnsi="Calibri" w:cs="Times New Roman"/>
        </w:rPr>
        <w:fldChar w:fldCharType="end"/>
      </w:r>
      <w:r w:rsidR="003423B1" w:rsidRPr="00340DD1">
        <w:rPr>
          <w:rFonts w:ascii="Calibri" w:hAnsi="Calibri" w:cs="Times New Roman"/>
        </w:rPr>
        <w:t xml:space="preserve">. </w:t>
      </w:r>
      <w:r w:rsidR="00382504" w:rsidRPr="00340DD1">
        <w:rPr>
          <w:rFonts w:ascii="Calibri" w:hAnsi="Calibri" w:cs="Times New Roman"/>
        </w:rPr>
        <w:t xml:space="preserve">We also identified </w:t>
      </w:r>
      <w:r w:rsidR="005A29B4" w:rsidRPr="00340DD1">
        <w:rPr>
          <w:rFonts w:ascii="Calibri" w:hAnsi="Calibri" w:cs="Times New Roman"/>
        </w:rPr>
        <w:t xml:space="preserve">that </w:t>
      </w:r>
      <w:r w:rsidR="003423B1" w:rsidRPr="00340DD1">
        <w:rPr>
          <w:rFonts w:ascii="Calibri" w:hAnsi="Calibri" w:cs="Times New Roman"/>
        </w:rPr>
        <w:t>young adults</w:t>
      </w:r>
      <w:r w:rsidR="005A29B4" w:rsidRPr="00340DD1">
        <w:rPr>
          <w:rFonts w:ascii="Calibri" w:hAnsi="Calibri" w:cs="Times New Roman"/>
        </w:rPr>
        <w:t xml:space="preserve"> are more likely to report reducing or ceasing drinking than older </w:t>
      </w:r>
      <w:r w:rsidR="00872977" w:rsidRPr="00340DD1">
        <w:rPr>
          <w:rFonts w:ascii="Calibri" w:hAnsi="Calibri" w:cs="Times New Roman"/>
        </w:rPr>
        <w:t>adults</w:t>
      </w:r>
      <w:r w:rsidR="005A29B4" w:rsidRPr="00340DD1">
        <w:rPr>
          <w:rFonts w:ascii="Calibri" w:hAnsi="Calibri" w:cs="Times New Roman"/>
        </w:rPr>
        <w:t xml:space="preserve">, contrary to previous studies which indicate that older people are more likely to report reducing or ceasing drinking </w:t>
      </w:r>
      <w:r w:rsidR="005A29B4" w:rsidRPr="00340DD1">
        <w:rPr>
          <w:rFonts w:ascii="Calibri" w:hAnsi="Calibri"/>
        </w:rPr>
        <w:fldChar w:fldCharType="begin"/>
      </w:r>
      <w:r w:rsidR="005A29B4" w:rsidRPr="00340DD1">
        <w:rPr>
          <w:rFonts w:ascii="Calibri" w:hAnsi="Calibri"/>
        </w:rPr>
        <w:instrText xml:space="preserve"> ADDIN EN.CITE &lt;EndNote&gt;&lt;Cite&gt;&lt;Author&gt;Wilsnack&lt;/Author&gt;&lt;Year&gt;2009&lt;/Year&gt;&lt;RecNum&gt;217&lt;/RecNum&gt;&lt;DisplayText&gt;(Wilsnack et al., 2009, Beard et al., 2017)&lt;/DisplayText&gt;&lt;record&gt;&lt;rec-number&gt;217&lt;/rec-number&gt;&lt;foreign-keys&gt;&lt;key app="EN" db-id="xr20xxrwks2v5re509w5r2pftxrevzzxpp0p" timestamp="1506650201"&gt;217&lt;/key&gt;&lt;/foreign-keys&gt;&lt;ref-type name="Journal Article"&gt;17&lt;/ref-type&gt;&lt;contributors&gt;&lt;authors&gt;&lt;author&gt;Wilsnack, R.W.&lt;/author&gt;&lt;author&gt;Wilsnack, S.C.&lt;/author&gt;&lt;author&gt;Kristjanson, A.F.&lt;/author&gt;&lt;author&gt;Vogeltanz-Holm, N.D.&lt;/author&gt;&lt;author&gt;Gmel, G.&lt;/author&gt;&lt;/authors&gt;&lt;/contributors&gt;&lt;titles&gt;&lt;title&gt;Gender and alcohol consumption: patterns from the multinational GENACIS project&lt;/title&gt;&lt;secondary-title&gt;Addiction&lt;/secondary-title&gt;&lt;/titles&gt;&lt;periodical&gt;&lt;full-title&gt;Addiction&lt;/full-title&gt;&lt;/periodical&gt;&lt;pages&gt;1487-1500&lt;/pages&gt;&lt;volume&gt;104&lt;/volume&gt;&lt;dates&gt;&lt;year&gt;2009&lt;/year&gt;&lt;/dates&gt;&lt;urls&gt;&lt;/urls&gt;&lt;/record&gt;&lt;/Cite&gt;&lt;Cite&gt;&lt;Author&gt;Beard&lt;/Author&gt;&lt;Year&gt;2017&lt;/Year&gt;&lt;RecNum&gt;144&lt;/RecNum&gt;&lt;record&gt;&lt;rec-number&gt;144&lt;/rec-number&gt;&lt;foreign-keys&gt;&lt;key app="EN" db-id="xr20xxrwks2v5re509w5r2pftxrevzzxpp0p" timestamp="1490921357"&gt;144&lt;/key&gt;&lt;/foreign-keys&gt;&lt;ref-type name="Journal Article"&gt;17&lt;/ref-type&gt;&lt;contributors&gt;&lt;authors&gt;&lt;author&gt;Beard, E.&lt;/author&gt;&lt;author&gt;Brown, J.&lt;/author&gt;&lt;author&gt;Kaner, E.&lt;/author&gt;&lt;author&gt;West, R.&lt;/author&gt;&lt;author&gt;Michie, S.&lt;/author&gt;&lt;/authors&gt;&lt;/contributors&gt;&lt;titles&gt;&lt;title&gt;Predictors of and reasons for attempts to reduce alcohol intake: A population survey of adults in England&lt;/title&gt;&lt;secondary-title&gt;PLoS One&lt;/secondary-title&gt;&lt;/titles&gt;&lt;periodical&gt;&lt;full-title&gt;PLoS One&lt;/full-title&gt;&lt;/periodical&gt;&lt;pages&gt;e0173458&lt;/pages&gt;&lt;volume&gt;12&lt;/volume&gt;&lt;number&gt;3&lt;/number&gt;&lt;dates&gt;&lt;year&gt;2017&lt;/year&gt;&lt;/dates&gt;&lt;urls&gt;&lt;/urls&gt;&lt;/record&gt;&lt;/Cite&gt;&lt;/EndNote&gt;</w:instrText>
      </w:r>
      <w:r w:rsidR="005A29B4" w:rsidRPr="00340DD1">
        <w:rPr>
          <w:rFonts w:ascii="Calibri" w:hAnsi="Calibri"/>
        </w:rPr>
        <w:fldChar w:fldCharType="separate"/>
      </w:r>
      <w:r w:rsidR="005A29B4" w:rsidRPr="00340DD1">
        <w:rPr>
          <w:rFonts w:ascii="Calibri" w:hAnsi="Calibri"/>
          <w:noProof/>
        </w:rPr>
        <w:t>(Wilsnack et al., 2009, Beard et al., 2017)</w:t>
      </w:r>
      <w:r w:rsidR="005A29B4" w:rsidRPr="00340DD1">
        <w:rPr>
          <w:rFonts w:ascii="Calibri" w:hAnsi="Calibri"/>
        </w:rPr>
        <w:fldChar w:fldCharType="end"/>
      </w:r>
      <w:r w:rsidR="005A29B4" w:rsidRPr="00340DD1">
        <w:rPr>
          <w:rFonts w:ascii="Calibri" w:hAnsi="Calibri" w:cs="Times New Roman"/>
        </w:rPr>
        <w:t>.</w:t>
      </w:r>
      <w:r w:rsidR="00C42081" w:rsidRPr="00340DD1">
        <w:t xml:space="preserve"> </w:t>
      </w:r>
    </w:p>
    <w:p w14:paraId="3F33C2D5" w14:textId="61A0F645" w:rsidR="008232C3" w:rsidRPr="00340DD1" w:rsidRDefault="006A35F0" w:rsidP="005026AF">
      <w:pPr>
        <w:spacing w:line="360" w:lineRule="auto"/>
      </w:pPr>
      <w:r w:rsidRPr="00340DD1">
        <w:rPr>
          <w:rFonts w:ascii="Calibri" w:hAnsi="Calibri" w:cs="Times New Roman"/>
        </w:rPr>
        <w:t>With regards to sex, i</w:t>
      </w:r>
      <w:r w:rsidR="009B4641" w:rsidRPr="00340DD1">
        <w:rPr>
          <w:rFonts w:ascii="Calibri" w:hAnsi="Calibri"/>
        </w:rPr>
        <w:t xml:space="preserve">t is interesting to note that </w:t>
      </w:r>
      <w:r w:rsidR="00C42081" w:rsidRPr="00340DD1">
        <w:rPr>
          <w:rFonts w:ascii="Calibri" w:hAnsi="Calibri"/>
        </w:rPr>
        <w:t xml:space="preserve">consistent with previous research, </w:t>
      </w:r>
      <w:r w:rsidR="00872977" w:rsidRPr="00340DD1">
        <w:rPr>
          <w:rFonts w:ascii="Calibri" w:hAnsi="Calibri"/>
        </w:rPr>
        <w:t xml:space="preserve">females </w:t>
      </w:r>
      <w:r w:rsidR="009B4641" w:rsidRPr="00340DD1">
        <w:rPr>
          <w:rFonts w:ascii="Calibri" w:hAnsi="Calibri"/>
        </w:rPr>
        <w:t>were more likely to report</w:t>
      </w:r>
      <w:r w:rsidR="00C42081" w:rsidRPr="00340DD1">
        <w:rPr>
          <w:rFonts w:ascii="Calibri" w:hAnsi="Calibri"/>
        </w:rPr>
        <w:t xml:space="preserve"> recently </w:t>
      </w:r>
      <w:r w:rsidR="009B4641" w:rsidRPr="00340DD1">
        <w:rPr>
          <w:rFonts w:ascii="Calibri" w:hAnsi="Calibri"/>
        </w:rPr>
        <w:t>ceasing drinking</w:t>
      </w:r>
      <w:r w:rsidR="00C42081" w:rsidRPr="00340DD1">
        <w:rPr>
          <w:rFonts w:ascii="Calibri" w:hAnsi="Calibri"/>
        </w:rPr>
        <w:t xml:space="preserve"> </w:t>
      </w:r>
      <w:r w:rsidR="00C42081" w:rsidRPr="00340DD1">
        <w:rPr>
          <w:rFonts w:ascii="Calibri" w:hAnsi="Calibri"/>
        </w:rPr>
        <w:fldChar w:fldCharType="begin"/>
      </w:r>
      <w:r w:rsidR="00101AAB" w:rsidRPr="00340DD1">
        <w:rPr>
          <w:rFonts w:ascii="Calibri" w:hAnsi="Calibri"/>
        </w:rPr>
        <w:instrText xml:space="preserve"> ADDIN EN.CITE &lt;EndNote&gt;&lt;Cite&gt;&lt;Author&gt;Bernards&lt;/Author&gt;&lt;Year&gt;2009&lt;/Year&gt;&lt;RecNum&gt;149&lt;/RecNum&gt;&lt;DisplayText&gt;(Bernards et al., 2009, Ng Fat et al., 2015)&lt;/DisplayText&gt;&lt;record&gt;&lt;rec-number&gt;149&lt;/rec-number&gt;&lt;foreign-keys&gt;&lt;key app="EN" db-id="xr20xxrwks2v5re509w5r2pftxrevzzxpp0p" timestamp="1491439246"&gt;149&lt;/key&gt;&lt;/foreign-keys&gt;&lt;ref-type name="Journal Article"&gt;17&lt;/ref-type&gt;&lt;contributors&gt;&lt;authors&gt;&lt;author&gt;Bernards, S.&lt;/author&gt;&lt;author&gt;Graham, K.&lt;/author&gt;&lt;author&gt;Kuendig, H.&lt;/author&gt;&lt;author&gt;Hettige, S.&lt;/author&gt;&lt;author&gt;Obot, I.&lt;/author&gt;&lt;/authors&gt;&lt;/contributors&gt;&lt;titles&gt;&lt;title&gt;‘I have no interest in drinking’: a cross-national comparison of reasons why men and women abstain from alcohol use&lt;/title&gt;&lt;secondary-title&gt;Addiction&lt;/secondary-title&gt;&lt;/titles&gt;&lt;periodical&gt;&lt;full-title&gt;Addiction&lt;/full-title&gt;&lt;/periodical&gt;&lt;pages&gt;1658-1668&lt;/pages&gt;&lt;volume&gt;104&lt;/volume&gt;&lt;dates&gt;&lt;year&gt;2009&lt;/year&gt;&lt;/dates&gt;&lt;urls&gt;&lt;/urls&gt;&lt;/record&gt;&lt;/Cite&gt;&lt;Cite&gt;&lt;Author&gt;Ng Fat&lt;/Author&gt;&lt;Year&gt;2015&lt;/Year&gt;&lt;RecNum&gt;2&lt;/RecNum&gt;&lt;record&gt;&lt;rec-number&gt;2&lt;/rec-number&gt;&lt;foreign-keys&gt;&lt;key app="EN" db-id="2v2xfzds4tvz2wepe0dxxs93szza9ss9zfrz" timestamp="1534993564"&gt;2&lt;/key&gt;&lt;/foreign-keys&gt;&lt;ref-type name="Journal Article"&gt;17&lt;/ref-type&gt;&lt;contributors&gt;&lt;authors&gt;&lt;author&gt;Ng Fat, L.&lt;/author&gt;&lt;author&gt;Cable, N.&lt;/author&gt;&lt;author&gt;Shelton, S.&lt;/author&gt;&lt;/authors&gt;&lt;/contributors&gt;&lt;titles&gt;&lt;title&gt;Worsening of Health and a Cessation or Reduction in Alcohol Consumption to Special Occasion Drinking Across Three Decades of the Life Course&lt;/title&gt;&lt;secondary-title&gt;Alcoholism: Clinical and Experimental Research&lt;/secondary-title&gt;&lt;/titles&gt;&lt;periodical&gt;&lt;full-title&gt;Alcoholism: Clinical and Experimental Research&lt;/full-title&gt;&lt;/periodical&gt;&lt;pages&gt;166-174&lt;/pages&gt;&lt;volume&gt;39&lt;/volume&gt;&lt;number&gt;1&lt;/number&gt;&lt;dates&gt;&lt;year&gt;2015&lt;/year&gt;&lt;/dates&gt;&lt;urls&gt;&lt;/urls&gt;&lt;/record&gt;&lt;/Cite&gt;&lt;/EndNote&gt;</w:instrText>
      </w:r>
      <w:r w:rsidR="00C42081" w:rsidRPr="00340DD1">
        <w:rPr>
          <w:rFonts w:ascii="Calibri" w:hAnsi="Calibri"/>
        </w:rPr>
        <w:fldChar w:fldCharType="separate"/>
      </w:r>
      <w:r w:rsidR="00101AAB" w:rsidRPr="00340DD1">
        <w:rPr>
          <w:rFonts w:ascii="Calibri" w:hAnsi="Calibri"/>
          <w:noProof/>
        </w:rPr>
        <w:t>(Bernards et al., 2009, Ng Fat et al., 2015)</w:t>
      </w:r>
      <w:r w:rsidR="00C42081" w:rsidRPr="00340DD1">
        <w:rPr>
          <w:rFonts w:ascii="Calibri" w:hAnsi="Calibri"/>
        </w:rPr>
        <w:fldChar w:fldCharType="end"/>
      </w:r>
      <w:r w:rsidR="00AA524D" w:rsidRPr="00340DD1">
        <w:rPr>
          <w:rFonts w:ascii="Calibri" w:hAnsi="Calibri"/>
        </w:rPr>
        <w:t>;</w:t>
      </w:r>
      <w:r w:rsidR="00C42081" w:rsidRPr="00340DD1">
        <w:rPr>
          <w:rFonts w:ascii="Calibri" w:hAnsi="Calibri"/>
        </w:rPr>
        <w:t xml:space="preserve"> </w:t>
      </w:r>
      <w:r w:rsidR="00AA524D" w:rsidRPr="00340DD1">
        <w:rPr>
          <w:rFonts w:ascii="Calibri" w:hAnsi="Calibri"/>
        </w:rPr>
        <w:t xml:space="preserve">however, </w:t>
      </w:r>
      <w:r w:rsidR="009E473F" w:rsidRPr="00340DD1">
        <w:rPr>
          <w:rFonts w:ascii="Calibri" w:hAnsi="Calibri"/>
        </w:rPr>
        <w:t xml:space="preserve">males </w:t>
      </w:r>
      <w:r w:rsidR="00C42081" w:rsidRPr="00340DD1">
        <w:rPr>
          <w:rFonts w:ascii="Calibri" w:hAnsi="Calibri"/>
        </w:rPr>
        <w:t xml:space="preserve">were </w:t>
      </w:r>
      <w:r w:rsidR="009E473F" w:rsidRPr="00340DD1">
        <w:rPr>
          <w:rFonts w:ascii="Calibri" w:hAnsi="Calibri"/>
        </w:rPr>
        <w:t xml:space="preserve">more </w:t>
      </w:r>
      <w:r w:rsidR="00C42081" w:rsidRPr="00340DD1">
        <w:rPr>
          <w:rFonts w:ascii="Calibri" w:hAnsi="Calibri"/>
        </w:rPr>
        <w:t xml:space="preserve">likely to report </w:t>
      </w:r>
      <w:r w:rsidR="00872977" w:rsidRPr="00340DD1">
        <w:rPr>
          <w:rFonts w:ascii="Calibri" w:hAnsi="Calibri"/>
        </w:rPr>
        <w:t xml:space="preserve">recently </w:t>
      </w:r>
      <w:r w:rsidR="00C42081" w:rsidRPr="00340DD1">
        <w:rPr>
          <w:rFonts w:ascii="Calibri" w:hAnsi="Calibri"/>
        </w:rPr>
        <w:t xml:space="preserve">reducing drinking, contrary to </w:t>
      </w:r>
      <w:r w:rsidR="00872977" w:rsidRPr="00340DD1">
        <w:rPr>
          <w:rFonts w:ascii="Calibri" w:hAnsi="Calibri"/>
        </w:rPr>
        <w:t xml:space="preserve">prior </w:t>
      </w:r>
      <w:r w:rsidR="00C42081" w:rsidRPr="00340DD1">
        <w:rPr>
          <w:rFonts w:ascii="Calibri" w:hAnsi="Calibri"/>
        </w:rPr>
        <w:t xml:space="preserve">research </w:t>
      </w:r>
      <w:r w:rsidR="00C42081" w:rsidRPr="00340DD1">
        <w:rPr>
          <w:rFonts w:ascii="Calibri" w:hAnsi="Calibri"/>
        </w:rPr>
        <w:fldChar w:fldCharType="begin"/>
      </w:r>
      <w:r w:rsidR="00C42081" w:rsidRPr="00340DD1">
        <w:rPr>
          <w:rFonts w:ascii="Calibri" w:hAnsi="Calibri"/>
        </w:rPr>
        <w:instrText xml:space="preserve"> ADDIN EN.CITE &lt;EndNote&gt;&lt;Cite&gt;&lt;Author&gt;Beard&lt;/Author&gt;&lt;Year&gt;2017&lt;/Year&gt;&lt;RecNum&gt;144&lt;/RecNum&gt;&lt;DisplayText&gt;(Beard et al., 2017)&lt;/DisplayText&gt;&lt;record&gt;&lt;rec-number&gt;144&lt;/rec-number&gt;&lt;foreign-keys&gt;&lt;key app="EN" db-id="xr20xxrwks2v5re509w5r2pftxrevzzxpp0p" timestamp="1490921357"&gt;144&lt;/key&gt;&lt;/foreign-keys&gt;&lt;ref-type name="Journal Article"&gt;17&lt;/ref-type&gt;&lt;contributors&gt;&lt;authors&gt;&lt;author&gt;Beard, E.&lt;/author&gt;&lt;author&gt;Brown, J.&lt;/author&gt;&lt;author&gt;Kaner, E.&lt;/author&gt;&lt;author&gt;West, R.&lt;/author&gt;&lt;author&gt;Michie, S.&lt;/author&gt;&lt;/authors&gt;&lt;/contributors&gt;&lt;titles&gt;&lt;title&gt;Predictors of and reasons for attempts to reduce alcohol intake: A population survey of adults in England&lt;/title&gt;&lt;secondary-title&gt;PLoS One&lt;/secondary-title&gt;&lt;/titles&gt;&lt;periodical&gt;&lt;full-title&gt;PLoS One&lt;/full-title&gt;&lt;/periodical&gt;&lt;pages&gt;e0173458&lt;/pages&gt;&lt;volume&gt;12&lt;/volume&gt;&lt;number&gt;3&lt;/number&gt;&lt;dates&gt;&lt;year&gt;2017&lt;/year&gt;&lt;/dates&gt;&lt;urls&gt;&lt;/urls&gt;&lt;/record&gt;&lt;/Cite&gt;&lt;/EndNote&gt;</w:instrText>
      </w:r>
      <w:r w:rsidR="00C42081" w:rsidRPr="00340DD1">
        <w:rPr>
          <w:rFonts w:ascii="Calibri" w:hAnsi="Calibri"/>
        </w:rPr>
        <w:fldChar w:fldCharType="separate"/>
      </w:r>
      <w:r w:rsidR="00C42081" w:rsidRPr="00340DD1">
        <w:rPr>
          <w:rFonts w:ascii="Calibri" w:hAnsi="Calibri"/>
          <w:noProof/>
        </w:rPr>
        <w:t>(Beard et al., 2017)</w:t>
      </w:r>
      <w:r w:rsidR="00C42081" w:rsidRPr="00340DD1">
        <w:rPr>
          <w:rFonts w:ascii="Calibri" w:hAnsi="Calibri"/>
        </w:rPr>
        <w:fldChar w:fldCharType="end"/>
      </w:r>
      <w:r w:rsidR="009B4641" w:rsidRPr="00340DD1">
        <w:rPr>
          <w:rFonts w:ascii="Calibri" w:hAnsi="Calibri"/>
        </w:rPr>
        <w:t xml:space="preserve">. </w:t>
      </w:r>
      <w:r w:rsidR="009E473F" w:rsidRPr="00340DD1">
        <w:rPr>
          <w:rFonts w:ascii="Calibri" w:hAnsi="Calibri"/>
        </w:rPr>
        <w:t xml:space="preserve">Males being more likely to report reduction of drinking and females being more likely to report cessation of drinking may be </w:t>
      </w:r>
      <w:r w:rsidR="00101AAB" w:rsidRPr="00340DD1">
        <w:rPr>
          <w:rFonts w:ascii="Calibri" w:hAnsi="Calibri"/>
        </w:rPr>
        <w:t>a consequence</w:t>
      </w:r>
      <w:r w:rsidR="00397BE1" w:rsidRPr="00340DD1">
        <w:rPr>
          <w:rFonts w:ascii="Calibri" w:hAnsi="Calibri"/>
        </w:rPr>
        <w:t xml:space="preserve"> </w:t>
      </w:r>
      <w:r w:rsidR="009E473F" w:rsidRPr="00340DD1">
        <w:rPr>
          <w:rFonts w:ascii="Calibri" w:hAnsi="Calibri"/>
        </w:rPr>
        <w:t xml:space="preserve">of social roles (particularly pregnancy, breast </w:t>
      </w:r>
      <w:r w:rsidR="009E473F" w:rsidRPr="00340DD1">
        <w:rPr>
          <w:rFonts w:ascii="Calibri" w:hAnsi="Calibri"/>
        </w:rPr>
        <w:lastRenderedPageBreak/>
        <w:t xml:space="preserve">feeding and caring); or </w:t>
      </w:r>
      <w:r w:rsidR="00397BE1" w:rsidRPr="00340DD1">
        <w:rPr>
          <w:rFonts w:ascii="Calibri" w:hAnsi="Calibri"/>
        </w:rPr>
        <w:t xml:space="preserve">the possibility that alcohol-related </w:t>
      </w:r>
      <w:r w:rsidR="009E473F" w:rsidRPr="00340DD1">
        <w:rPr>
          <w:rFonts w:ascii="Calibri" w:hAnsi="Calibri"/>
        </w:rPr>
        <w:t xml:space="preserve">health promotion messages </w:t>
      </w:r>
      <w:r w:rsidR="00397BE1" w:rsidRPr="00340DD1">
        <w:rPr>
          <w:rFonts w:ascii="Calibri" w:hAnsi="Calibri"/>
        </w:rPr>
        <w:t xml:space="preserve">are </w:t>
      </w:r>
      <w:r w:rsidR="009E473F" w:rsidRPr="00340DD1">
        <w:rPr>
          <w:rFonts w:ascii="Calibri" w:hAnsi="Calibri"/>
        </w:rPr>
        <w:t xml:space="preserve">more salient for females than males; either way, this requires further investigation. </w:t>
      </w:r>
      <w:r w:rsidR="00101AAB" w:rsidRPr="00340DD1">
        <w:rPr>
          <w:rFonts w:ascii="Calibri" w:hAnsi="Calibri" w:cs="Times New Roman"/>
        </w:rPr>
        <w:t xml:space="preserve">Consistent with previous research, </w:t>
      </w:r>
      <w:r w:rsidR="004213D5" w:rsidRPr="00340DD1">
        <w:rPr>
          <w:rFonts w:ascii="Calibri" w:hAnsi="Calibri" w:cs="Times New Roman"/>
        </w:rPr>
        <w:t xml:space="preserve">lower socio-economic status was associated with greater likelihood of reporting </w:t>
      </w:r>
      <w:r w:rsidR="00101AAB" w:rsidRPr="00340DD1">
        <w:rPr>
          <w:rFonts w:ascii="Calibri" w:hAnsi="Calibri" w:cs="Times New Roman"/>
        </w:rPr>
        <w:t>reducing and ceasing drinking</w:t>
      </w:r>
      <w:r w:rsidR="004213D5" w:rsidRPr="00340DD1">
        <w:rPr>
          <w:rFonts w:ascii="Calibri" w:hAnsi="Calibri" w:cs="Times New Roman"/>
        </w:rPr>
        <w:t xml:space="preserve"> </w:t>
      </w:r>
      <w:r w:rsidR="004213D5" w:rsidRPr="00340DD1">
        <w:rPr>
          <w:rFonts w:ascii="Calibri" w:hAnsi="Calibri" w:cs="Times New Roman"/>
        </w:rPr>
        <w:fldChar w:fldCharType="begin"/>
      </w:r>
      <w:r w:rsidR="004213D5" w:rsidRPr="00340DD1">
        <w:rPr>
          <w:rFonts w:ascii="Calibri" w:hAnsi="Calibri" w:cs="Times New Roman"/>
        </w:rPr>
        <w:instrText xml:space="preserve"> ADDIN EN.CITE &lt;EndNote&gt;&lt;Cite&gt;&lt;Author&gt;Hermos&lt;/Author&gt;&lt;Year&gt;1988&lt;/Year&gt;&lt;RecNum&gt;1&lt;/RecNum&gt;&lt;DisplayText&gt;(Hermos et al., 1988)&lt;/DisplayText&gt;&lt;record&gt;&lt;rec-number&gt;1&lt;/rec-number&gt;&lt;foreign-keys&gt;&lt;key app="EN" db-id="2v2xfzds4tvz2wepe0dxxs93szza9ss9zfrz" timestamp="1534992261"&gt;1&lt;/key&gt;&lt;/foreign-keys&gt;&lt;ref-type name="Journal Article"&gt;17&lt;/ref-type&gt;&lt;contributors&gt;&lt;authors&gt;&lt;author&gt;Hermos, J.&lt;/author&gt;&lt;author&gt;Locastro, J.&lt;/author&gt;&lt;author&gt;Glynn, R.&lt;/author&gt;&lt;author&gt;Bouchard, G.&lt;/author&gt;&lt;author&gt;Labry, O.&lt;/author&gt;&lt;/authors&gt;&lt;/contributors&gt;&lt;titles&gt;&lt;title&gt;Predictors of Reduction and Cessation of Drinking in Community-Dwelling Men: Results from the Normative Aging Study&lt;/title&gt;&lt;secondary-title&gt;Journal of Studies on Alcohol&lt;/secondary-title&gt;&lt;/titles&gt;&lt;periodical&gt;&lt;full-title&gt;Journal of Studies on Alcohol&lt;/full-title&gt;&lt;/periodical&gt;&lt;pages&gt;363-368&lt;/pages&gt;&lt;volume&gt;49&lt;/volume&gt;&lt;number&gt;4&lt;/number&gt;&lt;dates&gt;&lt;year&gt;1988&lt;/year&gt;&lt;/dates&gt;&lt;urls&gt;&lt;/urls&gt;&lt;/record&gt;&lt;/Cite&gt;&lt;/EndNote&gt;</w:instrText>
      </w:r>
      <w:r w:rsidR="004213D5" w:rsidRPr="00340DD1">
        <w:rPr>
          <w:rFonts w:ascii="Calibri" w:hAnsi="Calibri" w:cs="Times New Roman"/>
        </w:rPr>
        <w:fldChar w:fldCharType="separate"/>
      </w:r>
      <w:r w:rsidR="004213D5" w:rsidRPr="00340DD1">
        <w:rPr>
          <w:rFonts w:ascii="Calibri" w:hAnsi="Calibri" w:cs="Times New Roman"/>
          <w:noProof/>
        </w:rPr>
        <w:t>(Hermos et al., 1988)</w:t>
      </w:r>
      <w:r w:rsidR="004213D5" w:rsidRPr="00340DD1">
        <w:rPr>
          <w:rFonts w:ascii="Calibri" w:hAnsi="Calibri" w:cs="Times New Roman"/>
        </w:rPr>
        <w:fldChar w:fldCharType="end"/>
      </w:r>
      <w:r w:rsidR="00101AAB" w:rsidRPr="00340DD1">
        <w:rPr>
          <w:rFonts w:ascii="Calibri" w:hAnsi="Calibri" w:cs="Times New Roman"/>
        </w:rPr>
        <w:t>.</w:t>
      </w:r>
    </w:p>
    <w:p w14:paraId="2257206D" w14:textId="2198F8C0" w:rsidR="00583445" w:rsidRPr="00340DD1" w:rsidRDefault="003D0E68" w:rsidP="005026AF">
      <w:pPr>
        <w:pStyle w:val="CommentText"/>
        <w:spacing w:line="360" w:lineRule="auto"/>
        <w:rPr>
          <w:sz w:val="22"/>
          <w:szCs w:val="22"/>
        </w:rPr>
      </w:pPr>
      <w:proofErr w:type="gramStart"/>
      <w:r w:rsidRPr="00340DD1">
        <w:rPr>
          <w:rFonts w:ascii="Calibri" w:hAnsi="Calibri" w:cs="Times New Roman"/>
          <w:sz w:val="22"/>
          <w:szCs w:val="22"/>
        </w:rPr>
        <w:t>In order to</w:t>
      </w:r>
      <w:proofErr w:type="gramEnd"/>
      <w:r w:rsidRPr="00340DD1">
        <w:rPr>
          <w:rFonts w:ascii="Calibri" w:hAnsi="Calibri" w:cs="Times New Roman"/>
          <w:sz w:val="22"/>
          <w:szCs w:val="22"/>
        </w:rPr>
        <w:t xml:space="preserve"> contextualise these trends, it is important to understand why Australians report recentl</w:t>
      </w:r>
      <w:r w:rsidR="00845F07" w:rsidRPr="00340DD1">
        <w:rPr>
          <w:rFonts w:ascii="Calibri" w:hAnsi="Calibri" w:cs="Times New Roman"/>
          <w:sz w:val="22"/>
          <w:szCs w:val="22"/>
        </w:rPr>
        <w:t>y reducing or ceasing drinking</w:t>
      </w:r>
      <w:r w:rsidR="00C12675" w:rsidRPr="00340DD1">
        <w:rPr>
          <w:rFonts w:ascii="Calibri" w:hAnsi="Calibri"/>
          <w:sz w:val="22"/>
          <w:szCs w:val="22"/>
        </w:rPr>
        <w:t>.</w:t>
      </w:r>
      <w:r w:rsidR="006C1F78" w:rsidRPr="00340DD1">
        <w:rPr>
          <w:sz w:val="22"/>
          <w:szCs w:val="22"/>
        </w:rPr>
        <w:t xml:space="preserve"> </w:t>
      </w:r>
      <w:r w:rsidR="00C42081" w:rsidRPr="00340DD1">
        <w:rPr>
          <w:sz w:val="22"/>
          <w:szCs w:val="22"/>
        </w:rPr>
        <w:t>Consistent with international studies</w:t>
      </w:r>
      <w:r w:rsidR="00C12675" w:rsidRPr="00340DD1">
        <w:rPr>
          <w:sz w:val="22"/>
          <w:szCs w:val="22"/>
        </w:rPr>
        <w:t xml:space="preserve">, </w:t>
      </w:r>
      <w:r w:rsidR="00872977" w:rsidRPr="00340DD1">
        <w:rPr>
          <w:sz w:val="22"/>
          <w:szCs w:val="22"/>
        </w:rPr>
        <w:t xml:space="preserve">we identified that </w:t>
      </w:r>
      <w:r w:rsidR="00C12675" w:rsidRPr="00340DD1">
        <w:rPr>
          <w:sz w:val="22"/>
          <w:szCs w:val="22"/>
        </w:rPr>
        <w:t>h</w:t>
      </w:r>
      <w:r w:rsidR="006C1F78" w:rsidRPr="00340DD1">
        <w:rPr>
          <w:sz w:val="22"/>
          <w:szCs w:val="22"/>
        </w:rPr>
        <w:t xml:space="preserve">ealth was the most </w:t>
      </w:r>
      <w:r w:rsidR="00382504" w:rsidRPr="00340DD1">
        <w:rPr>
          <w:sz w:val="22"/>
          <w:szCs w:val="22"/>
        </w:rPr>
        <w:t xml:space="preserve">frequently </w:t>
      </w:r>
      <w:r w:rsidR="006C1F78" w:rsidRPr="00340DD1">
        <w:rPr>
          <w:sz w:val="22"/>
          <w:szCs w:val="22"/>
        </w:rPr>
        <w:t>reported reason for reducing or ceasing consumption</w:t>
      </w:r>
      <w:r w:rsidR="00D01B91" w:rsidRPr="00340DD1">
        <w:rPr>
          <w:sz w:val="22"/>
          <w:szCs w:val="22"/>
        </w:rPr>
        <w:t xml:space="preserve"> </w:t>
      </w:r>
      <w:r w:rsidR="00583445" w:rsidRPr="00340DD1">
        <w:rPr>
          <w:rFonts w:ascii="Calibri" w:hAnsi="Calibri"/>
          <w:sz w:val="22"/>
          <w:szCs w:val="22"/>
        </w:rPr>
        <w:fldChar w:fldCharType="begin">
          <w:fldData xml:space="preserve">PEVuZE5vdGU+PENpdGU+PEF1dGhvcj5CZXJuYXJkczwvQXV0aG9yPjxZZWFyPjIwMDk8L1llYXI+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==
</w:fldData>
        </w:fldChar>
      </w:r>
      <w:r w:rsidR="00C42081" w:rsidRPr="00340DD1">
        <w:rPr>
          <w:rFonts w:ascii="Calibri" w:hAnsi="Calibri"/>
          <w:sz w:val="22"/>
          <w:szCs w:val="22"/>
        </w:rPr>
        <w:instrText xml:space="preserve"> ADDIN EN.CITE </w:instrText>
      </w:r>
      <w:r w:rsidR="00C42081" w:rsidRPr="00340DD1">
        <w:rPr>
          <w:rFonts w:ascii="Calibri" w:hAnsi="Calibri"/>
          <w:sz w:val="22"/>
          <w:szCs w:val="22"/>
        </w:rPr>
        <w:fldChar w:fldCharType="begin">
          <w:fldData xml:space="preserve">PEVuZE5vdGU+PENpdGU+PEF1dGhvcj5CZXJuYXJkczwvQXV0aG9yPjxZZWFyPjIwMDk8L1llYXI+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==
</w:fldData>
        </w:fldChar>
      </w:r>
      <w:r w:rsidR="00C42081" w:rsidRPr="00340DD1">
        <w:rPr>
          <w:rFonts w:ascii="Calibri" w:hAnsi="Calibri"/>
          <w:sz w:val="22"/>
          <w:szCs w:val="22"/>
        </w:rPr>
        <w:instrText xml:space="preserve"> ADDIN EN.CITE.DATA </w:instrText>
      </w:r>
      <w:r w:rsidR="00C42081" w:rsidRPr="00340DD1">
        <w:rPr>
          <w:rFonts w:ascii="Calibri" w:hAnsi="Calibri"/>
          <w:sz w:val="22"/>
          <w:szCs w:val="22"/>
        </w:rPr>
      </w:r>
      <w:r w:rsidR="00C42081" w:rsidRPr="00340DD1">
        <w:rPr>
          <w:rFonts w:ascii="Calibri" w:hAnsi="Calibri"/>
          <w:sz w:val="22"/>
          <w:szCs w:val="22"/>
        </w:rPr>
        <w:fldChar w:fldCharType="end"/>
      </w:r>
      <w:r w:rsidR="00583445" w:rsidRPr="00340DD1">
        <w:rPr>
          <w:rFonts w:ascii="Calibri" w:hAnsi="Calibri"/>
          <w:sz w:val="22"/>
          <w:szCs w:val="22"/>
        </w:rPr>
      </w:r>
      <w:r w:rsidR="00583445" w:rsidRPr="00340DD1">
        <w:rPr>
          <w:rFonts w:ascii="Calibri" w:hAnsi="Calibri"/>
          <w:sz w:val="22"/>
          <w:szCs w:val="22"/>
        </w:rPr>
        <w:fldChar w:fldCharType="separate"/>
      </w:r>
      <w:r w:rsidR="00C42081" w:rsidRPr="00340DD1">
        <w:rPr>
          <w:rFonts w:ascii="Calibri" w:hAnsi="Calibri"/>
          <w:noProof/>
          <w:sz w:val="22"/>
          <w:szCs w:val="22"/>
        </w:rPr>
        <w:t>(Bernards et al., 2009, Beard et al., 2017, Britton and Bell, 2015, Greenfield et al., 1989)</w:t>
      </w:r>
      <w:r w:rsidR="00583445" w:rsidRPr="00340DD1">
        <w:rPr>
          <w:rFonts w:ascii="Calibri" w:hAnsi="Calibri"/>
          <w:sz w:val="22"/>
          <w:szCs w:val="22"/>
        </w:rPr>
        <w:fldChar w:fldCharType="end"/>
      </w:r>
      <w:r w:rsidR="00583445" w:rsidRPr="00340DD1">
        <w:rPr>
          <w:sz w:val="22"/>
          <w:szCs w:val="22"/>
        </w:rPr>
        <w:t xml:space="preserve">. </w:t>
      </w:r>
      <w:r w:rsidR="00172B92" w:rsidRPr="00340DD1">
        <w:rPr>
          <w:rFonts w:ascii="Calibri" w:hAnsi="Calibri"/>
          <w:sz w:val="22"/>
          <w:szCs w:val="22"/>
        </w:rPr>
        <w:t xml:space="preserve">The popularity of health as an item suggests that </w:t>
      </w:r>
      <w:r w:rsidR="00382504" w:rsidRPr="00340DD1">
        <w:rPr>
          <w:rFonts w:ascii="Calibri" w:hAnsi="Calibri"/>
          <w:sz w:val="22"/>
          <w:szCs w:val="22"/>
        </w:rPr>
        <w:t>one of the factors that might</w:t>
      </w:r>
      <w:r w:rsidR="00172B92" w:rsidRPr="00340DD1">
        <w:rPr>
          <w:rFonts w:ascii="Calibri" w:hAnsi="Calibri"/>
          <w:sz w:val="22"/>
          <w:szCs w:val="22"/>
        </w:rPr>
        <w:t xml:space="preserve"> be influencing changes in national drinking patterns is </w:t>
      </w:r>
      <w:r w:rsidR="00F40997" w:rsidRPr="00340DD1">
        <w:rPr>
          <w:rFonts w:ascii="Calibri" w:hAnsi="Calibri"/>
          <w:sz w:val="22"/>
          <w:szCs w:val="22"/>
        </w:rPr>
        <w:t xml:space="preserve">increased attention to </w:t>
      </w:r>
      <w:r w:rsidR="00172B92" w:rsidRPr="00340DD1">
        <w:rPr>
          <w:rFonts w:ascii="Calibri" w:hAnsi="Calibri"/>
          <w:sz w:val="22"/>
          <w:szCs w:val="22"/>
        </w:rPr>
        <w:t>health and fitness</w:t>
      </w:r>
      <w:r w:rsidR="00382504" w:rsidRPr="00340DD1">
        <w:rPr>
          <w:rFonts w:ascii="Calibri" w:hAnsi="Calibri"/>
          <w:sz w:val="22"/>
          <w:szCs w:val="22"/>
        </w:rPr>
        <w:t>,</w:t>
      </w:r>
      <w:r w:rsidR="00E26D38" w:rsidRPr="00340DD1">
        <w:rPr>
          <w:rFonts w:ascii="Calibri" w:hAnsi="Calibri"/>
          <w:sz w:val="22"/>
          <w:szCs w:val="22"/>
        </w:rPr>
        <w:t xml:space="preserve"> and </w:t>
      </w:r>
      <w:r w:rsidR="00E81833" w:rsidRPr="00340DD1">
        <w:rPr>
          <w:rFonts w:ascii="Calibri" w:hAnsi="Calibri"/>
          <w:sz w:val="22"/>
          <w:szCs w:val="22"/>
        </w:rPr>
        <w:t xml:space="preserve">corresponding </w:t>
      </w:r>
      <w:r w:rsidR="00E26D38" w:rsidRPr="00340DD1">
        <w:rPr>
          <w:rFonts w:ascii="Calibri" w:hAnsi="Calibri"/>
          <w:sz w:val="22"/>
          <w:szCs w:val="22"/>
        </w:rPr>
        <w:t>growing awareness of the negative health effects of alcohol</w:t>
      </w:r>
      <w:r w:rsidR="00172B92" w:rsidRPr="00340DD1">
        <w:rPr>
          <w:rFonts w:ascii="Calibri" w:hAnsi="Calibri"/>
          <w:sz w:val="22"/>
          <w:szCs w:val="22"/>
        </w:rPr>
        <w:t xml:space="preserve"> </w:t>
      </w:r>
      <w:r w:rsidR="00172B92" w:rsidRPr="00340DD1">
        <w:rPr>
          <w:sz w:val="22"/>
          <w:szCs w:val="22"/>
        </w:rPr>
        <w:fldChar w:fldCharType="begin"/>
      </w:r>
      <w:r w:rsidR="00531BCC" w:rsidRPr="00340DD1">
        <w:rPr>
          <w:sz w:val="22"/>
          <w:szCs w:val="22"/>
        </w:rPr>
        <w:instrText xml:space="preserve"> ADDIN EN.CITE &lt;EndNote&gt;&lt;Cite&gt;&lt;Author&gt;Wyn&lt;/Author&gt;&lt;Year&gt;2009&lt;/Year&gt;&lt;RecNum&gt;55&lt;/RecNum&gt;&lt;DisplayText&gt;(Wyn, 2009)&lt;/DisplayText&gt;&lt;record&gt;&lt;rec-number&gt;55&lt;/rec-number&gt;&lt;foreign-keys&gt;&lt;key app="EN" db-id="xr20xxrwks2v5re509w5r2pftxrevzzxpp0p" timestamp="1421037767"&gt;55&lt;/key&gt;&lt;/foreign-keys&gt;&lt;ref-type name="Journal Article"&gt;17&lt;/ref-type&gt;&lt;contributors&gt;&lt;authors&gt;&lt;author&gt;Wyn, J.&lt;/author&gt;&lt;/authors&gt;&lt;/contributors&gt;&lt;titles&gt;&lt;title&gt;Young people&amp;apos;s wellbeing: Contradictions in managing the healthy self&lt;/title&gt;&lt;secondary-title&gt;ACHPER Healthy Lifestyles Journal&lt;/secondary-title&gt;&lt;/titles&gt;&lt;periodical&gt;&lt;full-title&gt;ACHPER Healthy Lifestyles Journal&lt;/full-title&gt;&lt;/periodical&gt;&lt;pages&gt;5-9&lt;/pages&gt;&lt;volume&gt;56&lt;/volume&gt;&lt;number&gt;1&lt;/number&gt;&lt;dates&gt;&lt;year&gt;2009&lt;/year&gt;&lt;/dates&gt;&lt;urls&gt;&lt;/urls&gt;&lt;/record&gt;&lt;/Cite&gt;&lt;/EndNote&gt;</w:instrText>
      </w:r>
      <w:r w:rsidR="00172B92" w:rsidRPr="00340DD1">
        <w:rPr>
          <w:sz w:val="22"/>
          <w:szCs w:val="22"/>
        </w:rPr>
        <w:fldChar w:fldCharType="separate"/>
      </w:r>
      <w:r w:rsidR="00531BCC" w:rsidRPr="00340DD1">
        <w:rPr>
          <w:noProof/>
          <w:sz w:val="22"/>
          <w:szCs w:val="22"/>
        </w:rPr>
        <w:t>(Wyn, 2009)</w:t>
      </w:r>
      <w:r w:rsidR="00172B92" w:rsidRPr="00340DD1">
        <w:rPr>
          <w:sz w:val="22"/>
          <w:szCs w:val="22"/>
        </w:rPr>
        <w:fldChar w:fldCharType="end"/>
      </w:r>
      <w:r w:rsidR="00172B92" w:rsidRPr="00340DD1">
        <w:rPr>
          <w:rFonts w:ascii="Calibri" w:hAnsi="Calibri"/>
          <w:sz w:val="22"/>
          <w:szCs w:val="22"/>
        </w:rPr>
        <w:t>.</w:t>
      </w:r>
    </w:p>
    <w:p w14:paraId="2500EDCE" w14:textId="79C22A91" w:rsidR="00292EF7" w:rsidRPr="00340DD1" w:rsidRDefault="00583445" w:rsidP="005026AF">
      <w:pPr>
        <w:spacing w:line="360" w:lineRule="auto"/>
      </w:pPr>
      <w:r w:rsidRPr="00340DD1">
        <w:t>W</w:t>
      </w:r>
      <w:r w:rsidR="006C1F78" w:rsidRPr="00340DD1">
        <w:rPr>
          <w:rFonts w:ascii="Calibri" w:hAnsi="Calibri" w:cs="Times New Roman"/>
        </w:rPr>
        <w:t xml:space="preserve">e found interesting age-related differences, in that younger groups were </w:t>
      </w:r>
      <w:r w:rsidRPr="00340DD1">
        <w:rPr>
          <w:rFonts w:ascii="Calibri" w:hAnsi="Calibri" w:cs="Times New Roman"/>
        </w:rPr>
        <w:t xml:space="preserve">less likely to report health reasons for recently reducing or ceasing drinking and were </w:t>
      </w:r>
      <w:r w:rsidR="006C1F78" w:rsidRPr="00340DD1">
        <w:rPr>
          <w:rFonts w:ascii="Calibri" w:hAnsi="Calibri" w:cs="Times New Roman"/>
        </w:rPr>
        <w:t>more likely to rep</w:t>
      </w:r>
      <w:r w:rsidR="00845F07" w:rsidRPr="00340DD1">
        <w:rPr>
          <w:rFonts w:ascii="Calibri" w:hAnsi="Calibri" w:cs="Times New Roman"/>
        </w:rPr>
        <w:t>ort lifestyle,</w:t>
      </w:r>
      <w:r w:rsidR="006A35F0" w:rsidRPr="00340DD1">
        <w:rPr>
          <w:rFonts w:ascii="Calibri" w:hAnsi="Calibri" w:cs="Times New Roman"/>
        </w:rPr>
        <w:t xml:space="preserve"> taste and </w:t>
      </w:r>
      <w:r w:rsidR="006C1F78" w:rsidRPr="00340DD1">
        <w:rPr>
          <w:rFonts w:ascii="Calibri" w:hAnsi="Calibri" w:cs="Times New Roman"/>
        </w:rPr>
        <w:t>enjoyment reasons. Lifestyle reasons</w:t>
      </w:r>
      <w:r w:rsidR="00E81833" w:rsidRPr="00340DD1">
        <w:rPr>
          <w:rFonts w:ascii="Calibri" w:hAnsi="Calibri" w:cs="Times New Roman"/>
        </w:rPr>
        <w:t xml:space="preserve"> for changing drinking patterns</w:t>
      </w:r>
      <w:r w:rsidR="006C1F78" w:rsidRPr="00340DD1">
        <w:rPr>
          <w:rFonts w:ascii="Calibri" w:hAnsi="Calibri" w:cs="Times New Roman"/>
        </w:rPr>
        <w:t xml:space="preserve"> such as work</w:t>
      </w:r>
      <w:r w:rsidR="006A35F0" w:rsidRPr="00340DD1">
        <w:rPr>
          <w:rFonts w:ascii="Calibri" w:hAnsi="Calibri" w:cs="Times New Roman"/>
        </w:rPr>
        <w:t>/</w:t>
      </w:r>
      <w:r w:rsidR="006C1F78" w:rsidRPr="00340DD1">
        <w:rPr>
          <w:rFonts w:ascii="Calibri" w:hAnsi="Calibri" w:cs="Times New Roman"/>
        </w:rPr>
        <w:t xml:space="preserve">study and having a young family </w:t>
      </w:r>
      <w:r w:rsidR="00E81833" w:rsidRPr="00340DD1">
        <w:rPr>
          <w:rFonts w:ascii="Calibri" w:hAnsi="Calibri" w:cs="Times New Roman"/>
        </w:rPr>
        <w:t>make intuitive sense as part of</w:t>
      </w:r>
      <w:r w:rsidR="006C1F78" w:rsidRPr="00340DD1">
        <w:rPr>
          <w:rFonts w:ascii="Calibri" w:hAnsi="Calibri" w:cs="Times New Roman"/>
        </w:rPr>
        <w:t xml:space="preserve"> </w:t>
      </w:r>
      <w:r w:rsidRPr="00340DD1">
        <w:rPr>
          <w:rFonts w:ascii="Calibri" w:hAnsi="Calibri" w:cs="Times New Roman"/>
        </w:rPr>
        <w:t>young</w:t>
      </w:r>
      <w:r w:rsidR="006C1F78" w:rsidRPr="00340DD1">
        <w:rPr>
          <w:rFonts w:ascii="Calibri" w:hAnsi="Calibri" w:cs="Times New Roman"/>
        </w:rPr>
        <w:t xml:space="preserve"> </w:t>
      </w:r>
      <w:r w:rsidRPr="00340DD1">
        <w:rPr>
          <w:rFonts w:ascii="Calibri" w:hAnsi="Calibri" w:cs="Times New Roman"/>
        </w:rPr>
        <w:t>adulthood</w:t>
      </w:r>
      <w:r w:rsidR="00E81833" w:rsidRPr="00340DD1">
        <w:rPr>
          <w:rFonts w:ascii="Calibri" w:hAnsi="Calibri" w:cs="Times New Roman"/>
        </w:rPr>
        <w:t xml:space="preserve">. In contrast, </w:t>
      </w:r>
      <w:r w:rsidR="006C1F78" w:rsidRPr="00340DD1">
        <w:rPr>
          <w:rFonts w:ascii="Calibri" w:hAnsi="Calibri" w:cs="Times New Roman"/>
        </w:rPr>
        <w:t xml:space="preserve">social </w:t>
      </w:r>
      <w:r w:rsidR="004D5C94" w:rsidRPr="00340DD1">
        <w:rPr>
          <w:rFonts w:ascii="Calibri" w:hAnsi="Calibri" w:cs="Times New Roman"/>
        </w:rPr>
        <w:t xml:space="preserve">reasons </w:t>
      </w:r>
      <w:r w:rsidR="006C1F78" w:rsidRPr="00340DD1">
        <w:rPr>
          <w:rFonts w:ascii="Calibri" w:hAnsi="Calibri" w:cs="Times New Roman"/>
        </w:rPr>
        <w:t xml:space="preserve">such as believing in moderation being concerned about violence </w:t>
      </w:r>
      <w:r w:rsidR="00872977" w:rsidRPr="00340DD1">
        <w:rPr>
          <w:rFonts w:ascii="Calibri" w:hAnsi="Calibri" w:cs="Times New Roman"/>
        </w:rPr>
        <w:t xml:space="preserve">and </w:t>
      </w:r>
      <w:r w:rsidR="004D5C94" w:rsidRPr="00340DD1">
        <w:rPr>
          <w:rFonts w:ascii="Calibri" w:hAnsi="Calibri" w:cs="Times New Roman"/>
        </w:rPr>
        <w:t xml:space="preserve">wanting to avoid drunkenness (reported by </w:t>
      </w:r>
      <w:r w:rsidR="00872977" w:rsidRPr="00340DD1">
        <w:rPr>
          <w:rFonts w:ascii="Calibri" w:hAnsi="Calibri" w:cs="Times New Roman"/>
        </w:rPr>
        <w:t xml:space="preserve">both </w:t>
      </w:r>
      <w:r w:rsidR="004D5C94" w:rsidRPr="00340DD1">
        <w:rPr>
          <w:rFonts w:ascii="Calibri" w:hAnsi="Calibri" w:cs="Times New Roman"/>
        </w:rPr>
        <w:t xml:space="preserve">younger and older groups) </w:t>
      </w:r>
      <w:r w:rsidR="006C1F78" w:rsidRPr="00340DD1">
        <w:rPr>
          <w:rFonts w:ascii="Calibri" w:hAnsi="Calibri" w:cs="Times New Roman"/>
        </w:rPr>
        <w:t xml:space="preserve">and </w:t>
      </w:r>
      <w:r w:rsidR="00E26D38" w:rsidRPr="00340DD1">
        <w:rPr>
          <w:rFonts w:ascii="Calibri" w:hAnsi="Calibri" w:cs="Times New Roman"/>
        </w:rPr>
        <w:t xml:space="preserve">not enjoying </w:t>
      </w:r>
      <w:r w:rsidR="006C1F78" w:rsidRPr="00340DD1">
        <w:rPr>
          <w:rFonts w:ascii="Calibri" w:hAnsi="Calibri" w:cs="Times New Roman"/>
        </w:rPr>
        <w:t xml:space="preserve">getting drunk </w:t>
      </w:r>
      <w:r w:rsidR="004D5C94" w:rsidRPr="00340DD1">
        <w:rPr>
          <w:rFonts w:ascii="Calibri" w:hAnsi="Calibri" w:cs="Times New Roman"/>
        </w:rPr>
        <w:t xml:space="preserve">(reported by younger groups) </w:t>
      </w:r>
      <w:r w:rsidR="006C1F78" w:rsidRPr="00340DD1">
        <w:rPr>
          <w:rFonts w:ascii="Calibri" w:hAnsi="Calibri" w:cs="Times New Roman"/>
        </w:rPr>
        <w:t xml:space="preserve">are interesting </w:t>
      </w:r>
      <w:r w:rsidR="00E26D38" w:rsidRPr="00340DD1">
        <w:rPr>
          <w:rFonts w:ascii="Calibri" w:hAnsi="Calibri" w:cs="Times New Roman"/>
        </w:rPr>
        <w:t xml:space="preserve">as they </w:t>
      </w:r>
      <w:r w:rsidR="00F40997" w:rsidRPr="00340DD1">
        <w:rPr>
          <w:rFonts w:ascii="Calibri" w:hAnsi="Calibri" w:cs="Times New Roman"/>
        </w:rPr>
        <w:t xml:space="preserve">support the hypothesis that </w:t>
      </w:r>
      <w:r w:rsidR="006C1F78" w:rsidRPr="00340DD1">
        <w:rPr>
          <w:rFonts w:ascii="Calibri" w:hAnsi="Calibri" w:cs="Times New Roman"/>
        </w:rPr>
        <w:t xml:space="preserve">declining rates of drinking in Australia </w:t>
      </w:r>
      <w:r w:rsidR="003A4E88" w:rsidRPr="00340DD1">
        <w:rPr>
          <w:rFonts w:ascii="Calibri" w:hAnsi="Calibri" w:cs="Times New Roman"/>
        </w:rPr>
        <w:t>might be</w:t>
      </w:r>
      <w:r w:rsidR="00F40997" w:rsidRPr="00340DD1">
        <w:rPr>
          <w:rFonts w:ascii="Calibri" w:hAnsi="Calibri" w:cs="Times New Roman"/>
        </w:rPr>
        <w:t xml:space="preserve"> </w:t>
      </w:r>
      <w:r w:rsidR="006C1F78" w:rsidRPr="00340DD1">
        <w:rPr>
          <w:rFonts w:ascii="Calibri" w:hAnsi="Calibri" w:cs="Times New Roman"/>
        </w:rPr>
        <w:t xml:space="preserve">influenced by </w:t>
      </w:r>
      <w:r w:rsidR="00E26D38" w:rsidRPr="00340DD1">
        <w:rPr>
          <w:rFonts w:ascii="Calibri" w:hAnsi="Calibri" w:cs="Times New Roman"/>
        </w:rPr>
        <w:t xml:space="preserve">a </w:t>
      </w:r>
      <w:r w:rsidR="006C1F78" w:rsidRPr="00340DD1">
        <w:rPr>
          <w:rFonts w:ascii="Calibri" w:hAnsi="Calibri" w:cs="Times New Roman"/>
        </w:rPr>
        <w:t xml:space="preserve">shifting social position of </w:t>
      </w:r>
      <w:r w:rsidR="00E81833" w:rsidRPr="00340DD1">
        <w:rPr>
          <w:rFonts w:ascii="Calibri" w:hAnsi="Calibri" w:cs="Times New Roman"/>
        </w:rPr>
        <w:t xml:space="preserve">alcohol. </w:t>
      </w:r>
      <w:proofErr w:type="gramStart"/>
      <w:r w:rsidR="00E81833" w:rsidRPr="00340DD1">
        <w:rPr>
          <w:rFonts w:ascii="Calibri" w:hAnsi="Calibri" w:cs="Times New Roman"/>
        </w:rPr>
        <w:t>In</w:t>
      </w:r>
      <w:r w:rsidRPr="00340DD1">
        <w:rPr>
          <w:rFonts w:ascii="Calibri" w:hAnsi="Calibri" w:cs="Times New Roman"/>
        </w:rPr>
        <w:t xml:space="preserve"> particular, </w:t>
      </w:r>
      <w:r w:rsidR="00E81833" w:rsidRPr="00340DD1">
        <w:rPr>
          <w:rFonts w:ascii="Calibri" w:hAnsi="Calibri" w:cs="Times New Roman"/>
        </w:rPr>
        <w:t>this</w:t>
      </w:r>
      <w:proofErr w:type="gramEnd"/>
      <w:r w:rsidR="00E81833" w:rsidRPr="00340DD1">
        <w:rPr>
          <w:rFonts w:ascii="Calibri" w:hAnsi="Calibri" w:cs="Times New Roman"/>
        </w:rPr>
        <w:t xml:space="preserve"> appears to entail </w:t>
      </w:r>
      <w:r w:rsidRPr="00340DD1">
        <w:t>a change in social norms that limit the acceptability of heavy or frequent drinking</w:t>
      </w:r>
      <w:r w:rsidR="00E26D38" w:rsidRPr="00340DD1">
        <w:t>, especially</w:t>
      </w:r>
      <w:r w:rsidRPr="00340DD1">
        <w:t xml:space="preserve"> among young people</w:t>
      </w:r>
      <w:r w:rsidR="006C1F78" w:rsidRPr="00340DD1">
        <w:rPr>
          <w:rFonts w:ascii="Calibri" w:hAnsi="Calibri" w:cs="Times New Roman"/>
        </w:rPr>
        <w:t xml:space="preserve">. Indeed, we know that </w:t>
      </w:r>
      <w:r w:rsidR="006C1F78" w:rsidRPr="00340DD1">
        <w:t xml:space="preserve">attitudes to alcohol have become more conservative over time </w:t>
      </w:r>
      <w:r w:rsidRPr="00340DD1">
        <w:t xml:space="preserve">in Australia </w:t>
      </w:r>
      <w:r w:rsidR="006C1F78" w:rsidRPr="00340DD1">
        <w:fldChar w:fldCharType="begin"/>
      </w:r>
      <w:r w:rsidR="006A35F0" w:rsidRPr="00340DD1">
        <w:instrText xml:space="preserve"> ADDIN EN.CITE &lt;EndNote&gt;&lt;Cite&gt;&lt;Author&gt;Livingston&lt;/Author&gt;&lt;Year&gt;2017&lt;/Year&gt;&lt;RecNum&gt;131&lt;/RecNum&gt;&lt;DisplayText&gt;(Livingston and Callinan, 2017)&lt;/DisplayText&gt;&lt;record&gt;&lt;rec-number&gt;131&lt;/rec-number&gt;&lt;foreign-keys&gt;&lt;key app="EN" db-id="xr20xxrwks2v5re509w5r2pftxrevzzxpp0p" timestamp="1490674637"&gt;131&lt;/key&gt;&lt;/foreign-keys&gt;&lt;ref-type name="Journal Article"&gt;17&lt;/ref-type&gt;&lt;contributors&gt;&lt;authors&gt;&lt;author&gt;Livingston, M.&lt;/author&gt;&lt;author&gt;Callinan, S.&lt;/author&gt;&lt;/authors&gt;&lt;/contributors&gt;&lt;titles&gt;&lt;title&gt;Changing attitudes to alcohol in Australia&lt;/title&gt;&lt;secondary-title&gt;Journal of Studies on Alcohol and Drugs&lt;/secondary-title&gt;&lt;/titles&gt;&lt;periodical&gt;&lt;full-title&gt;Journal of Studies on Alcohol and Drugs&lt;/full-title&gt;&lt;/periodical&gt;&lt;pages&gt;844-852&lt;/pages&gt;&lt;volume&gt;78&lt;/volume&gt;&lt;number&gt;6&lt;/number&gt;&lt;dates&gt;&lt;year&gt;2017&lt;/year&gt;&lt;/dates&gt;&lt;urls&gt;&lt;/urls&gt;&lt;/record&gt;&lt;/Cite&gt;&lt;/EndNote&gt;</w:instrText>
      </w:r>
      <w:r w:rsidR="006C1F78" w:rsidRPr="00340DD1">
        <w:fldChar w:fldCharType="separate"/>
      </w:r>
      <w:r w:rsidR="00EC6699" w:rsidRPr="00340DD1">
        <w:rPr>
          <w:noProof/>
        </w:rPr>
        <w:t>(Livingston and Callinan, 2017)</w:t>
      </w:r>
      <w:r w:rsidR="006C1F78" w:rsidRPr="00340DD1">
        <w:fldChar w:fldCharType="end"/>
      </w:r>
      <w:r w:rsidR="00E26D38" w:rsidRPr="00340DD1">
        <w:t xml:space="preserve">, which may be in part influenced by increased attention to alcohol use, greater understanding of the negative effects of alcohol, and a subsequent increase over time in alcohol-related prevention and education programs </w:t>
      </w:r>
      <w:r w:rsidR="00E26D38" w:rsidRPr="00340DD1">
        <w:fldChar w:fldCharType="begin">
          <w:fldData xml:space="preserve">PEVuZE5vdGU+PENpdGU+PEF1dGhvcj5CYXR0YWNoYXJ5YTwvQXV0aG9yPjxZZWFyPjIwMTY8L1ll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</w:fldData>
        </w:fldChar>
      </w:r>
      <w:r w:rsidR="00EC6699" w:rsidRPr="00340DD1">
        <w:instrText xml:space="preserve"> ADDIN EN.CITE </w:instrText>
      </w:r>
      <w:r w:rsidR="00EC6699" w:rsidRPr="00340DD1">
        <w:fldChar w:fldCharType="begin">
          <w:fldData xml:space="preserve">PEVuZE5vdGU+PENpdGU+PEF1dGhvcj5CYXR0YWNoYXJ5YTwvQXV0aG9yPjxZZWFyPjIwMTY8L1ll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</w:fldData>
        </w:fldChar>
      </w:r>
      <w:r w:rsidR="00EC6699" w:rsidRPr="00340DD1">
        <w:instrText xml:space="preserve"> ADDIN EN.CITE.DATA </w:instrText>
      </w:r>
      <w:r w:rsidR="00EC6699" w:rsidRPr="00340DD1">
        <w:fldChar w:fldCharType="end"/>
      </w:r>
      <w:r w:rsidR="00E26D38" w:rsidRPr="00340DD1">
        <w:fldChar w:fldCharType="separate"/>
      </w:r>
      <w:r w:rsidR="00EC6699" w:rsidRPr="00340DD1">
        <w:rPr>
          <w:noProof/>
        </w:rPr>
        <w:t>(Battacharya, 2016, de Looze et al., 2015, Pennay et al., 2015)</w:t>
      </w:r>
      <w:r w:rsidR="00E26D38" w:rsidRPr="00340DD1">
        <w:fldChar w:fldCharType="end"/>
      </w:r>
      <w:r w:rsidRPr="00340DD1">
        <w:t>.</w:t>
      </w:r>
      <w:r w:rsidR="00487614" w:rsidRPr="00340DD1">
        <w:t xml:space="preserve"> High rates of ‘other’</w:t>
      </w:r>
      <w:r w:rsidR="00D77066" w:rsidRPr="00340DD1">
        <w:t xml:space="preserve"> as a reason</w:t>
      </w:r>
      <w:r w:rsidR="00487614" w:rsidRPr="00340DD1">
        <w:t xml:space="preserve"> selected for ceasing drinking among all age groups and for reducing drinking among </w:t>
      </w:r>
      <w:proofErr w:type="gramStart"/>
      <w:r w:rsidR="00487614" w:rsidRPr="00340DD1">
        <w:t>14-17 year</w:t>
      </w:r>
      <w:proofErr w:type="gramEnd"/>
      <w:r w:rsidR="00487614" w:rsidRPr="00340DD1">
        <w:t xml:space="preserve"> </w:t>
      </w:r>
      <w:proofErr w:type="spellStart"/>
      <w:r w:rsidR="00487614" w:rsidRPr="00340DD1">
        <w:t>olds</w:t>
      </w:r>
      <w:proofErr w:type="spellEnd"/>
      <w:r w:rsidR="00487614" w:rsidRPr="00340DD1">
        <w:t xml:space="preserve"> raises the probability that there are important alternative explanations for reducing or ceasing drinking not picked up by the response options in the survey. For example, it has been suggested the increased use of digital technology and socialising more online or in spaces where drinking is not normative may be a factor driving reductions in drinking </w:t>
      </w:r>
      <w:r w:rsidR="00487614" w:rsidRPr="00340DD1">
        <w:fldChar w:fldCharType="begin"/>
      </w:r>
      <w:r w:rsidR="00EC6699" w:rsidRPr="00340DD1">
        <w:instrText xml:space="preserve"> ADDIN EN.CITE &lt;EndNote&gt;&lt;Cite&gt;&lt;Author&gt;Battacharya&lt;/Author&gt;&lt;Year&gt;2016&lt;/Year&gt;&lt;RecNum&gt;130&lt;/RecNum&gt;&lt;DisplayText&gt;(Battacharya, 2016, Pennay et al., 2015)&lt;/DisplayText&gt;&lt;record&gt;&lt;rec-number&gt;130&lt;/rec-number&gt;&lt;foreign-keys&gt;&lt;key app="EN" db-id="xr20xxrwks2v5re509w5r2pftxrevzzxpp0p" timestamp="1490674637"&gt;130&lt;/key&gt;&lt;/foreign-keys&gt;&lt;ref-type name="Report"&gt;27&lt;/ref-type&gt;&lt;contributors&gt;&lt;authors&gt;&lt;author&gt;Battacharya, A,&lt;/author&gt;&lt;/authors&gt;&lt;/contributors&gt;&lt;titles&gt;&lt;title&gt;Youthful Abandon: Why are young people drinking less?&lt;/title&gt;&lt;/titles&gt;&lt;dates&gt;&lt;year&gt;2016&lt;/year&gt;&lt;/dates&gt;&lt;pub-location&gt;London&lt;/pub-location&gt;&lt;publisher&gt;Institute of Alcohol Studies&lt;/publisher&gt;&lt;urls&gt;&lt;/urls&gt;&lt;/record&gt;&lt;/Cite&gt;&lt;Cite&gt;&lt;Author&gt;Pennay&lt;/Author&gt;&lt;Year&gt;2015&lt;/Year&gt;&lt;RecNum&gt;74&lt;/RecNum&gt;&lt;record&gt;&lt;rec-number&gt;74&lt;/rec-number&gt;&lt;foreign-keys&gt;&lt;key app="EN" db-id="xr20xxrwks2v5re509w5r2pftxrevzzxpp0p" timestamp="1421881533"&gt;74&lt;/key&gt;&lt;/foreign-keys&gt;&lt;ref-type name="Journal Article"&gt;17&lt;/ref-type&gt;&lt;contributors&gt;&lt;authors&gt;&lt;author&gt;Pennay, A.&lt;/author&gt;&lt;author&gt;Livingston, M.&lt;/author&gt;&lt;author&gt;MacLean, S.&lt;/author&gt;&lt;/authors&gt;&lt;/contributors&gt;&lt;titles&gt;&lt;title&gt;Young people are drinking less: it&amp;apos;s time to find out why&lt;/title&gt;&lt;secondary-title&gt;Drug and Alcohol Review&lt;/secondary-title&gt;&lt;/titles&gt;&lt;periodical&gt;&lt;full-title&gt;Drug and Alcohol Review&lt;/full-title&gt;&lt;/periodical&gt;&lt;pages&gt;115-118&lt;/pages&gt;&lt;volume&gt;34&lt;/volume&gt;&lt;number&gt;2&lt;/number&gt;&lt;dates&gt;&lt;year&gt;2015&lt;/year&gt;&lt;/dates&gt;&lt;urls&gt;&lt;/urls&gt;&lt;/record&gt;&lt;/Cite&gt;&lt;/EndNote&gt;</w:instrText>
      </w:r>
      <w:r w:rsidR="00487614" w:rsidRPr="00340DD1">
        <w:fldChar w:fldCharType="separate"/>
      </w:r>
      <w:r w:rsidR="00EC6699" w:rsidRPr="00340DD1">
        <w:rPr>
          <w:noProof/>
        </w:rPr>
        <w:t>(Battacharya, 2016, Pennay et al., 2015)</w:t>
      </w:r>
      <w:r w:rsidR="00487614" w:rsidRPr="00340DD1">
        <w:fldChar w:fldCharType="end"/>
      </w:r>
      <w:r w:rsidR="00487614" w:rsidRPr="00340DD1">
        <w:t xml:space="preserve">. </w:t>
      </w:r>
    </w:p>
    <w:p w14:paraId="625C551C" w14:textId="4EBD7BCD" w:rsidR="00914860" w:rsidRPr="00340DD1" w:rsidRDefault="00583445" w:rsidP="005026AF">
      <w:pPr>
        <w:spacing w:line="360" w:lineRule="auto"/>
        <w:rPr>
          <w:rFonts w:ascii="Calibri" w:hAnsi="Calibri" w:cs="Times New Roman"/>
        </w:rPr>
      </w:pPr>
      <w:r w:rsidRPr="00340DD1">
        <w:t xml:space="preserve">Most of the other reasons for reducing or ceasing drinking were </w:t>
      </w:r>
      <w:r w:rsidR="00D62D0C" w:rsidRPr="00340DD1">
        <w:t>as might be expected</w:t>
      </w:r>
      <w:r w:rsidR="00D77066" w:rsidRPr="00340DD1">
        <w:t xml:space="preserve">, with </w:t>
      </w:r>
      <w:r w:rsidR="004D5C94" w:rsidRPr="00340DD1">
        <w:t xml:space="preserve">finances </w:t>
      </w:r>
      <w:r w:rsidR="00D77066" w:rsidRPr="00340DD1">
        <w:t xml:space="preserve">a bigger issue </w:t>
      </w:r>
      <w:r w:rsidR="00914860" w:rsidRPr="00340DD1">
        <w:t>for younger groups</w:t>
      </w:r>
      <w:r w:rsidR="00F40997" w:rsidRPr="00340DD1">
        <w:t>,</w:t>
      </w:r>
      <w:r w:rsidR="00914860" w:rsidRPr="00340DD1">
        <w:t xml:space="preserve"> and </w:t>
      </w:r>
      <w:r w:rsidRPr="00340DD1">
        <w:rPr>
          <w:rFonts w:ascii="Calibri" w:hAnsi="Calibri" w:cs="Times New Roman"/>
        </w:rPr>
        <w:t>d</w:t>
      </w:r>
      <w:r w:rsidR="006C1F78" w:rsidRPr="00340DD1">
        <w:rPr>
          <w:rFonts w:ascii="Calibri" w:hAnsi="Calibri" w:cs="Times New Roman"/>
        </w:rPr>
        <w:t xml:space="preserve">rink driving </w:t>
      </w:r>
      <w:r w:rsidR="00905336" w:rsidRPr="00340DD1">
        <w:rPr>
          <w:rFonts w:ascii="Calibri" w:hAnsi="Calibri" w:cs="Times New Roman"/>
        </w:rPr>
        <w:t xml:space="preserve">a concern </w:t>
      </w:r>
      <w:r w:rsidRPr="00340DD1">
        <w:rPr>
          <w:rFonts w:ascii="Calibri" w:hAnsi="Calibri" w:cs="Times New Roman"/>
        </w:rPr>
        <w:t xml:space="preserve">for </w:t>
      </w:r>
      <w:proofErr w:type="gramStart"/>
      <w:r w:rsidRPr="00340DD1">
        <w:rPr>
          <w:rFonts w:ascii="Calibri" w:hAnsi="Calibri" w:cs="Times New Roman"/>
        </w:rPr>
        <w:t>18-23 year</w:t>
      </w:r>
      <w:proofErr w:type="gramEnd"/>
      <w:r w:rsidRPr="00340DD1">
        <w:rPr>
          <w:rFonts w:ascii="Calibri" w:hAnsi="Calibri" w:cs="Times New Roman"/>
        </w:rPr>
        <w:t xml:space="preserve"> </w:t>
      </w:r>
      <w:proofErr w:type="spellStart"/>
      <w:r w:rsidRPr="00340DD1">
        <w:rPr>
          <w:rFonts w:ascii="Calibri" w:hAnsi="Calibri" w:cs="Times New Roman"/>
        </w:rPr>
        <w:t>olds</w:t>
      </w:r>
      <w:proofErr w:type="spellEnd"/>
      <w:r w:rsidR="00914860" w:rsidRPr="00340DD1">
        <w:rPr>
          <w:rFonts w:ascii="Calibri" w:hAnsi="Calibri" w:cs="Times New Roman"/>
        </w:rPr>
        <w:t xml:space="preserve"> as</w:t>
      </w:r>
      <w:r w:rsidR="00E26D38" w:rsidRPr="00340DD1">
        <w:rPr>
          <w:rFonts w:ascii="Calibri" w:hAnsi="Calibri" w:cs="Times New Roman"/>
        </w:rPr>
        <w:t xml:space="preserve"> 18 is the </w:t>
      </w:r>
      <w:r w:rsidR="00292EF7" w:rsidRPr="00340DD1">
        <w:rPr>
          <w:rFonts w:ascii="Calibri" w:hAnsi="Calibri" w:cs="Times New Roman"/>
        </w:rPr>
        <w:t xml:space="preserve">minimum eligible </w:t>
      </w:r>
      <w:r w:rsidR="00E26D38" w:rsidRPr="00340DD1">
        <w:rPr>
          <w:rFonts w:ascii="Calibri" w:hAnsi="Calibri" w:cs="Times New Roman"/>
        </w:rPr>
        <w:t xml:space="preserve">age </w:t>
      </w:r>
      <w:r w:rsidR="00292EF7" w:rsidRPr="00340DD1">
        <w:rPr>
          <w:rFonts w:ascii="Calibri" w:hAnsi="Calibri" w:cs="Times New Roman"/>
        </w:rPr>
        <w:t xml:space="preserve">to receive a </w:t>
      </w:r>
      <w:r w:rsidR="00914860" w:rsidRPr="00340DD1">
        <w:rPr>
          <w:rFonts w:ascii="Calibri" w:hAnsi="Calibri" w:cs="Times New Roman"/>
        </w:rPr>
        <w:t>probationary driver</w:t>
      </w:r>
      <w:r w:rsidR="00E26D38" w:rsidRPr="00340DD1">
        <w:rPr>
          <w:rFonts w:ascii="Calibri" w:hAnsi="Calibri" w:cs="Times New Roman"/>
        </w:rPr>
        <w:t>’</w:t>
      </w:r>
      <w:r w:rsidR="00905336" w:rsidRPr="00340DD1">
        <w:rPr>
          <w:rFonts w:ascii="Calibri" w:hAnsi="Calibri" w:cs="Times New Roman"/>
        </w:rPr>
        <w:t>s licence</w:t>
      </w:r>
      <w:r w:rsidR="00914860" w:rsidRPr="00340DD1">
        <w:rPr>
          <w:rFonts w:ascii="Calibri" w:hAnsi="Calibri" w:cs="Times New Roman"/>
        </w:rPr>
        <w:t xml:space="preserve"> in Australia</w:t>
      </w:r>
      <w:r w:rsidR="00292EF7" w:rsidRPr="00340DD1">
        <w:rPr>
          <w:rFonts w:ascii="Calibri" w:hAnsi="Calibri" w:cs="Times New Roman"/>
        </w:rPr>
        <w:t>,</w:t>
      </w:r>
      <w:r w:rsidR="00914860" w:rsidRPr="00340DD1">
        <w:rPr>
          <w:rFonts w:ascii="Calibri" w:hAnsi="Calibri" w:cs="Times New Roman"/>
        </w:rPr>
        <w:t xml:space="preserve"> and a zero blood alcohol limit </w:t>
      </w:r>
      <w:r w:rsidR="00292EF7" w:rsidRPr="00340DD1">
        <w:rPr>
          <w:rFonts w:ascii="Calibri" w:hAnsi="Calibri" w:cs="Times New Roman"/>
        </w:rPr>
        <w:t xml:space="preserve">is required for probationary drivers </w:t>
      </w:r>
      <w:r w:rsidR="00914860" w:rsidRPr="00340DD1">
        <w:rPr>
          <w:rFonts w:ascii="Calibri" w:hAnsi="Calibri" w:cs="Times New Roman"/>
        </w:rPr>
        <w:t xml:space="preserve">for </w:t>
      </w:r>
      <w:r w:rsidR="00292EF7" w:rsidRPr="00340DD1">
        <w:rPr>
          <w:rFonts w:ascii="Calibri" w:hAnsi="Calibri" w:cs="Times New Roman"/>
        </w:rPr>
        <w:t xml:space="preserve">a period of </w:t>
      </w:r>
      <w:r w:rsidR="00914860" w:rsidRPr="00340DD1">
        <w:rPr>
          <w:rFonts w:ascii="Calibri" w:hAnsi="Calibri" w:cs="Times New Roman"/>
        </w:rPr>
        <w:t>three years.</w:t>
      </w:r>
      <w:r w:rsidRPr="00340DD1">
        <w:rPr>
          <w:rFonts w:ascii="Calibri" w:hAnsi="Calibri" w:cs="Times New Roman"/>
        </w:rPr>
        <w:t xml:space="preserve"> </w:t>
      </w:r>
      <w:r w:rsidR="00914860" w:rsidRPr="00340DD1">
        <w:rPr>
          <w:rFonts w:ascii="Calibri" w:hAnsi="Calibri" w:cs="Times New Roman"/>
        </w:rPr>
        <w:t xml:space="preserve">Parental and peer pressure was </w:t>
      </w:r>
      <w:r w:rsidR="00905336" w:rsidRPr="00340DD1">
        <w:rPr>
          <w:rFonts w:ascii="Calibri" w:hAnsi="Calibri" w:cs="Times New Roman"/>
        </w:rPr>
        <w:t xml:space="preserve">a factor </w:t>
      </w:r>
      <w:r w:rsidR="00914860" w:rsidRPr="00340DD1">
        <w:rPr>
          <w:rFonts w:ascii="Calibri" w:hAnsi="Calibri" w:cs="Times New Roman"/>
        </w:rPr>
        <w:t xml:space="preserve">for some 14-17 year </w:t>
      </w:r>
      <w:proofErr w:type="spellStart"/>
      <w:r w:rsidR="00914860" w:rsidRPr="00340DD1">
        <w:rPr>
          <w:rFonts w:ascii="Calibri" w:hAnsi="Calibri" w:cs="Times New Roman"/>
        </w:rPr>
        <w:t>olds</w:t>
      </w:r>
      <w:proofErr w:type="spellEnd"/>
      <w:r w:rsidR="00914860" w:rsidRPr="00340DD1">
        <w:rPr>
          <w:rFonts w:ascii="Calibri" w:hAnsi="Calibri" w:cs="Times New Roman"/>
        </w:rPr>
        <w:t xml:space="preserve">, which may partially support another </w:t>
      </w:r>
      <w:r w:rsidR="00914860" w:rsidRPr="00340DD1">
        <w:t xml:space="preserve">hypothesised explanation </w:t>
      </w:r>
      <w:r w:rsidR="00914860" w:rsidRPr="00340DD1">
        <w:lastRenderedPageBreak/>
        <w:t>that changes in parental monitoring (restricting supply), and modelling (parents</w:t>
      </w:r>
      <w:r w:rsidR="005007E9" w:rsidRPr="00340DD1">
        <w:t>’</w:t>
      </w:r>
      <w:r w:rsidR="00914860" w:rsidRPr="00340DD1">
        <w:t xml:space="preserve"> own behaviour and disapproval of youth alcohol use), may have influenced recent shifts in youth drinking practices </w:t>
      </w:r>
      <w:r w:rsidR="00914860" w:rsidRPr="00340DD1">
        <w:fldChar w:fldCharType="begin"/>
      </w:r>
      <w:r w:rsidR="00531BCC" w:rsidRPr="00340DD1">
        <w:instrText xml:space="preserve"> ADDIN EN.CITE &lt;EndNote&gt;&lt;Cite&gt;&lt;Author&gt;Pennay&lt;/Author&gt;&lt;Year&gt;2015&lt;/Year&gt;&lt;RecNum&gt;74&lt;/RecNum&gt;&lt;DisplayText&gt;(Pennay et al., 2015, de Looze et al., 2014)&lt;/DisplayText&gt;&lt;record&gt;&lt;rec-number&gt;74&lt;/rec-number&gt;&lt;foreign-keys&gt;&lt;key app="EN" db-id="xr20xxrwks2v5re509w5r2pftxrevzzxpp0p" timestamp="1421881533"&gt;74&lt;/key&gt;&lt;/foreign-keys&gt;&lt;ref-type name="Journal Article"&gt;17&lt;/ref-type&gt;&lt;contributors&gt;&lt;authors&gt;&lt;author&gt;Pennay, A.&lt;/author&gt;&lt;author&gt;Livingston, M.&lt;/author&gt;&lt;author&gt;MacLean, S.&lt;/author&gt;&lt;/authors&gt;&lt;/contributors&gt;&lt;titles&gt;&lt;title&gt;Young people are drinking less: it&amp;apos;s time to find out why&lt;/title&gt;&lt;secondary-title&gt;Drug and Alcohol Review&lt;/secondary-title&gt;&lt;/titles&gt;&lt;periodical&gt;&lt;full-title&gt;Drug and Alcohol Review&lt;/full-title&gt;&lt;/periodical&gt;&lt;pages&gt;115-118&lt;/pages&gt;&lt;volume&gt;34&lt;/volume&gt;&lt;number&gt;2&lt;/number&gt;&lt;dates&gt;&lt;year&gt;2015&lt;/year&gt;&lt;/dates&gt;&lt;urls&gt;&lt;/urls&gt;&lt;/record&gt;&lt;/Cite&gt;&lt;Cite&gt;&lt;Author&gt;de Looze&lt;/Author&gt;&lt;Year&gt;2014&lt;/Year&gt;&lt;RecNum&gt;194&lt;/RecNum&gt;&lt;record&gt;&lt;rec-number&gt;194&lt;/rec-number&gt;&lt;foreign-keys&gt;&lt;key app="EN" db-id="xr20xxrwks2v5re509w5r2pftxrevzzxpp0p" timestamp="1506468234"&gt;194&lt;/key&gt;&lt;/foreign-keys&gt;&lt;ref-type name="Journal Article"&gt;17&lt;/ref-type&gt;&lt;contributors&gt;&lt;authors&gt;&lt;author&gt;de Looze, M.&lt;/author&gt;&lt;author&gt;Vermeulen-Smit, E.&lt;/author&gt;&lt;author&gt;Ter Bogt, T.&lt;/author&gt;&lt;author&gt;van Dorsselaer, S.&lt;/author&gt;&lt;author&gt;Verdurmen, J.&lt;/author&gt;&lt;author&gt;Schulten, I.&lt;/author&gt;&lt;author&gt;Engels, R.&lt;/author&gt;&lt;author&gt;Vollebergh, W.&lt;/author&gt;&lt;/authors&gt;&lt;/contributors&gt;&lt;titles&gt;&lt;title&gt;Trends in alcohol-specific parenting practices and adolescent alcohol use between 2007 and 2011 in the Netherlands&lt;/title&gt;&lt;secondary-title&gt;International Journal of Drug Policy&lt;/secondary-title&gt;&lt;/titles&gt;&lt;periodical&gt;&lt;full-title&gt;International Journal of Drug Policy&lt;/full-title&gt;&lt;/periodical&gt;&lt;pages&gt;133-141&lt;/pages&gt;&lt;volume&gt;25&lt;/volume&gt;&lt;number&gt;1&lt;/number&gt;&lt;dates&gt;&lt;year&gt;2014&lt;/year&gt;&lt;/dates&gt;&lt;urls&gt;&lt;/urls&gt;&lt;/record&gt;&lt;/Cite&gt;&lt;/EndNote&gt;</w:instrText>
      </w:r>
      <w:r w:rsidR="00914860" w:rsidRPr="00340DD1">
        <w:fldChar w:fldCharType="separate"/>
      </w:r>
      <w:r w:rsidR="00531BCC" w:rsidRPr="00340DD1">
        <w:rPr>
          <w:noProof/>
        </w:rPr>
        <w:t>(Pennay et al., 2015, de Looze et al., 2014)</w:t>
      </w:r>
      <w:r w:rsidR="00914860" w:rsidRPr="00340DD1">
        <w:fldChar w:fldCharType="end"/>
      </w:r>
      <w:r w:rsidR="00914860" w:rsidRPr="00340DD1">
        <w:t xml:space="preserve">. </w:t>
      </w:r>
      <w:r w:rsidR="00872977" w:rsidRPr="00340DD1">
        <w:t xml:space="preserve">Females </w:t>
      </w:r>
      <w:r w:rsidR="004B670F" w:rsidRPr="00340DD1">
        <w:t xml:space="preserve">were more likely to </w:t>
      </w:r>
      <w:r w:rsidR="00905336" w:rsidRPr="00340DD1">
        <w:t>report reducing</w:t>
      </w:r>
      <w:r w:rsidR="004B670F" w:rsidRPr="00340DD1">
        <w:t xml:space="preserve"> their alcohol use for health reasons and </w:t>
      </w:r>
      <w:r w:rsidR="00872977" w:rsidRPr="00340DD1">
        <w:t xml:space="preserve">males </w:t>
      </w:r>
      <w:r w:rsidR="004B670F" w:rsidRPr="00340DD1">
        <w:t xml:space="preserve">were more likely to </w:t>
      </w:r>
      <w:r w:rsidR="00905336" w:rsidRPr="00340DD1">
        <w:t>report ceasing</w:t>
      </w:r>
      <w:r w:rsidR="004B670F" w:rsidRPr="00340DD1">
        <w:t xml:space="preserve"> alcohol use due to health reasons,</w:t>
      </w:r>
      <w:r w:rsidR="0010365A" w:rsidRPr="00340DD1">
        <w:t xml:space="preserve"> which could suggest</w:t>
      </w:r>
      <w:r w:rsidR="004B670F" w:rsidRPr="00340DD1">
        <w:t xml:space="preserve"> a discrepancy in the health issues that were being </w:t>
      </w:r>
      <w:r w:rsidR="0010365A" w:rsidRPr="00340DD1">
        <w:t>conceptualised</w:t>
      </w:r>
      <w:r w:rsidR="00905336" w:rsidRPr="00340DD1">
        <w:t xml:space="preserve"> </w:t>
      </w:r>
      <w:r w:rsidR="004B670F" w:rsidRPr="00340DD1">
        <w:t xml:space="preserve">by </w:t>
      </w:r>
      <w:r w:rsidR="00872977" w:rsidRPr="00340DD1">
        <w:t xml:space="preserve">males </w:t>
      </w:r>
      <w:r w:rsidR="004B670F" w:rsidRPr="00340DD1">
        <w:t xml:space="preserve">and </w:t>
      </w:r>
      <w:r w:rsidR="00872977" w:rsidRPr="00340DD1">
        <w:t xml:space="preserve">females </w:t>
      </w:r>
      <w:r w:rsidR="00905336" w:rsidRPr="00340DD1">
        <w:t>in r</w:t>
      </w:r>
      <w:r w:rsidR="00C12675" w:rsidRPr="00340DD1">
        <w:t xml:space="preserve">esponse to this question. </w:t>
      </w:r>
      <w:r w:rsidR="00872977" w:rsidRPr="00340DD1">
        <w:t xml:space="preserve">Males </w:t>
      </w:r>
      <w:r w:rsidR="004B670F" w:rsidRPr="00340DD1">
        <w:t xml:space="preserve">being more likely than </w:t>
      </w:r>
      <w:r w:rsidR="00872977" w:rsidRPr="00340DD1">
        <w:t xml:space="preserve">females </w:t>
      </w:r>
      <w:r w:rsidR="004B670F" w:rsidRPr="00340DD1">
        <w:t xml:space="preserve">to reduce or cease drinking due to lifestyle and social reasons is </w:t>
      </w:r>
      <w:proofErr w:type="gramStart"/>
      <w:r w:rsidR="004B670F" w:rsidRPr="00340DD1">
        <w:t>interesting, and</w:t>
      </w:r>
      <w:proofErr w:type="gramEnd"/>
      <w:r w:rsidR="004B670F" w:rsidRPr="00340DD1">
        <w:t xml:space="preserve"> warrants further qualitative exploration.</w:t>
      </w:r>
      <w:r w:rsidR="00487614" w:rsidRPr="00340DD1">
        <w:t xml:space="preserve"> </w:t>
      </w:r>
    </w:p>
    <w:p w14:paraId="6AA7FE9F" w14:textId="49E010BF" w:rsidR="00397BE1" w:rsidRPr="00340DD1" w:rsidRDefault="00C12675" w:rsidP="005026AF">
      <w:pPr>
        <w:autoSpaceDE w:val="0"/>
        <w:autoSpaceDN w:val="0"/>
        <w:adjustRightInd w:val="0"/>
        <w:spacing w:line="360" w:lineRule="auto"/>
      </w:pPr>
      <w:r w:rsidRPr="00340DD1">
        <w:t>Differences particularly with regards to age, in reasons for reducing or ceasing drinking, point to th</w:t>
      </w:r>
      <w:r w:rsidR="00734EAC" w:rsidRPr="00340DD1">
        <w:t xml:space="preserve">e potential benefit of targeted </w:t>
      </w:r>
      <w:r w:rsidRPr="00340DD1">
        <w:t xml:space="preserve">alcohol prevention and harm reduction messages </w:t>
      </w:r>
      <w:r w:rsidR="00734EAC" w:rsidRPr="00340DD1">
        <w:t xml:space="preserve">for different groups. For example, health-related messages appear particularly salient for older populations and a focus on the pleasures of moderation, avoiding violence and ways to enjoy leisure time without intoxication might resonate more with younger groups. Alternatively, these findings point towards areas where progress might be made with certain groups. For example, young people do not appear particularly concerned about the health consequences of alcohol use, and so efforts to increase their knowledge </w:t>
      </w:r>
      <w:r w:rsidR="005613A4" w:rsidRPr="00340DD1">
        <w:t xml:space="preserve">in </w:t>
      </w:r>
      <w:proofErr w:type="gramStart"/>
      <w:r w:rsidR="005613A4" w:rsidRPr="00340DD1">
        <w:t>this regards</w:t>
      </w:r>
      <w:proofErr w:type="gramEnd"/>
      <w:r w:rsidR="005613A4" w:rsidRPr="00340DD1">
        <w:t xml:space="preserve"> might be fruitful in further decreasing drinking. </w:t>
      </w:r>
    </w:p>
    <w:p w14:paraId="72CEC0DB" w14:textId="77777777" w:rsidR="008948B2" w:rsidRPr="00340DD1" w:rsidRDefault="008948B2" w:rsidP="005026AF">
      <w:pPr>
        <w:autoSpaceDE w:val="0"/>
        <w:autoSpaceDN w:val="0"/>
        <w:adjustRightInd w:val="0"/>
        <w:spacing w:line="360" w:lineRule="auto"/>
        <w:rPr>
          <w:b/>
          <w:i/>
        </w:rPr>
      </w:pPr>
    </w:p>
    <w:p w14:paraId="07EA11B7" w14:textId="11011D53" w:rsidR="00441F94" w:rsidRPr="00340DD1" w:rsidRDefault="00441F94" w:rsidP="005026AF">
      <w:pPr>
        <w:autoSpaceDE w:val="0"/>
        <w:autoSpaceDN w:val="0"/>
        <w:adjustRightInd w:val="0"/>
        <w:spacing w:line="360" w:lineRule="auto"/>
        <w:rPr>
          <w:b/>
          <w:i/>
        </w:rPr>
      </w:pPr>
      <w:r w:rsidRPr="00340DD1">
        <w:rPr>
          <w:b/>
          <w:i/>
        </w:rPr>
        <w:t>Limitations</w:t>
      </w:r>
    </w:p>
    <w:p w14:paraId="070F581E" w14:textId="2D69D482" w:rsidR="00B227A9" w:rsidRPr="00340DD1" w:rsidRDefault="00D77066" w:rsidP="00040F16">
      <w:pPr>
        <w:spacing w:line="360" w:lineRule="auto"/>
        <w:rPr>
          <w:rFonts w:cstheme="minorHAnsi"/>
          <w:color w:val="000000"/>
          <w:szCs w:val="23"/>
        </w:rPr>
      </w:pPr>
      <w:r w:rsidRPr="00340DD1">
        <w:t xml:space="preserve">There are </w:t>
      </w:r>
      <w:proofErr w:type="gramStart"/>
      <w:r w:rsidRPr="00340DD1">
        <w:t>a number of</w:t>
      </w:r>
      <w:proofErr w:type="gramEnd"/>
      <w:r w:rsidRPr="00340DD1">
        <w:t xml:space="preserve"> limitations with respect to the items from the NDSHS we have used in this paper. </w:t>
      </w:r>
      <w:r w:rsidR="00F61DF0" w:rsidRPr="00340DD1">
        <w:t xml:space="preserve">Firstly, </w:t>
      </w:r>
      <w:r w:rsidR="005613A4" w:rsidRPr="00340DD1">
        <w:t xml:space="preserve">it not possible to know from these data the nature of the reduction or cessation and how sustained these changes were, and therefore how it correlates with national trends. </w:t>
      </w:r>
      <w:r w:rsidR="00B26230" w:rsidRPr="00340DD1">
        <w:t xml:space="preserve">Longitudinal </w:t>
      </w:r>
      <w:r w:rsidR="00872977" w:rsidRPr="00340DD1">
        <w:t xml:space="preserve">analyses </w:t>
      </w:r>
      <w:r w:rsidR="00B26230" w:rsidRPr="00340DD1">
        <w:t xml:space="preserve">would be particularly helpful in this respect. </w:t>
      </w:r>
      <w:r w:rsidR="00487614" w:rsidRPr="00340DD1">
        <w:rPr>
          <w:rFonts w:cstheme="minorHAnsi"/>
          <w:color w:val="000000"/>
          <w:szCs w:val="23"/>
        </w:rPr>
        <w:t>As we did not design the survey, it is not clear how the response options used in this analysis were derived</w:t>
      </w:r>
      <w:r w:rsidR="00B26230" w:rsidRPr="00340DD1">
        <w:rPr>
          <w:rFonts w:cstheme="minorHAnsi"/>
          <w:color w:val="000000"/>
          <w:szCs w:val="23"/>
        </w:rPr>
        <w:t xml:space="preserve"> and given the inconsistency in survey items across countries, </w:t>
      </w:r>
      <w:r w:rsidR="00B26230" w:rsidRPr="00340DD1">
        <w:t>standardisation of these items is needed to enable better international comparability</w:t>
      </w:r>
      <w:r w:rsidR="00B26230" w:rsidRPr="00340DD1">
        <w:rPr>
          <w:rFonts w:cstheme="minorHAnsi"/>
          <w:color w:val="000000"/>
          <w:szCs w:val="23"/>
        </w:rPr>
        <w:t xml:space="preserve">. </w:t>
      </w:r>
      <w:proofErr w:type="gramStart"/>
      <w:r w:rsidR="00B26230" w:rsidRPr="00340DD1">
        <w:rPr>
          <w:rFonts w:cstheme="minorHAnsi"/>
          <w:color w:val="000000"/>
          <w:szCs w:val="23"/>
        </w:rPr>
        <w:t xml:space="preserve">In particular, </w:t>
      </w:r>
      <w:r w:rsidR="00487614" w:rsidRPr="00340DD1">
        <w:rPr>
          <w:rFonts w:cstheme="minorHAnsi"/>
          <w:color w:val="000000"/>
          <w:szCs w:val="23"/>
        </w:rPr>
        <w:t>not</w:t>
      </w:r>
      <w:proofErr w:type="gramEnd"/>
      <w:r w:rsidR="00487614" w:rsidRPr="00340DD1">
        <w:rPr>
          <w:rFonts w:cstheme="minorHAnsi"/>
          <w:color w:val="000000"/>
          <w:szCs w:val="23"/>
        </w:rPr>
        <w:t xml:space="preserve"> having a </w:t>
      </w:r>
      <w:r w:rsidR="00424027" w:rsidRPr="00340DD1">
        <w:rPr>
          <w:rFonts w:cstheme="minorHAnsi"/>
          <w:color w:val="000000"/>
          <w:szCs w:val="23"/>
        </w:rPr>
        <w:t xml:space="preserve">free text </w:t>
      </w:r>
      <w:r w:rsidR="00487614" w:rsidRPr="00340DD1">
        <w:rPr>
          <w:rFonts w:cstheme="minorHAnsi"/>
          <w:color w:val="000000"/>
          <w:szCs w:val="23"/>
        </w:rPr>
        <w:t xml:space="preserve">response </w:t>
      </w:r>
      <w:r w:rsidR="00424027" w:rsidRPr="00340DD1">
        <w:rPr>
          <w:rFonts w:cstheme="minorHAnsi"/>
          <w:color w:val="000000"/>
          <w:szCs w:val="23"/>
        </w:rPr>
        <w:t xml:space="preserve">that follows the </w:t>
      </w:r>
      <w:r w:rsidR="00905336" w:rsidRPr="00340DD1">
        <w:rPr>
          <w:rFonts w:cstheme="minorHAnsi"/>
          <w:color w:val="000000"/>
          <w:szCs w:val="23"/>
        </w:rPr>
        <w:t>‘other’</w:t>
      </w:r>
      <w:r w:rsidR="00487614" w:rsidRPr="00340DD1">
        <w:rPr>
          <w:rFonts w:cstheme="minorHAnsi"/>
          <w:color w:val="000000"/>
          <w:szCs w:val="23"/>
        </w:rPr>
        <w:t xml:space="preserve"> option </w:t>
      </w:r>
      <w:r w:rsidR="00424027" w:rsidRPr="00340DD1">
        <w:rPr>
          <w:rFonts w:cstheme="minorHAnsi"/>
          <w:color w:val="000000"/>
          <w:szCs w:val="23"/>
        </w:rPr>
        <w:t xml:space="preserve">is an oversight </w:t>
      </w:r>
      <w:r w:rsidR="00487614" w:rsidRPr="00340DD1">
        <w:rPr>
          <w:rFonts w:cstheme="minorHAnsi"/>
          <w:color w:val="000000"/>
          <w:szCs w:val="23"/>
        </w:rPr>
        <w:t xml:space="preserve">that </w:t>
      </w:r>
      <w:r w:rsidR="00424027" w:rsidRPr="00340DD1">
        <w:rPr>
          <w:rFonts w:cstheme="minorHAnsi"/>
          <w:color w:val="000000"/>
          <w:szCs w:val="23"/>
        </w:rPr>
        <w:t xml:space="preserve">should be </w:t>
      </w:r>
      <w:r w:rsidR="00A7386A" w:rsidRPr="00340DD1">
        <w:rPr>
          <w:rFonts w:cstheme="minorHAnsi"/>
          <w:color w:val="000000"/>
          <w:szCs w:val="23"/>
        </w:rPr>
        <w:t xml:space="preserve">remedied </w:t>
      </w:r>
      <w:r w:rsidR="00424027" w:rsidRPr="00340DD1">
        <w:rPr>
          <w:rFonts w:cstheme="minorHAnsi"/>
          <w:color w:val="000000"/>
          <w:szCs w:val="23"/>
        </w:rPr>
        <w:t xml:space="preserve">in future iterations of the survey. </w:t>
      </w:r>
      <w:r w:rsidR="00B647B2" w:rsidRPr="00340DD1">
        <w:rPr>
          <w:rFonts w:cstheme="minorHAnsi"/>
          <w:color w:val="000000"/>
          <w:szCs w:val="23"/>
        </w:rPr>
        <w:t xml:space="preserve">There is </w:t>
      </w:r>
      <w:r w:rsidR="00CF7673" w:rsidRPr="00340DD1">
        <w:rPr>
          <w:rFonts w:cstheme="minorHAnsi"/>
          <w:color w:val="000000"/>
          <w:szCs w:val="23"/>
        </w:rPr>
        <w:t xml:space="preserve">also </w:t>
      </w:r>
      <w:r w:rsidR="00B647B2" w:rsidRPr="00340DD1">
        <w:rPr>
          <w:rFonts w:cstheme="minorHAnsi"/>
          <w:color w:val="000000"/>
          <w:szCs w:val="23"/>
        </w:rPr>
        <w:t xml:space="preserve">the possibility of attribution bias, for example, participants may have attributed a certain individual-level factor as responsible for their reduced drinking without considering the potential importance of broader social or cultural forces. </w:t>
      </w:r>
      <w:r w:rsidR="00487614" w:rsidRPr="00340DD1">
        <w:rPr>
          <w:rFonts w:cstheme="minorHAnsi"/>
          <w:color w:val="000000"/>
          <w:szCs w:val="23"/>
        </w:rPr>
        <w:t xml:space="preserve">There are also limitations with respect to </w:t>
      </w:r>
      <w:r w:rsidR="00B647B2" w:rsidRPr="00340DD1">
        <w:rPr>
          <w:rFonts w:cstheme="minorHAnsi"/>
          <w:color w:val="000000"/>
          <w:szCs w:val="23"/>
        </w:rPr>
        <w:t xml:space="preserve">household </w:t>
      </w:r>
      <w:r w:rsidR="00487614" w:rsidRPr="00340DD1">
        <w:rPr>
          <w:rFonts w:cstheme="minorHAnsi"/>
          <w:color w:val="000000"/>
          <w:szCs w:val="23"/>
        </w:rPr>
        <w:t xml:space="preserve">population surveys </w:t>
      </w:r>
      <w:r w:rsidR="00B647B2" w:rsidRPr="00340DD1">
        <w:rPr>
          <w:rFonts w:cstheme="minorHAnsi"/>
          <w:color w:val="000000"/>
          <w:szCs w:val="23"/>
        </w:rPr>
        <w:t xml:space="preserve">in terms of not representing those who do not live in homes, are not home to respond or refuse involvement. </w:t>
      </w:r>
      <w:r w:rsidR="0024000C" w:rsidRPr="00340DD1">
        <w:t xml:space="preserve">Response rates for the NDSHS could be considered low, but are </w:t>
      </w:r>
      <w:r w:rsidR="00EE288F" w:rsidRPr="00340DD1">
        <w:t xml:space="preserve">respectable </w:t>
      </w:r>
      <w:r w:rsidR="0024000C" w:rsidRPr="00340DD1">
        <w:t xml:space="preserve">when dropping response rates are considered </w:t>
      </w:r>
      <w:r w:rsidR="0024000C" w:rsidRPr="00340DD1">
        <w:fldChar w:fldCharType="begin"/>
      </w:r>
      <w:r w:rsidR="00EC6699" w:rsidRPr="00340DD1">
        <w:instrText xml:space="preserve"> ADDIN EN.CITE &lt;EndNote&gt;&lt;Cite&gt;&lt;Author&gt;O&amp;apos;Toole&lt;/Author&gt;&lt;Year&gt;2008&lt;/Year&gt;&lt;RecNum&gt;156&lt;/RecNum&gt;&lt;DisplayText&gt;(O&amp;apos;Toole et al., 2008)&lt;/DisplayText&gt;&lt;record&gt;&lt;rec-number&gt;156&lt;/rec-number&gt;&lt;foreign-keys&gt;&lt;key app="EN" db-id="xr20xxrwks2v5re509w5r2pftxrevzzxpp0p" timestamp="1493785026"&gt;156&lt;/key&gt;&lt;/foreign-keys&gt;&lt;ref-type name="Journal Article"&gt;17&lt;/ref-type&gt;&lt;contributors&gt;&lt;authors&gt;&lt;author&gt;O&amp;apos;Toole, J.&lt;/author&gt;&lt;author&gt;Sinclair, M.&lt;/author&gt;&lt;author&gt;Leder, K.&lt;/author&gt;&lt;/authors&gt;&lt;/contributors&gt;&lt;titles&gt;&lt;title&gt;Maximising response rates in household telephone surveys&lt;/title&gt;&lt;secondary-title&gt;BMC Medical Research Methodology&lt;/secondary-title&gt;&lt;/titles&gt;&lt;periodical&gt;&lt;full-title&gt;BMC Medical Research Methodology&lt;/full-title&gt;&lt;/periodical&gt;&lt;volume&gt;8&lt;/volume&gt;&lt;number&gt;71&lt;/number&gt;&lt;dates&gt;&lt;year&gt;2008&lt;/year&gt;&lt;/dates&gt;&lt;urls&gt;&lt;/urls&gt;&lt;/record&gt;&lt;/Cite&gt;&lt;/EndNote&gt;</w:instrText>
      </w:r>
      <w:r w:rsidR="0024000C" w:rsidRPr="00340DD1">
        <w:fldChar w:fldCharType="separate"/>
      </w:r>
      <w:r w:rsidR="00EC6699" w:rsidRPr="00340DD1">
        <w:rPr>
          <w:noProof/>
        </w:rPr>
        <w:t>(O'Toole et al., 2008)</w:t>
      </w:r>
      <w:r w:rsidR="0024000C" w:rsidRPr="00340DD1">
        <w:fldChar w:fldCharType="end"/>
      </w:r>
      <w:r w:rsidR="0024000C" w:rsidRPr="00340DD1">
        <w:t xml:space="preserve">. </w:t>
      </w:r>
    </w:p>
    <w:p w14:paraId="7BFB6810" w14:textId="77777777" w:rsidR="00040F16" w:rsidRPr="00340DD1" w:rsidRDefault="00040F16" w:rsidP="00040F16">
      <w:pPr>
        <w:autoSpaceDE w:val="0"/>
        <w:autoSpaceDN w:val="0"/>
        <w:adjustRightInd w:val="0"/>
        <w:spacing w:line="360" w:lineRule="auto"/>
        <w:rPr>
          <w:rFonts w:cstheme="minorHAnsi"/>
          <w:b/>
          <w:color w:val="000000"/>
          <w:szCs w:val="23"/>
        </w:rPr>
      </w:pPr>
    </w:p>
    <w:p w14:paraId="00306E75" w14:textId="77777777" w:rsidR="004213D5" w:rsidRPr="00340DD1" w:rsidRDefault="004213D5" w:rsidP="00040F16">
      <w:pPr>
        <w:autoSpaceDE w:val="0"/>
        <w:autoSpaceDN w:val="0"/>
        <w:adjustRightInd w:val="0"/>
        <w:spacing w:line="360" w:lineRule="auto"/>
        <w:rPr>
          <w:rFonts w:cstheme="minorHAnsi"/>
          <w:b/>
          <w:color w:val="000000"/>
          <w:szCs w:val="23"/>
        </w:rPr>
      </w:pPr>
    </w:p>
    <w:p w14:paraId="3B2F4325" w14:textId="0784795C" w:rsidR="006C1F78" w:rsidRPr="00340DD1" w:rsidRDefault="00914860" w:rsidP="00040F16">
      <w:pPr>
        <w:autoSpaceDE w:val="0"/>
        <w:autoSpaceDN w:val="0"/>
        <w:adjustRightInd w:val="0"/>
        <w:spacing w:line="360" w:lineRule="auto"/>
        <w:rPr>
          <w:rFonts w:cstheme="minorHAnsi"/>
          <w:b/>
          <w:color w:val="000000"/>
          <w:szCs w:val="23"/>
        </w:rPr>
      </w:pPr>
      <w:r w:rsidRPr="00340DD1">
        <w:rPr>
          <w:rFonts w:cstheme="minorHAnsi"/>
          <w:b/>
          <w:color w:val="000000"/>
          <w:szCs w:val="23"/>
        </w:rPr>
        <w:lastRenderedPageBreak/>
        <w:t>Conclusion</w:t>
      </w:r>
    </w:p>
    <w:p w14:paraId="71E3F4C6" w14:textId="22BB471F" w:rsidR="003A0EE4" w:rsidRDefault="002D5640" w:rsidP="00040F16">
      <w:pPr>
        <w:autoSpaceDE w:val="0"/>
        <w:autoSpaceDN w:val="0"/>
        <w:adjustRightInd w:val="0"/>
        <w:spacing w:line="360" w:lineRule="auto"/>
      </w:pPr>
      <w:r w:rsidRPr="00340DD1">
        <w:t>This paper has explored change over time in rates of recently reducing or ceasing drinking in an Australian sample, and their reported reasons for doing so. We found an increase over time</w:t>
      </w:r>
      <w:r w:rsidR="00292EF7" w:rsidRPr="00340DD1">
        <w:t xml:space="preserve"> in reports of reduction or cessation of drinking</w:t>
      </w:r>
      <w:r w:rsidRPr="00340DD1">
        <w:t>, which aligns with per capita consumption</w:t>
      </w:r>
      <w:r w:rsidR="00292EF7" w:rsidRPr="00340DD1">
        <w:t xml:space="preserve"> changes</w:t>
      </w:r>
      <w:r w:rsidRPr="00340DD1">
        <w:t xml:space="preserve">. Popular reasons for doing so include health, </w:t>
      </w:r>
      <w:r w:rsidR="0010365A" w:rsidRPr="00340DD1">
        <w:t xml:space="preserve">lifestyle, social and </w:t>
      </w:r>
      <w:r w:rsidR="00BE24C7" w:rsidRPr="00340DD1">
        <w:t>enjoyment reasons, suggesting that the position of alcohol in Australia may be shifting</w:t>
      </w:r>
      <w:r w:rsidR="00292EF7" w:rsidRPr="00340DD1">
        <w:t xml:space="preserve"> and that public health efforts focusing on these factors should </w:t>
      </w:r>
      <w:r w:rsidR="005007E9" w:rsidRPr="00340DD1">
        <w:t xml:space="preserve">be </w:t>
      </w:r>
      <w:r w:rsidR="00B82705" w:rsidRPr="00340DD1">
        <w:t>maintained</w:t>
      </w:r>
      <w:r w:rsidR="00BE24C7" w:rsidRPr="00340DD1">
        <w:t>. It will be important to track the way these reasons change over time</w:t>
      </w:r>
      <w:r w:rsidR="00292EF7" w:rsidRPr="00340DD1">
        <w:t xml:space="preserve"> to understand what factors associated with drinking resonate most with Australians</w:t>
      </w:r>
      <w:r w:rsidR="00BE24C7" w:rsidRPr="00340DD1">
        <w:t>.</w:t>
      </w:r>
      <w:r w:rsidR="00B26230" w:rsidRPr="00340DD1">
        <w:t xml:space="preserve"> </w:t>
      </w:r>
      <w:r w:rsidRPr="00340DD1">
        <w:t xml:space="preserve">We </w:t>
      </w:r>
      <w:r w:rsidR="00BE24C7" w:rsidRPr="00340DD1">
        <w:t xml:space="preserve">also </w:t>
      </w:r>
      <w:r w:rsidRPr="00340DD1">
        <w:t xml:space="preserve">appreciate the need to contextualise national drinking trends with broader environmental, social, economic and cultural factors that are difficult for participants to pinpoint </w:t>
      </w:r>
      <w:r w:rsidR="00BE24C7" w:rsidRPr="00340DD1">
        <w:t xml:space="preserve">in </w:t>
      </w:r>
      <w:r w:rsidRPr="00340DD1">
        <w:t>a survey and require m</w:t>
      </w:r>
      <w:r>
        <w:t xml:space="preserve">ore complex analyses of structural and social factors </w:t>
      </w:r>
      <w:r w:rsidR="00292EF7">
        <w:t xml:space="preserve">using </w:t>
      </w:r>
      <w:r>
        <w:t xml:space="preserve">multiple </w:t>
      </w:r>
      <w:r w:rsidR="00EE288F">
        <w:t xml:space="preserve">methods and </w:t>
      </w:r>
      <w:r>
        <w:t>forms of data.</w:t>
      </w:r>
      <w:r w:rsidR="00BE24C7">
        <w:t xml:space="preserve"> </w:t>
      </w:r>
      <w:r>
        <w:t xml:space="preserve"> </w:t>
      </w:r>
    </w:p>
    <w:p w14:paraId="0F4B8017" w14:textId="05A42F0E" w:rsidR="003A0EE4" w:rsidRDefault="003A0EE4"/>
    <w:p w14:paraId="5F139E86" w14:textId="3F9160D9" w:rsidR="003A0EE4" w:rsidRDefault="003A0EE4" w:rsidP="003A0EE4">
      <w:pPr>
        <w:spacing w:line="360" w:lineRule="auto"/>
      </w:pPr>
      <w:r>
        <w:rPr>
          <w:b/>
        </w:rPr>
        <w:t>Acknowledgements</w:t>
      </w:r>
      <w:r w:rsidRPr="005F7D2C">
        <w:rPr>
          <w:b/>
        </w:rPr>
        <w:t>:</w:t>
      </w:r>
      <w:r>
        <w:rPr>
          <w:b/>
        </w:rPr>
        <w:t xml:space="preserve"> </w:t>
      </w:r>
      <w:r>
        <w:t xml:space="preserve">This paper draws on National Drug Strategy Household survey data owned by the Australian Institute of Health and </w:t>
      </w:r>
      <w:proofErr w:type="gramStart"/>
      <w:r>
        <w:t>Welfare, and</w:t>
      </w:r>
      <w:proofErr w:type="gramEnd"/>
      <w:r>
        <w:t xml:space="preserve"> sourced through the Australian Data Archive. This research is supported by funding from the Australian Research Council (DP160101380). </w:t>
      </w:r>
      <w:r w:rsidR="00F15A6F">
        <w:t xml:space="preserve">Pennay </w:t>
      </w:r>
      <w:r>
        <w:t xml:space="preserve">and </w:t>
      </w:r>
      <w:r w:rsidR="00F15A6F">
        <w:t xml:space="preserve">Livingston </w:t>
      </w:r>
      <w:r>
        <w:t>are supported by fellowship funding from the National Health and Medical Research Council (GNT1069907 and GNT1123840 respectively).</w:t>
      </w:r>
      <w:r w:rsidR="007E593A">
        <w:t xml:space="preserve"> </w:t>
      </w:r>
      <w:proofErr w:type="spellStart"/>
      <w:r w:rsidR="00636AD0">
        <w:t>Callinan</w:t>
      </w:r>
      <w:proofErr w:type="spellEnd"/>
      <w:r w:rsidR="00636AD0">
        <w:t xml:space="preserve"> is supported by fellowship funding from the Australian Research Council (DE180100016)</w:t>
      </w:r>
      <w:r w:rsidR="007E593A">
        <w:t>.</w:t>
      </w:r>
      <w:r>
        <w:t xml:space="preserve"> The Centre for Alcohol Policy Research receives core funding from the Foundation for Alcohol Research and Education. </w:t>
      </w:r>
    </w:p>
    <w:p w14:paraId="7A1F156F" w14:textId="77777777" w:rsidR="003A0EE4" w:rsidRDefault="003A0EE4" w:rsidP="003A0EE4">
      <w:pPr>
        <w:spacing w:line="360" w:lineRule="auto"/>
      </w:pPr>
    </w:p>
    <w:p w14:paraId="57754AD8" w14:textId="2EFF869C" w:rsidR="003A0EE4" w:rsidRPr="00B40A7A" w:rsidRDefault="003A0EE4" w:rsidP="003A0EE4">
      <w:pPr>
        <w:autoSpaceDE w:val="0"/>
        <w:autoSpaceDN w:val="0"/>
        <w:adjustRightInd w:val="0"/>
        <w:spacing w:line="360" w:lineRule="auto"/>
        <w:rPr>
          <w:rFonts w:ascii="Calibri" w:hAnsi="Calibri" w:cs="PhotinaMT"/>
          <w:b/>
        </w:rPr>
      </w:pPr>
      <w:r w:rsidRPr="00B40A7A">
        <w:rPr>
          <w:rFonts w:ascii="Calibri" w:hAnsi="Calibri" w:cs="PhotinaMT"/>
          <w:b/>
        </w:rPr>
        <w:t>Conflict of interest</w:t>
      </w:r>
      <w:r>
        <w:rPr>
          <w:rFonts w:ascii="Calibri" w:hAnsi="Calibri" w:cs="PhotinaMT"/>
          <w:b/>
        </w:rPr>
        <w:t xml:space="preserve"> statement:</w:t>
      </w:r>
    </w:p>
    <w:p w14:paraId="49C531C3" w14:textId="1BDBE4B1" w:rsidR="003A0EE4" w:rsidRPr="00B40A7A" w:rsidRDefault="003A0EE4" w:rsidP="003A0EE4">
      <w:pPr>
        <w:pStyle w:val="NoSpacing"/>
        <w:spacing w:after="160" w:line="360" w:lineRule="auto"/>
        <w:rPr>
          <w:rFonts w:ascii="Calibri" w:hAnsi="Calibri" w:cs="PhotinaMT"/>
        </w:rPr>
      </w:pPr>
      <w:r w:rsidRPr="00B40A7A">
        <w:rPr>
          <w:rFonts w:ascii="Calibri" w:hAnsi="Calibri"/>
        </w:rPr>
        <w:t xml:space="preserve">Lubman has received speaker fees from AstraZeneca and </w:t>
      </w:r>
      <w:proofErr w:type="gramStart"/>
      <w:r w:rsidRPr="00B40A7A">
        <w:rPr>
          <w:rFonts w:ascii="Calibri" w:hAnsi="Calibri"/>
        </w:rPr>
        <w:t>Janssen, and</w:t>
      </w:r>
      <w:proofErr w:type="gramEnd"/>
      <w:r w:rsidRPr="00B40A7A">
        <w:rPr>
          <w:rFonts w:ascii="Calibri" w:hAnsi="Calibri"/>
        </w:rPr>
        <w:t xml:space="preserve"> provided consultancy advice to Lundbeck</w:t>
      </w:r>
      <w:r>
        <w:rPr>
          <w:rFonts w:ascii="Calibri" w:hAnsi="Calibri"/>
        </w:rPr>
        <w:t xml:space="preserve"> for work unrelated to this study</w:t>
      </w:r>
      <w:r w:rsidRPr="00B40A7A">
        <w:rPr>
          <w:rFonts w:ascii="Calibri" w:hAnsi="Calibri"/>
        </w:rPr>
        <w:t xml:space="preserve">. </w:t>
      </w:r>
      <w:r w:rsidRPr="00B40A7A">
        <w:rPr>
          <w:rFonts w:ascii="Calibri" w:hAnsi="Calibri" w:cs="LNJEE E+ Gulliver RM"/>
        </w:rPr>
        <w:t xml:space="preserve">Dietze has received funding from Gilead Sciences Inc and </w:t>
      </w:r>
      <w:proofErr w:type="spellStart"/>
      <w:r w:rsidRPr="00B40A7A">
        <w:rPr>
          <w:rFonts w:ascii="Calibri" w:hAnsi="Calibri" w:cs="LNJEE E+ Gulliver RM"/>
        </w:rPr>
        <w:t>ReckittBenckiser</w:t>
      </w:r>
      <w:proofErr w:type="spellEnd"/>
      <w:r w:rsidRPr="00B40A7A">
        <w:rPr>
          <w:rFonts w:ascii="Calibri" w:hAnsi="Calibri" w:cs="LNJEE E+ Gulliver RM"/>
        </w:rPr>
        <w:t xml:space="preserve"> for work unrelated to this study. </w:t>
      </w:r>
      <w:r w:rsidRPr="00B40A7A">
        <w:rPr>
          <w:rFonts w:ascii="Calibri" w:hAnsi="Calibri"/>
        </w:rPr>
        <w:t xml:space="preserve">The researchers have no other connections with the tobacco, alcohol, pharmaceutical or gaming industries, or </w:t>
      </w:r>
      <w:proofErr w:type="spellStart"/>
      <w:r w:rsidRPr="00B40A7A">
        <w:rPr>
          <w:rFonts w:ascii="Calibri" w:hAnsi="Calibri"/>
        </w:rPr>
        <w:t>any body</w:t>
      </w:r>
      <w:proofErr w:type="spellEnd"/>
      <w:r w:rsidRPr="00B40A7A">
        <w:rPr>
          <w:rFonts w:ascii="Calibri" w:hAnsi="Calibri"/>
        </w:rPr>
        <w:t xml:space="preserve"> substantially funded by one of these organisations.</w:t>
      </w:r>
    </w:p>
    <w:p w14:paraId="15862CE7" w14:textId="77777777" w:rsidR="003A0EE4" w:rsidRDefault="003A0EE4" w:rsidP="003A0EE4"/>
    <w:p w14:paraId="77F83F20" w14:textId="77777777" w:rsidR="002D5640" w:rsidRDefault="002D5640" w:rsidP="005026AF">
      <w:pPr>
        <w:autoSpaceDE w:val="0"/>
        <w:autoSpaceDN w:val="0"/>
        <w:adjustRightInd w:val="0"/>
        <w:spacing w:line="360" w:lineRule="auto"/>
      </w:pPr>
    </w:p>
    <w:p w14:paraId="55D53F14" w14:textId="77777777" w:rsidR="005026AF" w:rsidRDefault="005026AF">
      <w:pPr>
        <w:rPr>
          <w:b/>
        </w:rPr>
      </w:pPr>
      <w:r>
        <w:rPr>
          <w:b/>
        </w:rPr>
        <w:br w:type="page"/>
      </w:r>
    </w:p>
    <w:p w14:paraId="6442BF53" w14:textId="11CBE322" w:rsidR="00FB6683" w:rsidRPr="003423B1" w:rsidRDefault="003423B1" w:rsidP="005026AF">
      <w:pPr>
        <w:rPr>
          <w:b/>
        </w:rPr>
      </w:pPr>
      <w:r>
        <w:rPr>
          <w:b/>
        </w:rPr>
        <w:lastRenderedPageBreak/>
        <w:t>References</w:t>
      </w:r>
    </w:p>
    <w:p w14:paraId="729E24DD" w14:textId="3986E824" w:rsidR="004213D5" w:rsidRPr="004213D5" w:rsidRDefault="001428DD" w:rsidP="004213D5">
      <w:pPr>
        <w:pStyle w:val="EndNoteBibliography"/>
        <w:spacing w:after="0"/>
        <w:ind w:left="720" w:hanging="720"/>
      </w:pPr>
      <w:r>
        <w:rPr>
          <w:b/>
        </w:rPr>
        <w:fldChar w:fldCharType="begin"/>
      </w:r>
      <w:r w:rsidR="009272A5">
        <w:rPr>
          <w:b/>
        </w:rPr>
        <w:instrText xml:space="preserve"> ADDIN EN.REFLIST </w:instrText>
      </w:r>
      <w:r>
        <w:rPr>
          <w:b/>
        </w:rPr>
        <w:fldChar w:fldCharType="separate"/>
      </w:r>
      <w:r w:rsidR="004213D5" w:rsidRPr="004213D5">
        <w:t xml:space="preserve">AUSTRALIAN BUREAU OF STATISTICS. 2011. </w:t>
      </w:r>
      <w:r w:rsidR="004213D5" w:rsidRPr="004213D5">
        <w:rPr>
          <w:i/>
        </w:rPr>
        <w:t xml:space="preserve">Socio-Economic Indexes for Areas (SEIFA) </w:t>
      </w:r>
      <w:r w:rsidR="004213D5" w:rsidRPr="004213D5">
        <w:t xml:space="preserve">[Online]. Canberra: Australian Bureau of Statistics. </w:t>
      </w:r>
      <w:hyperlink r:id="rId9" w:history="1">
        <w:r w:rsidR="004213D5" w:rsidRPr="004213D5">
          <w:rPr>
            <w:rStyle w:val="Hyperlink"/>
          </w:rPr>
          <w:t>http://www.abs.gov.au/websitedbs/censushome.nsf/home/seifa</w:t>
        </w:r>
      </w:hyperlink>
      <w:r w:rsidR="004213D5" w:rsidRPr="004213D5">
        <w:t>.  [Accessed].</w:t>
      </w:r>
    </w:p>
    <w:p w14:paraId="0CB9A912" w14:textId="5C123247" w:rsidR="004213D5" w:rsidRPr="004213D5" w:rsidRDefault="004213D5" w:rsidP="004213D5">
      <w:pPr>
        <w:pStyle w:val="EndNoteBibliography"/>
        <w:spacing w:after="0"/>
        <w:ind w:left="720" w:hanging="720"/>
      </w:pPr>
      <w:r w:rsidRPr="004213D5">
        <w:t xml:space="preserve">AUSTRALIAN BUREAU OF STATISTICS 2017. Apparent Consumption of Alcohol, Australia, 2015-2016. Canberra: Australian Bureau of Statistics. </w:t>
      </w:r>
      <w:hyperlink r:id="rId10" w:history="1">
        <w:r w:rsidRPr="004213D5">
          <w:rPr>
            <w:rStyle w:val="Hyperlink"/>
          </w:rPr>
          <w:t>http://www.abs.gov.au/ausstats/abs@.nsf/mf/4307.0.55.001/</w:t>
        </w:r>
      </w:hyperlink>
      <w:r w:rsidRPr="004213D5">
        <w:t>.</w:t>
      </w:r>
    </w:p>
    <w:p w14:paraId="2C97C1B7" w14:textId="77777777" w:rsidR="004213D5" w:rsidRPr="004213D5" w:rsidRDefault="004213D5" w:rsidP="004213D5">
      <w:pPr>
        <w:pStyle w:val="EndNoteBibliography"/>
        <w:spacing w:after="0"/>
        <w:ind w:left="720" w:hanging="720"/>
      </w:pPr>
      <w:r w:rsidRPr="004213D5">
        <w:t>AUSTRALIAN INSTITUTE OF HEALTH AND WELFARE 2014. National Drug Strategy Household Survey detailed report 2013. Drug statistics series no. 28. Cat. no. PHE 183. Canberra: AIHW.</w:t>
      </w:r>
    </w:p>
    <w:p w14:paraId="7AD11FDA" w14:textId="77777777" w:rsidR="004213D5" w:rsidRPr="004213D5" w:rsidRDefault="004213D5" w:rsidP="004213D5">
      <w:pPr>
        <w:pStyle w:val="EndNoteBibliography"/>
        <w:spacing w:after="0"/>
        <w:ind w:left="720" w:hanging="720"/>
      </w:pPr>
      <w:r w:rsidRPr="004213D5">
        <w:t>BATTACHARYA, A. 2016. Youthful Abandon: Why are young people drinking less? London: Institute of Alcohol Studies.</w:t>
      </w:r>
    </w:p>
    <w:p w14:paraId="7578D7DD" w14:textId="77777777" w:rsidR="004213D5" w:rsidRPr="004213D5" w:rsidRDefault="004213D5" w:rsidP="004213D5">
      <w:pPr>
        <w:pStyle w:val="EndNoteBibliography"/>
        <w:spacing w:after="0"/>
        <w:ind w:left="720" w:hanging="720"/>
      </w:pPr>
      <w:r w:rsidRPr="004213D5">
        <w:t xml:space="preserve">BEARD, E., BROWN, J., KANER, E., WEST, R. &amp; MICHIE, S. 2017. Predictors of and reasons for attempts to reduce alcohol intake: A population survey of adults in England. </w:t>
      </w:r>
      <w:r w:rsidRPr="004213D5">
        <w:rPr>
          <w:i/>
        </w:rPr>
        <w:t>PLoS One,</w:t>
      </w:r>
      <w:r w:rsidRPr="004213D5">
        <w:t xml:space="preserve"> 12</w:t>
      </w:r>
      <w:r w:rsidRPr="004213D5">
        <w:rPr>
          <w:b/>
        </w:rPr>
        <w:t>,</w:t>
      </w:r>
      <w:r w:rsidRPr="004213D5">
        <w:t xml:space="preserve"> e0173458.</w:t>
      </w:r>
    </w:p>
    <w:p w14:paraId="1F0017BC" w14:textId="77777777" w:rsidR="004213D5" w:rsidRPr="004213D5" w:rsidRDefault="004213D5" w:rsidP="004213D5">
      <w:pPr>
        <w:pStyle w:val="EndNoteBibliography"/>
        <w:spacing w:after="0"/>
        <w:ind w:left="720" w:hanging="720"/>
      </w:pPr>
      <w:r w:rsidRPr="004213D5">
        <w:t xml:space="preserve">BERNARDS, S., GRAHAM, K., KUENDIG, H., HETTIGE, S. &amp; OBOT, I. 2009. ‘I have no interest in drinking’: a cross-national comparison of reasons why men and women abstain from alcohol use. </w:t>
      </w:r>
      <w:r w:rsidRPr="004213D5">
        <w:rPr>
          <w:i/>
        </w:rPr>
        <w:t>Addiction,</w:t>
      </w:r>
      <w:r w:rsidRPr="004213D5">
        <w:t xml:space="preserve"> 104</w:t>
      </w:r>
      <w:r w:rsidRPr="004213D5">
        <w:rPr>
          <w:b/>
        </w:rPr>
        <w:t>,</w:t>
      </w:r>
      <w:r w:rsidRPr="004213D5">
        <w:t xml:space="preserve"> 1658-1668.</w:t>
      </w:r>
    </w:p>
    <w:p w14:paraId="1D18F95C" w14:textId="77777777" w:rsidR="004213D5" w:rsidRPr="004213D5" w:rsidRDefault="004213D5" w:rsidP="004213D5">
      <w:pPr>
        <w:pStyle w:val="EndNoteBibliography"/>
        <w:spacing w:after="0"/>
        <w:ind w:left="720" w:hanging="720"/>
      </w:pPr>
      <w:r w:rsidRPr="004213D5">
        <w:t xml:space="preserve">BRITTON, A. &amp; BELL, S. 2015. Reasons Why People Change Their Alcohol Consumption in Later Life: Findings from the Whitehall II Cohort Study. </w:t>
      </w:r>
      <w:r w:rsidRPr="004213D5">
        <w:rPr>
          <w:i/>
        </w:rPr>
        <w:t>PLoS One,</w:t>
      </w:r>
      <w:r w:rsidRPr="004213D5">
        <w:t xml:space="preserve"> 10</w:t>
      </w:r>
      <w:r w:rsidRPr="004213D5">
        <w:rPr>
          <w:b/>
        </w:rPr>
        <w:t>,</w:t>
      </w:r>
      <w:r w:rsidRPr="004213D5">
        <w:t xml:space="preserve"> 1-8.</w:t>
      </w:r>
    </w:p>
    <w:p w14:paraId="1683BA4B" w14:textId="77777777" w:rsidR="004213D5" w:rsidRPr="004213D5" w:rsidRDefault="004213D5" w:rsidP="004213D5">
      <w:pPr>
        <w:pStyle w:val="EndNoteBibliography"/>
        <w:spacing w:after="0"/>
        <w:ind w:left="720" w:hanging="720"/>
      </w:pPr>
      <w:r w:rsidRPr="004213D5">
        <w:t xml:space="preserve">DE LOOZE, M., RAAIJMAKERS, Q., TER BOGT, T., BENDTSEN, P., FARHAT, T., FERREIRA, M., GODEAU, E., KUNTSCHE, E., MOLCHO, M., PFÖRTNER, T., SIMONS-MORTON, B., VIENO, A., VOLLEBERGH, W. &amp; PICKETT, W. 2015. Decreases in adolescent weekly alcohol use in Europe and North America: evidence from 28 countries from 2002 to 2010. </w:t>
      </w:r>
      <w:r w:rsidRPr="004213D5">
        <w:rPr>
          <w:i/>
        </w:rPr>
        <w:t>European Journal of Public Health,</w:t>
      </w:r>
      <w:r w:rsidRPr="004213D5">
        <w:t xml:space="preserve"> 25</w:t>
      </w:r>
      <w:r w:rsidRPr="004213D5">
        <w:rPr>
          <w:b/>
        </w:rPr>
        <w:t>,</w:t>
      </w:r>
      <w:r w:rsidRPr="004213D5">
        <w:t xml:space="preserve"> 69-72.</w:t>
      </w:r>
    </w:p>
    <w:p w14:paraId="14CE8061" w14:textId="77777777" w:rsidR="004213D5" w:rsidRPr="004213D5" w:rsidRDefault="004213D5" w:rsidP="004213D5">
      <w:pPr>
        <w:pStyle w:val="EndNoteBibliography"/>
        <w:spacing w:after="0"/>
        <w:ind w:left="720" w:hanging="720"/>
      </w:pPr>
      <w:r w:rsidRPr="004213D5">
        <w:t xml:space="preserve">DE LOOZE, M., VERMEULEN-SMIT, E., TER BOGT, T., VAN DORSSELAER, S., VERDURMEN, J., SCHULTEN, I., ENGELS, R. &amp; VOLLEBERGH, W. 2014. Trends in alcohol-specific parenting practices and adolescent alcohol use between 2007 and 2011 in the Netherlands. </w:t>
      </w:r>
      <w:r w:rsidRPr="004213D5">
        <w:rPr>
          <w:i/>
        </w:rPr>
        <w:t>International Journal of Drug Policy,</w:t>
      </w:r>
      <w:r w:rsidRPr="004213D5">
        <w:t xml:space="preserve"> 25</w:t>
      </w:r>
      <w:r w:rsidRPr="004213D5">
        <w:rPr>
          <w:b/>
        </w:rPr>
        <w:t>,</w:t>
      </w:r>
      <w:r w:rsidRPr="004213D5">
        <w:t xml:space="preserve"> 133-141.</w:t>
      </w:r>
    </w:p>
    <w:p w14:paraId="0E3906B2" w14:textId="77777777" w:rsidR="004213D5" w:rsidRPr="004213D5" w:rsidRDefault="004213D5" w:rsidP="004213D5">
      <w:pPr>
        <w:pStyle w:val="EndNoteBibliography"/>
        <w:spacing w:after="0"/>
        <w:ind w:left="720" w:hanging="720"/>
      </w:pPr>
      <w:r w:rsidRPr="004213D5">
        <w:t xml:space="preserve">DE VISSER, R. O., ROBINSON, E. &amp; BOND, R. 2016. Voluntary temporary abstinence from alcohol </w:t>
      </w:r>
      <w:bookmarkStart w:id="0" w:name="_GoBack"/>
      <w:bookmarkEnd w:id="0"/>
      <w:r w:rsidRPr="004213D5">
        <w:t xml:space="preserve">during "Dry January" and subsequent alcohol use. </w:t>
      </w:r>
      <w:r w:rsidRPr="004213D5">
        <w:rPr>
          <w:i/>
        </w:rPr>
        <w:t>Health Psychology,</w:t>
      </w:r>
      <w:r w:rsidRPr="004213D5">
        <w:t xml:space="preserve"> 35</w:t>
      </w:r>
      <w:r w:rsidRPr="004213D5">
        <w:rPr>
          <w:b/>
        </w:rPr>
        <w:t>,</w:t>
      </w:r>
      <w:r w:rsidRPr="004213D5">
        <w:t xml:space="preserve"> 281-289.</w:t>
      </w:r>
    </w:p>
    <w:p w14:paraId="10691A85" w14:textId="77777777" w:rsidR="004213D5" w:rsidRPr="004213D5" w:rsidRDefault="004213D5" w:rsidP="004213D5">
      <w:pPr>
        <w:pStyle w:val="EndNoteBibliography"/>
        <w:spacing w:after="0"/>
        <w:ind w:left="720" w:hanging="720"/>
      </w:pPr>
      <w:r w:rsidRPr="004213D5">
        <w:t xml:space="preserve">GREENFIELD, T., GUYDISH, J. &amp; TEMPLE, M. 1989. Reasons Students Give for Limiting Drinking: A Factor Analysis with Implications for Research and Practice. </w:t>
      </w:r>
      <w:r w:rsidRPr="004213D5">
        <w:rPr>
          <w:i/>
        </w:rPr>
        <w:t>Journal of Studies on Alcohol,</w:t>
      </w:r>
      <w:r w:rsidRPr="004213D5">
        <w:t xml:space="preserve"> 50</w:t>
      </w:r>
      <w:r w:rsidRPr="004213D5">
        <w:rPr>
          <w:b/>
        </w:rPr>
        <w:t>,</w:t>
      </w:r>
      <w:r w:rsidRPr="004213D5">
        <w:t xml:space="preserve"> 108-115.</w:t>
      </w:r>
    </w:p>
    <w:p w14:paraId="5F71751E" w14:textId="77777777" w:rsidR="004213D5" w:rsidRPr="004213D5" w:rsidRDefault="004213D5" w:rsidP="004213D5">
      <w:pPr>
        <w:pStyle w:val="EndNoteBibliography"/>
        <w:spacing w:after="0"/>
        <w:ind w:left="720" w:hanging="720"/>
      </w:pPr>
      <w:r w:rsidRPr="004213D5">
        <w:t xml:space="preserve">HERMOS, J., LOCASTRO, J., GLYNN, R., BOUCHARD, G. &amp; LABRY, O. 1988. Predictors of Reduction and Cessation of Drinking in Community-Dwelling Men: Results from the Normative Aging Study. </w:t>
      </w:r>
      <w:r w:rsidRPr="004213D5">
        <w:rPr>
          <w:i/>
        </w:rPr>
        <w:t>Journal of Studies on Alcohol,</w:t>
      </w:r>
      <w:r w:rsidRPr="004213D5">
        <w:t xml:space="preserve"> 49</w:t>
      </w:r>
      <w:r w:rsidRPr="004213D5">
        <w:rPr>
          <w:b/>
        </w:rPr>
        <w:t>,</w:t>
      </w:r>
      <w:r w:rsidRPr="004213D5">
        <w:t xml:space="preserve"> 363-368.</w:t>
      </w:r>
    </w:p>
    <w:p w14:paraId="0D653085" w14:textId="77777777" w:rsidR="004213D5" w:rsidRPr="004213D5" w:rsidRDefault="004213D5" w:rsidP="004213D5">
      <w:pPr>
        <w:pStyle w:val="EndNoteBibliography"/>
        <w:spacing w:after="0"/>
        <w:ind w:left="720" w:hanging="720"/>
      </w:pPr>
      <w:r w:rsidRPr="004213D5">
        <w:t xml:space="preserve">KRAUS, L., ERIKSSON, T., M., LINDELL, A., PABST, A., PIONTEK, D. &amp; ROOM, R. 2015. Age, period, and cohort effects on time trends in alcohol consumption in the Swedish adult population 1979-2011. </w:t>
      </w:r>
      <w:r w:rsidRPr="004213D5">
        <w:rPr>
          <w:i/>
        </w:rPr>
        <w:t>Alcohol and Alcoholism,</w:t>
      </w:r>
      <w:r w:rsidRPr="004213D5">
        <w:t xml:space="preserve"> 50</w:t>
      </w:r>
      <w:r w:rsidRPr="004213D5">
        <w:rPr>
          <w:b/>
        </w:rPr>
        <w:t>,</w:t>
      </w:r>
      <w:r w:rsidRPr="004213D5">
        <w:t xml:space="preserve"> 319-327.</w:t>
      </w:r>
    </w:p>
    <w:p w14:paraId="2FBD05BB" w14:textId="77777777" w:rsidR="004213D5" w:rsidRPr="004213D5" w:rsidRDefault="004213D5" w:rsidP="004213D5">
      <w:pPr>
        <w:pStyle w:val="EndNoteBibliography"/>
        <w:spacing w:after="0"/>
        <w:ind w:left="720" w:hanging="720"/>
      </w:pPr>
      <w:r w:rsidRPr="004213D5">
        <w:t xml:space="preserve">LIVINGSTON, M. 2014. Trends in non-drinking among Australian adolescents. </w:t>
      </w:r>
      <w:r w:rsidRPr="004213D5">
        <w:rPr>
          <w:i/>
        </w:rPr>
        <w:t>Addiction,</w:t>
      </w:r>
      <w:r w:rsidRPr="004213D5">
        <w:t xml:space="preserve"> 109</w:t>
      </w:r>
      <w:r w:rsidRPr="004213D5">
        <w:rPr>
          <w:b/>
        </w:rPr>
        <w:t>,</w:t>
      </w:r>
      <w:r w:rsidRPr="004213D5">
        <w:t xml:space="preserve"> 922-929.</w:t>
      </w:r>
    </w:p>
    <w:p w14:paraId="4B0CA690" w14:textId="77777777" w:rsidR="004213D5" w:rsidRPr="004213D5" w:rsidRDefault="004213D5" w:rsidP="004213D5">
      <w:pPr>
        <w:pStyle w:val="EndNoteBibliography"/>
        <w:spacing w:after="0"/>
        <w:ind w:left="720" w:hanging="720"/>
      </w:pPr>
      <w:r w:rsidRPr="004213D5">
        <w:t xml:space="preserve">LIVINGSTON, M. &amp; CALLINAN, S. 2017. Changing attitudes to alcohol in Australia. </w:t>
      </w:r>
      <w:r w:rsidRPr="004213D5">
        <w:rPr>
          <w:i/>
        </w:rPr>
        <w:t>Journal of Studies on Alcohol and Drugs,</w:t>
      </w:r>
      <w:r w:rsidRPr="004213D5">
        <w:t xml:space="preserve"> 78</w:t>
      </w:r>
      <w:r w:rsidRPr="004213D5">
        <w:rPr>
          <w:b/>
        </w:rPr>
        <w:t>,</w:t>
      </w:r>
      <w:r w:rsidRPr="004213D5">
        <w:t xml:space="preserve"> 844-852.</w:t>
      </w:r>
    </w:p>
    <w:p w14:paraId="149AB859" w14:textId="77777777" w:rsidR="004213D5" w:rsidRPr="004213D5" w:rsidRDefault="004213D5" w:rsidP="004213D5">
      <w:pPr>
        <w:pStyle w:val="EndNoteBibliography"/>
        <w:spacing w:after="0"/>
        <w:ind w:left="720" w:hanging="720"/>
      </w:pPr>
      <w:r w:rsidRPr="004213D5">
        <w:t xml:space="preserve">LIVINGSTON, M. &amp; DIETZE, P. 2016. National survey data can be used to measure trends  in population alcohol consumption in Australia. </w:t>
      </w:r>
      <w:r w:rsidRPr="004213D5">
        <w:rPr>
          <w:i/>
        </w:rPr>
        <w:t>Australian and New Zealand Journal of Public Health,</w:t>
      </w:r>
      <w:r w:rsidRPr="004213D5">
        <w:t xml:space="preserve"> 40</w:t>
      </w:r>
      <w:r w:rsidRPr="004213D5">
        <w:rPr>
          <w:b/>
        </w:rPr>
        <w:t>,</w:t>
      </w:r>
      <w:r w:rsidRPr="004213D5">
        <w:t xml:space="preserve"> 233-235.</w:t>
      </w:r>
    </w:p>
    <w:p w14:paraId="68C020F1" w14:textId="77777777" w:rsidR="004213D5" w:rsidRPr="004213D5" w:rsidRDefault="004213D5" w:rsidP="004213D5">
      <w:pPr>
        <w:pStyle w:val="EndNoteBibliography"/>
        <w:spacing w:after="0"/>
        <w:ind w:left="720" w:hanging="720"/>
      </w:pPr>
      <w:r w:rsidRPr="004213D5">
        <w:t xml:space="preserve">LIVINGSTON, M., RANINEN, J., SLADE, T., SWIFT, W., LLOYD, B. &amp; DIETZE, P. 2016. Understanding trends in Australian alcohol consumption: an age–period–cohort model. </w:t>
      </w:r>
      <w:r w:rsidRPr="004213D5">
        <w:rPr>
          <w:i/>
        </w:rPr>
        <w:t>Addiction,</w:t>
      </w:r>
      <w:r w:rsidRPr="004213D5">
        <w:t xml:space="preserve"> 111</w:t>
      </w:r>
      <w:r w:rsidRPr="004213D5">
        <w:rPr>
          <w:b/>
        </w:rPr>
        <w:t>,</w:t>
      </w:r>
      <w:r w:rsidRPr="004213D5">
        <w:t xml:space="preserve"> 1590-1598.</w:t>
      </w:r>
    </w:p>
    <w:p w14:paraId="1A68FD19" w14:textId="77777777" w:rsidR="004213D5" w:rsidRPr="004213D5" w:rsidRDefault="004213D5" w:rsidP="004213D5">
      <w:pPr>
        <w:pStyle w:val="EndNoteBibliography"/>
        <w:spacing w:after="0"/>
        <w:ind w:left="720" w:hanging="720"/>
      </w:pPr>
      <w:r w:rsidRPr="004213D5">
        <w:t xml:space="preserve">MENG, Y., HOLMES, J., HILL-MCMANUS, D., BRENNAN, A. &amp; MEIER, P. 2014. Trend analysis and modelling of gender-specific age, period and birth cohort effects on alcohol abstention and consumption level for drinkers in Great Britain using the General Lifestyle Survey 1984-2009. </w:t>
      </w:r>
      <w:r w:rsidRPr="004213D5">
        <w:rPr>
          <w:i/>
        </w:rPr>
        <w:t>Addiction,</w:t>
      </w:r>
      <w:r w:rsidRPr="004213D5">
        <w:t xml:space="preserve"> 109</w:t>
      </w:r>
      <w:r w:rsidRPr="004213D5">
        <w:rPr>
          <w:b/>
        </w:rPr>
        <w:t>,</w:t>
      </w:r>
      <w:r w:rsidRPr="004213D5">
        <w:t xml:space="preserve"> 206-15.</w:t>
      </w:r>
    </w:p>
    <w:p w14:paraId="2F6A7F8F" w14:textId="77777777" w:rsidR="004213D5" w:rsidRPr="004213D5" w:rsidRDefault="004213D5" w:rsidP="004213D5">
      <w:pPr>
        <w:pStyle w:val="EndNoteBibliography"/>
        <w:spacing w:after="0"/>
        <w:ind w:left="720" w:hanging="720"/>
      </w:pPr>
      <w:r w:rsidRPr="004213D5">
        <w:lastRenderedPageBreak/>
        <w:t xml:space="preserve">NG FAT, L., CABLE, N. &amp; SHELTON, S. 2015. Worsening of Health and a Cessation or Reduction in Alcohol Consumption to Special Occasion Drinking Across Three Decades of the Life Course. </w:t>
      </w:r>
      <w:r w:rsidRPr="004213D5">
        <w:rPr>
          <w:i/>
        </w:rPr>
        <w:t>Alcoholism: Clinical and Experimental Research,</w:t>
      </w:r>
      <w:r w:rsidRPr="004213D5">
        <w:t xml:space="preserve"> 39</w:t>
      </w:r>
      <w:r w:rsidRPr="004213D5">
        <w:rPr>
          <w:b/>
        </w:rPr>
        <w:t>,</w:t>
      </w:r>
      <w:r w:rsidRPr="004213D5">
        <w:t xml:space="preserve"> 166-174.</w:t>
      </w:r>
    </w:p>
    <w:p w14:paraId="27366851" w14:textId="77777777" w:rsidR="004213D5" w:rsidRPr="004213D5" w:rsidRDefault="004213D5" w:rsidP="004213D5">
      <w:pPr>
        <w:pStyle w:val="EndNoteBibliography"/>
        <w:spacing w:after="0"/>
        <w:ind w:left="720" w:hanging="720"/>
      </w:pPr>
      <w:r w:rsidRPr="004213D5">
        <w:t xml:space="preserve">O'TOOLE, J., SINCLAIR, M. &amp; LEDER, K. 2008. Maximising response rates in household telephone surveys. </w:t>
      </w:r>
      <w:r w:rsidRPr="004213D5">
        <w:rPr>
          <w:i/>
        </w:rPr>
        <w:t>BMC Medical Research Methodology,</w:t>
      </w:r>
      <w:r w:rsidRPr="004213D5">
        <w:t xml:space="preserve"> 8.</w:t>
      </w:r>
    </w:p>
    <w:p w14:paraId="3F2B7E38" w14:textId="77777777" w:rsidR="004213D5" w:rsidRPr="004213D5" w:rsidRDefault="004213D5" w:rsidP="004213D5">
      <w:pPr>
        <w:pStyle w:val="EndNoteBibliography"/>
        <w:spacing w:after="0"/>
        <w:ind w:left="720" w:hanging="720"/>
      </w:pPr>
      <w:r w:rsidRPr="004213D5">
        <w:t xml:space="preserve">PENNAY, A., LIVINGSTON, M. &amp; MACLEAN, S. 2015. Young people are drinking less: it's time to find out why. </w:t>
      </w:r>
      <w:r w:rsidRPr="004213D5">
        <w:rPr>
          <w:i/>
        </w:rPr>
        <w:t>Drug and Alcohol Review,</w:t>
      </w:r>
      <w:r w:rsidRPr="004213D5">
        <w:t xml:space="preserve"> 34</w:t>
      </w:r>
      <w:r w:rsidRPr="004213D5">
        <w:rPr>
          <w:b/>
        </w:rPr>
        <w:t>,</w:t>
      </w:r>
      <w:r w:rsidRPr="004213D5">
        <w:t xml:space="preserve"> 115-118.</w:t>
      </w:r>
    </w:p>
    <w:p w14:paraId="28683176" w14:textId="77777777" w:rsidR="004213D5" w:rsidRPr="004213D5" w:rsidRDefault="004213D5" w:rsidP="004213D5">
      <w:pPr>
        <w:pStyle w:val="EndNoteBibliography"/>
        <w:spacing w:after="0"/>
        <w:ind w:left="720" w:hanging="720"/>
      </w:pPr>
      <w:r w:rsidRPr="004213D5">
        <w:t xml:space="preserve">PENNAY, A., MACLEAN, S. &amp; RANKIN, G. 2016. Hello Sunday Morning: Alcohol, (non)consumption and selfhood. </w:t>
      </w:r>
      <w:r w:rsidRPr="004213D5">
        <w:rPr>
          <w:i/>
        </w:rPr>
        <w:t>International Journal of Drug Policy,</w:t>
      </w:r>
      <w:r w:rsidRPr="004213D5">
        <w:t xml:space="preserve"> 28</w:t>
      </w:r>
      <w:r w:rsidRPr="004213D5">
        <w:rPr>
          <w:b/>
        </w:rPr>
        <w:t>,</w:t>
      </w:r>
      <w:r w:rsidRPr="004213D5">
        <w:t xml:space="preserve"> 67-75.</w:t>
      </w:r>
    </w:p>
    <w:p w14:paraId="2DD32752" w14:textId="77777777" w:rsidR="004213D5" w:rsidRPr="004213D5" w:rsidRDefault="004213D5" w:rsidP="004213D5">
      <w:pPr>
        <w:pStyle w:val="EndNoteBibliography"/>
        <w:spacing w:after="0"/>
        <w:ind w:left="720" w:hanging="720"/>
      </w:pPr>
      <w:r w:rsidRPr="004213D5">
        <w:t xml:space="preserve">SKOG, O. 1985. The collectivity of drinking cultures: a theory of the ditribution of alcohol consumption. </w:t>
      </w:r>
      <w:r w:rsidRPr="004213D5">
        <w:rPr>
          <w:i/>
        </w:rPr>
        <w:t>British Journal of Addiction,</w:t>
      </w:r>
      <w:r w:rsidRPr="004213D5">
        <w:t xml:space="preserve"> 80</w:t>
      </w:r>
      <w:r w:rsidRPr="004213D5">
        <w:rPr>
          <w:b/>
        </w:rPr>
        <w:t>,</w:t>
      </w:r>
      <w:r w:rsidRPr="004213D5">
        <w:t xml:space="preserve"> 83-99.</w:t>
      </w:r>
    </w:p>
    <w:p w14:paraId="19DC048D" w14:textId="77777777" w:rsidR="004213D5" w:rsidRPr="004213D5" w:rsidRDefault="004213D5" w:rsidP="004213D5">
      <w:pPr>
        <w:pStyle w:val="EndNoteBibliography"/>
        <w:spacing w:after="0"/>
        <w:ind w:left="720" w:hanging="720"/>
      </w:pPr>
      <w:r w:rsidRPr="004213D5">
        <w:t>STATACORP 2015. Stata Statistical Software: Release 14. College Station, TX: StataCorp LP.</w:t>
      </w:r>
    </w:p>
    <w:p w14:paraId="366E77C0" w14:textId="77777777" w:rsidR="004213D5" w:rsidRPr="004213D5" w:rsidRDefault="004213D5" w:rsidP="004213D5">
      <w:pPr>
        <w:pStyle w:val="EndNoteBibliography"/>
        <w:spacing w:after="0"/>
        <w:ind w:left="720" w:hanging="720"/>
      </w:pPr>
      <w:r w:rsidRPr="004213D5">
        <w:t xml:space="preserve">WILSNACK, R. W., WILSNACK, S. C., KRISTJANSON, A. F., VOGELTANZ-HOLM, N. D. &amp; GMEL, G. 2009. Gender and alcohol consumption: patterns from the multinational GENACIS project. </w:t>
      </w:r>
      <w:r w:rsidRPr="004213D5">
        <w:rPr>
          <w:i/>
        </w:rPr>
        <w:t>Addiction,</w:t>
      </w:r>
      <w:r w:rsidRPr="004213D5">
        <w:t xml:space="preserve"> 104</w:t>
      </w:r>
      <w:r w:rsidRPr="004213D5">
        <w:rPr>
          <w:b/>
        </w:rPr>
        <w:t>,</w:t>
      </w:r>
      <w:r w:rsidRPr="004213D5">
        <w:t xml:space="preserve"> 1487-1500.</w:t>
      </w:r>
    </w:p>
    <w:p w14:paraId="08CEF79E" w14:textId="77777777" w:rsidR="004213D5" w:rsidRPr="004213D5" w:rsidRDefault="004213D5" w:rsidP="004213D5">
      <w:pPr>
        <w:pStyle w:val="EndNoteBibliography"/>
        <w:ind w:left="720" w:hanging="720"/>
      </w:pPr>
      <w:r w:rsidRPr="004213D5">
        <w:t xml:space="preserve">WYN, J. 2009. Young people's wellbeing: Contradictions in managing the healthy self. </w:t>
      </w:r>
      <w:r w:rsidRPr="004213D5">
        <w:rPr>
          <w:i/>
        </w:rPr>
        <w:t>ACHPER Healthy Lifestyles Journal,</w:t>
      </w:r>
      <w:r w:rsidRPr="004213D5">
        <w:t xml:space="preserve"> 56</w:t>
      </w:r>
      <w:r w:rsidRPr="004213D5">
        <w:rPr>
          <w:b/>
        </w:rPr>
        <w:t>,</w:t>
      </w:r>
      <w:r w:rsidRPr="004213D5">
        <w:t xml:space="preserve"> 5-9.</w:t>
      </w:r>
    </w:p>
    <w:p w14:paraId="42B2894B" w14:textId="428BC584" w:rsidR="00340DD1" w:rsidRDefault="001428DD" w:rsidP="004A69A1">
      <w:pPr>
        <w:pStyle w:val="EndNoteBibliography"/>
        <w:spacing w:after="200"/>
        <w:rPr>
          <w:b/>
        </w:rPr>
      </w:pPr>
      <w:r>
        <w:rPr>
          <w:b/>
        </w:rPr>
        <w:fldChar w:fldCharType="end"/>
      </w:r>
    </w:p>
    <w:p w14:paraId="072529F4" w14:textId="77777777" w:rsidR="00340DD1" w:rsidRDefault="00340DD1">
      <w:pPr>
        <w:rPr>
          <w:rFonts w:ascii="Calibri" w:hAnsi="Calibri" w:cs="Calibri"/>
          <w:b/>
          <w:noProof/>
          <w:lang w:val="en-US"/>
        </w:rPr>
      </w:pPr>
      <w:r>
        <w:rPr>
          <w:b/>
        </w:rPr>
        <w:br w:type="page"/>
      </w:r>
    </w:p>
    <w:p w14:paraId="23C99703" w14:textId="77777777" w:rsidR="00340DD1" w:rsidRPr="00C30665" w:rsidRDefault="00340DD1" w:rsidP="00340DD1">
      <w:pPr>
        <w:rPr>
          <w:rFonts w:ascii="Calibri" w:hAnsi="Calibri" w:cs="Times New Roman"/>
          <w:b/>
        </w:rPr>
      </w:pPr>
      <w:r>
        <w:rPr>
          <w:rFonts w:ascii="Calibri" w:hAnsi="Calibri" w:cs="Times New Roman"/>
          <w:b/>
        </w:rPr>
        <w:lastRenderedPageBreak/>
        <w:t>Table 1: Details of the National Drug Strategy Household Survey used in this study</w:t>
      </w:r>
    </w:p>
    <w:tbl>
      <w:tblPr>
        <w:tblW w:w="9026" w:type="dxa"/>
        <w:tblLook w:val="04A0" w:firstRow="1" w:lastRow="0" w:firstColumn="1" w:lastColumn="0" w:noHBand="0" w:noVBand="1"/>
      </w:tblPr>
      <w:tblGrid>
        <w:gridCol w:w="826"/>
        <w:gridCol w:w="1050"/>
        <w:gridCol w:w="724"/>
        <w:gridCol w:w="1984"/>
        <w:gridCol w:w="896"/>
        <w:gridCol w:w="1146"/>
        <w:gridCol w:w="897"/>
        <w:gridCol w:w="1503"/>
      </w:tblGrid>
      <w:tr w:rsidR="00340DD1" w:rsidRPr="00915EF8" w14:paraId="0BE0FCF8" w14:textId="77777777" w:rsidTr="00F4602C">
        <w:trPr>
          <w:trHeight w:val="300"/>
        </w:trPr>
        <w:tc>
          <w:tcPr>
            <w:tcW w:w="827" w:type="dxa"/>
            <w:tcBorders>
              <w:top w:val="single" w:sz="4" w:space="0" w:color="auto"/>
              <w:left w:val="nil"/>
              <w:bottom w:val="single" w:sz="4" w:space="0" w:color="auto"/>
              <w:right w:val="nil"/>
            </w:tcBorders>
            <w:vAlign w:val="center"/>
          </w:tcPr>
          <w:p w14:paraId="07B306F7"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Year</w:t>
            </w:r>
          </w:p>
        </w:tc>
        <w:tc>
          <w:tcPr>
            <w:tcW w:w="1050" w:type="dxa"/>
            <w:tcBorders>
              <w:top w:val="single" w:sz="4" w:space="0" w:color="auto"/>
              <w:left w:val="nil"/>
              <w:bottom w:val="single" w:sz="4" w:space="0" w:color="auto"/>
              <w:right w:val="nil"/>
            </w:tcBorders>
            <w:shd w:val="clear" w:color="auto" w:fill="auto"/>
            <w:vAlign w:val="center"/>
          </w:tcPr>
          <w:p w14:paraId="7A1EE008"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Survey N</w:t>
            </w:r>
          </w:p>
        </w:tc>
        <w:tc>
          <w:tcPr>
            <w:tcW w:w="724" w:type="dxa"/>
            <w:tcBorders>
              <w:top w:val="single" w:sz="4" w:space="0" w:color="auto"/>
              <w:left w:val="nil"/>
              <w:bottom w:val="single" w:sz="4" w:space="0" w:color="auto"/>
              <w:right w:val="nil"/>
            </w:tcBorders>
            <w:vAlign w:val="center"/>
          </w:tcPr>
          <w:p w14:paraId="0D859CDA"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RR</w:t>
            </w:r>
          </w:p>
        </w:tc>
        <w:tc>
          <w:tcPr>
            <w:tcW w:w="1984" w:type="dxa"/>
            <w:tcBorders>
              <w:top w:val="single" w:sz="4" w:space="0" w:color="auto"/>
              <w:left w:val="nil"/>
              <w:bottom w:val="single" w:sz="4" w:space="0" w:color="auto"/>
              <w:right w:val="nil"/>
            </w:tcBorders>
            <w:shd w:val="clear" w:color="auto" w:fill="auto"/>
            <w:noWrap/>
            <w:vAlign w:val="center"/>
          </w:tcPr>
          <w:p w14:paraId="59DF1A1B"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Method</w:t>
            </w:r>
          </w:p>
        </w:tc>
        <w:tc>
          <w:tcPr>
            <w:tcW w:w="896" w:type="dxa"/>
            <w:tcBorders>
              <w:top w:val="single" w:sz="4" w:space="0" w:color="auto"/>
              <w:left w:val="nil"/>
              <w:bottom w:val="single" w:sz="4" w:space="0" w:color="auto"/>
              <w:right w:val="nil"/>
            </w:tcBorders>
          </w:tcPr>
          <w:p w14:paraId="5EF95F83"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&lt;14</w:t>
            </w:r>
          </w:p>
        </w:tc>
        <w:tc>
          <w:tcPr>
            <w:tcW w:w="1147" w:type="dxa"/>
            <w:tcBorders>
              <w:top w:val="single" w:sz="4" w:space="0" w:color="auto"/>
              <w:left w:val="nil"/>
              <w:bottom w:val="single" w:sz="4" w:space="0" w:color="auto"/>
              <w:right w:val="nil"/>
            </w:tcBorders>
            <w:vAlign w:val="center"/>
          </w:tcPr>
          <w:p w14:paraId="1FD21F66"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Drinker %</w:t>
            </w:r>
          </w:p>
        </w:tc>
        <w:tc>
          <w:tcPr>
            <w:tcW w:w="895" w:type="dxa"/>
            <w:tcBorders>
              <w:top w:val="single" w:sz="4" w:space="0" w:color="auto"/>
              <w:left w:val="nil"/>
              <w:bottom w:val="single" w:sz="4" w:space="0" w:color="auto"/>
              <w:right w:val="nil"/>
            </w:tcBorders>
          </w:tcPr>
          <w:p w14:paraId="5B0B5ABA"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Missing</w:t>
            </w:r>
          </w:p>
        </w:tc>
        <w:tc>
          <w:tcPr>
            <w:tcW w:w="1503" w:type="dxa"/>
            <w:tcBorders>
              <w:top w:val="single" w:sz="4" w:space="0" w:color="auto"/>
              <w:left w:val="nil"/>
              <w:bottom w:val="single" w:sz="4" w:space="0" w:color="auto"/>
              <w:right w:val="nil"/>
            </w:tcBorders>
            <w:shd w:val="clear" w:color="auto" w:fill="auto"/>
            <w:noWrap/>
            <w:vAlign w:val="center"/>
          </w:tcPr>
          <w:p w14:paraId="5DA48722"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Sample N</w:t>
            </w:r>
            <w:r w:rsidRPr="00C30665">
              <w:rPr>
                <w:rFonts w:ascii="Calibri" w:eastAsia="Times New Roman" w:hAnsi="Calibri" w:cs="Times New Roman"/>
                <w:color w:val="000000"/>
                <w:vertAlign w:val="superscript"/>
                <w:lang w:eastAsia="en-AU"/>
              </w:rPr>
              <w:t>#</w:t>
            </w:r>
          </w:p>
        </w:tc>
      </w:tr>
      <w:tr w:rsidR="00340DD1" w:rsidRPr="00915EF8" w14:paraId="5496A82D" w14:textId="77777777" w:rsidTr="00F4602C">
        <w:trPr>
          <w:trHeight w:val="300"/>
        </w:trPr>
        <w:tc>
          <w:tcPr>
            <w:tcW w:w="827" w:type="dxa"/>
            <w:tcBorders>
              <w:top w:val="single" w:sz="4" w:space="0" w:color="auto"/>
              <w:left w:val="nil"/>
              <w:bottom w:val="nil"/>
              <w:right w:val="nil"/>
            </w:tcBorders>
            <w:vAlign w:val="center"/>
          </w:tcPr>
          <w:p w14:paraId="515572DC"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2001</w:t>
            </w:r>
          </w:p>
        </w:tc>
        <w:tc>
          <w:tcPr>
            <w:tcW w:w="1050" w:type="dxa"/>
            <w:tcBorders>
              <w:top w:val="single" w:sz="4" w:space="0" w:color="auto"/>
              <w:left w:val="nil"/>
              <w:bottom w:val="nil"/>
              <w:right w:val="nil"/>
            </w:tcBorders>
            <w:shd w:val="clear" w:color="auto" w:fill="auto"/>
            <w:vAlign w:val="center"/>
            <w:hideMark/>
          </w:tcPr>
          <w:p w14:paraId="562447AC"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26,744</w:t>
            </w:r>
          </w:p>
        </w:tc>
        <w:tc>
          <w:tcPr>
            <w:tcW w:w="724" w:type="dxa"/>
            <w:tcBorders>
              <w:top w:val="single" w:sz="4" w:space="0" w:color="auto"/>
              <w:left w:val="nil"/>
              <w:bottom w:val="nil"/>
              <w:right w:val="nil"/>
            </w:tcBorders>
            <w:vAlign w:val="center"/>
          </w:tcPr>
          <w:p w14:paraId="48DE84F3"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50%</w:t>
            </w:r>
          </w:p>
        </w:tc>
        <w:tc>
          <w:tcPr>
            <w:tcW w:w="1984" w:type="dxa"/>
            <w:tcBorders>
              <w:top w:val="single" w:sz="4" w:space="0" w:color="auto"/>
              <w:left w:val="nil"/>
              <w:bottom w:val="nil"/>
              <w:right w:val="nil"/>
            </w:tcBorders>
            <w:shd w:val="clear" w:color="auto" w:fill="auto"/>
            <w:noWrap/>
            <w:vAlign w:val="center"/>
            <w:hideMark/>
          </w:tcPr>
          <w:p w14:paraId="1B9F3499"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F2F</w:t>
            </w:r>
            <w:r>
              <w:rPr>
                <w:rFonts w:ascii="Calibri" w:hAnsi="Calibri" w:cs="Times New Roman"/>
              </w:rPr>
              <w:t>,</w:t>
            </w:r>
            <w:r w:rsidRPr="00915EF8">
              <w:rPr>
                <w:rFonts w:ascii="Calibri" w:hAnsi="Calibri" w:cs="Times New Roman"/>
              </w:rPr>
              <w:t xml:space="preserve"> D&amp;C, CATI</w:t>
            </w:r>
          </w:p>
        </w:tc>
        <w:tc>
          <w:tcPr>
            <w:tcW w:w="896" w:type="dxa"/>
            <w:tcBorders>
              <w:top w:val="single" w:sz="4" w:space="0" w:color="auto"/>
              <w:left w:val="nil"/>
              <w:bottom w:val="nil"/>
              <w:right w:val="nil"/>
            </w:tcBorders>
          </w:tcPr>
          <w:p w14:paraId="45B18EA6"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147" w:type="dxa"/>
            <w:tcBorders>
              <w:top w:val="single" w:sz="4" w:space="0" w:color="auto"/>
              <w:left w:val="nil"/>
              <w:bottom w:val="nil"/>
              <w:right w:val="nil"/>
            </w:tcBorders>
            <w:vAlign w:val="center"/>
          </w:tcPr>
          <w:p w14:paraId="47BA5191"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83.9</w:t>
            </w:r>
          </w:p>
        </w:tc>
        <w:tc>
          <w:tcPr>
            <w:tcW w:w="895" w:type="dxa"/>
            <w:tcBorders>
              <w:top w:val="single" w:sz="4" w:space="0" w:color="auto"/>
              <w:left w:val="nil"/>
              <w:bottom w:val="nil"/>
              <w:right w:val="nil"/>
            </w:tcBorders>
          </w:tcPr>
          <w:p w14:paraId="51D80AA8" w14:textId="77777777" w:rsidR="00340DD1" w:rsidRDefault="00340DD1" w:rsidP="00F4602C">
            <w:pPr>
              <w:spacing w:after="0" w:line="240" w:lineRule="auto"/>
              <w:rPr>
                <w:rFonts w:ascii="Calibri" w:hAnsi="Calibri"/>
                <w:color w:val="000000"/>
              </w:rPr>
            </w:pPr>
            <w:r>
              <w:rPr>
                <w:rFonts w:ascii="Calibri" w:hAnsi="Calibri"/>
                <w:color w:val="000000"/>
              </w:rPr>
              <w:t>0%</w:t>
            </w:r>
          </w:p>
        </w:tc>
        <w:tc>
          <w:tcPr>
            <w:tcW w:w="1503" w:type="dxa"/>
            <w:tcBorders>
              <w:top w:val="single" w:sz="4" w:space="0" w:color="auto"/>
              <w:left w:val="nil"/>
              <w:bottom w:val="nil"/>
              <w:right w:val="nil"/>
            </w:tcBorders>
            <w:shd w:val="clear" w:color="auto" w:fill="auto"/>
            <w:noWrap/>
            <w:vAlign w:val="bottom"/>
            <w:hideMark/>
          </w:tcPr>
          <w:p w14:paraId="681DA6D8"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hAnsi="Calibri"/>
                <w:color w:val="000000"/>
              </w:rPr>
              <w:t>22,437</w:t>
            </w:r>
          </w:p>
        </w:tc>
      </w:tr>
      <w:tr w:rsidR="00340DD1" w:rsidRPr="00915EF8" w14:paraId="4316D823" w14:textId="77777777" w:rsidTr="00F4602C">
        <w:trPr>
          <w:trHeight w:val="300"/>
        </w:trPr>
        <w:tc>
          <w:tcPr>
            <w:tcW w:w="827" w:type="dxa"/>
            <w:tcBorders>
              <w:top w:val="nil"/>
              <w:left w:val="nil"/>
              <w:bottom w:val="nil"/>
              <w:right w:val="nil"/>
            </w:tcBorders>
            <w:vAlign w:val="center"/>
          </w:tcPr>
          <w:p w14:paraId="32BE9BEB"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2004</w:t>
            </w:r>
          </w:p>
        </w:tc>
        <w:tc>
          <w:tcPr>
            <w:tcW w:w="1050" w:type="dxa"/>
            <w:tcBorders>
              <w:top w:val="nil"/>
              <w:left w:val="nil"/>
              <w:bottom w:val="nil"/>
              <w:right w:val="nil"/>
            </w:tcBorders>
            <w:shd w:val="clear" w:color="auto" w:fill="auto"/>
            <w:vAlign w:val="center"/>
            <w:hideMark/>
          </w:tcPr>
          <w:p w14:paraId="55704A7B"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23,532</w:t>
            </w:r>
          </w:p>
        </w:tc>
        <w:tc>
          <w:tcPr>
            <w:tcW w:w="724" w:type="dxa"/>
            <w:tcBorders>
              <w:top w:val="nil"/>
              <w:left w:val="nil"/>
              <w:bottom w:val="nil"/>
              <w:right w:val="nil"/>
            </w:tcBorders>
            <w:vAlign w:val="center"/>
          </w:tcPr>
          <w:p w14:paraId="4FE62ECB"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46%</w:t>
            </w:r>
          </w:p>
        </w:tc>
        <w:tc>
          <w:tcPr>
            <w:tcW w:w="1984" w:type="dxa"/>
            <w:tcBorders>
              <w:top w:val="nil"/>
              <w:left w:val="nil"/>
              <w:bottom w:val="nil"/>
              <w:right w:val="nil"/>
            </w:tcBorders>
            <w:shd w:val="clear" w:color="auto" w:fill="auto"/>
            <w:noWrap/>
            <w:vAlign w:val="center"/>
            <w:hideMark/>
          </w:tcPr>
          <w:p w14:paraId="4C9E00FB"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D&amp;C*</w:t>
            </w:r>
          </w:p>
        </w:tc>
        <w:tc>
          <w:tcPr>
            <w:tcW w:w="896" w:type="dxa"/>
            <w:tcBorders>
              <w:top w:val="nil"/>
              <w:left w:val="nil"/>
              <w:bottom w:val="nil"/>
              <w:right w:val="nil"/>
            </w:tcBorders>
          </w:tcPr>
          <w:p w14:paraId="649871DA"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2.4%</w:t>
            </w:r>
          </w:p>
        </w:tc>
        <w:tc>
          <w:tcPr>
            <w:tcW w:w="1147" w:type="dxa"/>
            <w:tcBorders>
              <w:top w:val="nil"/>
              <w:left w:val="nil"/>
              <w:bottom w:val="nil"/>
              <w:right w:val="nil"/>
            </w:tcBorders>
            <w:vAlign w:val="center"/>
          </w:tcPr>
          <w:p w14:paraId="47549BC6"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85.4</w:t>
            </w:r>
          </w:p>
        </w:tc>
        <w:tc>
          <w:tcPr>
            <w:tcW w:w="895" w:type="dxa"/>
            <w:tcBorders>
              <w:top w:val="nil"/>
              <w:left w:val="nil"/>
              <w:bottom w:val="nil"/>
              <w:right w:val="nil"/>
            </w:tcBorders>
          </w:tcPr>
          <w:p w14:paraId="13E8E422" w14:textId="77777777" w:rsidR="00340DD1" w:rsidRDefault="00340DD1" w:rsidP="00F4602C">
            <w:pPr>
              <w:spacing w:after="0" w:line="240" w:lineRule="auto"/>
              <w:rPr>
                <w:rFonts w:ascii="Calibri" w:hAnsi="Calibri"/>
                <w:color w:val="000000"/>
              </w:rPr>
            </w:pPr>
            <w:r>
              <w:rPr>
                <w:rFonts w:ascii="Calibri" w:hAnsi="Calibri"/>
                <w:color w:val="000000"/>
              </w:rPr>
              <w:t>2.6%</w:t>
            </w:r>
          </w:p>
        </w:tc>
        <w:tc>
          <w:tcPr>
            <w:tcW w:w="1503" w:type="dxa"/>
            <w:tcBorders>
              <w:top w:val="nil"/>
              <w:left w:val="nil"/>
              <w:bottom w:val="nil"/>
              <w:right w:val="nil"/>
            </w:tcBorders>
            <w:shd w:val="clear" w:color="auto" w:fill="auto"/>
            <w:noWrap/>
            <w:vAlign w:val="bottom"/>
            <w:hideMark/>
          </w:tcPr>
          <w:p w14:paraId="6884A0B9"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hAnsi="Calibri"/>
                <w:color w:val="000000"/>
              </w:rPr>
              <w:t>19,576</w:t>
            </w:r>
          </w:p>
        </w:tc>
      </w:tr>
      <w:tr w:rsidR="00340DD1" w:rsidRPr="00915EF8" w14:paraId="67074103" w14:textId="77777777" w:rsidTr="00F4602C">
        <w:trPr>
          <w:trHeight w:val="300"/>
        </w:trPr>
        <w:tc>
          <w:tcPr>
            <w:tcW w:w="827" w:type="dxa"/>
            <w:tcBorders>
              <w:top w:val="nil"/>
              <w:left w:val="nil"/>
              <w:bottom w:val="nil"/>
              <w:right w:val="nil"/>
            </w:tcBorders>
            <w:vAlign w:val="center"/>
          </w:tcPr>
          <w:p w14:paraId="5E6E8503"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2007</w:t>
            </w:r>
          </w:p>
        </w:tc>
        <w:tc>
          <w:tcPr>
            <w:tcW w:w="1050" w:type="dxa"/>
            <w:tcBorders>
              <w:top w:val="nil"/>
              <w:left w:val="nil"/>
              <w:bottom w:val="nil"/>
              <w:right w:val="nil"/>
            </w:tcBorders>
            <w:shd w:val="clear" w:color="auto" w:fill="auto"/>
            <w:vAlign w:val="center"/>
            <w:hideMark/>
          </w:tcPr>
          <w:p w14:paraId="50F1BD2C"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19,443</w:t>
            </w:r>
          </w:p>
        </w:tc>
        <w:tc>
          <w:tcPr>
            <w:tcW w:w="724" w:type="dxa"/>
            <w:tcBorders>
              <w:top w:val="nil"/>
              <w:left w:val="nil"/>
              <w:bottom w:val="nil"/>
              <w:right w:val="nil"/>
            </w:tcBorders>
            <w:vAlign w:val="center"/>
          </w:tcPr>
          <w:p w14:paraId="64F32F34"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49%</w:t>
            </w:r>
          </w:p>
        </w:tc>
        <w:tc>
          <w:tcPr>
            <w:tcW w:w="1984" w:type="dxa"/>
            <w:tcBorders>
              <w:top w:val="nil"/>
              <w:left w:val="nil"/>
              <w:bottom w:val="nil"/>
              <w:right w:val="nil"/>
            </w:tcBorders>
            <w:shd w:val="clear" w:color="auto" w:fill="auto"/>
            <w:noWrap/>
            <w:vAlign w:val="center"/>
            <w:hideMark/>
          </w:tcPr>
          <w:p w14:paraId="6066BF25"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 xml:space="preserve">D&amp;C* </w:t>
            </w:r>
          </w:p>
        </w:tc>
        <w:tc>
          <w:tcPr>
            <w:tcW w:w="896" w:type="dxa"/>
            <w:tcBorders>
              <w:top w:val="nil"/>
              <w:left w:val="nil"/>
              <w:bottom w:val="nil"/>
              <w:right w:val="nil"/>
            </w:tcBorders>
          </w:tcPr>
          <w:p w14:paraId="60BFE5CD"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1.9%</w:t>
            </w:r>
          </w:p>
        </w:tc>
        <w:tc>
          <w:tcPr>
            <w:tcW w:w="1147" w:type="dxa"/>
            <w:tcBorders>
              <w:top w:val="nil"/>
              <w:left w:val="nil"/>
              <w:bottom w:val="nil"/>
              <w:right w:val="nil"/>
            </w:tcBorders>
            <w:vAlign w:val="center"/>
          </w:tcPr>
          <w:p w14:paraId="3CDFD0E0"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83.1</w:t>
            </w:r>
          </w:p>
        </w:tc>
        <w:tc>
          <w:tcPr>
            <w:tcW w:w="895" w:type="dxa"/>
            <w:tcBorders>
              <w:top w:val="nil"/>
              <w:left w:val="nil"/>
              <w:bottom w:val="nil"/>
              <w:right w:val="nil"/>
            </w:tcBorders>
          </w:tcPr>
          <w:p w14:paraId="715CEE53" w14:textId="77777777" w:rsidR="00340DD1" w:rsidRDefault="00340DD1" w:rsidP="00F4602C">
            <w:pPr>
              <w:spacing w:after="0" w:line="240" w:lineRule="auto"/>
              <w:rPr>
                <w:rFonts w:ascii="Calibri" w:hAnsi="Calibri"/>
                <w:color w:val="000000"/>
              </w:rPr>
            </w:pPr>
            <w:r>
              <w:rPr>
                <w:rFonts w:ascii="Calibri" w:hAnsi="Calibri"/>
                <w:color w:val="000000"/>
              </w:rPr>
              <w:t>1.5%</w:t>
            </w:r>
          </w:p>
        </w:tc>
        <w:tc>
          <w:tcPr>
            <w:tcW w:w="1503" w:type="dxa"/>
            <w:tcBorders>
              <w:top w:val="nil"/>
              <w:left w:val="nil"/>
              <w:bottom w:val="nil"/>
              <w:right w:val="nil"/>
            </w:tcBorders>
            <w:shd w:val="clear" w:color="auto" w:fill="auto"/>
            <w:noWrap/>
            <w:vAlign w:val="bottom"/>
            <w:hideMark/>
          </w:tcPr>
          <w:p w14:paraId="152FD4E6"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hAnsi="Calibri"/>
                <w:color w:val="000000"/>
              </w:rPr>
              <w:t>15,916</w:t>
            </w:r>
          </w:p>
        </w:tc>
      </w:tr>
      <w:tr w:rsidR="00340DD1" w:rsidRPr="00915EF8" w14:paraId="788D5E15" w14:textId="77777777" w:rsidTr="00F4602C">
        <w:trPr>
          <w:trHeight w:val="300"/>
        </w:trPr>
        <w:tc>
          <w:tcPr>
            <w:tcW w:w="827" w:type="dxa"/>
            <w:tcBorders>
              <w:top w:val="nil"/>
              <w:left w:val="nil"/>
              <w:right w:val="nil"/>
            </w:tcBorders>
            <w:vAlign w:val="center"/>
          </w:tcPr>
          <w:p w14:paraId="1C55F88B"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2010</w:t>
            </w:r>
          </w:p>
        </w:tc>
        <w:tc>
          <w:tcPr>
            <w:tcW w:w="1050" w:type="dxa"/>
            <w:tcBorders>
              <w:top w:val="nil"/>
              <w:left w:val="nil"/>
              <w:right w:val="nil"/>
            </w:tcBorders>
            <w:shd w:val="clear" w:color="auto" w:fill="auto"/>
            <w:vAlign w:val="center"/>
            <w:hideMark/>
          </w:tcPr>
          <w:p w14:paraId="292CA7EA"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26,157</w:t>
            </w:r>
          </w:p>
        </w:tc>
        <w:tc>
          <w:tcPr>
            <w:tcW w:w="724" w:type="dxa"/>
            <w:tcBorders>
              <w:top w:val="nil"/>
              <w:left w:val="nil"/>
              <w:right w:val="nil"/>
            </w:tcBorders>
            <w:vAlign w:val="center"/>
          </w:tcPr>
          <w:p w14:paraId="3132976C"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51%</w:t>
            </w:r>
          </w:p>
        </w:tc>
        <w:tc>
          <w:tcPr>
            <w:tcW w:w="1984" w:type="dxa"/>
            <w:tcBorders>
              <w:top w:val="nil"/>
              <w:left w:val="nil"/>
              <w:right w:val="nil"/>
            </w:tcBorders>
            <w:shd w:val="clear" w:color="auto" w:fill="auto"/>
            <w:noWrap/>
            <w:vAlign w:val="center"/>
            <w:hideMark/>
          </w:tcPr>
          <w:p w14:paraId="7CE7D4C9"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D&amp;C</w:t>
            </w:r>
          </w:p>
        </w:tc>
        <w:tc>
          <w:tcPr>
            <w:tcW w:w="896" w:type="dxa"/>
            <w:tcBorders>
              <w:top w:val="nil"/>
              <w:left w:val="nil"/>
              <w:right w:val="nil"/>
            </w:tcBorders>
          </w:tcPr>
          <w:p w14:paraId="64DB18F4"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1.8%</w:t>
            </w:r>
          </w:p>
        </w:tc>
        <w:tc>
          <w:tcPr>
            <w:tcW w:w="1147" w:type="dxa"/>
            <w:tcBorders>
              <w:top w:val="nil"/>
              <w:left w:val="nil"/>
              <w:right w:val="nil"/>
            </w:tcBorders>
            <w:vAlign w:val="center"/>
          </w:tcPr>
          <w:p w14:paraId="4459453F"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82.1</w:t>
            </w:r>
          </w:p>
        </w:tc>
        <w:tc>
          <w:tcPr>
            <w:tcW w:w="895" w:type="dxa"/>
            <w:tcBorders>
              <w:top w:val="nil"/>
              <w:left w:val="nil"/>
              <w:right w:val="nil"/>
            </w:tcBorders>
          </w:tcPr>
          <w:p w14:paraId="2FC25E59" w14:textId="77777777" w:rsidR="00340DD1" w:rsidRDefault="00340DD1" w:rsidP="00F4602C">
            <w:pPr>
              <w:spacing w:after="0" w:line="240" w:lineRule="auto"/>
              <w:rPr>
                <w:rFonts w:ascii="Calibri" w:hAnsi="Calibri"/>
                <w:color w:val="000000"/>
              </w:rPr>
            </w:pPr>
            <w:r>
              <w:rPr>
                <w:rFonts w:ascii="Calibri" w:hAnsi="Calibri"/>
                <w:color w:val="000000"/>
              </w:rPr>
              <w:t>1.4%</w:t>
            </w:r>
          </w:p>
        </w:tc>
        <w:tc>
          <w:tcPr>
            <w:tcW w:w="1503" w:type="dxa"/>
            <w:tcBorders>
              <w:top w:val="nil"/>
              <w:left w:val="nil"/>
              <w:right w:val="nil"/>
            </w:tcBorders>
            <w:shd w:val="clear" w:color="auto" w:fill="auto"/>
            <w:noWrap/>
            <w:vAlign w:val="bottom"/>
            <w:hideMark/>
          </w:tcPr>
          <w:p w14:paraId="4EAA5BB7"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hAnsi="Calibri"/>
                <w:color w:val="000000"/>
              </w:rPr>
              <w:t>21,175</w:t>
            </w:r>
          </w:p>
        </w:tc>
      </w:tr>
      <w:tr w:rsidR="00340DD1" w:rsidRPr="00915EF8" w14:paraId="1F205414" w14:textId="77777777" w:rsidTr="00F4602C">
        <w:trPr>
          <w:trHeight w:val="300"/>
        </w:trPr>
        <w:tc>
          <w:tcPr>
            <w:tcW w:w="827" w:type="dxa"/>
            <w:tcBorders>
              <w:top w:val="nil"/>
              <w:left w:val="nil"/>
              <w:bottom w:val="single" w:sz="4" w:space="0" w:color="auto"/>
              <w:right w:val="nil"/>
            </w:tcBorders>
            <w:vAlign w:val="center"/>
          </w:tcPr>
          <w:p w14:paraId="625F4D54"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2013</w:t>
            </w:r>
          </w:p>
        </w:tc>
        <w:tc>
          <w:tcPr>
            <w:tcW w:w="1050" w:type="dxa"/>
            <w:tcBorders>
              <w:top w:val="nil"/>
              <w:left w:val="nil"/>
              <w:bottom w:val="single" w:sz="4" w:space="0" w:color="auto"/>
              <w:right w:val="nil"/>
            </w:tcBorders>
            <w:shd w:val="clear" w:color="auto" w:fill="auto"/>
            <w:vAlign w:val="center"/>
            <w:hideMark/>
          </w:tcPr>
          <w:p w14:paraId="7D267989"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23,521</w:t>
            </w:r>
          </w:p>
        </w:tc>
        <w:tc>
          <w:tcPr>
            <w:tcW w:w="724" w:type="dxa"/>
            <w:tcBorders>
              <w:top w:val="nil"/>
              <w:left w:val="nil"/>
              <w:bottom w:val="single" w:sz="4" w:space="0" w:color="auto"/>
              <w:right w:val="nil"/>
            </w:tcBorders>
            <w:vAlign w:val="center"/>
          </w:tcPr>
          <w:p w14:paraId="48117DCC"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49%</w:t>
            </w:r>
          </w:p>
        </w:tc>
        <w:tc>
          <w:tcPr>
            <w:tcW w:w="1984" w:type="dxa"/>
            <w:tcBorders>
              <w:top w:val="nil"/>
              <w:left w:val="nil"/>
              <w:bottom w:val="single" w:sz="4" w:space="0" w:color="auto"/>
              <w:right w:val="nil"/>
            </w:tcBorders>
            <w:shd w:val="clear" w:color="auto" w:fill="auto"/>
            <w:noWrap/>
            <w:vAlign w:val="center"/>
            <w:hideMark/>
          </w:tcPr>
          <w:p w14:paraId="6213CCDB" w14:textId="77777777" w:rsidR="00340DD1" w:rsidRPr="00915EF8" w:rsidRDefault="00340DD1" w:rsidP="00F4602C">
            <w:pPr>
              <w:spacing w:after="0" w:line="276" w:lineRule="auto"/>
              <w:rPr>
                <w:rFonts w:ascii="Calibri" w:hAnsi="Calibri" w:cs="Times New Roman"/>
              </w:rPr>
            </w:pPr>
            <w:r w:rsidRPr="00915EF8">
              <w:rPr>
                <w:rFonts w:ascii="Calibri" w:hAnsi="Calibri" w:cs="Times New Roman"/>
              </w:rPr>
              <w:t>D&amp;C</w:t>
            </w:r>
          </w:p>
        </w:tc>
        <w:tc>
          <w:tcPr>
            <w:tcW w:w="896" w:type="dxa"/>
            <w:tcBorders>
              <w:top w:val="nil"/>
              <w:left w:val="nil"/>
              <w:bottom w:val="single" w:sz="4" w:space="0" w:color="auto"/>
              <w:right w:val="nil"/>
            </w:tcBorders>
          </w:tcPr>
          <w:p w14:paraId="2CA6CDEB"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1147" w:type="dxa"/>
            <w:tcBorders>
              <w:top w:val="nil"/>
              <w:left w:val="nil"/>
              <w:bottom w:val="single" w:sz="4" w:space="0" w:color="auto"/>
              <w:right w:val="nil"/>
            </w:tcBorders>
            <w:vAlign w:val="center"/>
          </w:tcPr>
          <w:p w14:paraId="16367A7A" w14:textId="77777777" w:rsidR="00340DD1" w:rsidRPr="00915EF8" w:rsidRDefault="00340DD1" w:rsidP="00F4602C">
            <w:pPr>
              <w:spacing w:after="0" w:line="240" w:lineRule="auto"/>
              <w:rPr>
                <w:rFonts w:ascii="Calibri" w:eastAsia="Times New Roman" w:hAnsi="Calibri" w:cs="Times New Roman"/>
                <w:color w:val="000000"/>
                <w:lang w:eastAsia="en-AU"/>
              </w:rPr>
            </w:pPr>
            <w:r w:rsidRPr="00915EF8">
              <w:rPr>
                <w:rFonts w:ascii="Calibri" w:eastAsia="Times New Roman" w:hAnsi="Calibri" w:cs="Times New Roman"/>
                <w:color w:val="000000"/>
                <w:lang w:eastAsia="en-AU"/>
              </w:rPr>
              <w:t>81.4</w:t>
            </w:r>
          </w:p>
        </w:tc>
        <w:tc>
          <w:tcPr>
            <w:tcW w:w="895" w:type="dxa"/>
            <w:tcBorders>
              <w:top w:val="nil"/>
              <w:left w:val="nil"/>
              <w:bottom w:val="single" w:sz="4" w:space="0" w:color="auto"/>
              <w:right w:val="nil"/>
            </w:tcBorders>
          </w:tcPr>
          <w:p w14:paraId="43056673" w14:textId="77777777" w:rsidR="00340DD1" w:rsidRDefault="00340DD1" w:rsidP="00F4602C">
            <w:pPr>
              <w:spacing w:after="0" w:line="240" w:lineRule="auto"/>
              <w:rPr>
                <w:rFonts w:ascii="Calibri" w:hAnsi="Calibri"/>
                <w:color w:val="000000"/>
              </w:rPr>
            </w:pPr>
            <w:r>
              <w:rPr>
                <w:rFonts w:ascii="Calibri" w:hAnsi="Calibri"/>
                <w:color w:val="000000"/>
              </w:rPr>
              <w:t>2.7%</w:t>
            </w:r>
          </w:p>
        </w:tc>
        <w:tc>
          <w:tcPr>
            <w:tcW w:w="1503" w:type="dxa"/>
            <w:tcBorders>
              <w:top w:val="nil"/>
              <w:left w:val="nil"/>
              <w:bottom w:val="single" w:sz="4" w:space="0" w:color="auto"/>
              <w:right w:val="nil"/>
            </w:tcBorders>
            <w:shd w:val="clear" w:color="auto" w:fill="auto"/>
            <w:noWrap/>
            <w:vAlign w:val="bottom"/>
            <w:hideMark/>
          </w:tcPr>
          <w:p w14:paraId="4138123C" w14:textId="77777777" w:rsidR="00340DD1" w:rsidRPr="00915EF8" w:rsidRDefault="00340DD1" w:rsidP="00F4602C">
            <w:pPr>
              <w:spacing w:after="0" w:line="240" w:lineRule="auto"/>
              <w:rPr>
                <w:rFonts w:ascii="Calibri" w:eastAsia="Times New Roman" w:hAnsi="Calibri" w:cs="Times New Roman"/>
                <w:color w:val="000000"/>
                <w:lang w:eastAsia="en-AU"/>
              </w:rPr>
            </w:pPr>
            <w:r>
              <w:rPr>
                <w:rFonts w:ascii="Calibri" w:hAnsi="Calibri"/>
                <w:color w:val="000000"/>
              </w:rPr>
              <w:t>18,639</w:t>
            </w:r>
          </w:p>
        </w:tc>
      </w:tr>
    </w:tbl>
    <w:p w14:paraId="3646334C" w14:textId="77777777" w:rsidR="00340DD1" w:rsidRPr="00F012F9" w:rsidRDefault="00340DD1" w:rsidP="00340DD1">
      <w:pPr>
        <w:rPr>
          <w:rFonts w:ascii="Calibri" w:hAnsi="Calibri" w:cs="Times New Roman"/>
          <w:sz w:val="18"/>
          <w:szCs w:val="18"/>
        </w:rPr>
      </w:pPr>
      <w:r w:rsidRPr="00C30665">
        <w:rPr>
          <w:rFonts w:ascii="Calibri" w:hAnsi="Calibri" w:cs="Times New Roman"/>
          <w:sz w:val="18"/>
          <w:szCs w:val="18"/>
        </w:rPr>
        <w:t>F2F Face to Face; D&amp;C Drop and Collect; CATI Computer Assisted Telephone Interview.</w:t>
      </w:r>
      <w:r w:rsidRPr="00C30665">
        <w:rPr>
          <w:rFonts w:ascii="Calibri" w:hAnsi="Calibri" w:cs="Times New Roman"/>
          <w:sz w:val="18"/>
          <w:szCs w:val="18"/>
        </w:rPr>
        <w:br/>
        <w:t xml:space="preserve">*While there were CATI surveys in 2004 and 2007 these respondents were not asked the questions that were the focus of the paper. </w:t>
      </w:r>
      <w:r w:rsidRPr="00C30665">
        <w:rPr>
          <w:rFonts w:ascii="Calibri" w:hAnsi="Calibri" w:cs="Times New Roman"/>
          <w:sz w:val="18"/>
          <w:szCs w:val="18"/>
        </w:rPr>
        <w:br/>
      </w:r>
      <w:r w:rsidRPr="00E76CE8">
        <w:rPr>
          <w:rFonts w:ascii="Calibri" w:hAnsi="Calibri" w:cs="Times New Roman"/>
          <w:sz w:val="18"/>
          <w:szCs w:val="18"/>
          <w:vertAlign w:val="superscript"/>
        </w:rPr>
        <w:t>#</w:t>
      </w:r>
      <w:r>
        <w:rPr>
          <w:rFonts w:ascii="Calibri" w:hAnsi="Calibri" w:cs="Times New Roman"/>
          <w:sz w:val="18"/>
          <w:szCs w:val="18"/>
        </w:rPr>
        <w:t xml:space="preserve">Excludes people who had not consumed alcohol in the past 12 </w:t>
      </w:r>
      <w:r w:rsidRPr="00E76CE8">
        <w:rPr>
          <w:rFonts w:ascii="Calibri" w:hAnsi="Calibri" w:cs="Times New Roman"/>
          <w:sz w:val="18"/>
          <w:szCs w:val="18"/>
        </w:rPr>
        <w:t>months, and people aged &lt;14.</w:t>
      </w:r>
      <w:r w:rsidRPr="00E76CE8">
        <w:rPr>
          <w:rFonts w:ascii="Calibri" w:hAnsi="Calibri" w:cs="Times New Roman"/>
          <w:sz w:val="18"/>
          <w:szCs w:val="18"/>
        </w:rPr>
        <w:br/>
        <w:t>^</w:t>
      </w:r>
      <w:r>
        <w:rPr>
          <w:rFonts w:ascii="Calibri" w:hAnsi="Calibri" w:cs="Times New Roman"/>
          <w:sz w:val="18"/>
          <w:szCs w:val="18"/>
        </w:rPr>
        <w:t>T</w:t>
      </w:r>
      <w:r w:rsidRPr="00E76CE8">
        <w:rPr>
          <w:rFonts w:ascii="Calibri" w:hAnsi="Calibri" w:cs="Times New Roman"/>
          <w:sz w:val="18"/>
          <w:szCs w:val="18"/>
        </w:rPr>
        <w:t>here was no missing data in 2001 for the items of interest,</w:t>
      </w:r>
      <w:r>
        <w:rPr>
          <w:rFonts w:ascii="Calibri" w:hAnsi="Calibri" w:cs="Times New Roman"/>
          <w:sz w:val="18"/>
          <w:szCs w:val="18"/>
        </w:rPr>
        <w:t xml:space="preserve"> which seems implausible</w:t>
      </w:r>
      <w:r w:rsidRPr="00E76CE8">
        <w:rPr>
          <w:rFonts w:ascii="Calibri" w:hAnsi="Calibri" w:cs="Times New Roman"/>
          <w:sz w:val="18"/>
          <w:szCs w:val="18"/>
        </w:rPr>
        <w:t xml:space="preserve">. While it is not explicitly stated anywhere, it </w:t>
      </w:r>
      <w:r>
        <w:rPr>
          <w:rFonts w:ascii="Calibri" w:hAnsi="Calibri" w:cs="Times New Roman"/>
          <w:sz w:val="18"/>
          <w:szCs w:val="18"/>
        </w:rPr>
        <w:t xml:space="preserve">may be </w:t>
      </w:r>
      <w:r w:rsidRPr="00E76CE8">
        <w:rPr>
          <w:rFonts w:ascii="Calibri" w:hAnsi="Calibri" w:cs="Times New Roman"/>
          <w:sz w:val="18"/>
          <w:szCs w:val="18"/>
        </w:rPr>
        <w:t xml:space="preserve">that respondents who did not respond to any of the questions on reducing alcohol consumption were coded as not </w:t>
      </w:r>
      <w:r>
        <w:rPr>
          <w:rFonts w:ascii="Calibri" w:hAnsi="Calibri" w:cs="Times New Roman"/>
          <w:sz w:val="18"/>
          <w:szCs w:val="18"/>
        </w:rPr>
        <w:t>having reduced their consumption rather than missing</w:t>
      </w:r>
      <w:r w:rsidRPr="00E76CE8">
        <w:rPr>
          <w:rFonts w:ascii="Calibri" w:hAnsi="Calibri" w:cs="Times New Roman"/>
          <w:sz w:val="18"/>
          <w:szCs w:val="18"/>
        </w:rPr>
        <w:t>.</w:t>
      </w:r>
    </w:p>
    <w:p w14:paraId="5B7F6D2A" w14:textId="3E2AAEA5" w:rsidR="00340DD1" w:rsidRDefault="00340DD1">
      <w:pPr>
        <w:rPr>
          <w:rFonts w:ascii="Calibri" w:hAnsi="Calibri" w:cs="Calibri"/>
          <w:noProof/>
          <w:lang w:val="en-US"/>
        </w:rPr>
      </w:pPr>
      <w:r>
        <w:br w:type="page"/>
      </w:r>
    </w:p>
    <w:p w14:paraId="63EE8B54" w14:textId="77777777" w:rsidR="00340DD1" w:rsidRPr="00761326" w:rsidRDefault="00340DD1" w:rsidP="00340DD1">
      <w:pPr>
        <w:spacing w:after="200"/>
        <w:rPr>
          <w:rFonts w:ascii="Calibri" w:hAnsi="Calibri" w:cs="Times New Roman"/>
          <w:b/>
        </w:rPr>
      </w:pPr>
      <w:r w:rsidRPr="00761326">
        <w:rPr>
          <w:rFonts w:ascii="Calibri" w:hAnsi="Calibri" w:cs="Times New Roman"/>
          <w:b/>
        </w:rPr>
        <w:lastRenderedPageBreak/>
        <w:t>Table 2</w:t>
      </w:r>
      <w:r>
        <w:rPr>
          <w:rFonts w:ascii="Calibri" w:hAnsi="Calibri" w:cs="Times New Roman"/>
          <w:b/>
        </w:rPr>
        <w:t>:</w:t>
      </w:r>
      <w:r w:rsidRPr="00761326">
        <w:rPr>
          <w:rFonts w:ascii="Calibri" w:hAnsi="Calibri" w:cs="Times New Roman"/>
          <w:b/>
        </w:rPr>
        <w:t xml:space="preserve"> </w:t>
      </w:r>
      <w:r>
        <w:rPr>
          <w:rFonts w:ascii="Calibri" w:hAnsi="Calibri" w:cs="Times New Roman"/>
          <w:b/>
        </w:rPr>
        <w:t>Percentage</w:t>
      </w:r>
      <w:r w:rsidRPr="00761326">
        <w:rPr>
          <w:rFonts w:ascii="Calibri" w:hAnsi="Calibri" w:cs="Times New Roman"/>
          <w:b/>
        </w:rPr>
        <w:t xml:space="preserve"> of respondents using reduction techniques or </w:t>
      </w:r>
      <w:r>
        <w:rPr>
          <w:rFonts w:ascii="Calibri" w:hAnsi="Calibri" w:cs="Times New Roman"/>
          <w:b/>
        </w:rPr>
        <w:t xml:space="preserve">ceasing </w:t>
      </w:r>
      <w:r w:rsidRPr="00761326">
        <w:rPr>
          <w:rFonts w:ascii="Calibri" w:hAnsi="Calibri" w:cs="Times New Roman"/>
          <w:b/>
        </w:rPr>
        <w:t>drinking</w:t>
      </w:r>
      <w:r>
        <w:rPr>
          <w:rFonts w:ascii="Calibri" w:hAnsi="Calibri" w:cs="Times New Roman"/>
          <w:b/>
        </w:rPr>
        <w:t xml:space="preserve"> in the past 12 months</w:t>
      </w:r>
      <w:r w:rsidRPr="00761326">
        <w:rPr>
          <w:rFonts w:ascii="Calibri" w:hAnsi="Calibri" w:cs="Times New Roman"/>
          <w:b/>
        </w:rPr>
        <w:t xml:space="preserve"> 2001-2013</w:t>
      </w:r>
      <w:r>
        <w:rPr>
          <w:rFonts w:ascii="Calibri" w:hAnsi="Calibri" w:cs="Times New Roman"/>
          <w:b/>
        </w:rPr>
        <w:t xml:space="preserve"> (95% CI)</w:t>
      </w:r>
    </w:p>
    <w:tbl>
      <w:tblPr>
        <w:tblW w:w="10065" w:type="dxa"/>
        <w:tblLayout w:type="fixed"/>
        <w:tblLook w:val="04A0" w:firstRow="1" w:lastRow="0" w:firstColumn="1" w:lastColumn="0" w:noHBand="0" w:noVBand="1"/>
      </w:tblPr>
      <w:tblGrid>
        <w:gridCol w:w="2410"/>
        <w:gridCol w:w="1531"/>
        <w:gridCol w:w="1531"/>
        <w:gridCol w:w="1531"/>
        <w:gridCol w:w="1531"/>
        <w:gridCol w:w="1531"/>
      </w:tblGrid>
      <w:tr w:rsidR="00340DD1" w:rsidRPr="00915EF8" w14:paraId="0EA59936" w14:textId="77777777" w:rsidTr="00F4602C">
        <w:trPr>
          <w:trHeight w:val="300"/>
        </w:trPr>
        <w:tc>
          <w:tcPr>
            <w:tcW w:w="2410" w:type="dxa"/>
            <w:tcBorders>
              <w:top w:val="single" w:sz="4" w:space="0" w:color="auto"/>
              <w:left w:val="nil"/>
              <w:bottom w:val="single" w:sz="4" w:space="0" w:color="auto"/>
              <w:right w:val="nil"/>
            </w:tcBorders>
            <w:shd w:val="clear" w:color="auto" w:fill="auto"/>
            <w:noWrap/>
            <w:vAlign w:val="bottom"/>
            <w:hideMark/>
          </w:tcPr>
          <w:p w14:paraId="51640F0C" w14:textId="77777777" w:rsidR="00340DD1" w:rsidRPr="00472E19" w:rsidRDefault="00340DD1" w:rsidP="00F4602C">
            <w:pPr>
              <w:spacing w:after="0" w:line="240" w:lineRule="auto"/>
              <w:rPr>
                <w:rFonts w:ascii="Calibri" w:eastAsia="Times New Roman" w:hAnsi="Calibri" w:cs="Times New Roman"/>
                <w:sz w:val="18"/>
                <w:szCs w:val="18"/>
                <w:lang w:eastAsia="en-AU"/>
              </w:rPr>
            </w:pPr>
          </w:p>
        </w:tc>
        <w:tc>
          <w:tcPr>
            <w:tcW w:w="1531" w:type="dxa"/>
            <w:tcBorders>
              <w:top w:val="single" w:sz="4" w:space="0" w:color="auto"/>
              <w:left w:val="nil"/>
              <w:bottom w:val="single" w:sz="4" w:space="0" w:color="auto"/>
              <w:right w:val="nil"/>
            </w:tcBorders>
            <w:shd w:val="clear" w:color="auto" w:fill="auto"/>
            <w:noWrap/>
            <w:vAlign w:val="bottom"/>
            <w:hideMark/>
          </w:tcPr>
          <w:p w14:paraId="06A23108"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2001</w:t>
            </w:r>
          </w:p>
        </w:tc>
        <w:tc>
          <w:tcPr>
            <w:tcW w:w="1531" w:type="dxa"/>
            <w:tcBorders>
              <w:top w:val="single" w:sz="4" w:space="0" w:color="auto"/>
              <w:left w:val="nil"/>
              <w:bottom w:val="single" w:sz="4" w:space="0" w:color="auto"/>
              <w:right w:val="nil"/>
            </w:tcBorders>
            <w:shd w:val="clear" w:color="auto" w:fill="auto"/>
            <w:noWrap/>
            <w:vAlign w:val="bottom"/>
            <w:hideMark/>
          </w:tcPr>
          <w:p w14:paraId="173FA214"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2004</w:t>
            </w:r>
          </w:p>
        </w:tc>
        <w:tc>
          <w:tcPr>
            <w:tcW w:w="1531" w:type="dxa"/>
            <w:tcBorders>
              <w:top w:val="single" w:sz="4" w:space="0" w:color="auto"/>
              <w:left w:val="nil"/>
              <w:bottom w:val="single" w:sz="4" w:space="0" w:color="auto"/>
              <w:right w:val="nil"/>
            </w:tcBorders>
            <w:shd w:val="clear" w:color="auto" w:fill="auto"/>
            <w:noWrap/>
            <w:vAlign w:val="bottom"/>
            <w:hideMark/>
          </w:tcPr>
          <w:p w14:paraId="7F398625"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2007</w:t>
            </w:r>
          </w:p>
        </w:tc>
        <w:tc>
          <w:tcPr>
            <w:tcW w:w="1531" w:type="dxa"/>
            <w:tcBorders>
              <w:top w:val="single" w:sz="4" w:space="0" w:color="auto"/>
              <w:left w:val="nil"/>
              <w:bottom w:val="single" w:sz="4" w:space="0" w:color="auto"/>
              <w:right w:val="nil"/>
            </w:tcBorders>
            <w:shd w:val="clear" w:color="auto" w:fill="auto"/>
            <w:noWrap/>
            <w:vAlign w:val="bottom"/>
            <w:hideMark/>
          </w:tcPr>
          <w:p w14:paraId="5CDC3213"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2010</w:t>
            </w:r>
          </w:p>
        </w:tc>
        <w:tc>
          <w:tcPr>
            <w:tcW w:w="1531" w:type="dxa"/>
            <w:tcBorders>
              <w:top w:val="single" w:sz="4" w:space="0" w:color="auto"/>
              <w:left w:val="nil"/>
              <w:bottom w:val="single" w:sz="4" w:space="0" w:color="auto"/>
              <w:right w:val="nil"/>
            </w:tcBorders>
            <w:shd w:val="clear" w:color="auto" w:fill="auto"/>
            <w:noWrap/>
            <w:vAlign w:val="bottom"/>
            <w:hideMark/>
          </w:tcPr>
          <w:p w14:paraId="0679EDD4"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2013</w:t>
            </w:r>
          </w:p>
        </w:tc>
      </w:tr>
      <w:tr w:rsidR="00340DD1" w:rsidRPr="00915EF8" w14:paraId="3A3DC012" w14:textId="77777777" w:rsidTr="00F4602C">
        <w:trPr>
          <w:trHeight w:val="300"/>
        </w:trPr>
        <w:tc>
          <w:tcPr>
            <w:tcW w:w="2410" w:type="dxa"/>
            <w:tcBorders>
              <w:top w:val="single" w:sz="4" w:space="0" w:color="auto"/>
              <w:left w:val="nil"/>
              <w:bottom w:val="nil"/>
              <w:right w:val="nil"/>
            </w:tcBorders>
            <w:shd w:val="clear" w:color="auto" w:fill="auto"/>
            <w:noWrap/>
            <w:vAlign w:val="bottom"/>
            <w:hideMark/>
          </w:tcPr>
          <w:p w14:paraId="01F37321" w14:textId="77777777" w:rsidR="00340DD1" w:rsidRPr="00472E19" w:rsidRDefault="00340DD1" w:rsidP="00F4602C">
            <w:pPr>
              <w:spacing w:after="0" w:line="240" w:lineRule="auto"/>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Reduce amount per occasion</w:t>
            </w:r>
          </w:p>
        </w:tc>
        <w:tc>
          <w:tcPr>
            <w:tcW w:w="1531" w:type="dxa"/>
            <w:tcBorders>
              <w:top w:val="single" w:sz="4" w:space="0" w:color="auto"/>
              <w:left w:val="nil"/>
              <w:bottom w:val="nil"/>
              <w:right w:val="nil"/>
            </w:tcBorders>
            <w:shd w:val="clear" w:color="auto" w:fill="auto"/>
            <w:noWrap/>
            <w:vAlign w:val="bottom"/>
            <w:hideMark/>
          </w:tcPr>
          <w:p w14:paraId="7394698A"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24.7 (24.0, 25.4)</w:t>
            </w:r>
          </w:p>
        </w:tc>
        <w:tc>
          <w:tcPr>
            <w:tcW w:w="1531" w:type="dxa"/>
            <w:tcBorders>
              <w:top w:val="single" w:sz="4" w:space="0" w:color="auto"/>
              <w:left w:val="nil"/>
              <w:bottom w:val="nil"/>
              <w:right w:val="nil"/>
            </w:tcBorders>
            <w:shd w:val="clear" w:color="auto" w:fill="auto"/>
            <w:noWrap/>
            <w:vAlign w:val="bottom"/>
            <w:hideMark/>
          </w:tcPr>
          <w:p w14:paraId="1FA1C7F3"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26.1 (25.4, 26.9)</w:t>
            </w:r>
          </w:p>
        </w:tc>
        <w:tc>
          <w:tcPr>
            <w:tcW w:w="1531" w:type="dxa"/>
            <w:tcBorders>
              <w:top w:val="single" w:sz="4" w:space="0" w:color="auto"/>
              <w:left w:val="nil"/>
              <w:bottom w:val="nil"/>
              <w:right w:val="nil"/>
            </w:tcBorders>
            <w:shd w:val="clear" w:color="auto" w:fill="auto"/>
            <w:noWrap/>
            <w:vAlign w:val="bottom"/>
            <w:hideMark/>
          </w:tcPr>
          <w:p w14:paraId="1C808694"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29.0 (28.1, 29.8)</w:t>
            </w:r>
          </w:p>
        </w:tc>
        <w:tc>
          <w:tcPr>
            <w:tcW w:w="1531" w:type="dxa"/>
            <w:tcBorders>
              <w:top w:val="single" w:sz="4" w:space="0" w:color="auto"/>
              <w:left w:val="nil"/>
              <w:bottom w:val="nil"/>
              <w:right w:val="nil"/>
            </w:tcBorders>
            <w:shd w:val="clear" w:color="auto" w:fill="auto"/>
            <w:noWrap/>
            <w:vAlign w:val="bottom"/>
            <w:hideMark/>
          </w:tcPr>
          <w:p w14:paraId="09B79251"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30.7 (30.0, 31.5)</w:t>
            </w:r>
          </w:p>
        </w:tc>
        <w:tc>
          <w:tcPr>
            <w:tcW w:w="1531" w:type="dxa"/>
            <w:tcBorders>
              <w:top w:val="single" w:sz="4" w:space="0" w:color="auto"/>
              <w:left w:val="nil"/>
              <w:bottom w:val="nil"/>
              <w:right w:val="nil"/>
            </w:tcBorders>
            <w:shd w:val="clear" w:color="auto" w:fill="auto"/>
            <w:noWrap/>
            <w:vAlign w:val="bottom"/>
            <w:hideMark/>
          </w:tcPr>
          <w:p w14:paraId="6274E9E4"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29.6 (28.8, 28.4)</w:t>
            </w:r>
          </w:p>
        </w:tc>
      </w:tr>
      <w:tr w:rsidR="00340DD1" w:rsidRPr="00915EF8" w14:paraId="0C29D572" w14:textId="77777777" w:rsidTr="00F4602C">
        <w:trPr>
          <w:trHeight w:val="300"/>
        </w:trPr>
        <w:tc>
          <w:tcPr>
            <w:tcW w:w="2410" w:type="dxa"/>
            <w:tcBorders>
              <w:top w:val="nil"/>
              <w:left w:val="nil"/>
              <w:bottom w:val="nil"/>
              <w:right w:val="nil"/>
            </w:tcBorders>
            <w:shd w:val="clear" w:color="auto" w:fill="auto"/>
            <w:noWrap/>
            <w:vAlign w:val="bottom"/>
            <w:hideMark/>
          </w:tcPr>
          <w:p w14:paraId="6DFE501F" w14:textId="77777777" w:rsidR="00340DD1" w:rsidRPr="00472E19" w:rsidRDefault="00340DD1" w:rsidP="00F4602C">
            <w:pPr>
              <w:spacing w:after="0" w:line="240" w:lineRule="auto"/>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Reduce number of occasions</w:t>
            </w:r>
          </w:p>
        </w:tc>
        <w:tc>
          <w:tcPr>
            <w:tcW w:w="1531" w:type="dxa"/>
            <w:tcBorders>
              <w:top w:val="nil"/>
              <w:left w:val="nil"/>
              <w:bottom w:val="nil"/>
              <w:right w:val="nil"/>
            </w:tcBorders>
            <w:shd w:val="clear" w:color="auto" w:fill="auto"/>
            <w:noWrap/>
            <w:vAlign w:val="bottom"/>
            <w:hideMark/>
          </w:tcPr>
          <w:p w14:paraId="5054B071"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23.4 (22.8, 24.1)</w:t>
            </w:r>
          </w:p>
        </w:tc>
        <w:tc>
          <w:tcPr>
            <w:tcW w:w="1531" w:type="dxa"/>
            <w:tcBorders>
              <w:top w:val="nil"/>
              <w:left w:val="nil"/>
              <w:bottom w:val="nil"/>
              <w:right w:val="nil"/>
            </w:tcBorders>
            <w:shd w:val="clear" w:color="auto" w:fill="auto"/>
            <w:noWrap/>
            <w:vAlign w:val="bottom"/>
            <w:hideMark/>
          </w:tcPr>
          <w:p w14:paraId="5C01D091"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26.6 (25.9, 27.4)</w:t>
            </w:r>
          </w:p>
        </w:tc>
        <w:tc>
          <w:tcPr>
            <w:tcW w:w="1531" w:type="dxa"/>
            <w:tcBorders>
              <w:top w:val="nil"/>
              <w:left w:val="nil"/>
              <w:bottom w:val="nil"/>
              <w:right w:val="nil"/>
            </w:tcBorders>
            <w:shd w:val="clear" w:color="auto" w:fill="auto"/>
            <w:noWrap/>
            <w:vAlign w:val="bottom"/>
            <w:hideMark/>
          </w:tcPr>
          <w:p w14:paraId="4CAB2BA2"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29.4 (28.6, 30.3)</w:t>
            </w:r>
          </w:p>
        </w:tc>
        <w:tc>
          <w:tcPr>
            <w:tcW w:w="1531" w:type="dxa"/>
            <w:tcBorders>
              <w:top w:val="nil"/>
              <w:left w:val="nil"/>
              <w:bottom w:val="nil"/>
              <w:right w:val="nil"/>
            </w:tcBorders>
            <w:shd w:val="clear" w:color="auto" w:fill="auto"/>
            <w:noWrap/>
            <w:vAlign w:val="bottom"/>
            <w:hideMark/>
          </w:tcPr>
          <w:p w14:paraId="5DB5C156"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29.4 (28.7, 30.2)</w:t>
            </w:r>
          </w:p>
        </w:tc>
        <w:tc>
          <w:tcPr>
            <w:tcW w:w="1531" w:type="dxa"/>
            <w:tcBorders>
              <w:top w:val="nil"/>
              <w:left w:val="nil"/>
              <w:bottom w:val="nil"/>
              <w:right w:val="nil"/>
            </w:tcBorders>
            <w:shd w:val="clear" w:color="auto" w:fill="auto"/>
            <w:noWrap/>
            <w:vAlign w:val="bottom"/>
            <w:hideMark/>
          </w:tcPr>
          <w:p w14:paraId="20C6F821"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29.5 (28.7, 30.3)</w:t>
            </w:r>
          </w:p>
        </w:tc>
      </w:tr>
      <w:tr w:rsidR="00340DD1" w:rsidRPr="00915EF8" w14:paraId="58EC988F" w14:textId="77777777" w:rsidTr="00F4602C">
        <w:trPr>
          <w:trHeight w:val="300"/>
        </w:trPr>
        <w:tc>
          <w:tcPr>
            <w:tcW w:w="2410" w:type="dxa"/>
            <w:tcBorders>
              <w:top w:val="nil"/>
              <w:left w:val="nil"/>
              <w:bottom w:val="nil"/>
              <w:right w:val="nil"/>
            </w:tcBorders>
            <w:shd w:val="clear" w:color="auto" w:fill="auto"/>
            <w:noWrap/>
            <w:vAlign w:val="bottom"/>
            <w:hideMark/>
          </w:tcPr>
          <w:p w14:paraId="3BEE2685" w14:textId="77777777" w:rsidR="00340DD1" w:rsidRPr="00472E19" w:rsidRDefault="00340DD1" w:rsidP="00F4602C">
            <w:pPr>
              <w:spacing w:after="0" w:line="240" w:lineRule="auto"/>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More low alcohol drinks</w:t>
            </w:r>
          </w:p>
        </w:tc>
        <w:tc>
          <w:tcPr>
            <w:tcW w:w="1531" w:type="dxa"/>
            <w:tcBorders>
              <w:top w:val="nil"/>
              <w:left w:val="nil"/>
              <w:bottom w:val="nil"/>
              <w:right w:val="nil"/>
            </w:tcBorders>
            <w:shd w:val="clear" w:color="auto" w:fill="auto"/>
            <w:noWrap/>
            <w:vAlign w:val="bottom"/>
            <w:hideMark/>
          </w:tcPr>
          <w:p w14:paraId="3A488752"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8.5 (8.1, 9.0)</w:t>
            </w:r>
          </w:p>
        </w:tc>
        <w:tc>
          <w:tcPr>
            <w:tcW w:w="1531" w:type="dxa"/>
            <w:tcBorders>
              <w:top w:val="nil"/>
              <w:left w:val="nil"/>
              <w:bottom w:val="nil"/>
              <w:right w:val="nil"/>
            </w:tcBorders>
            <w:shd w:val="clear" w:color="auto" w:fill="auto"/>
            <w:noWrap/>
            <w:vAlign w:val="bottom"/>
            <w:hideMark/>
          </w:tcPr>
          <w:p w14:paraId="0B7C27D0"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7.9 (7.5, 8.4)</w:t>
            </w:r>
          </w:p>
        </w:tc>
        <w:tc>
          <w:tcPr>
            <w:tcW w:w="1531" w:type="dxa"/>
            <w:tcBorders>
              <w:top w:val="nil"/>
              <w:left w:val="nil"/>
              <w:bottom w:val="nil"/>
              <w:right w:val="nil"/>
            </w:tcBorders>
            <w:shd w:val="clear" w:color="auto" w:fill="auto"/>
            <w:noWrap/>
            <w:vAlign w:val="bottom"/>
            <w:hideMark/>
          </w:tcPr>
          <w:p w14:paraId="351013EE"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7.4 (6.9, 7.9)</w:t>
            </w:r>
          </w:p>
        </w:tc>
        <w:tc>
          <w:tcPr>
            <w:tcW w:w="1531" w:type="dxa"/>
            <w:tcBorders>
              <w:top w:val="nil"/>
              <w:left w:val="nil"/>
              <w:bottom w:val="nil"/>
              <w:right w:val="nil"/>
            </w:tcBorders>
            <w:shd w:val="clear" w:color="auto" w:fill="auto"/>
            <w:noWrap/>
            <w:vAlign w:val="bottom"/>
            <w:hideMark/>
          </w:tcPr>
          <w:p w14:paraId="44D9623C"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5.0 (4.6, 5.3)</w:t>
            </w:r>
          </w:p>
        </w:tc>
        <w:tc>
          <w:tcPr>
            <w:tcW w:w="1531" w:type="dxa"/>
            <w:tcBorders>
              <w:top w:val="nil"/>
              <w:left w:val="nil"/>
              <w:bottom w:val="nil"/>
              <w:right w:val="nil"/>
            </w:tcBorders>
            <w:shd w:val="clear" w:color="auto" w:fill="auto"/>
            <w:noWrap/>
            <w:vAlign w:val="bottom"/>
            <w:hideMark/>
          </w:tcPr>
          <w:p w14:paraId="629A6A4B"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5.3 (5.0, 5.7)</w:t>
            </w:r>
          </w:p>
        </w:tc>
      </w:tr>
      <w:tr w:rsidR="00340DD1" w:rsidRPr="00915EF8" w14:paraId="2F751BF4" w14:textId="77777777" w:rsidTr="00F4602C">
        <w:trPr>
          <w:trHeight w:val="300"/>
        </w:trPr>
        <w:tc>
          <w:tcPr>
            <w:tcW w:w="2410" w:type="dxa"/>
            <w:tcBorders>
              <w:top w:val="nil"/>
              <w:left w:val="nil"/>
              <w:right w:val="nil"/>
            </w:tcBorders>
            <w:shd w:val="clear" w:color="auto" w:fill="auto"/>
            <w:noWrap/>
            <w:vAlign w:val="bottom"/>
            <w:hideMark/>
          </w:tcPr>
          <w:p w14:paraId="07A59393" w14:textId="77777777" w:rsidR="00340DD1" w:rsidRPr="00472E19" w:rsidRDefault="00340DD1" w:rsidP="00F4602C">
            <w:pPr>
              <w:spacing w:after="0" w:line="240" w:lineRule="auto"/>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Stopped drinking</w:t>
            </w:r>
          </w:p>
        </w:tc>
        <w:tc>
          <w:tcPr>
            <w:tcW w:w="1531" w:type="dxa"/>
            <w:tcBorders>
              <w:top w:val="nil"/>
              <w:left w:val="nil"/>
              <w:right w:val="nil"/>
            </w:tcBorders>
            <w:shd w:val="clear" w:color="auto" w:fill="auto"/>
            <w:noWrap/>
            <w:vAlign w:val="bottom"/>
            <w:hideMark/>
          </w:tcPr>
          <w:p w14:paraId="761B17E9"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4.3 (4.0, 4.6)</w:t>
            </w:r>
          </w:p>
        </w:tc>
        <w:tc>
          <w:tcPr>
            <w:tcW w:w="1531" w:type="dxa"/>
            <w:tcBorders>
              <w:top w:val="nil"/>
              <w:left w:val="nil"/>
              <w:right w:val="nil"/>
            </w:tcBorders>
            <w:shd w:val="clear" w:color="auto" w:fill="auto"/>
            <w:noWrap/>
            <w:vAlign w:val="bottom"/>
            <w:hideMark/>
          </w:tcPr>
          <w:p w14:paraId="0871379D"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5.2 (4.8, 5.6)</w:t>
            </w:r>
          </w:p>
        </w:tc>
        <w:tc>
          <w:tcPr>
            <w:tcW w:w="1531" w:type="dxa"/>
            <w:tcBorders>
              <w:top w:val="nil"/>
              <w:left w:val="nil"/>
              <w:right w:val="nil"/>
            </w:tcBorders>
            <w:shd w:val="clear" w:color="auto" w:fill="auto"/>
            <w:noWrap/>
            <w:vAlign w:val="bottom"/>
            <w:hideMark/>
          </w:tcPr>
          <w:p w14:paraId="7A6F4026"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5.3 (4.9, 5.8)</w:t>
            </w:r>
          </w:p>
        </w:tc>
        <w:tc>
          <w:tcPr>
            <w:tcW w:w="1531" w:type="dxa"/>
            <w:tcBorders>
              <w:top w:val="nil"/>
              <w:left w:val="nil"/>
              <w:right w:val="nil"/>
            </w:tcBorders>
            <w:shd w:val="clear" w:color="auto" w:fill="auto"/>
            <w:noWrap/>
            <w:vAlign w:val="bottom"/>
            <w:hideMark/>
          </w:tcPr>
          <w:p w14:paraId="18FCE1E6"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5.6 (5.2, 6.0)</w:t>
            </w:r>
          </w:p>
        </w:tc>
        <w:tc>
          <w:tcPr>
            <w:tcW w:w="1531" w:type="dxa"/>
            <w:tcBorders>
              <w:top w:val="nil"/>
              <w:left w:val="nil"/>
              <w:right w:val="nil"/>
            </w:tcBorders>
            <w:shd w:val="clear" w:color="auto" w:fill="auto"/>
            <w:noWrap/>
            <w:vAlign w:val="bottom"/>
            <w:hideMark/>
          </w:tcPr>
          <w:p w14:paraId="38730434"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color w:val="000000"/>
                <w:sz w:val="18"/>
                <w:szCs w:val="18"/>
                <w:lang w:eastAsia="en-AU"/>
              </w:rPr>
              <w:t>6.0 (5.6, 6.4)</w:t>
            </w:r>
          </w:p>
        </w:tc>
      </w:tr>
      <w:tr w:rsidR="00340DD1" w:rsidRPr="00915EF8" w14:paraId="29DBC939" w14:textId="77777777" w:rsidTr="00F4602C">
        <w:trPr>
          <w:trHeight w:val="300"/>
        </w:trPr>
        <w:tc>
          <w:tcPr>
            <w:tcW w:w="2410" w:type="dxa"/>
            <w:tcBorders>
              <w:top w:val="nil"/>
              <w:left w:val="nil"/>
              <w:bottom w:val="single" w:sz="4" w:space="0" w:color="auto"/>
              <w:right w:val="nil"/>
            </w:tcBorders>
            <w:shd w:val="clear" w:color="auto" w:fill="auto"/>
            <w:noWrap/>
            <w:vAlign w:val="bottom"/>
            <w:hideMark/>
          </w:tcPr>
          <w:p w14:paraId="3ABE2A0C" w14:textId="77777777" w:rsidR="00340DD1" w:rsidRPr="00472E19" w:rsidRDefault="00340DD1" w:rsidP="00F4602C">
            <w:pPr>
              <w:spacing w:after="0" w:line="240" w:lineRule="auto"/>
              <w:rPr>
                <w:rFonts w:ascii="Calibri" w:eastAsia="Times New Roman" w:hAnsi="Calibri" w:cs="Times New Roman"/>
                <w:bCs/>
                <w:color w:val="000000"/>
                <w:sz w:val="18"/>
                <w:szCs w:val="18"/>
                <w:lang w:eastAsia="en-AU"/>
              </w:rPr>
            </w:pPr>
            <w:r w:rsidRPr="00472E19">
              <w:rPr>
                <w:rFonts w:ascii="Calibri" w:eastAsia="Times New Roman" w:hAnsi="Calibri" w:cs="Times New Roman"/>
                <w:bCs/>
                <w:color w:val="000000"/>
                <w:sz w:val="18"/>
                <w:szCs w:val="18"/>
                <w:lang w:eastAsia="en-AU"/>
              </w:rPr>
              <w:t>Any reduction technique</w:t>
            </w:r>
          </w:p>
        </w:tc>
        <w:tc>
          <w:tcPr>
            <w:tcW w:w="1531" w:type="dxa"/>
            <w:tcBorders>
              <w:top w:val="nil"/>
              <w:left w:val="nil"/>
              <w:bottom w:val="single" w:sz="4" w:space="0" w:color="auto"/>
              <w:right w:val="nil"/>
            </w:tcBorders>
            <w:shd w:val="clear" w:color="auto" w:fill="auto"/>
            <w:noWrap/>
            <w:vAlign w:val="bottom"/>
            <w:hideMark/>
          </w:tcPr>
          <w:p w14:paraId="2C5FD000"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bCs/>
                <w:color w:val="000000"/>
                <w:sz w:val="18"/>
                <w:szCs w:val="18"/>
                <w:lang w:eastAsia="en-AU"/>
              </w:rPr>
              <w:t>41.5</w:t>
            </w:r>
            <w:r w:rsidRPr="00472E19">
              <w:rPr>
                <w:rFonts w:ascii="Calibri" w:eastAsia="Times New Roman" w:hAnsi="Calibri" w:cs="Times New Roman"/>
                <w:color w:val="000000"/>
                <w:sz w:val="18"/>
                <w:szCs w:val="18"/>
                <w:lang w:eastAsia="en-AU"/>
              </w:rPr>
              <w:t xml:space="preserve"> (40.7, 42.3)</w:t>
            </w:r>
          </w:p>
        </w:tc>
        <w:tc>
          <w:tcPr>
            <w:tcW w:w="1531" w:type="dxa"/>
            <w:tcBorders>
              <w:top w:val="nil"/>
              <w:left w:val="nil"/>
              <w:bottom w:val="single" w:sz="4" w:space="0" w:color="auto"/>
              <w:right w:val="nil"/>
            </w:tcBorders>
            <w:shd w:val="clear" w:color="auto" w:fill="auto"/>
            <w:noWrap/>
            <w:vAlign w:val="bottom"/>
            <w:hideMark/>
          </w:tcPr>
          <w:p w14:paraId="72BB47F8"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bCs/>
                <w:color w:val="000000"/>
                <w:sz w:val="18"/>
                <w:szCs w:val="18"/>
                <w:lang w:eastAsia="en-AU"/>
              </w:rPr>
              <w:t>45.9</w:t>
            </w:r>
            <w:r w:rsidRPr="00472E19">
              <w:rPr>
                <w:rFonts w:ascii="Calibri" w:eastAsia="Times New Roman" w:hAnsi="Calibri" w:cs="Times New Roman"/>
                <w:color w:val="000000"/>
                <w:sz w:val="18"/>
                <w:szCs w:val="18"/>
                <w:lang w:eastAsia="en-AU"/>
              </w:rPr>
              <w:t xml:space="preserve"> (45.1, 46.8)</w:t>
            </w:r>
          </w:p>
        </w:tc>
        <w:tc>
          <w:tcPr>
            <w:tcW w:w="1531" w:type="dxa"/>
            <w:tcBorders>
              <w:top w:val="nil"/>
              <w:left w:val="nil"/>
              <w:bottom w:val="single" w:sz="4" w:space="0" w:color="auto"/>
              <w:right w:val="nil"/>
            </w:tcBorders>
            <w:shd w:val="clear" w:color="auto" w:fill="auto"/>
            <w:noWrap/>
            <w:vAlign w:val="bottom"/>
            <w:hideMark/>
          </w:tcPr>
          <w:p w14:paraId="15C4E93C"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bCs/>
                <w:color w:val="000000"/>
                <w:sz w:val="18"/>
                <w:szCs w:val="18"/>
                <w:lang w:eastAsia="en-AU"/>
              </w:rPr>
              <w:t>48.2</w:t>
            </w:r>
            <w:r w:rsidRPr="00472E19">
              <w:rPr>
                <w:rFonts w:ascii="Calibri" w:eastAsia="Times New Roman" w:hAnsi="Calibri" w:cs="Times New Roman"/>
                <w:color w:val="000000"/>
                <w:sz w:val="18"/>
                <w:szCs w:val="18"/>
                <w:lang w:eastAsia="en-AU"/>
              </w:rPr>
              <w:t xml:space="preserve"> (47.3, 49.2)</w:t>
            </w:r>
          </w:p>
        </w:tc>
        <w:tc>
          <w:tcPr>
            <w:tcW w:w="1531" w:type="dxa"/>
            <w:tcBorders>
              <w:top w:val="nil"/>
              <w:left w:val="nil"/>
              <w:bottom w:val="single" w:sz="4" w:space="0" w:color="auto"/>
              <w:right w:val="nil"/>
            </w:tcBorders>
            <w:shd w:val="clear" w:color="auto" w:fill="auto"/>
            <w:noWrap/>
            <w:vAlign w:val="bottom"/>
            <w:hideMark/>
          </w:tcPr>
          <w:p w14:paraId="3E346B41"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bCs/>
                <w:color w:val="000000"/>
                <w:sz w:val="18"/>
                <w:szCs w:val="18"/>
                <w:lang w:eastAsia="en-AU"/>
              </w:rPr>
              <w:t>47.3</w:t>
            </w:r>
            <w:r w:rsidRPr="00472E19">
              <w:rPr>
                <w:rFonts w:ascii="Calibri" w:eastAsia="Times New Roman" w:hAnsi="Calibri" w:cs="Times New Roman"/>
                <w:color w:val="000000"/>
                <w:sz w:val="18"/>
                <w:szCs w:val="18"/>
                <w:lang w:eastAsia="en-AU"/>
              </w:rPr>
              <w:t xml:space="preserve"> (46.5, 48.1)</w:t>
            </w:r>
          </w:p>
        </w:tc>
        <w:tc>
          <w:tcPr>
            <w:tcW w:w="1531" w:type="dxa"/>
            <w:tcBorders>
              <w:top w:val="nil"/>
              <w:left w:val="nil"/>
              <w:bottom w:val="single" w:sz="4" w:space="0" w:color="auto"/>
              <w:right w:val="nil"/>
            </w:tcBorders>
            <w:shd w:val="clear" w:color="auto" w:fill="auto"/>
            <w:noWrap/>
            <w:vAlign w:val="bottom"/>
            <w:hideMark/>
          </w:tcPr>
          <w:p w14:paraId="7C0368E3" w14:textId="77777777" w:rsidR="00340DD1" w:rsidRPr="00472E19" w:rsidRDefault="00340DD1" w:rsidP="00F4602C">
            <w:pPr>
              <w:spacing w:after="0" w:line="240" w:lineRule="auto"/>
              <w:jc w:val="right"/>
              <w:rPr>
                <w:rFonts w:ascii="Calibri" w:eastAsia="Times New Roman" w:hAnsi="Calibri" w:cs="Times New Roman"/>
                <w:color w:val="000000"/>
                <w:sz w:val="18"/>
                <w:szCs w:val="18"/>
                <w:lang w:eastAsia="en-AU"/>
              </w:rPr>
            </w:pPr>
            <w:r w:rsidRPr="00472E19">
              <w:rPr>
                <w:rFonts w:ascii="Calibri" w:eastAsia="Times New Roman" w:hAnsi="Calibri" w:cs="Times New Roman"/>
                <w:bCs/>
                <w:color w:val="000000"/>
                <w:sz w:val="18"/>
                <w:szCs w:val="18"/>
                <w:lang w:eastAsia="en-AU"/>
              </w:rPr>
              <w:t>46.9</w:t>
            </w:r>
            <w:r w:rsidRPr="00472E19">
              <w:rPr>
                <w:rFonts w:ascii="Calibri" w:eastAsia="Times New Roman" w:hAnsi="Calibri" w:cs="Times New Roman"/>
                <w:color w:val="000000"/>
                <w:sz w:val="18"/>
                <w:szCs w:val="18"/>
                <w:lang w:eastAsia="en-AU"/>
              </w:rPr>
              <w:t xml:space="preserve"> (46.0, 47.8)</w:t>
            </w:r>
          </w:p>
        </w:tc>
      </w:tr>
    </w:tbl>
    <w:p w14:paraId="6FC353D0" w14:textId="77777777" w:rsidR="00340DD1" w:rsidRPr="00472E19" w:rsidRDefault="00340DD1" w:rsidP="00340DD1">
      <w:pPr>
        <w:rPr>
          <w:rFonts w:ascii="Calibri" w:hAnsi="Calibri" w:cs="Times New Roman"/>
          <w:sz w:val="18"/>
          <w:szCs w:val="18"/>
        </w:rPr>
      </w:pPr>
      <w:r w:rsidRPr="00472E19">
        <w:rPr>
          <w:rFonts w:ascii="Calibri" w:hAnsi="Calibri" w:cs="Times New Roman"/>
          <w:sz w:val="18"/>
          <w:szCs w:val="18"/>
        </w:rPr>
        <w:t>N = 97,743</w:t>
      </w:r>
    </w:p>
    <w:p w14:paraId="067AC716" w14:textId="33735709" w:rsidR="00340DD1" w:rsidRDefault="00340DD1">
      <w:pPr>
        <w:rPr>
          <w:rFonts w:ascii="Calibri" w:hAnsi="Calibri" w:cs="Calibri"/>
          <w:noProof/>
          <w:lang w:val="en-US"/>
        </w:rPr>
      </w:pPr>
      <w:r>
        <w:br w:type="page"/>
      </w:r>
    </w:p>
    <w:p w14:paraId="5497263D" w14:textId="77777777" w:rsidR="00340DD1" w:rsidRPr="00E06F2A" w:rsidRDefault="00340DD1" w:rsidP="00340DD1">
      <w:pPr>
        <w:spacing w:after="0" w:line="240" w:lineRule="auto"/>
        <w:rPr>
          <w:rFonts w:ascii="Calibri" w:hAnsi="Calibri" w:cs="Times New Roman"/>
          <w:b/>
        </w:rPr>
      </w:pPr>
      <w:r w:rsidRPr="00561F97">
        <w:rPr>
          <w:rFonts w:ascii="Calibri" w:hAnsi="Calibri" w:cs="Times New Roman"/>
          <w:b/>
        </w:rPr>
        <w:lastRenderedPageBreak/>
        <w:t xml:space="preserve">Table 3. </w:t>
      </w:r>
      <w:r w:rsidRPr="00E06F2A">
        <w:rPr>
          <w:rFonts w:ascii="Calibri" w:hAnsi="Calibri" w:cs="Times New Roman"/>
          <w:b/>
        </w:rPr>
        <w:t>Logistic regression models predicting reduction and cessation of drinking</w:t>
      </w:r>
      <w:r>
        <w:rPr>
          <w:rFonts w:ascii="Calibri" w:hAnsi="Calibri" w:cs="Times New Roman"/>
          <w:b/>
        </w:rPr>
        <w:t>,</w:t>
      </w:r>
      <w:r w:rsidRPr="00E06F2A">
        <w:rPr>
          <w:rFonts w:ascii="Calibri" w:hAnsi="Calibri" w:cs="Times New Roman"/>
          <w:b/>
        </w:rPr>
        <w:t xml:space="preserve"> including age x year</w:t>
      </w:r>
      <w:r>
        <w:rPr>
          <w:rFonts w:ascii="Calibri" w:hAnsi="Calibri" w:cs="Times New Roman"/>
          <w:b/>
        </w:rPr>
        <w:t>,</w:t>
      </w:r>
      <w:r w:rsidRPr="00E06F2A">
        <w:rPr>
          <w:rFonts w:ascii="Calibri" w:hAnsi="Calibri" w:cs="Times New Roman"/>
          <w:b/>
        </w:rPr>
        <w:t xml:space="preserve"> and </w:t>
      </w:r>
      <w:r>
        <w:rPr>
          <w:rFonts w:ascii="Calibri" w:hAnsi="Calibri" w:cs="Times New Roman"/>
          <w:b/>
        </w:rPr>
        <w:t xml:space="preserve">sex </w:t>
      </w:r>
      <w:r w:rsidRPr="00E06F2A">
        <w:rPr>
          <w:rFonts w:ascii="Calibri" w:hAnsi="Calibri" w:cs="Times New Roman"/>
          <w:b/>
        </w:rPr>
        <w:t>x year</w:t>
      </w:r>
      <w:r>
        <w:rPr>
          <w:rFonts w:ascii="Calibri" w:hAnsi="Calibri" w:cs="Times New Roman"/>
          <w:b/>
        </w:rPr>
        <w:t>,</w:t>
      </w:r>
      <w:r w:rsidRPr="00E06F2A">
        <w:rPr>
          <w:rFonts w:ascii="Calibri" w:hAnsi="Calibri" w:cs="Times New Roman"/>
          <w:b/>
        </w:rPr>
        <w:t xml:space="preserve"> interactions</w:t>
      </w:r>
    </w:p>
    <w:tbl>
      <w:tblPr>
        <w:tblW w:w="8505" w:type="dxa"/>
        <w:tblLayout w:type="fixed"/>
        <w:tblLook w:val="04A0" w:firstRow="1" w:lastRow="0" w:firstColumn="1" w:lastColumn="0" w:noHBand="0" w:noVBand="1"/>
      </w:tblPr>
      <w:tblGrid>
        <w:gridCol w:w="1215"/>
        <w:gridCol w:w="2046"/>
        <w:gridCol w:w="1134"/>
        <w:gridCol w:w="1417"/>
        <w:gridCol w:w="1134"/>
        <w:gridCol w:w="1559"/>
      </w:tblGrid>
      <w:tr w:rsidR="00340DD1" w:rsidRPr="00D45A75" w14:paraId="75C00751" w14:textId="77777777" w:rsidTr="00F4602C">
        <w:trPr>
          <w:trHeight w:val="272"/>
        </w:trPr>
        <w:tc>
          <w:tcPr>
            <w:tcW w:w="1215" w:type="dxa"/>
            <w:tcBorders>
              <w:top w:val="single" w:sz="4" w:space="0" w:color="auto"/>
              <w:left w:val="nil"/>
              <w:bottom w:val="nil"/>
              <w:right w:val="nil"/>
            </w:tcBorders>
            <w:shd w:val="clear" w:color="auto" w:fill="auto"/>
            <w:noWrap/>
            <w:vAlign w:val="bottom"/>
            <w:hideMark/>
          </w:tcPr>
          <w:p w14:paraId="45A2CA8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 </w:t>
            </w:r>
          </w:p>
        </w:tc>
        <w:tc>
          <w:tcPr>
            <w:tcW w:w="2046" w:type="dxa"/>
            <w:tcBorders>
              <w:top w:val="single" w:sz="4" w:space="0" w:color="auto"/>
              <w:left w:val="nil"/>
              <w:bottom w:val="nil"/>
              <w:right w:val="nil"/>
            </w:tcBorders>
            <w:shd w:val="clear" w:color="auto" w:fill="auto"/>
            <w:noWrap/>
            <w:vAlign w:val="bottom"/>
            <w:hideMark/>
          </w:tcPr>
          <w:p w14:paraId="113F704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 </w:t>
            </w:r>
          </w:p>
        </w:tc>
        <w:tc>
          <w:tcPr>
            <w:tcW w:w="2551" w:type="dxa"/>
            <w:gridSpan w:val="2"/>
            <w:tcBorders>
              <w:top w:val="single" w:sz="4" w:space="0" w:color="auto"/>
              <w:left w:val="nil"/>
              <w:bottom w:val="nil"/>
              <w:right w:val="nil"/>
            </w:tcBorders>
            <w:shd w:val="clear" w:color="auto" w:fill="auto"/>
            <w:noWrap/>
            <w:vAlign w:val="bottom"/>
            <w:hideMark/>
          </w:tcPr>
          <w:p w14:paraId="49C2730F" w14:textId="77777777" w:rsidR="00340DD1" w:rsidRPr="001265F4" w:rsidRDefault="00340DD1" w:rsidP="00F4602C">
            <w:pPr>
              <w:spacing w:after="0" w:line="240" w:lineRule="auto"/>
              <w:jc w:val="center"/>
              <w:rPr>
                <w:rFonts w:ascii="Calibri" w:eastAsia="Times New Roman" w:hAnsi="Calibri" w:cs="Times New Roman"/>
                <w:b/>
                <w:color w:val="000000"/>
                <w:sz w:val="20"/>
                <w:lang w:eastAsia="en-AU"/>
              </w:rPr>
            </w:pPr>
            <w:r w:rsidRPr="001265F4">
              <w:rPr>
                <w:rFonts w:ascii="Calibri" w:eastAsia="Times New Roman" w:hAnsi="Calibri" w:cs="Times New Roman"/>
                <w:b/>
                <w:color w:val="000000"/>
                <w:sz w:val="20"/>
                <w:lang w:eastAsia="en-AU"/>
              </w:rPr>
              <w:t>Reduced drinking</w:t>
            </w:r>
          </w:p>
        </w:tc>
        <w:tc>
          <w:tcPr>
            <w:tcW w:w="2693" w:type="dxa"/>
            <w:gridSpan w:val="2"/>
            <w:tcBorders>
              <w:top w:val="single" w:sz="4" w:space="0" w:color="auto"/>
              <w:left w:val="nil"/>
              <w:bottom w:val="nil"/>
              <w:right w:val="nil"/>
            </w:tcBorders>
            <w:vAlign w:val="bottom"/>
          </w:tcPr>
          <w:p w14:paraId="43C4F38B" w14:textId="77777777" w:rsidR="00340DD1" w:rsidRPr="001265F4" w:rsidRDefault="00340DD1" w:rsidP="00F4602C">
            <w:pPr>
              <w:spacing w:after="0" w:line="240" w:lineRule="auto"/>
              <w:jc w:val="center"/>
              <w:rPr>
                <w:rFonts w:ascii="Calibri" w:eastAsia="Times New Roman" w:hAnsi="Calibri" w:cs="Times New Roman"/>
                <w:b/>
                <w:color w:val="000000"/>
                <w:sz w:val="20"/>
                <w:lang w:eastAsia="en-AU"/>
              </w:rPr>
            </w:pPr>
            <w:r w:rsidRPr="001265F4">
              <w:rPr>
                <w:rFonts w:ascii="Calibri" w:eastAsia="Times New Roman" w:hAnsi="Calibri" w:cs="Times New Roman"/>
                <w:b/>
                <w:color w:val="000000"/>
                <w:sz w:val="20"/>
                <w:lang w:eastAsia="en-AU"/>
              </w:rPr>
              <w:t>Ceased drinking</w:t>
            </w:r>
          </w:p>
        </w:tc>
      </w:tr>
      <w:tr w:rsidR="00340DD1" w:rsidRPr="00D45A75" w14:paraId="0E2CC495" w14:textId="77777777" w:rsidTr="00F4602C">
        <w:trPr>
          <w:trHeight w:val="272"/>
        </w:trPr>
        <w:tc>
          <w:tcPr>
            <w:tcW w:w="1215" w:type="dxa"/>
            <w:tcBorders>
              <w:top w:val="nil"/>
              <w:left w:val="nil"/>
              <w:bottom w:val="single" w:sz="4" w:space="0" w:color="auto"/>
              <w:right w:val="nil"/>
            </w:tcBorders>
            <w:shd w:val="clear" w:color="auto" w:fill="auto"/>
            <w:noWrap/>
            <w:vAlign w:val="bottom"/>
            <w:hideMark/>
          </w:tcPr>
          <w:p w14:paraId="62E596E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 </w:t>
            </w:r>
          </w:p>
        </w:tc>
        <w:tc>
          <w:tcPr>
            <w:tcW w:w="2046" w:type="dxa"/>
            <w:tcBorders>
              <w:top w:val="nil"/>
              <w:left w:val="nil"/>
              <w:bottom w:val="single" w:sz="4" w:space="0" w:color="auto"/>
              <w:right w:val="nil"/>
            </w:tcBorders>
            <w:shd w:val="clear" w:color="auto" w:fill="auto"/>
            <w:noWrap/>
            <w:vAlign w:val="bottom"/>
            <w:hideMark/>
          </w:tcPr>
          <w:p w14:paraId="1CD9F14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 </w:t>
            </w:r>
          </w:p>
        </w:tc>
        <w:tc>
          <w:tcPr>
            <w:tcW w:w="1134" w:type="dxa"/>
            <w:tcBorders>
              <w:top w:val="nil"/>
              <w:left w:val="nil"/>
              <w:bottom w:val="single" w:sz="4" w:space="0" w:color="auto"/>
              <w:right w:val="nil"/>
            </w:tcBorders>
            <w:vAlign w:val="bottom"/>
          </w:tcPr>
          <w:p w14:paraId="700B26AF" w14:textId="77777777" w:rsidR="00340DD1" w:rsidRPr="001265F4" w:rsidRDefault="00340DD1" w:rsidP="00F4602C">
            <w:pPr>
              <w:spacing w:after="0" w:line="240" w:lineRule="auto"/>
              <w:rPr>
                <w:rFonts w:ascii="Calibri" w:eastAsia="Times New Roman" w:hAnsi="Calibri" w:cs="Times New Roman"/>
                <w:b/>
                <w:color w:val="000000"/>
                <w:sz w:val="20"/>
                <w:lang w:eastAsia="en-AU"/>
              </w:rPr>
            </w:pPr>
            <w:r w:rsidRPr="001265F4">
              <w:rPr>
                <w:rFonts w:ascii="Calibri" w:eastAsia="Times New Roman" w:hAnsi="Calibri" w:cs="Times New Roman"/>
                <w:b/>
                <w:color w:val="000000"/>
                <w:sz w:val="20"/>
                <w:lang w:eastAsia="en-AU"/>
              </w:rPr>
              <w:t>Age model</w:t>
            </w:r>
          </w:p>
        </w:tc>
        <w:tc>
          <w:tcPr>
            <w:tcW w:w="1417" w:type="dxa"/>
            <w:tcBorders>
              <w:top w:val="nil"/>
              <w:left w:val="nil"/>
              <w:bottom w:val="single" w:sz="4" w:space="0" w:color="auto"/>
              <w:right w:val="nil"/>
            </w:tcBorders>
            <w:vAlign w:val="bottom"/>
          </w:tcPr>
          <w:p w14:paraId="76D7F03F" w14:textId="77777777" w:rsidR="00340DD1" w:rsidRPr="001265F4" w:rsidRDefault="00340DD1" w:rsidP="00F4602C">
            <w:pPr>
              <w:spacing w:after="0" w:line="240" w:lineRule="auto"/>
              <w:rPr>
                <w:rFonts w:ascii="Calibri" w:eastAsia="Times New Roman" w:hAnsi="Calibri" w:cs="Times New Roman"/>
                <w:b/>
                <w:color w:val="000000"/>
                <w:sz w:val="20"/>
                <w:lang w:eastAsia="en-AU"/>
              </w:rPr>
            </w:pPr>
            <w:r>
              <w:rPr>
                <w:rFonts w:ascii="Calibri" w:eastAsia="Times New Roman" w:hAnsi="Calibri" w:cs="Times New Roman"/>
                <w:b/>
                <w:color w:val="000000"/>
                <w:sz w:val="20"/>
                <w:lang w:eastAsia="en-AU"/>
              </w:rPr>
              <w:t xml:space="preserve">Sex </w:t>
            </w:r>
            <w:r w:rsidRPr="001265F4">
              <w:rPr>
                <w:rFonts w:ascii="Calibri" w:eastAsia="Times New Roman" w:hAnsi="Calibri" w:cs="Times New Roman"/>
                <w:b/>
                <w:color w:val="000000"/>
                <w:sz w:val="20"/>
                <w:lang w:eastAsia="en-AU"/>
              </w:rPr>
              <w:t>model</w:t>
            </w:r>
          </w:p>
        </w:tc>
        <w:tc>
          <w:tcPr>
            <w:tcW w:w="1134" w:type="dxa"/>
            <w:tcBorders>
              <w:top w:val="nil"/>
              <w:left w:val="nil"/>
              <w:bottom w:val="single" w:sz="4" w:space="0" w:color="auto"/>
              <w:right w:val="nil"/>
            </w:tcBorders>
            <w:shd w:val="clear" w:color="auto" w:fill="auto"/>
            <w:noWrap/>
            <w:vAlign w:val="bottom"/>
            <w:hideMark/>
          </w:tcPr>
          <w:p w14:paraId="552897A6" w14:textId="77777777" w:rsidR="00340DD1" w:rsidRPr="001265F4" w:rsidRDefault="00340DD1" w:rsidP="00F4602C">
            <w:pPr>
              <w:spacing w:after="0" w:line="240" w:lineRule="auto"/>
              <w:rPr>
                <w:rFonts w:ascii="Calibri" w:eastAsia="Times New Roman" w:hAnsi="Calibri" w:cs="Times New Roman"/>
                <w:b/>
                <w:color w:val="000000"/>
                <w:sz w:val="20"/>
                <w:lang w:eastAsia="en-AU"/>
              </w:rPr>
            </w:pPr>
            <w:r w:rsidRPr="001265F4">
              <w:rPr>
                <w:rFonts w:ascii="Calibri" w:eastAsia="Times New Roman" w:hAnsi="Calibri" w:cs="Times New Roman"/>
                <w:b/>
                <w:color w:val="000000"/>
                <w:sz w:val="20"/>
                <w:lang w:eastAsia="en-AU"/>
              </w:rPr>
              <w:t>Age model</w:t>
            </w:r>
          </w:p>
        </w:tc>
        <w:tc>
          <w:tcPr>
            <w:tcW w:w="1559" w:type="dxa"/>
            <w:tcBorders>
              <w:top w:val="nil"/>
              <w:left w:val="nil"/>
              <w:bottom w:val="single" w:sz="4" w:space="0" w:color="auto"/>
              <w:right w:val="nil"/>
            </w:tcBorders>
            <w:shd w:val="clear" w:color="auto" w:fill="auto"/>
            <w:noWrap/>
            <w:vAlign w:val="bottom"/>
            <w:hideMark/>
          </w:tcPr>
          <w:p w14:paraId="114E9167" w14:textId="77777777" w:rsidR="00340DD1" w:rsidRPr="001265F4" w:rsidRDefault="00340DD1" w:rsidP="00F4602C">
            <w:pPr>
              <w:spacing w:after="0" w:line="240" w:lineRule="auto"/>
              <w:rPr>
                <w:rFonts w:ascii="Calibri" w:eastAsia="Times New Roman" w:hAnsi="Calibri" w:cs="Times New Roman"/>
                <w:b/>
                <w:color w:val="000000"/>
                <w:sz w:val="20"/>
                <w:lang w:eastAsia="en-AU"/>
              </w:rPr>
            </w:pPr>
            <w:r>
              <w:rPr>
                <w:rFonts w:ascii="Calibri" w:eastAsia="Times New Roman" w:hAnsi="Calibri" w:cs="Times New Roman"/>
                <w:b/>
                <w:color w:val="000000"/>
                <w:sz w:val="20"/>
                <w:lang w:eastAsia="en-AU"/>
              </w:rPr>
              <w:t>Sex</w:t>
            </w:r>
            <w:r w:rsidRPr="001265F4">
              <w:rPr>
                <w:rFonts w:ascii="Calibri" w:eastAsia="Times New Roman" w:hAnsi="Calibri" w:cs="Times New Roman"/>
                <w:b/>
                <w:color w:val="000000"/>
                <w:sz w:val="20"/>
                <w:lang w:eastAsia="en-AU"/>
              </w:rPr>
              <w:t xml:space="preserve"> model</w:t>
            </w:r>
          </w:p>
        </w:tc>
      </w:tr>
      <w:tr w:rsidR="00340DD1" w:rsidRPr="00D45A75" w14:paraId="3105E6CE" w14:textId="77777777" w:rsidTr="00F4602C">
        <w:trPr>
          <w:trHeight w:val="272"/>
        </w:trPr>
        <w:tc>
          <w:tcPr>
            <w:tcW w:w="1215" w:type="dxa"/>
            <w:tcBorders>
              <w:top w:val="nil"/>
              <w:left w:val="nil"/>
              <w:bottom w:val="nil"/>
              <w:right w:val="nil"/>
            </w:tcBorders>
            <w:shd w:val="clear" w:color="auto" w:fill="auto"/>
            <w:noWrap/>
            <w:vAlign w:val="bottom"/>
            <w:hideMark/>
          </w:tcPr>
          <w:p w14:paraId="667E4964"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r w:rsidRPr="005E096B">
              <w:rPr>
                <w:rFonts w:ascii="Calibri" w:eastAsia="Times New Roman" w:hAnsi="Calibri" w:cs="Times New Roman"/>
                <w:b/>
                <w:color w:val="000000"/>
                <w:sz w:val="20"/>
                <w:lang w:eastAsia="en-AU"/>
              </w:rPr>
              <w:t xml:space="preserve">Age </w:t>
            </w:r>
          </w:p>
        </w:tc>
        <w:tc>
          <w:tcPr>
            <w:tcW w:w="2046" w:type="dxa"/>
            <w:tcBorders>
              <w:top w:val="nil"/>
              <w:left w:val="nil"/>
              <w:bottom w:val="nil"/>
              <w:right w:val="nil"/>
            </w:tcBorders>
            <w:shd w:val="clear" w:color="auto" w:fill="auto"/>
            <w:noWrap/>
            <w:vAlign w:val="bottom"/>
            <w:hideMark/>
          </w:tcPr>
          <w:p w14:paraId="15D2633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14-17</w:t>
            </w:r>
          </w:p>
        </w:tc>
        <w:tc>
          <w:tcPr>
            <w:tcW w:w="1134" w:type="dxa"/>
            <w:tcBorders>
              <w:top w:val="nil"/>
              <w:left w:val="nil"/>
              <w:bottom w:val="nil"/>
              <w:right w:val="nil"/>
            </w:tcBorders>
            <w:vAlign w:val="bottom"/>
          </w:tcPr>
          <w:p w14:paraId="4333E47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0.66***</w:t>
            </w:r>
          </w:p>
        </w:tc>
        <w:tc>
          <w:tcPr>
            <w:tcW w:w="1417" w:type="dxa"/>
            <w:tcBorders>
              <w:top w:val="nil"/>
              <w:left w:val="nil"/>
              <w:bottom w:val="nil"/>
              <w:right w:val="nil"/>
            </w:tcBorders>
            <w:vAlign w:val="bottom"/>
          </w:tcPr>
          <w:p w14:paraId="38D022F0"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23D9212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2.96***</w:t>
            </w:r>
          </w:p>
        </w:tc>
        <w:tc>
          <w:tcPr>
            <w:tcW w:w="1559" w:type="dxa"/>
            <w:tcBorders>
              <w:top w:val="nil"/>
              <w:left w:val="nil"/>
              <w:bottom w:val="nil"/>
              <w:right w:val="nil"/>
            </w:tcBorders>
            <w:shd w:val="clear" w:color="auto" w:fill="auto"/>
            <w:noWrap/>
            <w:vAlign w:val="bottom"/>
          </w:tcPr>
          <w:p w14:paraId="5BD90E49"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50EC1057" w14:textId="77777777" w:rsidTr="00F4602C">
        <w:trPr>
          <w:trHeight w:val="272"/>
        </w:trPr>
        <w:tc>
          <w:tcPr>
            <w:tcW w:w="1215" w:type="dxa"/>
            <w:tcBorders>
              <w:top w:val="nil"/>
              <w:left w:val="nil"/>
              <w:bottom w:val="nil"/>
              <w:right w:val="nil"/>
            </w:tcBorders>
            <w:shd w:val="clear" w:color="auto" w:fill="auto"/>
            <w:noWrap/>
            <w:vAlign w:val="bottom"/>
            <w:hideMark/>
          </w:tcPr>
          <w:p w14:paraId="4A742FF9"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666133B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18-23</w:t>
            </w:r>
          </w:p>
        </w:tc>
        <w:tc>
          <w:tcPr>
            <w:tcW w:w="1134" w:type="dxa"/>
            <w:tcBorders>
              <w:top w:val="nil"/>
              <w:left w:val="nil"/>
              <w:bottom w:val="nil"/>
              <w:right w:val="nil"/>
            </w:tcBorders>
            <w:vAlign w:val="bottom"/>
          </w:tcPr>
          <w:p w14:paraId="3A096ED6"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1.09</w:t>
            </w:r>
          </w:p>
        </w:tc>
        <w:tc>
          <w:tcPr>
            <w:tcW w:w="1417" w:type="dxa"/>
            <w:tcBorders>
              <w:top w:val="nil"/>
              <w:left w:val="nil"/>
              <w:bottom w:val="nil"/>
              <w:right w:val="nil"/>
            </w:tcBorders>
            <w:vAlign w:val="bottom"/>
          </w:tcPr>
          <w:p w14:paraId="16EDD78B"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3D72B42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1.56**</w:t>
            </w:r>
          </w:p>
        </w:tc>
        <w:tc>
          <w:tcPr>
            <w:tcW w:w="1559" w:type="dxa"/>
            <w:tcBorders>
              <w:top w:val="nil"/>
              <w:left w:val="nil"/>
              <w:bottom w:val="nil"/>
              <w:right w:val="nil"/>
            </w:tcBorders>
            <w:shd w:val="clear" w:color="auto" w:fill="auto"/>
            <w:noWrap/>
            <w:vAlign w:val="bottom"/>
          </w:tcPr>
          <w:p w14:paraId="74753E83"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7616296F" w14:textId="77777777" w:rsidTr="00F4602C">
        <w:trPr>
          <w:trHeight w:val="272"/>
        </w:trPr>
        <w:tc>
          <w:tcPr>
            <w:tcW w:w="1215" w:type="dxa"/>
            <w:tcBorders>
              <w:top w:val="nil"/>
              <w:left w:val="nil"/>
              <w:bottom w:val="nil"/>
              <w:right w:val="nil"/>
            </w:tcBorders>
            <w:shd w:val="clear" w:color="auto" w:fill="auto"/>
            <w:noWrap/>
            <w:vAlign w:val="bottom"/>
            <w:hideMark/>
          </w:tcPr>
          <w:p w14:paraId="0B3BB10D"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0C03F23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24-29</w:t>
            </w:r>
          </w:p>
        </w:tc>
        <w:tc>
          <w:tcPr>
            <w:tcW w:w="1134" w:type="dxa"/>
            <w:tcBorders>
              <w:top w:val="nil"/>
              <w:left w:val="nil"/>
              <w:bottom w:val="nil"/>
              <w:right w:val="nil"/>
            </w:tcBorders>
            <w:vAlign w:val="bottom"/>
          </w:tcPr>
          <w:p w14:paraId="0E705EE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1.34***</w:t>
            </w:r>
          </w:p>
        </w:tc>
        <w:tc>
          <w:tcPr>
            <w:tcW w:w="1417" w:type="dxa"/>
            <w:tcBorders>
              <w:top w:val="nil"/>
              <w:left w:val="nil"/>
              <w:bottom w:val="nil"/>
              <w:right w:val="nil"/>
            </w:tcBorders>
            <w:vAlign w:val="bottom"/>
          </w:tcPr>
          <w:p w14:paraId="07F4C658"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5469C0F6"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1.52**</w:t>
            </w:r>
          </w:p>
        </w:tc>
        <w:tc>
          <w:tcPr>
            <w:tcW w:w="1559" w:type="dxa"/>
            <w:tcBorders>
              <w:top w:val="nil"/>
              <w:left w:val="nil"/>
              <w:bottom w:val="nil"/>
              <w:right w:val="nil"/>
            </w:tcBorders>
            <w:shd w:val="clear" w:color="auto" w:fill="auto"/>
            <w:noWrap/>
            <w:vAlign w:val="bottom"/>
          </w:tcPr>
          <w:p w14:paraId="781C7089"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6293903E" w14:textId="77777777" w:rsidTr="00F4602C">
        <w:trPr>
          <w:trHeight w:val="272"/>
        </w:trPr>
        <w:tc>
          <w:tcPr>
            <w:tcW w:w="1215" w:type="dxa"/>
            <w:tcBorders>
              <w:top w:val="nil"/>
              <w:left w:val="nil"/>
              <w:bottom w:val="nil"/>
              <w:right w:val="nil"/>
            </w:tcBorders>
            <w:shd w:val="clear" w:color="auto" w:fill="auto"/>
            <w:noWrap/>
            <w:vAlign w:val="bottom"/>
            <w:hideMark/>
          </w:tcPr>
          <w:p w14:paraId="4B40764B"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0306F58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30-49</w:t>
            </w:r>
          </w:p>
        </w:tc>
        <w:tc>
          <w:tcPr>
            <w:tcW w:w="1134" w:type="dxa"/>
            <w:tcBorders>
              <w:top w:val="nil"/>
              <w:left w:val="nil"/>
              <w:bottom w:val="nil"/>
              <w:right w:val="nil"/>
            </w:tcBorders>
            <w:vAlign w:val="bottom"/>
          </w:tcPr>
          <w:p w14:paraId="3D065DE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417" w:type="dxa"/>
            <w:tcBorders>
              <w:top w:val="nil"/>
              <w:left w:val="nil"/>
              <w:bottom w:val="nil"/>
              <w:right w:val="nil"/>
            </w:tcBorders>
            <w:vAlign w:val="bottom"/>
          </w:tcPr>
          <w:p w14:paraId="384CB47F"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71B52D3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559" w:type="dxa"/>
            <w:tcBorders>
              <w:top w:val="nil"/>
              <w:left w:val="nil"/>
              <w:bottom w:val="nil"/>
              <w:right w:val="nil"/>
            </w:tcBorders>
            <w:shd w:val="clear" w:color="auto" w:fill="auto"/>
            <w:noWrap/>
            <w:vAlign w:val="bottom"/>
          </w:tcPr>
          <w:p w14:paraId="4E95C42B"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315FA4A0" w14:textId="77777777" w:rsidTr="00F4602C">
        <w:trPr>
          <w:trHeight w:val="272"/>
        </w:trPr>
        <w:tc>
          <w:tcPr>
            <w:tcW w:w="1215" w:type="dxa"/>
            <w:tcBorders>
              <w:top w:val="nil"/>
              <w:left w:val="nil"/>
              <w:bottom w:val="nil"/>
              <w:right w:val="nil"/>
            </w:tcBorders>
            <w:shd w:val="clear" w:color="auto" w:fill="auto"/>
            <w:noWrap/>
            <w:vAlign w:val="bottom"/>
            <w:hideMark/>
          </w:tcPr>
          <w:p w14:paraId="52118692"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0564660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50-64</w:t>
            </w:r>
          </w:p>
        </w:tc>
        <w:tc>
          <w:tcPr>
            <w:tcW w:w="1134" w:type="dxa"/>
            <w:tcBorders>
              <w:top w:val="nil"/>
              <w:left w:val="nil"/>
              <w:bottom w:val="nil"/>
              <w:right w:val="nil"/>
            </w:tcBorders>
            <w:vAlign w:val="bottom"/>
          </w:tcPr>
          <w:p w14:paraId="77AB165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0.98</w:t>
            </w:r>
          </w:p>
        </w:tc>
        <w:tc>
          <w:tcPr>
            <w:tcW w:w="1417" w:type="dxa"/>
            <w:tcBorders>
              <w:top w:val="nil"/>
              <w:left w:val="nil"/>
              <w:bottom w:val="nil"/>
              <w:right w:val="nil"/>
            </w:tcBorders>
            <w:vAlign w:val="bottom"/>
          </w:tcPr>
          <w:p w14:paraId="79844AB0"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6332285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0.68**</w:t>
            </w:r>
          </w:p>
        </w:tc>
        <w:tc>
          <w:tcPr>
            <w:tcW w:w="1559" w:type="dxa"/>
            <w:tcBorders>
              <w:top w:val="nil"/>
              <w:left w:val="nil"/>
              <w:bottom w:val="nil"/>
              <w:right w:val="nil"/>
            </w:tcBorders>
            <w:shd w:val="clear" w:color="auto" w:fill="auto"/>
            <w:noWrap/>
            <w:vAlign w:val="bottom"/>
          </w:tcPr>
          <w:p w14:paraId="16435D51"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3108F671" w14:textId="77777777" w:rsidTr="00F4602C">
        <w:trPr>
          <w:trHeight w:val="272"/>
        </w:trPr>
        <w:tc>
          <w:tcPr>
            <w:tcW w:w="1215" w:type="dxa"/>
            <w:tcBorders>
              <w:top w:val="nil"/>
              <w:left w:val="nil"/>
              <w:bottom w:val="nil"/>
              <w:right w:val="nil"/>
            </w:tcBorders>
            <w:shd w:val="clear" w:color="auto" w:fill="auto"/>
            <w:noWrap/>
            <w:vAlign w:val="bottom"/>
            <w:hideMark/>
          </w:tcPr>
          <w:p w14:paraId="3D3B4A71"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26A3B35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65+</w:t>
            </w:r>
          </w:p>
        </w:tc>
        <w:tc>
          <w:tcPr>
            <w:tcW w:w="1134" w:type="dxa"/>
            <w:tcBorders>
              <w:top w:val="nil"/>
              <w:left w:val="nil"/>
              <w:bottom w:val="nil"/>
              <w:right w:val="nil"/>
            </w:tcBorders>
            <w:vAlign w:val="bottom"/>
          </w:tcPr>
          <w:p w14:paraId="71248FE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1.00</w:t>
            </w:r>
          </w:p>
        </w:tc>
        <w:tc>
          <w:tcPr>
            <w:tcW w:w="1417" w:type="dxa"/>
            <w:tcBorders>
              <w:top w:val="nil"/>
              <w:left w:val="nil"/>
              <w:bottom w:val="nil"/>
              <w:right w:val="nil"/>
            </w:tcBorders>
            <w:vAlign w:val="bottom"/>
          </w:tcPr>
          <w:p w14:paraId="22B0CB89"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737D191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0.66**</w:t>
            </w:r>
          </w:p>
        </w:tc>
        <w:tc>
          <w:tcPr>
            <w:tcW w:w="1559" w:type="dxa"/>
            <w:tcBorders>
              <w:top w:val="nil"/>
              <w:left w:val="nil"/>
              <w:bottom w:val="nil"/>
              <w:right w:val="nil"/>
            </w:tcBorders>
            <w:shd w:val="clear" w:color="auto" w:fill="auto"/>
            <w:noWrap/>
            <w:vAlign w:val="bottom"/>
          </w:tcPr>
          <w:p w14:paraId="21395F47"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098B5B3B" w14:textId="77777777" w:rsidTr="00F4602C">
        <w:trPr>
          <w:trHeight w:val="272"/>
        </w:trPr>
        <w:tc>
          <w:tcPr>
            <w:tcW w:w="1215" w:type="dxa"/>
            <w:tcBorders>
              <w:top w:val="nil"/>
              <w:left w:val="nil"/>
              <w:bottom w:val="nil"/>
              <w:right w:val="nil"/>
            </w:tcBorders>
            <w:shd w:val="clear" w:color="auto" w:fill="auto"/>
            <w:noWrap/>
            <w:vAlign w:val="bottom"/>
            <w:hideMark/>
          </w:tcPr>
          <w:p w14:paraId="3FE32A1D"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r>
              <w:rPr>
                <w:rFonts w:ascii="Calibri" w:eastAsia="Times New Roman" w:hAnsi="Calibri" w:cs="Times New Roman"/>
                <w:b/>
                <w:color w:val="000000"/>
                <w:sz w:val="20"/>
                <w:lang w:eastAsia="en-AU"/>
              </w:rPr>
              <w:t>Sex</w:t>
            </w:r>
          </w:p>
        </w:tc>
        <w:tc>
          <w:tcPr>
            <w:tcW w:w="2046" w:type="dxa"/>
            <w:tcBorders>
              <w:top w:val="nil"/>
              <w:left w:val="nil"/>
              <w:bottom w:val="nil"/>
              <w:right w:val="nil"/>
            </w:tcBorders>
            <w:shd w:val="clear" w:color="auto" w:fill="auto"/>
            <w:noWrap/>
            <w:vAlign w:val="bottom"/>
            <w:hideMark/>
          </w:tcPr>
          <w:p w14:paraId="08D364F1"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Male</w:t>
            </w:r>
          </w:p>
        </w:tc>
        <w:tc>
          <w:tcPr>
            <w:tcW w:w="1134" w:type="dxa"/>
            <w:tcBorders>
              <w:top w:val="nil"/>
              <w:left w:val="nil"/>
              <w:bottom w:val="nil"/>
              <w:right w:val="nil"/>
            </w:tcBorders>
            <w:vAlign w:val="bottom"/>
          </w:tcPr>
          <w:p w14:paraId="30D43330"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417" w:type="dxa"/>
            <w:tcBorders>
              <w:top w:val="nil"/>
              <w:left w:val="nil"/>
              <w:bottom w:val="nil"/>
              <w:right w:val="nil"/>
            </w:tcBorders>
            <w:vAlign w:val="bottom"/>
          </w:tcPr>
          <w:p w14:paraId="57BC96C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134" w:type="dxa"/>
            <w:tcBorders>
              <w:top w:val="nil"/>
              <w:left w:val="nil"/>
              <w:bottom w:val="nil"/>
              <w:right w:val="nil"/>
            </w:tcBorders>
            <w:shd w:val="clear" w:color="auto" w:fill="auto"/>
            <w:noWrap/>
            <w:vAlign w:val="bottom"/>
          </w:tcPr>
          <w:p w14:paraId="78F0F7B4"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559" w:type="dxa"/>
            <w:tcBorders>
              <w:top w:val="nil"/>
              <w:left w:val="nil"/>
              <w:bottom w:val="nil"/>
              <w:right w:val="nil"/>
            </w:tcBorders>
            <w:shd w:val="clear" w:color="auto" w:fill="auto"/>
            <w:noWrap/>
            <w:vAlign w:val="bottom"/>
          </w:tcPr>
          <w:p w14:paraId="4F5BA30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r>
      <w:tr w:rsidR="00340DD1" w:rsidRPr="00D45A75" w14:paraId="74ADD8A7" w14:textId="77777777" w:rsidTr="00F4602C">
        <w:trPr>
          <w:trHeight w:val="272"/>
        </w:trPr>
        <w:tc>
          <w:tcPr>
            <w:tcW w:w="1215" w:type="dxa"/>
            <w:tcBorders>
              <w:top w:val="nil"/>
              <w:left w:val="nil"/>
              <w:bottom w:val="nil"/>
              <w:right w:val="nil"/>
            </w:tcBorders>
            <w:shd w:val="clear" w:color="auto" w:fill="auto"/>
            <w:noWrap/>
            <w:vAlign w:val="bottom"/>
            <w:hideMark/>
          </w:tcPr>
          <w:p w14:paraId="4237A5AC"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6BDB9D0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Female</w:t>
            </w:r>
          </w:p>
        </w:tc>
        <w:tc>
          <w:tcPr>
            <w:tcW w:w="1134" w:type="dxa"/>
            <w:tcBorders>
              <w:top w:val="nil"/>
              <w:left w:val="nil"/>
              <w:bottom w:val="nil"/>
              <w:right w:val="nil"/>
            </w:tcBorders>
            <w:vAlign w:val="bottom"/>
          </w:tcPr>
          <w:p w14:paraId="63235AA6"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417" w:type="dxa"/>
            <w:tcBorders>
              <w:top w:val="nil"/>
              <w:left w:val="nil"/>
              <w:bottom w:val="nil"/>
              <w:right w:val="nil"/>
            </w:tcBorders>
            <w:vAlign w:val="bottom"/>
          </w:tcPr>
          <w:p w14:paraId="5E59752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0.79***</w:t>
            </w:r>
          </w:p>
        </w:tc>
        <w:tc>
          <w:tcPr>
            <w:tcW w:w="1134" w:type="dxa"/>
            <w:tcBorders>
              <w:top w:val="nil"/>
              <w:left w:val="nil"/>
              <w:bottom w:val="nil"/>
              <w:right w:val="nil"/>
            </w:tcBorders>
            <w:shd w:val="clear" w:color="auto" w:fill="auto"/>
            <w:noWrap/>
            <w:vAlign w:val="bottom"/>
          </w:tcPr>
          <w:p w14:paraId="28EF8999"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559" w:type="dxa"/>
            <w:tcBorders>
              <w:top w:val="nil"/>
              <w:left w:val="nil"/>
              <w:bottom w:val="nil"/>
              <w:right w:val="nil"/>
            </w:tcBorders>
            <w:shd w:val="clear" w:color="auto" w:fill="auto"/>
            <w:noWrap/>
            <w:vAlign w:val="bottom"/>
          </w:tcPr>
          <w:p w14:paraId="087E69C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1.65***</w:t>
            </w:r>
          </w:p>
        </w:tc>
      </w:tr>
      <w:tr w:rsidR="00340DD1" w:rsidRPr="00D45A75" w14:paraId="4267C0A8" w14:textId="77777777" w:rsidTr="00F4602C">
        <w:trPr>
          <w:trHeight w:val="272"/>
        </w:trPr>
        <w:tc>
          <w:tcPr>
            <w:tcW w:w="1215" w:type="dxa"/>
            <w:tcBorders>
              <w:top w:val="nil"/>
              <w:left w:val="nil"/>
              <w:bottom w:val="nil"/>
              <w:right w:val="nil"/>
            </w:tcBorders>
            <w:shd w:val="clear" w:color="auto" w:fill="auto"/>
            <w:noWrap/>
            <w:vAlign w:val="bottom"/>
            <w:hideMark/>
          </w:tcPr>
          <w:p w14:paraId="4C5D702F"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r w:rsidRPr="005E096B">
              <w:rPr>
                <w:rFonts w:ascii="Calibri" w:eastAsia="Times New Roman" w:hAnsi="Calibri" w:cs="Times New Roman"/>
                <w:b/>
                <w:color w:val="000000"/>
                <w:sz w:val="20"/>
                <w:lang w:eastAsia="en-AU"/>
              </w:rPr>
              <w:t>Year</w:t>
            </w:r>
          </w:p>
        </w:tc>
        <w:tc>
          <w:tcPr>
            <w:tcW w:w="2046" w:type="dxa"/>
            <w:tcBorders>
              <w:top w:val="nil"/>
              <w:left w:val="nil"/>
              <w:bottom w:val="nil"/>
              <w:right w:val="nil"/>
            </w:tcBorders>
            <w:shd w:val="clear" w:color="auto" w:fill="auto"/>
            <w:noWrap/>
            <w:vAlign w:val="bottom"/>
            <w:hideMark/>
          </w:tcPr>
          <w:p w14:paraId="37A59C1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2001</w:t>
            </w:r>
          </w:p>
        </w:tc>
        <w:tc>
          <w:tcPr>
            <w:tcW w:w="1134" w:type="dxa"/>
            <w:tcBorders>
              <w:top w:val="nil"/>
              <w:left w:val="nil"/>
              <w:bottom w:val="nil"/>
              <w:right w:val="nil"/>
            </w:tcBorders>
            <w:vAlign w:val="bottom"/>
          </w:tcPr>
          <w:p w14:paraId="67629A4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417" w:type="dxa"/>
            <w:tcBorders>
              <w:top w:val="nil"/>
              <w:left w:val="nil"/>
              <w:bottom w:val="nil"/>
              <w:right w:val="nil"/>
            </w:tcBorders>
            <w:vAlign w:val="bottom"/>
          </w:tcPr>
          <w:p w14:paraId="4CC4F01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134" w:type="dxa"/>
            <w:tcBorders>
              <w:top w:val="nil"/>
              <w:left w:val="nil"/>
              <w:bottom w:val="nil"/>
              <w:right w:val="nil"/>
            </w:tcBorders>
            <w:shd w:val="clear" w:color="auto" w:fill="auto"/>
            <w:noWrap/>
            <w:vAlign w:val="bottom"/>
          </w:tcPr>
          <w:p w14:paraId="3A3C07A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559" w:type="dxa"/>
            <w:tcBorders>
              <w:top w:val="nil"/>
              <w:left w:val="nil"/>
              <w:bottom w:val="nil"/>
              <w:right w:val="nil"/>
            </w:tcBorders>
            <w:shd w:val="clear" w:color="auto" w:fill="auto"/>
            <w:noWrap/>
            <w:vAlign w:val="bottom"/>
          </w:tcPr>
          <w:p w14:paraId="2BFDCB2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r>
      <w:tr w:rsidR="00340DD1" w:rsidRPr="00D45A75" w14:paraId="396319D4" w14:textId="77777777" w:rsidTr="00F4602C">
        <w:trPr>
          <w:trHeight w:val="272"/>
        </w:trPr>
        <w:tc>
          <w:tcPr>
            <w:tcW w:w="1215" w:type="dxa"/>
            <w:tcBorders>
              <w:top w:val="nil"/>
              <w:left w:val="nil"/>
              <w:bottom w:val="nil"/>
              <w:right w:val="nil"/>
            </w:tcBorders>
            <w:shd w:val="clear" w:color="auto" w:fill="auto"/>
            <w:noWrap/>
            <w:vAlign w:val="bottom"/>
            <w:hideMark/>
          </w:tcPr>
          <w:p w14:paraId="2156C1ED"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185A733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2004</w:t>
            </w:r>
          </w:p>
        </w:tc>
        <w:tc>
          <w:tcPr>
            <w:tcW w:w="1134" w:type="dxa"/>
            <w:tcBorders>
              <w:top w:val="nil"/>
              <w:left w:val="nil"/>
              <w:bottom w:val="nil"/>
              <w:right w:val="nil"/>
            </w:tcBorders>
            <w:vAlign w:val="bottom"/>
          </w:tcPr>
          <w:p w14:paraId="6103082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1.21***</w:t>
            </w:r>
          </w:p>
        </w:tc>
        <w:tc>
          <w:tcPr>
            <w:tcW w:w="1417" w:type="dxa"/>
            <w:tcBorders>
              <w:top w:val="nil"/>
              <w:left w:val="nil"/>
              <w:bottom w:val="nil"/>
              <w:right w:val="nil"/>
            </w:tcBorders>
            <w:vAlign w:val="bottom"/>
          </w:tcPr>
          <w:p w14:paraId="4C5DA89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1.15***</w:t>
            </w:r>
          </w:p>
        </w:tc>
        <w:tc>
          <w:tcPr>
            <w:tcW w:w="1134" w:type="dxa"/>
            <w:tcBorders>
              <w:top w:val="nil"/>
              <w:left w:val="nil"/>
              <w:bottom w:val="nil"/>
              <w:right w:val="nil"/>
            </w:tcBorders>
            <w:shd w:val="clear" w:color="auto" w:fill="auto"/>
            <w:noWrap/>
            <w:vAlign w:val="bottom"/>
          </w:tcPr>
          <w:p w14:paraId="4018DD6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1.24*</w:t>
            </w:r>
          </w:p>
        </w:tc>
        <w:tc>
          <w:tcPr>
            <w:tcW w:w="1559" w:type="dxa"/>
            <w:tcBorders>
              <w:top w:val="nil"/>
              <w:left w:val="nil"/>
              <w:bottom w:val="nil"/>
              <w:right w:val="nil"/>
            </w:tcBorders>
            <w:shd w:val="clear" w:color="auto" w:fill="auto"/>
            <w:noWrap/>
            <w:vAlign w:val="bottom"/>
          </w:tcPr>
          <w:p w14:paraId="14F295A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1.08</w:t>
            </w:r>
          </w:p>
        </w:tc>
      </w:tr>
      <w:tr w:rsidR="00340DD1" w:rsidRPr="00D45A75" w14:paraId="6546D4D5" w14:textId="77777777" w:rsidTr="00F4602C">
        <w:trPr>
          <w:trHeight w:val="272"/>
        </w:trPr>
        <w:tc>
          <w:tcPr>
            <w:tcW w:w="1215" w:type="dxa"/>
            <w:tcBorders>
              <w:top w:val="nil"/>
              <w:left w:val="nil"/>
              <w:bottom w:val="nil"/>
              <w:right w:val="nil"/>
            </w:tcBorders>
            <w:shd w:val="clear" w:color="auto" w:fill="auto"/>
            <w:noWrap/>
            <w:vAlign w:val="bottom"/>
            <w:hideMark/>
          </w:tcPr>
          <w:p w14:paraId="29E2B9C7"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79FDC00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2007</w:t>
            </w:r>
          </w:p>
        </w:tc>
        <w:tc>
          <w:tcPr>
            <w:tcW w:w="1134" w:type="dxa"/>
            <w:tcBorders>
              <w:top w:val="nil"/>
              <w:left w:val="nil"/>
              <w:bottom w:val="nil"/>
              <w:right w:val="nil"/>
            </w:tcBorders>
            <w:vAlign w:val="bottom"/>
          </w:tcPr>
          <w:p w14:paraId="16BC203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1.33***</w:t>
            </w:r>
          </w:p>
        </w:tc>
        <w:tc>
          <w:tcPr>
            <w:tcW w:w="1417" w:type="dxa"/>
            <w:tcBorders>
              <w:top w:val="nil"/>
              <w:left w:val="nil"/>
              <w:bottom w:val="nil"/>
              <w:right w:val="nil"/>
            </w:tcBorders>
            <w:vAlign w:val="bottom"/>
          </w:tcPr>
          <w:p w14:paraId="4A2B96E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1.26***</w:t>
            </w:r>
          </w:p>
        </w:tc>
        <w:tc>
          <w:tcPr>
            <w:tcW w:w="1134" w:type="dxa"/>
            <w:tcBorders>
              <w:top w:val="nil"/>
              <w:left w:val="nil"/>
              <w:bottom w:val="nil"/>
              <w:right w:val="nil"/>
            </w:tcBorders>
            <w:shd w:val="clear" w:color="auto" w:fill="auto"/>
            <w:noWrap/>
            <w:vAlign w:val="bottom"/>
          </w:tcPr>
          <w:p w14:paraId="0548B7A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1.25*</w:t>
            </w:r>
          </w:p>
        </w:tc>
        <w:tc>
          <w:tcPr>
            <w:tcW w:w="1559" w:type="dxa"/>
            <w:tcBorders>
              <w:top w:val="nil"/>
              <w:left w:val="nil"/>
              <w:bottom w:val="nil"/>
              <w:right w:val="nil"/>
            </w:tcBorders>
            <w:shd w:val="clear" w:color="auto" w:fill="auto"/>
            <w:noWrap/>
            <w:vAlign w:val="bottom"/>
          </w:tcPr>
          <w:p w14:paraId="51B9F05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1.23*</w:t>
            </w:r>
          </w:p>
        </w:tc>
      </w:tr>
      <w:tr w:rsidR="00340DD1" w:rsidRPr="00D45A75" w14:paraId="08BA5E4A" w14:textId="77777777" w:rsidTr="00F4602C">
        <w:trPr>
          <w:trHeight w:val="272"/>
        </w:trPr>
        <w:tc>
          <w:tcPr>
            <w:tcW w:w="1215" w:type="dxa"/>
            <w:tcBorders>
              <w:top w:val="nil"/>
              <w:left w:val="nil"/>
              <w:bottom w:val="nil"/>
              <w:right w:val="nil"/>
            </w:tcBorders>
            <w:shd w:val="clear" w:color="auto" w:fill="auto"/>
            <w:noWrap/>
            <w:vAlign w:val="bottom"/>
            <w:hideMark/>
          </w:tcPr>
          <w:p w14:paraId="695FE04B"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1E2C933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2010</w:t>
            </w:r>
          </w:p>
        </w:tc>
        <w:tc>
          <w:tcPr>
            <w:tcW w:w="1134" w:type="dxa"/>
            <w:tcBorders>
              <w:top w:val="nil"/>
              <w:left w:val="nil"/>
              <w:bottom w:val="nil"/>
              <w:right w:val="nil"/>
            </w:tcBorders>
            <w:vAlign w:val="bottom"/>
          </w:tcPr>
          <w:p w14:paraId="2F17482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1.27***</w:t>
            </w:r>
          </w:p>
        </w:tc>
        <w:tc>
          <w:tcPr>
            <w:tcW w:w="1417" w:type="dxa"/>
            <w:tcBorders>
              <w:top w:val="nil"/>
              <w:left w:val="nil"/>
              <w:bottom w:val="nil"/>
              <w:right w:val="nil"/>
            </w:tcBorders>
            <w:vAlign w:val="bottom"/>
          </w:tcPr>
          <w:p w14:paraId="2B386826"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1.19***</w:t>
            </w:r>
          </w:p>
        </w:tc>
        <w:tc>
          <w:tcPr>
            <w:tcW w:w="1134" w:type="dxa"/>
            <w:tcBorders>
              <w:top w:val="nil"/>
              <w:left w:val="nil"/>
              <w:bottom w:val="nil"/>
              <w:right w:val="nil"/>
            </w:tcBorders>
            <w:shd w:val="clear" w:color="auto" w:fill="auto"/>
            <w:noWrap/>
            <w:vAlign w:val="bottom"/>
          </w:tcPr>
          <w:p w14:paraId="2E003B1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1.30**</w:t>
            </w:r>
          </w:p>
        </w:tc>
        <w:tc>
          <w:tcPr>
            <w:tcW w:w="1559" w:type="dxa"/>
            <w:tcBorders>
              <w:top w:val="nil"/>
              <w:left w:val="nil"/>
              <w:bottom w:val="nil"/>
              <w:right w:val="nil"/>
            </w:tcBorders>
            <w:shd w:val="clear" w:color="auto" w:fill="auto"/>
            <w:noWrap/>
            <w:vAlign w:val="bottom"/>
          </w:tcPr>
          <w:p w14:paraId="59E6DD0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1.30**</w:t>
            </w:r>
          </w:p>
        </w:tc>
      </w:tr>
      <w:tr w:rsidR="00340DD1" w:rsidRPr="00D45A75" w14:paraId="7BCAFFAC" w14:textId="77777777" w:rsidTr="00F4602C">
        <w:trPr>
          <w:trHeight w:val="272"/>
        </w:trPr>
        <w:tc>
          <w:tcPr>
            <w:tcW w:w="1215" w:type="dxa"/>
            <w:tcBorders>
              <w:top w:val="nil"/>
              <w:left w:val="nil"/>
              <w:bottom w:val="nil"/>
              <w:right w:val="nil"/>
            </w:tcBorders>
            <w:shd w:val="clear" w:color="auto" w:fill="auto"/>
            <w:noWrap/>
            <w:vAlign w:val="bottom"/>
            <w:hideMark/>
          </w:tcPr>
          <w:p w14:paraId="70C00350"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114C0A61"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2013</w:t>
            </w:r>
          </w:p>
        </w:tc>
        <w:tc>
          <w:tcPr>
            <w:tcW w:w="1134" w:type="dxa"/>
            <w:tcBorders>
              <w:top w:val="nil"/>
              <w:left w:val="nil"/>
              <w:bottom w:val="nil"/>
              <w:right w:val="nil"/>
            </w:tcBorders>
            <w:vAlign w:val="bottom"/>
          </w:tcPr>
          <w:p w14:paraId="2D36D786"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1.26***</w:t>
            </w:r>
          </w:p>
        </w:tc>
        <w:tc>
          <w:tcPr>
            <w:tcW w:w="1417" w:type="dxa"/>
            <w:tcBorders>
              <w:top w:val="nil"/>
              <w:left w:val="nil"/>
              <w:bottom w:val="nil"/>
              <w:right w:val="nil"/>
            </w:tcBorders>
            <w:vAlign w:val="bottom"/>
          </w:tcPr>
          <w:p w14:paraId="2BF6F09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1.18***</w:t>
            </w:r>
          </w:p>
        </w:tc>
        <w:tc>
          <w:tcPr>
            <w:tcW w:w="1134" w:type="dxa"/>
            <w:tcBorders>
              <w:top w:val="nil"/>
              <w:left w:val="nil"/>
              <w:bottom w:val="nil"/>
              <w:right w:val="nil"/>
            </w:tcBorders>
            <w:shd w:val="clear" w:color="auto" w:fill="auto"/>
            <w:noWrap/>
            <w:vAlign w:val="bottom"/>
          </w:tcPr>
          <w:p w14:paraId="3B77D00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1.87***</w:t>
            </w:r>
          </w:p>
        </w:tc>
        <w:tc>
          <w:tcPr>
            <w:tcW w:w="1559" w:type="dxa"/>
            <w:tcBorders>
              <w:top w:val="nil"/>
              <w:left w:val="nil"/>
              <w:bottom w:val="nil"/>
              <w:right w:val="nil"/>
            </w:tcBorders>
            <w:shd w:val="clear" w:color="auto" w:fill="auto"/>
            <w:noWrap/>
            <w:vAlign w:val="bottom"/>
          </w:tcPr>
          <w:p w14:paraId="7E7579B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1.30**</w:t>
            </w:r>
          </w:p>
        </w:tc>
      </w:tr>
      <w:tr w:rsidR="00340DD1" w:rsidRPr="00D45A75" w14:paraId="50EE174B" w14:textId="77777777" w:rsidTr="00F4602C">
        <w:trPr>
          <w:trHeight w:val="272"/>
        </w:trPr>
        <w:tc>
          <w:tcPr>
            <w:tcW w:w="1215" w:type="dxa"/>
            <w:vMerge w:val="restart"/>
            <w:tcBorders>
              <w:top w:val="nil"/>
              <w:left w:val="nil"/>
              <w:bottom w:val="nil"/>
              <w:right w:val="nil"/>
            </w:tcBorders>
            <w:shd w:val="clear" w:color="auto" w:fill="auto"/>
            <w:vAlign w:val="bottom"/>
            <w:hideMark/>
          </w:tcPr>
          <w:p w14:paraId="35BF717B"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r w:rsidRPr="005E096B">
              <w:rPr>
                <w:rFonts w:ascii="Calibri" w:eastAsia="Times New Roman" w:hAnsi="Calibri" w:cs="Times New Roman"/>
                <w:b/>
                <w:color w:val="000000"/>
                <w:sz w:val="20"/>
                <w:lang w:eastAsia="en-AU"/>
              </w:rPr>
              <w:t>Neighbour</w:t>
            </w:r>
            <w:r>
              <w:rPr>
                <w:rFonts w:ascii="Calibri" w:eastAsia="Times New Roman" w:hAnsi="Calibri" w:cs="Times New Roman"/>
                <w:b/>
                <w:color w:val="000000"/>
                <w:sz w:val="20"/>
                <w:lang w:eastAsia="en-AU"/>
              </w:rPr>
              <w:t>-</w:t>
            </w:r>
            <w:r w:rsidRPr="005E096B">
              <w:rPr>
                <w:rFonts w:ascii="Calibri" w:eastAsia="Times New Roman" w:hAnsi="Calibri" w:cs="Times New Roman"/>
                <w:b/>
                <w:color w:val="000000"/>
                <w:sz w:val="20"/>
                <w:lang w:eastAsia="en-AU"/>
              </w:rPr>
              <w:t>hood Advantage</w:t>
            </w:r>
          </w:p>
        </w:tc>
        <w:tc>
          <w:tcPr>
            <w:tcW w:w="2046" w:type="dxa"/>
            <w:tcBorders>
              <w:top w:val="nil"/>
              <w:left w:val="nil"/>
              <w:bottom w:val="nil"/>
              <w:right w:val="nil"/>
            </w:tcBorders>
            <w:shd w:val="clear" w:color="auto" w:fill="auto"/>
            <w:noWrap/>
            <w:vAlign w:val="bottom"/>
            <w:hideMark/>
          </w:tcPr>
          <w:p w14:paraId="0C71493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Lowest (1)</w:t>
            </w:r>
          </w:p>
        </w:tc>
        <w:tc>
          <w:tcPr>
            <w:tcW w:w="1134" w:type="dxa"/>
            <w:tcBorders>
              <w:top w:val="nil"/>
              <w:left w:val="nil"/>
              <w:bottom w:val="nil"/>
              <w:right w:val="nil"/>
            </w:tcBorders>
            <w:vAlign w:val="bottom"/>
          </w:tcPr>
          <w:p w14:paraId="71135C8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417" w:type="dxa"/>
            <w:tcBorders>
              <w:top w:val="nil"/>
              <w:left w:val="nil"/>
              <w:bottom w:val="nil"/>
              <w:right w:val="nil"/>
            </w:tcBorders>
            <w:vAlign w:val="bottom"/>
          </w:tcPr>
          <w:p w14:paraId="0ED2CB0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134" w:type="dxa"/>
            <w:tcBorders>
              <w:top w:val="nil"/>
              <w:left w:val="nil"/>
              <w:bottom w:val="nil"/>
              <w:right w:val="nil"/>
            </w:tcBorders>
            <w:shd w:val="clear" w:color="auto" w:fill="auto"/>
            <w:noWrap/>
            <w:vAlign w:val="bottom"/>
          </w:tcPr>
          <w:p w14:paraId="47C3360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559" w:type="dxa"/>
            <w:tcBorders>
              <w:top w:val="nil"/>
              <w:left w:val="nil"/>
              <w:bottom w:val="nil"/>
              <w:right w:val="nil"/>
            </w:tcBorders>
            <w:shd w:val="clear" w:color="auto" w:fill="auto"/>
            <w:noWrap/>
            <w:vAlign w:val="bottom"/>
          </w:tcPr>
          <w:p w14:paraId="26FCF27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r>
      <w:tr w:rsidR="00340DD1" w:rsidRPr="00D45A75" w14:paraId="64587650" w14:textId="77777777" w:rsidTr="00F4602C">
        <w:trPr>
          <w:trHeight w:val="272"/>
        </w:trPr>
        <w:tc>
          <w:tcPr>
            <w:tcW w:w="1215" w:type="dxa"/>
            <w:vMerge/>
            <w:tcBorders>
              <w:top w:val="nil"/>
              <w:left w:val="nil"/>
              <w:bottom w:val="nil"/>
              <w:right w:val="nil"/>
            </w:tcBorders>
            <w:vAlign w:val="center"/>
            <w:hideMark/>
          </w:tcPr>
          <w:p w14:paraId="59007934"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02369B6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w:t>
            </w:r>
          </w:p>
        </w:tc>
        <w:tc>
          <w:tcPr>
            <w:tcW w:w="1134" w:type="dxa"/>
            <w:tcBorders>
              <w:top w:val="nil"/>
              <w:left w:val="nil"/>
              <w:bottom w:val="nil"/>
              <w:right w:val="nil"/>
            </w:tcBorders>
            <w:vAlign w:val="bottom"/>
          </w:tcPr>
          <w:p w14:paraId="03F3A9C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0.95*</w:t>
            </w:r>
          </w:p>
        </w:tc>
        <w:tc>
          <w:tcPr>
            <w:tcW w:w="1417" w:type="dxa"/>
            <w:tcBorders>
              <w:top w:val="nil"/>
              <w:left w:val="nil"/>
              <w:bottom w:val="nil"/>
              <w:right w:val="nil"/>
            </w:tcBorders>
            <w:vAlign w:val="bottom"/>
          </w:tcPr>
          <w:p w14:paraId="35C4694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0.95*</w:t>
            </w:r>
          </w:p>
        </w:tc>
        <w:tc>
          <w:tcPr>
            <w:tcW w:w="1134" w:type="dxa"/>
            <w:tcBorders>
              <w:top w:val="nil"/>
              <w:left w:val="nil"/>
              <w:bottom w:val="nil"/>
              <w:right w:val="nil"/>
            </w:tcBorders>
            <w:shd w:val="clear" w:color="auto" w:fill="auto"/>
            <w:noWrap/>
            <w:vAlign w:val="bottom"/>
          </w:tcPr>
          <w:p w14:paraId="4B084FB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0.95</w:t>
            </w:r>
          </w:p>
        </w:tc>
        <w:tc>
          <w:tcPr>
            <w:tcW w:w="1559" w:type="dxa"/>
            <w:tcBorders>
              <w:top w:val="nil"/>
              <w:left w:val="nil"/>
              <w:bottom w:val="nil"/>
              <w:right w:val="nil"/>
            </w:tcBorders>
            <w:shd w:val="clear" w:color="auto" w:fill="auto"/>
            <w:noWrap/>
            <w:vAlign w:val="bottom"/>
          </w:tcPr>
          <w:p w14:paraId="18E6ABC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0.96</w:t>
            </w:r>
          </w:p>
        </w:tc>
      </w:tr>
      <w:tr w:rsidR="00340DD1" w:rsidRPr="00D45A75" w14:paraId="1597B03F" w14:textId="77777777" w:rsidTr="00F4602C">
        <w:trPr>
          <w:trHeight w:val="272"/>
        </w:trPr>
        <w:tc>
          <w:tcPr>
            <w:tcW w:w="1215" w:type="dxa"/>
            <w:tcBorders>
              <w:top w:val="nil"/>
              <w:left w:val="nil"/>
              <w:bottom w:val="nil"/>
              <w:right w:val="nil"/>
            </w:tcBorders>
            <w:shd w:val="clear" w:color="auto" w:fill="auto"/>
            <w:noWrap/>
            <w:vAlign w:val="bottom"/>
            <w:hideMark/>
          </w:tcPr>
          <w:p w14:paraId="30BFBB6C"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4685E85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3</w:t>
            </w:r>
          </w:p>
        </w:tc>
        <w:tc>
          <w:tcPr>
            <w:tcW w:w="1134" w:type="dxa"/>
            <w:tcBorders>
              <w:top w:val="nil"/>
              <w:left w:val="nil"/>
              <w:bottom w:val="nil"/>
              <w:right w:val="nil"/>
            </w:tcBorders>
            <w:vAlign w:val="bottom"/>
          </w:tcPr>
          <w:p w14:paraId="1A2F1DB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0.92**</w:t>
            </w:r>
          </w:p>
        </w:tc>
        <w:tc>
          <w:tcPr>
            <w:tcW w:w="1417" w:type="dxa"/>
            <w:tcBorders>
              <w:top w:val="nil"/>
              <w:left w:val="nil"/>
              <w:bottom w:val="nil"/>
              <w:right w:val="nil"/>
            </w:tcBorders>
            <w:vAlign w:val="bottom"/>
          </w:tcPr>
          <w:p w14:paraId="1C947DC1"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0.92**</w:t>
            </w:r>
          </w:p>
        </w:tc>
        <w:tc>
          <w:tcPr>
            <w:tcW w:w="1134" w:type="dxa"/>
            <w:tcBorders>
              <w:top w:val="nil"/>
              <w:left w:val="nil"/>
              <w:bottom w:val="nil"/>
              <w:right w:val="nil"/>
            </w:tcBorders>
            <w:shd w:val="clear" w:color="auto" w:fill="auto"/>
            <w:noWrap/>
            <w:vAlign w:val="bottom"/>
          </w:tcPr>
          <w:p w14:paraId="07A9216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0.86*</w:t>
            </w:r>
          </w:p>
        </w:tc>
        <w:tc>
          <w:tcPr>
            <w:tcW w:w="1559" w:type="dxa"/>
            <w:tcBorders>
              <w:top w:val="nil"/>
              <w:left w:val="nil"/>
              <w:bottom w:val="nil"/>
              <w:right w:val="nil"/>
            </w:tcBorders>
            <w:shd w:val="clear" w:color="auto" w:fill="auto"/>
            <w:noWrap/>
            <w:vAlign w:val="bottom"/>
          </w:tcPr>
          <w:p w14:paraId="7E72CFB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0.87*</w:t>
            </w:r>
          </w:p>
        </w:tc>
      </w:tr>
      <w:tr w:rsidR="00340DD1" w:rsidRPr="00D45A75" w14:paraId="253D8EB6" w14:textId="77777777" w:rsidTr="00F4602C">
        <w:trPr>
          <w:trHeight w:val="272"/>
        </w:trPr>
        <w:tc>
          <w:tcPr>
            <w:tcW w:w="1215" w:type="dxa"/>
            <w:tcBorders>
              <w:top w:val="nil"/>
              <w:left w:val="nil"/>
              <w:bottom w:val="nil"/>
              <w:right w:val="nil"/>
            </w:tcBorders>
            <w:shd w:val="clear" w:color="auto" w:fill="auto"/>
            <w:noWrap/>
            <w:vAlign w:val="bottom"/>
            <w:hideMark/>
          </w:tcPr>
          <w:p w14:paraId="775111A9"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7C1F8A1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4</w:t>
            </w:r>
          </w:p>
        </w:tc>
        <w:tc>
          <w:tcPr>
            <w:tcW w:w="1134" w:type="dxa"/>
            <w:tcBorders>
              <w:top w:val="nil"/>
              <w:left w:val="nil"/>
              <w:bottom w:val="nil"/>
              <w:right w:val="nil"/>
            </w:tcBorders>
            <w:vAlign w:val="bottom"/>
          </w:tcPr>
          <w:p w14:paraId="61024EF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0.90***</w:t>
            </w:r>
          </w:p>
        </w:tc>
        <w:tc>
          <w:tcPr>
            <w:tcW w:w="1417" w:type="dxa"/>
            <w:tcBorders>
              <w:top w:val="nil"/>
              <w:left w:val="nil"/>
              <w:bottom w:val="nil"/>
              <w:right w:val="nil"/>
            </w:tcBorders>
            <w:vAlign w:val="bottom"/>
          </w:tcPr>
          <w:p w14:paraId="309CC1E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0.90***</w:t>
            </w:r>
          </w:p>
        </w:tc>
        <w:tc>
          <w:tcPr>
            <w:tcW w:w="1134" w:type="dxa"/>
            <w:tcBorders>
              <w:top w:val="nil"/>
              <w:left w:val="nil"/>
              <w:bottom w:val="nil"/>
              <w:right w:val="nil"/>
            </w:tcBorders>
            <w:shd w:val="clear" w:color="auto" w:fill="auto"/>
            <w:noWrap/>
            <w:vAlign w:val="bottom"/>
          </w:tcPr>
          <w:p w14:paraId="08C8C3F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0.87*</w:t>
            </w:r>
          </w:p>
        </w:tc>
        <w:tc>
          <w:tcPr>
            <w:tcW w:w="1559" w:type="dxa"/>
            <w:tcBorders>
              <w:top w:val="nil"/>
              <w:left w:val="nil"/>
              <w:bottom w:val="nil"/>
              <w:right w:val="nil"/>
            </w:tcBorders>
            <w:shd w:val="clear" w:color="auto" w:fill="auto"/>
            <w:noWrap/>
            <w:vAlign w:val="bottom"/>
          </w:tcPr>
          <w:p w14:paraId="1913BCC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0.88*</w:t>
            </w:r>
          </w:p>
        </w:tc>
      </w:tr>
      <w:tr w:rsidR="00340DD1" w:rsidRPr="00D45A75" w14:paraId="7F709F63" w14:textId="77777777" w:rsidTr="00F4602C">
        <w:trPr>
          <w:trHeight w:val="272"/>
        </w:trPr>
        <w:tc>
          <w:tcPr>
            <w:tcW w:w="1215" w:type="dxa"/>
            <w:tcBorders>
              <w:top w:val="nil"/>
              <w:left w:val="nil"/>
              <w:bottom w:val="nil"/>
              <w:right w:val="nil"/>
            </w:tcBorders>
            <w:shd w:val="clear" w:color="auto" w:fill="auto"/>
            <w:noWrap/>
            <w:vAlign w:val="bottom"/>
            <w:hideMark/>
          </w:tcPr>
          <w:p w14:paraId="459897FC"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0A0B7D6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Highest (5)</w:t>
            </w:r>
          </w:p>
        </w:tc>
        <w:tc>
          <w:tcPr>
            <w:tcW w:w="1134" w:type="dxa"/>
            <w:tcBorders>
              <w:top w:val="nil"/>
              <w:left w:val="nil"/>
              <w:bottom w:val="nil"/>
              <w:right w:val="nil"/>
            </w:tcBorders>
            <w:vAlign w:val="bottom"/>
          </w:tcPr>
          <w:p w14:paraId="75D6D6F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0.86***</w:t>
            </w:r>
          </w:p>
        </w:tc>
        <w:tc>
          <w:tcPr>
            <w:tcW w:w="1417" w:type="dxa"/>
            <w:tcBorders>
              <w:top w:val="nil"/>
              <w:left w:val="nil"/>
              <w:bottom w:val="nil"/>
              <w:right w:val="nil"/>
            </w:tcBorders>
            <w:vAlign w:val="bottom"/>
          </w:tcPr>
          <w:p w14:paraId="4E01E04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0.86***</w:t>
            </w:r>
          </w:p>
        </w:tc>
        <w:tc>
          <w:tcPr>
            <w:tcW w:w="1134" w:type="dxa"/>
            <w:tcBorders>
              <w:top w:val="nil"/>
              <w:left w:val="nil"/>
              <w:bottom w:val="nil"/>
              <w:right w:val="nil"/>
            </w:tcBorders>
            <w:shd w:val="clear" w:color="auto" w:fill="auto"/>
            <w:noWrap/>
            <w:vAlign w:val="bottom"/>
          </w:tcPr>
          <w:p w14:paraId="3905EB1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0.82**</w:t>
            </w:r>
          </w:p>
        </w:tc>
        <w:tc>
          <w:tcPr>
            <w:tcW w:w="1559" w:type="dxa"/>
            <w:tcBorders>
              <w:top w:val="nil"/>
              <w:left w:val="nil"/>
              <w:bottom w:val="nil"/>
              <w:right w:val="nil"/>
            </w:tcBorders>
            <w:shd w:val="clear" w:color="auto" w:fill="auto"/>
            <w:noWrap/>
            <w:vAlign w:val="bottom"/>
          </w:tcPr>
          <w:p w14:paraId="3319CA3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0.80***</w:t>
            </w:r>
          </w:p>
        </w:tc>
      </w:tr>
      <w:tr w:rsidR="00340DD1" w:rsidRPr="00D45A75" w14:paraId="0995825B" w14:textId="77777777" w:rsidTr="00F4602C">
        <w:trPr>
          <w:trHeight w:val="272"/>
        </w:trPr>
        <w:tc>
          <w:tcPr>
            <w:tcW w:w="1215" w:type="dxa"/>
            <w:tcBorders>
              <w:top w:val="nil"/>
              <w:left w:val="nil"/>
              <w:bottom w:val="nil"/>
              <w:right w:val="nil"/>
            </w:tcBorders>
            <w:shd w:val="clear" w:color="auto" w:fill="auto"/>
            <w:noWrap/>
            <w:vAlign w:val="bottom"/>
            <w:hideMark/>
          </w:tcPr>
          <w:p w14:paraId="1E9F8444"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r w:rsidRPr="005E096B">
              <w:rPr>
                <w:rFonts w:ascii="Calibri" w:eastAsia="Times New Roman" w:hAnsi="Calibri" w:cs="Times New Roman"/>
                <w:b/>
                <w:color w:val="000000"/>
                <w:sz w:val="20"/>
                <w:lang w:eastAsia="en-AU"/>
              </w:rPr>
              <w:t>Marital status</w:t>
            </w:r>
          </w:p>
        </w:tc>
        <w:tc>
          <w:tcPr>
            <w:tcW w:w="2046" w:type="dxa"/>
            <w:tcBorders>
              <w:top w:val="nil"/>
              <w:left w:val="nil"/>
              <w:bottom w:val="nil"/>
              <w:right w:val="nil"/>
            </w:tcBorders>
            <w:shd w:val="clear" w:color="auto" w:fill="auto"/>
            <w:noWrap/>
            <w:vAlign w:val="bottom"/>
            <w:hideMark/>
          </w:tcPr>
          <w:p w14:paraId="68A1DC5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Single</w:t>
            </w:r>
          </w:p>
        </w:tc>
        <w:tc>
          <w:tcPr>
            <w:tcW w:w="1134" w:type="dxa"/>
            <w:tcBorders>
              <w:top w:val="nil"/>
              <w:left w:val="nil"/>
              <w:bottom w:val="nil"/>
              <w:right w:val="nil"/>
            </w:tcBorders>
            <w:vAlign w:val="bottom"/>
          </w:tcPr>
          <w:p w14:paraId="2490272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417" w:type="dxa"/>
            <w:tcBorders>
              <w:top w:val="nil"/>
              <w:left w:val="nil"/>
              <w:bottom w:val="nil"/>
              <w:right w:val="nil"/>
            </w:tcBorders>
            <w:vAlign w:val="bottom"/>
          </w:tcPr>
          <w:p w14:paraId="493A68D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134" w:type="dxa"/>
            <w:tcBorders>
              <w:top w:val="nil"/>
              <w:left w:val="nil"/>
              <w:bottom w:val="nil"/>
              <w:right w:val="nil"/>
            </w:tcBorders>
            <w:shd w:val="clear" w:color="auto" w:fill="auto"/>
            <w:noWrap/>
            <w:vAlign w:val="bottom"/>
          </w:tcPr>
          <w:p w14:paraId="60D5EFD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c>
          <w:tcPr>
            <w:tcW w:w="1559" w:type="dxa"/>
            <w:tcBorders>
              <w:top w:val="nil"/>
              <w:left w:val="nil"/>
              <w:bottom w:val="nil"/>
              <w:right w:val="nil"/>
            </w:tcBorders>
            <w:shd w:val="clear" w:color="auto" w:fill="auto"/>
            <w:noWrap/>
            <w:vAlign w:val="bottom"/>
          </w:tcPr>
          <w:p w14:paraId="0A5F6AE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1(Ref)</w:t>
            </w:r>
          </w:p>
        </w:tc>
      </w:tr>
      <w:tr w:rsidR="00340DD1" w:rsidRPr="00D45A75" w14:paraId="13DBEF24" w14:textId="77777777" w:rsidTr="00F4602C">
        <w:trPr>
          <w:trHeight w:val="272"/>
        </w:trPr>
        <w:tc>
          <w:tcPr>
            <w:tcW w:w="1215" w:type="dxa"/>
            <w:tcBorders>
              <w:top w:val="nil"/>
              <w:left w:val="nil"/>
              <w:bottom w:val="nil"/>
              <w:right w:val="nil"/>
            </w:tcBorders>
            <w:shd w:val="clear" w:color="auto" w:fill="auto"/>
            <w:noWrap/>
            <w:vAlign w:val="bottom"/>
            <w:hideMark/>
          </w:tcPr>
          <w:p w14:paraId="47B68D63"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415AEEE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Married/</w:t>
            </w:r>
            <w:proofErr w:type="spellStart"/>
            <w:r w:rsidRPr="00D45A75">
              <w:rPr>
                <w:rFonts w:ascii="Calibri" w:eastAsia="Times New Roman" w:hAnsi="Calibri" w:cs="Times New Roman"/>
                <w:color w:val="000000"/>
                <w:sz w:val="20"/>
                <w:lang w:eastAsia="en-AU"/>
              </w:rPr>
              <w:t>Defacto</w:t>
            </w:r>
            <w:proofErr w:type="spellEnd"/>
          </w:p>
        </w:tc>
        <w:tc>
          <w:tcPr>
            <w:tcW w:w="1134" w:type="dxa"/>
            <w:tcBorders>
              <w:top w:val="nil"/>
              <w:left w:val="nil"/>
              <w:bottom w:val="nil"/>
              <w:right w:val="nil"/>
            </w:tcBorders>
            <w:vAlign w:val="bottom"/>
          </w:tcPr>
          <w:p w14:paraId="588ACE0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0.93**</w:t>
            </w:r>
          </w:p>
        </w:tc>
        <w:tc>
          <w:tcPr>
            <w:tcW w:w="1417" w:type="dxa"/>
            <w:tcBorders>
              <w:top w:val="nil"/>
              <w:left w:val="nil"/>
              <w:bottom w:val="nil"/>
              <w:right w:val="nil"/>
            </w:tcBorders>
            <w:vAlign w:val="bottom"/>
          </w:tcPr>
          <w:p w14:paraId="600EEDC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0.95**</w:t>
            </w:r>
          </w:p>
        </w:tc>
        <w:tc>
          <w:tcPr>
            <w:tcW w:w="1134" w:type="dxa"/>
            <w:tcBorders>
              <w:top w:val="nil"/>
              <w:left w:val="nil"/>
              <w:bottom w:val="nil"/>
              <w:right w:val="nil"/>
            </w:tcBorders>
            <w:shd w:val="clear" w:color="auto" w:fill="auto"/>
            <w:noWrap/>
            <w:vAlign w:val="bottom"/>
          </w:tcPr>
          <w:p w14:paraId="37C4180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1.33***</w:t>
            </w:r>
          </w:p>
        </w:tc>
        <w:tc>
          <w:tcPr>
            <w:tcW w:w="1559" w:type="dxa"/>
            <w:tcBorders>
              <w:top w:val="nil"/>
              <w:left w:val="nil"/>
              <w:bottom w:val="nil"/>
              <w:right w:val="nil"/>
            </w:tcBorders>
            <w:shd w:val="clear" w:color="auto" w:fill="auto"/>
            <w:noWrap/>
            <w:vAlign w:val="bottom"/>
          </w:tcPr>
          <w:p w14:paraId="78DB65C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0.70***</w:t>
            </w:r>
          </w:p>
        </w:tc>
      </w:tr>
      <w:tr w:rsidR="00340DD1" w:rsidRPr="00D45A75" w14:paraId="193422F9" w14:textId="77777777" w:rsidTr="00F4602C">
        <w:trPr>
          <w:trHeight w:val="272"/>
        </w:trPr>
        <w:tc>
          <w:tcPr>
            <w:tcW w:w="1215" w:type="dxa"/>
            <w:tcBorders>
              <w:top w:val="nil"/>
              <w:left w:val="nil"/>
              <w:bottom w:val="nil"/>
              <w:right w:val="nil"/>
            </w:tcBorders>
            <w:shd w:val="clear" w:color="auto" w:fill="auto"/>
            <w:noWrap/>
            <w:vAlign w:val="bottom"/>
            <w:hideMark/>
          </w:tcPr>
          <w:p w14:paraId="7771F0F2"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p>
        </w:tc>
        <w:tc>
          <w:tcPr>
            <w:tcW w:w="2046" w:type="dxa"/>
            <w:tcBorders>
              <w:top w:val="nil"/>
              <w:left w:val="nil"/>
              <w:bottom w:val="nil"/>
              <w:right w:val="nil"/>
            </w:tcBorders>
            <w:shd w:val="clear" w:color="auto" w:fill="auto"/>
            <w:noWrap/>
            <w:vAlign w:val="bottom"/>
            <w:hideMark/>
          </w:tcPr>
          <w:p w14:paraId="69356EF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S</w:t>
            </w:r>
            <w:r>
              <w:rPr>
                <w:rFonts w:ascii="Calibri" w:eastAsia="Times New Roman" w:hAnsi="Calibri" w:cs="Times New Roman"/>
                <w:color w:val="000000"/>
                <w:sz w:val="20"/>
                <w:lang w:eastAsia="en-AU"/>
              </w:rPr>
              <w:t>eparated/</w:t>
            </w:r>
            <w:r w:rsidRPr="00D45A75">
              <w:rPr>
                <w:rFonts w:ascii="Calibri" w:eastAsia="Times New Roman" w:hAnsi="Calibri" w:cs="Times New Roman"/>
                <w:color w:val="000000"/>
                <w:sz w:val="20"/>
                <w:lang w:eastAsia="en-AU"/>
              </w:rPr>
              <w:t>D</w:t>
            </w:r>
            <w:r>
              <w:rPr>
                <w:rFonts w:ascii="Calibri" w:eastAsia="Times New Roman" w:hAnsi="Calibri" w:cs="Times New Roman"/>
                <w:color w:val="000000"/>
                <w:sz w:val="20"/>
                <w:lang w:eastAsia="en-AU"/>
              </w:rPr>
              <w:t>ivorced/</w:t>
            </w:r>
            <w:r w:rsidRPr="00D45A75">
              <w:rPr>
                <w:rFonts w:ascii="Calibri" w:eastAsia="Times New Roman" w:hAnsi="Calibri" w:cs="Times New Roman"/>
                <w:color w:val="000000"/>
                <w:sz w:val="20"/>
                <w:lang w:eastAsia="en-AU"/>
              </w:rPr>
              <w:t>W</w:t>
            </w:r>
            <w:r>
              <w:rPr>
                <w:rFonts w:ascii="Calibri" w:eastAsia="Times New Roman" w:hAnsi="Calibri" w:cs="Times New Roman"/>
                <w:color w:val="000000"/>
                <w:sz w:val="20"/>
                <w:lang w:eastAsia="en-AU"/>
              </w:rPr>
              <w:t>idowed</w:t>
            </w:r>
          </w:p>
        </w:tc>
        <w:tc>
          <w:tcPr>
            <w:tcW w:w="1134" w:type="dxa"/>
            <w:tcBorders>
              <w:top w:val="nil"/>
              <w:left w:val="nil"/>
              <w:bottom w:val="nil"/>
              <w:right w:val="nil"/>
            </w:tcBorders>
            <w:vAlign w:val="bottom"/>
          </w:tcPr>
          <w:p w14:paraId="41EE1DA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0.94</w:t>
            </w:r>
          </w:p>
        </w:tc>
        <w:tc>
          <w:tcPr>
            <w:tcW w:w="1417" w:type="dxa"/>
            <w:tcBorders>
              <w:top w:val="nil"/>
              <w:left w:val="nil"/>
              <w:bottom w:val="nil"/>
              <w:right w:val="nil"/>
            </w:tcBorders>
            <w:vAlign w:val="bottom"/>
          </w:tcPr>
          <w:p w14:paraId="66F413B6"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0.97</w:t>
            </w:r>
          </w:p>
        </w:tc>
        <w:tc>
          <w:tcPr>
            <w:tcW w:w="1134" w:type="dxa"/>
            <w:tcBorders>
              <w:top w:val="nil"/>
              <w:left w:val="nil"/>
              <w:bottom w:val="nil"/>
              <w:right w:val="nil"/>
            </w:tcBorders>
            <w:shd w:val="clear" w:color="auto" w:fill="auto"/>
            <w:noWrap/>
            <w:vAlign w:val="bottom"/>
          </w:tcPr>
          <w:p w14:paraId="3CA525F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1.62***</w:t>
            </w:r>
          </w:p>
        </w:tc>
        <w:tc>
          <w:tcPr>
            <w:tcW w:w="1559" w:type="dxa"/>
            <w:tcBorders>
              <w:top w:val="nil"/>
              <w:left w:val="nil"/>
              <w:bottom w:val="nil"/>
              <w:right w:val="nil"/>
            </w:tcBorders>
            <w:shd w:val="clear" w:color="auto" w:fill="auto"/>
            <w:noWrap/>
            <w:vAlign w:val="bottom"/>
          </w:tcPr>
          <w:p w14:paraId="26AEC12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0.64***</w:t>
            </w:r>
          </w:p>
        </w:tc>
      </w:tr>
      <w:tr w:rsidR="00340DD1" w:rsidRPr="00D45A75" w14:paraId="498A8C7A" w14:textId="77777777" w:rsidTr="00F4602C">
        <w:trPr>
          <w:trHeight w:val="272"/>
        </w:trPr>
        <w:tc>
          <w:tcPr>
            <w:tcW w:w="1215" w:type="dxa"/>
            <w:tcBorders>
              <w:top w:val="nil"/>
              <w:left w:val="nil"/>
              <w:bottom w:val="nil"/>
              <w:right w:val="nil"/>
            </w:tcBorders>
            <w:shd w:val="clear" w:color="auto" w:fill="auto"/>
            <w:noWrap/>
            <w:vAlign w:val="bottom"/>
            <w:hideMark/>
          </w:tcPr>
          <w:p w14:paraId="002E7A56"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r w:rsidRPr="005E096B">
              <w:rPr>
                <w:rFonts w:ascii="Calibri" w:eastAsia="Times New Roman" w:hAnsi="Calibri" w:cs="Times New Roman"/>
                <w:b/>
                <w:color w:val="000000"/>
                <w:sz w:val="20"/>
                <w:lang w:eastAsia="en-AU"/>
              </w:rPr>
              <w:t>Interactions</w:t>
            </w:r>
          </w:p>
        </w:tc>
        <w:tc>
          <w:tcPr>
            <w:tcW w:w="2046" w:type="dxa"/>
            <w:tcBorders>
              <w:top w:val="nil"/>
              <w:left w:val="nil"/>
              <w:bottom w:val="nil"/>
              <w:right w:val="nil"/>
            </w:tcBorders>
            <w:shd w:val="clear" w:color="auto" w:fill="auto"/>
            <w:noWrap/>
            <w:vAlign w:val="bottom"/>
            <w:hideMark/>
          </w:tcPr>
          <w:p w14:paraId="1217DA7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14-17*2004</w:t>
            </w:r>
          </w:p>
        </w:tc>
        <w:tc>
          <w:tcPr>
            <w:tcW w:w="1134" w:type="dxa"/>
            <w:tcBorders>
              <w:top w:val="nil"/>
              <w:left w:val="nil"/>
              <w:bottom w:val="nil"/>
              <w:right w:val="nil"/>
            </w:tcBorders>
            <w:vAlign w:val="bottom"/>
          </w:tcPr>
          <w:p w14:paraId="3825851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0.82</w:t>
            </w:r>
          </w:p>
        </w:tc>
        <w:tc>
          <w:tcPr>
            <w:tcW w:w="1417" w:type="dxa"/>
            <w:tcBorders>
              <w:top w:val="nil"/>
              <w:left w:val="nil"/>
              <w:bottom w:val="nil"/>
              <w:right w:val="nil"/>
            </w:tcBorders>
            <w:vAlign w:val="bottom"/>
          </w:tcPr>
          <w:p w14:paraId="126F947D"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5DA02FE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1.02</w:t>
            </w:r>
          </w:p>
        </w:tc>
        <w:tc>
          <w:tcPr>
            <w:tcW w:w="1559" w:type="dxa"/>
            <w:tcBorders>
              <w:top w:val="nil"/>
              <w:left w:val="nil"/>
              <w:bottom w:val="nil"/>
              <w:right w:val="nil"/>
            </w:tcBorders>
            <w:shd w:val="clear" w:color="auto" w:fill="auto"/>
            <w:noWrap/>
            <w:vAlign w:val="bottom"/>
          </w:tcPr>
          <w:p w14:paraId="655A054F"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4E370280" w14:textId="77777777" w:rsidTr="00F4602C">
        <w:trPr>
          <w:trHeight w:val="272"/>
        </w:trPr>
        <w:tc>
          <w:tcPr>
            <w:tcW w:w="1215" w:type="dxa"/>
            <w:tcBorders>
              <w:top w:val="nil"/>
              <w:left w:val="nil"/>
              <w:bottom w:val="nil"/>
              <w:right w:val="nil"/>
            </w:tcBorders>
            <w:shd w:val="clear" w:color="auto" w:fill="auto"/>
            <w:noWrap/>
            <w:vAlign w:val="bottom"/>
            <w:hideMark/>
          </w:tcPr>
          <w:p w14:paraId="633C09EC"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1155884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14-17*2007</w:t>
            </w:r>
          </w:p>
        </w:tc>
        <w:tc>
          <w:tcPr>
            <w:tcW w:w="1134" w:type="dxa"/>
            <w:tcBorders>
              <w:top w:val="nil"/>
              <w:left w:val="nil"/>
              <w:bottom w:val="nil"/>
              <w:right w:val="nil"/>
            </w:tcBorders>
            <w:vAlign w:val="bottom"/>
          </w:tcPr>
          <w:p w14:paraId="195950E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0.89</w:t>
            </w:r>
          </w:p>
        </w:tc>
        <w:tc>
          <w:tcPr>
            <w:tcW w:w="1417" w:type="dxa"/>
            <w:tcBorders>
              <w:top w:val="nil"/>
              <w:left w:val="nil"/>
              <w:bottom w:val="nil"/>
              <w:right w:val="nil"/>
            </w:tcBorders>
            <w:vAlign w:val="bottom"/>
          </w:tcPr>
          <w:p w14:paraId="12816A3D"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09D5621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0.91</w:t>
            </w:r>
          </w:p>
        </w:tc>
        <w:tc>
          <w:tcPr>
            <w:tcW w:w="1559" w:type="dxa"/>
            <w:tcBorders>
              <w:top w:val="nil"/>
              <w:left w:val="nil"/>
              <w:bottom w:val="nil"/>
              <w:right w:val="nil"/>
            </w:tcBorders>
            <w:shd w:val="clear" w:color="auto" w:fill="auto"/>
            <w:noWrap/>
            <w:vAlign w:val="bottom"/>
          </w:tcPr>
          <w:p w14:paraId="5A216546"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5BCA22FC" w14:textId="77777777" w:rsidTr="00F4602C">
        <w:trPr>
          <w:trHeight w:val="272"/>
        </w:trPr>
        <w:tc>
          <w:tcPr>
            <w:tcW w:w="1215" w:type="dxa"/>
            <w:tcBorders>
              <w:top w:val="nil"/>
              <w:left w:val="nil"/>
              <w:bottom w:val="nil"/>
              <w:right w:val="nil"/>
            </w:tcBorders>
            <w:shd w:val="clear" w:color="auto" w:fill="auto"/>
            <w:noWrap/>
            <w:vAlign w:val="bottom"/>
            <w:hideMark/>
          </w:tcPr>
          <w:p w14:paraId="2F67BAB3"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3972227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14-17*2010</w:t>
            </w:r>
          </w:p>
        </w:tc>
        <w:tc>
          <w:tcPr>
            <w:tcW w:w="1134" w:type="dxa"/>
            <w:tcBorders>
              <w:top w:val="nil"/>
              <w:left w:val="nil"/>
              <w:bottom w:val="nil"/>
              <w:right w:val="nil"/>
            </w:tcBorders>
            <w:vAlign w:val="bottom"/>
          </w:tcPr>
          <w:p w14:paraId="6AA12D5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0.98</w:t>
            </w:r>
          </w:p>
        </w:tc>
        <w:tc>
          <w:tcPr>
            <w:tcW w:w="1417" w:type="dxa"/>
            <w:tcBorders>
              <w:top w:val="nil"/>
              <w:left w:val="nil"/>
              <w:bottom w:val="nil"/>
              <w:right w:val="nil"/>
            </w:tcBorders>
            <w:vAlign w:val="bottom"/>
          </w:tcPr>
          <w:p w14:paraId="44550A9E"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0D85291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1.13</w:t>
            </w:r>
          </w:p>
        </w:tc>
        <w:tc>
          <w:tcPr>
            <w:tcW w:w="1559" w:type="dxa"/>
            <w:tcBorders>
              <w:top w:val="nil"/>
              <w:left w:val="nil"/>
              <w:bottom w:val="nil"/>
              <w:right w:val="nil"/>
            </w:tcBorders>
            <w:shd w:val="clear" w:color="auto" w:fill="auto"/>
            <w:noWrap/>
            <w:vAlign w:val="bottom"/>
          </w:tcPr>
          <w:p w14:paraId="48861B17"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5FE7EDE1" w14:textId="77777777" w:rsidTr="00F4602C">
        <w:trPr>
          <w:trHeight w:val="272"/>
        </w:trPr>
        <w:tc>
          <w:tcPr>
            <w:tcW w:w="1215" w:type="dxa"/>
            <w:tcBorders>
              <w:top w:val="nil"/>
              <w:left w:val="nil"/>
              <w:bottom w:val="nil"/>
              <w:right w:val="nil"/>
            </w:tcBorders>
            <w:shd w:val="clear" w:color="auto" w:fill="auto"/>
            <w:noWrap/>
            <w:vAlign w:val="bottom"/>
            <w:hideMark/>
          </w:tcPr>
          <w:p w14:paraId="74AD1162"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2E80D5C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14-17*2013</w:t>
            </w:r>
          </w:p>
        </w:tc>
        <w:tc>
          <w:tcPr>
            <w:tcW w:w="1134" w:type="dxa"/>
            <w:tcBorders>
              <w:top w:val="nil"/>
              <w:left w:val="nil"/>
              <w:bottom w:val="nil"/>
              <w:right w:val="nil"/>
            </w:tcBorders>
            <w:vAlign w:val="bottom"/>
          </w:tcPr>
          <w:p w14:paraId="1F9568B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0.83</w:t>
            </w:r>
          </w:p>
        </w:tc>
        <w:tc>
          <w:tcPr>
            <w:tcW w:w="1417" w:type="dxa"/>
            <w:tcBorders>
              <w:top w:val="nil"/>
              <w:left w:val="nil"/>
              <w:bottom w:val="nil"/>
              <w:right w:val="nil"/>
            </w:tcBorders>
            <w:vAlign w:val="bottom"/>
          </w:tcPr>
          <w:p w14:paraId="41DFFEC4"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493D727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0.85</w:t>
            </w:r>
          </w:p>
        </w:tc>
        <w:tc>
          <w:tcPr>
            <w:tcW w:w="1559" w:type="dxa"/>
            <w:tcBorders>
              <w:top w:val="nil"/>
              <w:left w:val="nil"/>
              <w:bottom w:val="nil"/>
              <w:right w:val="nil"/>
            </w:tcBorders>
            <w:shd w:val="clear" w:color="auto" w:fill="auto"/>
            <w:noWrap/>
            <w:vAlign w:val="bottom"/>
          </w:tcPr>
          <w:p w14:paraId="555CB065"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0B551F12" w14:textId="77777777" w:rsidTr="00F4602C">
        <w:trPr>
          <w:trHeight w:val="272"/>
        </w:trPr>
        <w:tc>
          <w:tcPr>
            <w:tcW w:w="1215" w:type="dxa"/>
            <w:tcBorders>
              <w:top w:val="nil"/>
              <w:left w:val="nil"/>
              <w:bottom w:val="nil"/>
              <w:right w:val="nil"/>
            </w:tcBorders>
            <w:shd w:val="clear" w:color="auto" w:fill="auto"/>
            <w:noWrap/>
            <w:vAlign w:val="bottom"/>
            <w:hideMark/>
          </w:tcPr>
          <w:p w14:paraId="5F9DACC0"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3EF91DB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18-23*2004</w:t>
            </w:r>
          </w:p>
        </w:tc>
        <w:tc>
          <w:tcPr>
            <w:tcW w:w="1134" w:type="dxa"/>
            <w:tcBorders>
              <w:top w:val="nil"/>
              <w:left w:val="nil"/>
              <w:bottom w:val="nil"/>
              <w:right w:val="nil"/>
            </w:tcBorders>
            <w:vAlign w:val="bottom"/>
          </w:tcPr>
          <w:p w14:paraId="75F4BDE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1.07</w:t>
            </w:r>
          </w:p>
        </w:tc>
        <w:tc>
          <w:tcPr>
            <w:tcW w:w="1417" w:type="dxa"/>
            <w:tcBorders>
              <w:top w:val="nil"/>
              <w:left w:val="nil"/>
              <w:bottom w:val="nil"/>
              <w:right w:val="nil"/>
            </w:tcBorders>
            <w:vAlign w:val="bottom"/>
          </w:tcPr>
          <w:p w14:paraId="4926465F"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5C66834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1.11</w:t>
            </w:r>
          </w:p>
        </w:tc>
        <w:tc>
          <w:tcPr>
            <w:tcW w:w="1559" w:type="dxa"/>
            <w:tcBorders>
              <w:top w:val="nil"/>
              <w:left w:val="nil"/>
              <w:bottom w:val="nil"/>
              <w:right w:val="nil"/>
            </w:tcBorders>
            <w:shd w:val="clear" w:color="auto" w:fill="auto"/>
            <w:noWrap/>
            <w:vAlign w:val="bottom"/>
          </w:tcPr>
          <w:p w14:paraId="63C8042D"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321B35F7" w14:textId="77777777" w:rsidTr="00F4602C">
        <w:trPr>
          <w:trHeight w:val="272"/>
        </w:trPr>
        <w:tc>
          <w:tcPr>
            <w:tcW w:w="1215" w:type="dxa"/>
            <w:tcBorders>
              <w:top w:val="nil"/>
              <w:left w:val="nil"/>
              <w:bottom w:val="nil"/>
              <w:right w:val="nil"/>
            </w:tcBorders>
            <w:shd w:val="clear" w:color="auto" w:fill="auto"/>
            <w:noWrap/>
            <w:vAlign w:val="bottom"/>
            <w:hideMark/>
          </w:tcPr>
          <w:p w14:paraId="5B95BE85"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1ABACB0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18-23*2007</w:t>
            </w:r>
          </w:p>
        </w:tc>
        <w:tc>
          <w:tcPr>
            <w:tcW w:w="1134" w:type="dxa"/>
            <w:tcBorders>
              <w:top w:val="nil"/>
              <w:left w:val="nil"/>
              <w:bottom w:val="nil"/>
              <w:right w:val="nil"/>
            </w:tcBorders>
            <w:vAlign w:val="bottom"/>
          </w:tcPr>
          <w:p w14:paraId="0B0AEBA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1.04</w:t>
            </w:r>
          </w:p>
        </w:tc>
        <w:tc>
          <w:tcPr>
            <w:tcW w:w="1417" w:type="dxa"/>
            <w:tcBorders>
              <w:top w:val="nil"/>
              <w:left w:val="nil"/>
              <w:bottom w:val="nil"/>
              <w:right w:val="nil"/>
            </w:tcBorders>
            <w:vAlign w:val="bottom"/>
          </w:tcPr>
          <w:p w14:paraId="3CFE92DF"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0D5559D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1.01</w:t>
            </w:r>
          </w:p>
        </w:tc>
        <w:tc>
          <w:tcPr>
            <w:tcW w:w="1559" w:type="dxa"/>
            <w:tcBorders>
              <w:top w:val="nil"/>
              <w:left w:val="nil"/>
              <w:bottom w:val="nil"/>
              <w:right w:val="nil"/>
            </w:tcBorders>
            <w:shd w:val="clear" w:color="auto" w:fill="auto"/>
            <w:noWrap/>
            <w:vAlign w:val="bottom"/>
          </w:tcPr>
          <w:p w14:paraId="1E655FDC"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7FABAF01" w14:textId="77777777" w:rsidTr="00F4602C">
        <w:trPr>
          <w:trHeight w:val="272"/>
        </w:trPr>
        <w:tc>
          <w:tcPr>
            <w:tcW w:w="1215" w:type="dxa"/>
            <w:tcBorders>
              <w:top w:val="nil"/>
              <w:left w:val="nil"/>
              <w:bottom w:val="nil"/>
              <w:right w:val="nil"/>
            </w:tcBorders>
            <w:shd w:val="clear" w:color="auto" w:fill="auto"/>
            <w:noWrap/>
            <w:vAlign w:val="bottom"/>
            <w:hideMark/>
          </w:tcPr>
          <w:p w14:paraId="58F223AA"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5C4F0FE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18-23*2010</w:t>
            </w:r>
          </w:p>
        </w:tc>
        <w:tc>
          <w:tcPr>
            <w:tcW w:w="1134" w:type="dxa"/>
            <w:tcBorders>
              <w:top w:val="nil"/>
              <w:left w:val="nil"/>
              <w:bottom w:val="nil"/>
              <w:right w:val="nil"/>
            </w:tcBorders>
            <w:vAlign w:val="bottom"/>
          </w:tcPr>
          <w:p w14:paraId="6022781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1.02</w:t>
            </w:r>
          </w:p>
        </w:tc>
        <w:tc>
          <w:tcPr>
            <w:tcW w:w="1417" w:type="dxa"/>
            <w:tcBorders>
              <w:top w:val="nil"/>
              <w:left w:val="nil"/>
              <w:bottom w:val="nil"/>
              <w:right w:val="nil"/>
            </w:tcBorders>
            <w:vAlign w:val="bottom"/>
          </w:tcPr>
          <w:p w14:paraId="2565323E"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364536F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1.23</w:t>
            </w:r>
          </w:p>
        </w:tc>
        <w:tc>
          <w:tcPr>
            <w:tcW w:w="1559" w:type="dxa"/>
            <w:tcBorders>
              <w:top w:val="nil"/>
              <w:left w:val="nil"/>
              <w:bottom w:val="nil"/>
              <w:right w:val="nil"/>
            </w:tcBorders>
            <w:shd w:val="clear" w:color="auto" w:fill="auto"/>
            <w:noWrap/>
            <w:vAlign w:val="bottom"/>
          </w:tcPr>
          <w:p w14:paraId="185B3FCF"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0347C355" w14:textId="77777777" w:rsidTr="00F4602C">
        <w:trPr>
          <w:trHeight w:val="272"/>
        </w:trPr>
        <w:tc>
          <w:tcPr>
            <w:tcW w:w="1215" w:type="dxa"/>
            <w:tcBorders>
              <w:top w:val="nil"/>
              <w:left w:val="nil"/>
              <w:bottom w:val="nil"/>
              <w:right w:val="nil"/>
            </w:tcBorders>
            <w:shd w:val="clear" w:color="auto" w:fill="auto"/>
            <w:noWrap/>
            <w:vAlign w:val="bottom"/>
            <w:hideMark/>
          </w:tcPr>
          <w:p w14:paraId="7865AC26"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6F8A387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18-23*2013</w:t>
            </w:r>
          </w:p>
        </w:tc>
        <w:tc>
          <w:tcPr>
            <w:tcW w:w="1134" w:type="dxa"/>
            <w:tcBorders>
              <w:top w:val="nil"/>
              <w:left w:val="nil"/>
              <w:bottom w:val="nil"/>
              <w:right w:val="nil"/>
            </w:tcBorders>
            <w:vAlign w:val="bottom"/>
          </w:tcPr>
          <w:p w14:paraId="24A6425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0.88</w:t>
            </w:r>
          </w:p>
        </w:tc>
        <w:tc>
          <w:tcPr>
            <w:tcW w:w="1417" w:type="dxa"/>
            <w:tcBorders>
              <w:top w:val="nil"/>
              <w:left w:val="nil"/>
              <w:bottom w:val="nil"/>
              <w:right w:val="nil"/>
            </w:tcBorders>
            <w:vAlign w:val="bottom"/>
          </w:tcPr>
          <w:p w14:paraId="194CEF16"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377CD7C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0.77</w:t>
            </w:r>
          </w:p>
        </w:tc>
        <w:tc>
          <w:tcPr>
            <w:tcW w:w="1559" w:type="dxa"/>
            <w:tcBorders>
              <w:top w:val="nil"/>
              <w:left w:val="nil"/>
              <w:bottom w:val="nil"/>
              <w:right w:val="nil"/>
            </w:tcBorders>
            <w:shd w:val="clear" w:color="auto" w:fill="auto"/>
            <w:noWrap/>
            <w:vAlign w:val="bottom"/>
          </w:tcPr>
          <w:p w14:paraId="4B6F2E15"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6DD113D7" w14:textId="77777777" w:rsidTr="00F4602C">
        <w:trPr>
          <w:trHeight w:val="272"/>
        </w:trPr>
        <w:tc>
          <w:tcPr>
            <w:tcW w:w="1215" w:type="dxa"/>
            <w:tcBorders>
              <w:top w:val="nil"/>
              <w:left w:val="nil"/>
              <w:bottom w:val="nil"/>
              <w:right w:val="nil"/>
            </w:tcBorders>
            <w:shd w:val="clear" w:color="auto" w:fill="auto"/>
            <w:noWrap/>
            <w:vAlign w:val="bottom"/>
            <w:hideMark/>
          </w:tcPr>
          <w:p w14:paraId="731D5656"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478625D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24-29*2004</w:t>
            </w:r>
          </w:p>
        </w:tc>
        <w:tc>
          <w:tcPr>
            <w:tcW w:w="1134" w:type="dxa"/>
            <w:tcBorders>
              <w:top w:val="nil"/>
              <w:left w:val="nil"/>
              <w:bottom w:val="nil"/>
              <w:right w:val="nil"/>
            </w:tcBorders>
            <w:vAlign w:val="bottom"/>
          </w:tcPr>
          <w:p w14:paraId="0067938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0.81*</w:t>
            </w:r>
          </w:p>
        </w:tc>
        <w:tc>
          <w:tcPr>
            <w:tcW w:w="1417" w:type="dxa"/>
            <w:tcBorders>
              <w:top w:val="nil"/>
              <w:left w:val="nil"/>
              <w:bottom w:val="nil"/>
              <w:right w:val="nil"/>
            </w:tcBorders>
            <w:vAlign w:val="bottom"/>
          </w:tcPr>
          <w:p w14:paraId="2093B91A"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5E30D51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0.95</w:t>
            </w:r>
          </w:p>
        </w:tc>
        <w:tc>
          <w:tcPr>
            <w:tcW w:w="1559" w:type="dxa"/>
            <w:tcBorders>
              <w:top w:val="nil"/>
              <w:left w:val="nil"/>
              <w:bottom w:val="nil"/>
              <w:right w:val="nil"/>
            </w:tcBorders>
            <w:shd w:val="clear" w:color="auto" w:fill="auto"/>
            <w:noWrap/>
            <w:vAlign w:val="bottom"/>
          </w:tcPr>
          <w:p w14:paraId="126CAA61"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3B0CA824" w14:textId="77777777" w:rsidTr="00F4602C">
        <w:trPr>
          <w:trHeight w:val="272"/>
        </w:trPr>
        <w:tc>
          <w:tcPr>
            <w:tcW w:w="1215" w:type="dxa"/>
            <w:tcBorders>
              <w:top w:val="nil"/>
              <w:left w:val="nil"/>
              <w:bottom w:val="nil"/>
              <w:right w:val="nil"/>
            </w:tcBorders>
            <w:shd w:val="clear" w:color="auto" w:fill="auto"/>
            <w:noWrap/>
            <w:vAlign w:val="bottom"/>
            <w:hideMark/>
          </w:tcPr>
          <w:p w14:paraId="08F31FB0"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72134AB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24-29*2007</w:t>
            </w:r>
          </w:p>
        </w:tc>
        <w:tc>
          <w:tcPr>
            <w:tcW w:w="1134" w:type="dxa"/>
            <w:tcBorders>
              <w:top w:val="nil"/>
              <w:left w:val="nil"/>
              <w:bottom w:val="nil"/>
              <w:right w:val="nil"/>
            </w:tcBorders>
            <w:vAlign w:val="bottom"/>
          </w:tcPr>
          <w:p w14:paraId="6926865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0.83*</w:t>
            </w:r>
          </w:p>
        </w:tc>
        <w:tc>
          <w:tcPr>
            <w:tcW w:w="1417" w:type="dxa"/>
            <w:tcBorders>
              <w:top w:val="nil"/>
              <w:left w:val="nil"/>
              <w:bottom w:val="nil"/>
              <w:right w:val="nil"/>
            </w:tcBorders>
            <w:vAlign w:val="bottom"/>
          </w:tcPr>
          <w:p w14:paraId="05FD2150"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5AF39BC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1.37</w:t>
            </w:r>
          </w:p>
        </w:tc>
        <w:tc>
          <w:tcPr>
            <w:tcW w:w="1559" w:type="dxa"/>
            <w:tcBorders>
              <w:top w:val="nil"/>
              <w:left w:val="nil"/>
              <w:bottom w:val="nil"/>
              <w:right w:val="nil"/>
            </w:tcBorders>
            <w:shd w:val="clear" w:color="auto" w:fill="auto"/>
            <w:noWrap/>
            <w:vAlign w:val="bottom"/>
          </w:tcPr>
          <w:p w14:paraId="4EAC1774"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53E436E8" w14:textId="77777777" w:rsidTr="00F4602C">
        <w:trPr>
          <w:trHeight w:val="272"/>
        </w:trPr>
        <w:tc>
          <w:tcPr>
            <w:tcW w:w="1215" w:type="dxa"/>
            <w:tcBorders>
              <w:top w:val="nil"/>
              <w:left w:val="nil"/>
              <w:bottom w:val="nil"/>
              <w:right w:val="nil"/>
            </w:tcBorders>
            <w:shd w:val="clear" w:color="auto" w:fill="auto"/>
            <w:noWrap/>
            <w:vAlign w:val="bottom"/>
            <w:hideMark/>
          </w:tcPr>
          <w:p w14:paraId="6F9B2F3D"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2F701FE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24-29*2010</w:t>
            </w:r>
          </w:p>
        </w:tc>
        <w:tc>
          <w:tcPr>
            <w:tcW w:w="1134" w:type="dxa"/>
            <w:tcBorders>
              <w:top w:val="nil"/>
              <w:left w:val="nil"/>
              <w:bottom w:val="nil"/>
              <w:right w:val="nil"/>
            </w:tcBorders>
            <w:vAlign w:val="bottom"/>
          </w:tcPr>
          <w:p w14:paraId="7B85051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0.98</w:t>
            </w:r>
          </w:p>
        </w:tc>
        <w:tc>
          <w:tcPr>
            <w:tcW w:w="1417" w:type="dxa"/>
            <w:tcBorders>
              <w:top w:val="nil"/>
              <w:left w:val="nil"/>
              <w:bottom w:val="nil"/>
              <w:right w:val="nil"/>
            </w:tcBorders>
            <w:vAlign w:val="bottom"/>
          </w:tcPr>
          <w:p w14:paraId="3920F5DC"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4084BCE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1.38*</w:t>
            </w:r>
          </w:p>
        </w:tc>
        <w:tc>
          <w:tcPr>
            <w:tcW w:w="1559" w:type="dxa"/>
            <w:tcBorders>
              <w:top w:val="nil"/>
              <w:left w:val="nil"/>
              <w:bottom w:val="nil"/>
              <w:right w:val="nil"/>
            </w:tcBorders>
            <w:shd w:val="clear" w:color="auto" w:fill="auto"/>
            <w:noWrap/>
            <w:vAlign w:val="bottom"/>
          </w:tcPr>
          <w:p w14:paraId="3F4EFA46"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37A9A271" w14:textId="77777777" w:rsidTr="00F4602C">
        <w:trPr>
          <w:trHeight w:val="272"/>
        </w:trPr>
        <w:tc>
          <w:tcPr>
            <w:tcW w:w="1215" w:type="dxa"/>
            <w:tcBorders>
              <w:top w:val="nil"/>
              <w:left w:val="nil"/>
              <w:bottom w:val="nil"/>
              <w:right w:val="nil"/>
            </w:tcBorders>
            <w:shd w:val="clear" w:color="auto" w:fill="auto"/>
            <w:noWrap/>
            <w:vAlign w:val="bottom"/>
            <w:hideMark/>
          </w:tcPr>
          <w:p w14:paraId="751B3633"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2FFB2D2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24-29*2013</w:t>
            </w:r>
          </w:p>
        </w:tc>
        <w:tc>
          <w:tcPr>
            <w:tcW w:w="1134" w:type="dxa"/>
            <w:tcBorders>
              <w:top w:val="nil"/>
              <w:left w:val="nil"/>
              <w:bottom w:val="nil"/>
              <w:right w:val="nil"/>
            </w:tcBorders>
            <w:vAlign w:val="bottom"/>
          </w:tcPr>
          <w:p w14:paraId="51FFF6E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w:t>
            </w:r>
          </w:p>
        </w:tc>
        <w:tc>
          <w:tcPr>
            <w:tcW w:w="1417" w:type="dxa"/>
            <w:tcBorders>
              <w:top w:val="nil"/>
              <w:left w:val="nil"/>
              <w:bottom w:val="nil"/>
              <w:right w:val="nil"/>
            </w:tcBorders>
            <w:vAlign w:val="bottom"/>
          </w:tcPr>
          <w:p w14:paraId="63B0C00E"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0EC4D0C0"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0.81</w:t>
            </w:r>
          </w:p>
        </w:tc>
        <w:tc>
          <w:tcPr>
            <w:tcW w:w="1559" w:type="dxa"/>
            <w:tcBorders>
              <w:top w:val="nil"/>
              <w:left w:val="nil"/>
              <w:bottom w:val="nil"/>
              <w:right w:val="nil"/>
            </w:tcBorders>
            <w:shd w:val="clear" w:color="auto" w:fill="auto"/>
            <w:noWrap/>
            <w:vAlign w:val="bottom"/>
          </w:tcPr>
          <w:p w14:paraId="2F890C4D"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09917DDD" w14:textId="77777777" w:rsidTr="00F4602C">
        <w:trPr>
          <w:trHeight w:val="272"/>
        </w:trPr>
        <w:tc>
          <w:tcPr>
            <w:tcW w:w="1215" w:type="dxa"/>
            <w:tcBorders>
              <w:top w:val="nil"/>
              <w:left w:val="nil"/>
              <w:bottom w:val="nil"/>
              <w:right w:val="nil"/>
            </w:tcBorders>
            <w:shd w:val="clear" w:color="auto" w:fill="auto"/>
            <w:noWrap/>
            <w:vAlign w:val="bottom"/>
            <w:hideMark/>
          </w:tcPr>
          <w:p w14:paraId="01C992EF"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2D16920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50-64*2004</w:t>
            </w:r>
          </w:p>
        </w:tc>
        <w:tc>
          <w:tcPr>
            <w:tcW w:w="1134" w:type="dxa"/>
            <w:tcBorders>
              <w:top w:val="nil"/>
              <w:left w:val="nil"/>
              <w:bottom w:val="nil"/>
              <w:right w:val="nil"/>
            </w:tcBorders>
            <w:vAlign w:val="bottom"/>
          </w:tcPr>
          <w:p w14:paraId="55EDAB2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0.96</w:t>
            </w:r>
          </w:p>
        </w:tc>
        <w:tc>
          <w:tcPr>
            <w:tcW w:w="1417" w:type="dxa"/>
            <w:tcBorders>
              <w:top w:val="nil"/>
              <w:left w:val="nil"/>
              <w:bottom w:val="nil"/>
              <w:right w:val="nil"/>
            </w:tcBorders>
            <w:vAlign w:val="bottom"/>
          </w:tcPr>
          <w:p w14:paraId="19CCE5DF"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649B4D8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0.95</w:t>
            </w:r>
          </w:p>
        </w:tc>
        <w:tc>
          <w:tcPr>
            <w:tcW w:w="1559" w:type="dxa"/>
            <w:tcBorders>
              <w:top w:val="nil"/>
              <w:left w:val="nil"/>
              <w:bottom w:val="nil"/>
              <w:right w:val="nil"/>
            </w:tcBorders>
            <w:shd w:val="clear" w:color="auto" w:fill="auto"/>
            <w:noWrap/>
            <w:vAlign w:val="bottom"/>
          </w:tcPr>
          <w:p w14:paraId="34FA8372"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2C39023E" w14:textId="77777777" w:rsidTr="00F4602C">
        <w:trPr>
          <w:trHeight w:val="272"/>
        </w:trPr>
        <w:tc>
          <w:tcPr>
            <w:tcW w:w="1215" w:type="dxa"/>
            <w:tcBorders>
              <w:top w:val="nil"/>
              <w:left w:val="nil"/>
              <w:bottom w:val="nil"/>
              <w:right w:val="nil"/>
            </w:tcBorders>
            <w:shd w:val="clear" w:color="auto" w:fill="auto"/>
            <w:noWrap/>
            <w:vAlign w:val="bottom"/>
            <w:hideMark/>
          </w:tcPr>
          <w:p w14:paraId="2D964BC5"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79E59F2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50-64*2007</w:t>
            </w:r>
          </w:p>
        </w:tc>
        <w:tc>
          <w:tcPr>
            <w:tcW w:w="1134" w:type="dxa"/>
            <w:tcBorders>
              <w:top w:val="nil"/>
              <w:left w:val="nil"/>
              <w:bottom w:val="nil"/>
              <w:right w:val="nil"/>
            </w:tcBorders>
            <w:vAlign w:val="bottom"/>
          </w:tcPr>
          <w:p w14:paraId="79178C2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0.99</w:t>
            </w:r>
          </w:p>
        </w:tc>
        <w:tc>
          <w:tcPr>
            <w:tcW w:w="1417" w:type="dxa"/>
            <w:tcBorders>
              <w:top w:val="nil"/>
              <w:left w:val="nil"/>
              <w:bottom w:val="nil"/>
              <w:right w:val="nil"/>
            </w:tcBorders>
            <w:vAlign w:val="bottom"/>
          </w:tcPr>
          <w:p w14:paraId="1768D771"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2C1DB5B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0.99</w:t>
            </w:r>
          </w:p>
        </w:tc>
        <w:tc>
          <w:tcPr>
            <w:tcW w:w="1559" w:type="dxa"/>
            <w:tcBorders>
              <w:top w:val="nil"/>
              <w:left w:val="nil"/>
              <w:bottom w:val="nil"/>
              <w:right w:val="nil"/>
            </w:tcBorders>
            <w:shd w:val="clear" w:color="auto" w:fill="auto"/>
            <w:noWrap/>
            <w:vAlign w:val="bottom"/>
          </w:tcPr>
          <w:p w14:paraId="0AD1C32B"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28EDF627" w14:textId="77777777" w:rsidTr="00F4602C">
        <w:trPr>
          <w:trHeight w:val="272"/>
        </w:trPr>
        <w:tc>
          <w:tcPr>
            <w:tcW w:w="1215" w:type="dxa"/>
            <w:tcBorders>
              <w:top w:val="nil"/>
              <w:left w:val="nil"/>
              <w:bottom w:val="nil"/>
              <w:right w:val="nil"/>
            </w:tcBorders>
            <w:shd w:val="clear" w:color="auto" w:fill="auto"/>
            <w:noWrap/>
            <w:vAlign w:val="bottom"/>
            <w:hideMark/>
          </w:tcPr>
          <w:p w14:paraId="2217D227"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06E5DC8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50-64*2010</w:t>
            </w:r>
          </w:p>
        </w:tc>
        <w:tc>
          <w:tcPr>
            <w:tcW w:w="1134" w:type="dxa"/>
            <w:tcBorders>
              <w:top w:val="nil"/>
              <w:left w:val="nil"/>
              <w:bottom w:val="nil"/>
              <w:right w:val="nil"/>
            </w:tcBorders>
            <w:vAlign w:val="bottom"/>
          </w:tcPr>
          <w:p w14:paraId="3B4A60B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0.98</w:t>
            </w:r>
          </w:p>
        </w:tc>
        <w:tc>
          <w:tcPr>
            <w:tcW w:w="1417" w:type="dxa"/>
            <w:tcBorders>
              <w:top w:val="nil"/>
              <w:left w:val="nil"/>
              <w:bottom w:val="nil"/>
              <w:right w:val="nil"/>
            </w:tcBorders>
            <w:vAlign w:val="bottom"/>
          </w:tcPr>
          <w:p w14:paraId="2F6D2A5E"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09FF227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0.87</w:t>
            </w:r>
          </w:p>
        </w:tc>
        <w:tc>
          <w:tcPr>
            <w:tcW w:w="1559" w:type="dxa"/>
            <w:tcBorders>
              <w:top w:val="nil"/>
              <w:left w:val="nil"/>
              <w:bottom w:val="nil"/>
              <w:right w:val="nil"/>
            </w:tcBorders>
            <w:shd w:val="clear" w:color="auto" w:fill="auto"/>
            <w:noWrap/>
            <w:vAlign w:val="bottom"/>
          </w:tcPr>
          <w:p w14:paraId="1BDA835B"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0F4C9ECE" w14:textId="77777777" w:rsidTr="00F4602C">
        <w:trPr>
          <w:trHeight w:val="272"/>
        </w:trPr>
        <w:tc>
          <w:tcPr>
            <w:tcW w:w="1215" w:type="dxa"/>
            <w:tcBorders>
              <w:top w:val="nil"/>
              <w:left w:val="nil"/>
              <w:bottom w:val="nil"/>
              <w:right w:val="nil"/>
            </w:tcBorders>
            <w:shd w:val="clear" w:color="auto" w:fill="auto"/>
            <w:noWrap/>
            <w:vAlign w:val="bottom"/>
            <w:hideMark/>
          </w:tcPr>
          <w:p w14:paraId="4C090392"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10DAC3D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50-64*2013</w:t>
            </w:r>
          </w:p>
        </w:tc>
        <w:tc>
          <w:tcPr>
            <w:tcW w:w="1134" w:type="dxa"/>
            <w:tcBorders>
              <w:top w:val="nil"/>
              <w:left w:val="nil"/>
              <w:bottom w:val="nil"/>
              <w:right w:val="nil"/>
            </w:tcBorders>
            <w:vAlign w:val="bottom"/>
          </w:tcPr>
          <w:p w14:paraId="3398EE9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1.02</w:t>
            </w:r>
          </w:p>
        </w:tc>
        <w:tc>
          <w:tcPr>
            <w:tcW w:w="1417" w:type="dxa"/>
            <w:tcBorders>
              <w:top w:val="nil"/>
              <w:left w:val="nil"/>
              <w:bottom w:val="nil"/>
              <w:right w:val="nil"/>
            </w:tcBorders>
            <w:vAlign w:val="bottom"/>
          </w:tcPr>
          <w:p w14:paraId="0D0619FC"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3E1F871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0.62**</w:t>
            </w:r>
          </w:p>
        </w:tc>
        <w:tc>
          <w:tcPr>
            <w:tcW w:w="1559" w:type="dxa"/>
            <w:tcBorders>
              <w:top w:val="nil"/>
              <w:left w:val="nil"/>
              <w:bottom w:val="nil"/>
              <w:right w:val="nil"/>
            </w:tcBorders>
            <w:shd w:val="clear" w:color="auto" w:fill="auto"/>
            <w:noWrap/>
            <w:vAlign w:val="bottom"/>
          </w:tcPr>
          <w:p w14:paraId="5A8DDC63"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5EC08C3A" w14:textId="77777777" w:rsidTr="00F4602C">
        <w:trPr>
          <w:trHeight w:val="272"/>
        </w:trPr>
        <w:tc>
          <w:tcPr>
            <w:tcW w:w="1215" w:type="dxa"/>
            <w:tcBorders>
              <w:top w:val="nil"/>
              <w:left w:val="nil"/>
              <w:bottom w:val="nil"/>
              <w:right w:val="nil"/>
            </w:tcBorders>
            <w:shd w:val="clear" w:color="auto" w:fill="auto"/>
            <w:noWrap/>
            <w:vAlign w:val="bottom"/>
            <w:hideMark/>
          </w:tcPr>
          <w:p w14:paraId="0974FA57"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67B4833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65+*2004</w:t>
            </w:r>
          </w:p>
        </w:tc>
        <w:tc>
          <w:tcPr>
            <w:tcW w:w="1134" w:type="dxa"/>
            <w:tcBorders>
              <w:top w:val="nil"/>
              <w:left w:val="nil"/>
              <w:bottom w:val="nil"/>
              <w:right w:val="nil"/>
            </w:tcBorders>
            <w:vAlign w:val="bottom"/>
          </w:tcPr>
          <w:p w14:paraId="131BBEB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1.00</w:t>
            </w:r>
          </w:p>
        </w:tc>
        <w:tc>
          <w:tcPr>
            <w:tcW w:w="1417" w:type="dxa"/>
            <w:tcBorders>
              <w:top w:val="nil"/>
              <w:left w:val="nil"/>
              <w:bottom w:val="nil"/>
              <w:right w:val="nil"/>
            </w:tcBorders>
            <w:vAlign w:val="bottom"/>
          </w:tcPr>
          <w:p w14:paraId="2A710AA4"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4DB1EEF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1.00</w:t>
            </w:r>
          </w:p>
        </w:tc>
        <w:tc>
          <w:tcPr>
            <w:tcW w:w="1559" w:type="dxa"/>
            <w:tcBorders>
              <w:top w:val="nil"/>
              <w:left w:val="nil"/>
              <w:bottom w:val="nil"/>
              <w:right w:val="nil"/>
            </w:tcBorders>
            <w:shd w:val="clear" w:color="auto" w:fill="auto"/>
            <w:noWrap/>
            <w:vAlign w:val="bottom"/>
          </w:tcPr>
          <w:p w14:paraId="3E29A58B"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3D4B8A12" w14:textId="77777777" w:rsidTr="00F4602C">
        <w:trPr>
          <w:trHeight w:val="272"/>
        </w:trPr>
        <w:tc>
          <w:tcPr>
            <w:tcW w:w="1215" w:type="dxa"/>
            <w:tcBorders>
              <w:top w:val="nil"/>
              <w:left w:val="nil"/>
              <w:bottom w:val="nil"/>
              <w:right w:val="nil"/>
            </w:tcBorders>
            <w:shd w:val="clear" w:color="auto" w:fill="auto"/>
            <w:noWrap/>
            <w:vAlign w:val="bottom"/>
            <w:hideMark/>
          </w:tcPr>
          <w:p w14:paraId="1BD078E5"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27BAAB4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65+*2007</w:t>
            </w:r>
          </w:p>
        </w:tc>
        <w:tc>
          <w:tcPr>
            <w:tcW w:w="1134" w:type="dxa"/>
            <w:tcBorders>
              <w:top w:val="nil"/>
              <w:left w:val="nil"/>
              <w:bottom w:val="nil"/>
              <w:right w:val="nil"/>
            </w:tcBorders>
            <w:vAlign w:val="bottom"/>
          </w:tcPr>
          <w:p w14:paraId="3F49A493"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0.99</w:t>
            </w:r>
          </w:p>
        </w:tc>
        <w:tc>
          <w:tcPr>
            <w:tcW w:w="1417" w:type="dxa"/>
            <w:tcBorders>
              <w:top w:val="nil"/>
              <w:left w:val="nil"/>
              <w:bottom w:val="nil"/>
              <w:right w:val="nil"/>
            </w:tcBorders>
            <w:vAlign w:val="bottom"/>
          </w:tcPr>
          <w:p w14:paraId="073B76D2"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0F49FA7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1.06</w:t>
            </w:r>
          </w:p>
        </w:tc>
        <w:tc>
          <w:tcPr>
            <w:tcW w:w="1559" w:type="dxa"/>
            <w:tcBorders>
              <w:top w:val="nil"/>
              <w:left w:val="nil"/>
              <w:bottom w:val="nil"/>
              <w:right w:val="nil"/>
            </w:tcBorders>
            <w:shd w:val="clear" w:color="auto" w:fill="auto"/>
            <w:noWrap/>
            <w:vAlign w:val="bottom"/>
          </w:tcPr>
          <w:p w14:paraId="241B1042"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6A5696C7" w14:textId="77777777" w:rsidTr="00F4602C">
        <w:trPr>
          <w:trHeight w:val="272"/>
        </w:trPr>
        <w:tc>
          <w:tcPr>
            <w:tcW w:w="1215" w:type="dxa"/>
            <w:tcBorders>
              <w:top w:val="nil"/>
              <w:left w:val="nil"/>
              <w:bottom w:val="nil"/>
              <w:right w:val="nil"/>
            </w:tcBorders>
            <w:shd w:val="clear" w:color="auto" w:fill="auto"/>
            <w:noWrap/>
            <w:vAlign w:val="bottom"/>
            <w:hideMark/>
          </w:tcPr>
          <w:p w14:paraId="15FCA311"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18088471"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65+*2010</w:t>
            </w:r>
          </w:p>
        </w:tc>
        <w:tc>
          <w:tcPr>
            <w:tcW w:w="1134" w:type="dxa"/>
            <w:tcBorders>
              <w:top w:val="nil"/>
              <w:left w:val="nil"/>
              <w:bottom w:val="nil"/>
              <w:right w:val="nil"/>
            </w:tcBorders>
            <w:vAlign w:val="bottom"/>
          </w:tcPr>
          <w:p w14:paraId="19CD9E8C"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0.90</w:t>
            </w:r>
          </w:p>
        </w:tc>
        <w:tc>
          <w:tcPr>
            <w:tcW w:w="1417" w:type="dxa"/>
            <w:tcBorders>
              <w:top w:val="nil"/>
              <w:left w:val="nil"/>
              <w:bottom w:val="nil"/>
              <w:right w:val="nil"/>
            </w:tcBorders>
            <w:vAlign w:val="bottom"/>
          </w:tcPr>
          <w:p w14:paraId="00481CE2"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6988AA2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0.80</w:t>
            </w:r>
          </w:p>
        </w:tc>
        <w:tc>
          <w:tcPr>
            <w:tcW w:w="1559" w:type="dxa"/>
            <w:tcBorders>
              <w:top w:val="nil"/>
              <w:left w:val="nil"/>
              <w:bottom w:val="nil"/>
              <w:right w:val="nil"/>
            </w:tcBorders>
            <w:shd w:val="clear" w:color="auto" w:fill="auto"/>
            <w:noWrap/>
            <w:vAlign w:val="bottom"/>
          </w:tcPr>
          <w:p w14:paraId="3AF529EF"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333377EB" w14:textId="77777777" w:rsidTr="00F4602C">
        <w:trPr>
          <w:trHeight w:val="272"/>
        </w:trPr>
        <w:tc>
          <w:tcPr>
            <w:tcW w:w="1215" w:type="dxa"/>
            <w:tcBorders>
              <w:top w:val="nil"/>
              <w:left w:val="nil"/>
              <w:bottom w:val="nil"/>
              <w:right w:val="nil"/>
            </w:tcBorders>
            <w:shd w:val="clear" w:color="auto" w:fill="auto"/>
            <w:noWrap/>
            <w:vAlign w:val="bottom"/>
            <w:hideMark/>
          </w:tcPr>
          <w:p w14:paraId="16E35226" w14:textId="77777777" w:rsidR="00340DD1" w:rsidRPr="005E096B" w:rsidRDefault="00340DD1" w:rsidP="00F4602C">
            <w:pPr>
              <w:spacing w:after="0" w:line="240" w:lineRule="auto"/>
              <w:rPr>
                <w:rFonts w:ascii="Times New Roman" w:eastAsia="Times New Roman" w:hAnsi="Times New Roman" w:cs="Times New Roman"/>
                <w:b/>
                <w:sz w:val="20"/>
                <w:szCs w:val="20"/>
                <w:lang w:eastAsia="en-AU"/>
              </w:rPr>
            </w:pPr>
          </w:p>
        </w:tc>
        <w:tc>
          <w:tcPr>
            <w:tcW w:w="2046" w:type="dxa"/>
            <w:tcBorders>
              <w:top w:val="nil"/>
              <w:left w:val="nil"/>
              <w:bottom w:val="nil"/>
              <w:right w:val="nil"/>
            </w:tcBorders>
            <w:shd w:val="clear" w:color="auto" w:fill="auto"/>
            <w:noWrap/>
            <w:vAlign w:val="bottom"/>
            <w:hideMark/>
          </w:tcPr>
          <w:p w14:paraId="29D326F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65+*2013</w:t>
            </w:r>
          </w:p>
        </w:tc>
        <w:tc>
          <w:tcPr>
            <w:tcW w:w="1134" w:type="dxa"/>
            <w:tcBorders>
              <w:top w:val="nil"/>
              <w:left w:val="nil"/>
              <w:bottom w:val="nil"/>
              <w:right w:val="nil"/>
            </w:tcBorders>
            <w:vAlign w:val="bottom"/>
          </w:tcPr>
          <w:p w14:paraId="248A9D2F"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0.92</w:t>
            </w:r>
          </w:p>
        </w:tc>
        <w:tc>
          <w:tcPr>
            <w:tcW w:w="1417" w:type="dxa"/>
            <w:tcBorders>
              <w:top w:val="nil"/>
              <w:left w:val="nil"/>
              <w:bottom w:val="nil"/>
              <w:right w:val="nil"/>
            </w:tcBorders>
            <w:vAlign w:val="bottom"/>
          </w:tcPr>
          <w:p w14:paraId="74BCEA8A"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134" w:type="dxa"/>
            <w:tcBorders>
              <w:top w:val="nil"/>
              <w:left w:val="nil"/>
              <w:bottom w:val="nil"/>
              <w:right w:val="nil"/>
            </w:tcBorders>
            <w:shd w:val="clear" w:color="auto" w:fill="auto"/>
            <w:noWrap/>
            <w:vAlign w:val="bottom"/>
          </w:tcPr>
          <w:p w14:paraId="0E7EA181"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0.57**</w:t>
            </w:r>
          </w:p>
        </w:tc>
        <w:tc>
          <w:tcPr>
            <w:tcW w:w="1559" w:type="dxa"/>
            <w:tcBorders>
              <w:top w:val="nil"/>
              <w:left w:val="nil"/>
              <w:bottom w:val="nil"/>
              <w:right w:val="nil"/>
            </w:tcBorders>
            <w:shd w:val="clear" w:color="auto" w:fill="auto"/>
            <w:noWrap/>
            <w:vAlign w:val="bottom"/>
          </w:tcPr>
          <w:p w14:paraId="2B067E99"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r>
      <w:tr w:rsidR="00340DD1" w:rsidRPr="00D45A75" w14:paraId="513C3E56" w14:textId="77777777" w:rsidTr="00F4602C">
        <w:trPr>
          <w:trHeight w:val="272"/>
        </w:trPr>
        <w:tc>
          <w:tcPr>
            <w:tcW w:w="1215" w:type="dxa"/>
            <w:tcBorders>
              <w:top w:val="nil"/>
              <w:left w:val="nil"/>
              <w:bottom w:val="nil"/>
              <w:right w:val="nil"/>
            </w:tcBorders>
            <w:shd w:val="clear" w:color="auto" w:fill="auto"/>
            <w:noWrap/>
            <w:vAlign w:val="bottom"/>
            <w:hideMark/>
          </w:tcPr>
          <w:p w14:paraId="588C3F06" w14:textId="77777777" w:rsidR="00340DD1" w:rsidRPr="005E096B" w:rsidRDefault="00340DD1" w:rsidP="00F4602C">
            <w:pPr>
              <w:spacing w:after="0" w:line="240" w:lineRule="auto"/>
              <w:rPr>
                <w:rFonts w:ascii="Calibri" w:eastAsia="Times New Roman" w:hAnsi="Calibri" w:cs="Times New Roman"/>
                <w:b/>
                <w:color w:val="000000"/>
                <w:sz w:val="20"/>
                <w:lang w:eastAsia="en-AU"/>
              </w:rPr>
            </w:pPr>
            <w:r w:rsidRPr="005E096B">
              <w:rPr>
                <w:rFonts w:ascii="Calibri" w:eastAsia="Times New Roman" w:hAnsi="Calibri" w:cs="Times New Roman"/>
                <w:b/>
                <w:color w:val="000000"/>
                <w:sz w:val="20"/>
                <w:lang w:eastAsia="en-AU"/>
              </w:rPr>
              <w:t>Interaction</w:t>
            </w:r>
          </w:p>
        </w:tc>
        <w:tc>
          <w:tcPr>
            <w:tcW w:w="2046" w:type="dxa"/>
            <w:tcBorders>
              <w:top w:val="nil"/>
              <w:left w:val="nil"/>
              <w:bottom w:val="nil"/>
              <w:right w:val="nil"/>
            </w:tcBorders>
            <w:shd w:val="clear" w:color="auto" w:fill="auto"/>
            <w:noWrap/>
            <w:vAlign w:val="bottom"/>
            <w:hideMark/>
          </w:tcPr>
          <w:p w14:paraId="175A9C0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Female*2004</w:t>
            </w:r>
          </w:p>
        </w:tc>
        <w:tc>
          <w:tcPr>
            <w:tcW w:w="1134" w:type="dxa"/>
            <w:tcBorders>
              <w:top w:val="nil"/>
              <w:left w:val="nil"/>
              <w:bottom w:val="nil"/>
              <w:right w:val="nil"/>
            </w:tcBorders>
            <w:vAlign w:val="bottom"/>
          </w:tcPr>
          <w:p w14:paraId="0A217485"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417" w:type="dxa"/>
            <w:tcBorders>
              <w:top w:val="nil"/>
              <w:left w:val="nil"/>
              <w:bottom w:val="nil"/>
              <w:right w:val="nil"/>
            </w:tcBorders>
            <w:vAlign w:val="bottom"/>
          </w:tcPr>
          <w:p w14:paraId="407FC4F8"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1.03</w:t>
            </w:r>
          </w:p>
        </w:tc>
        <w:tc>
          <w:tcPr>
            <w:tcW w:w="1134" w:type="dxa"/>
            <w:tcBorders>
              <w:top w:val="nil"/>
              <w:left w:val="nil"/>
              <w:bottom w:val="nil"/>
              <w:right w:val="nil"/>
            </w:tcBorders>
            <w:shd w:val="clear" w:color="auto" w:fill="auto"/>
            <w:noWrap/>
            <w:vAlign w:val="bottom"/>
          </w:tcPr>
          <w:p w14:paraId="00B42FD8"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559" w:type="dxa"/>
            <w:tcBorders>
              <w:top w:val="nil"/>
              <w:left w:val="nil"/>
              <w:bottom w:val="nil"/>
              <w:right w:val="nil"/>
            </w:tcBorders>
            <w:shd w:val="clear" w:color="auto" w:fill="auto"/>
            <w:noWrap/>
            <w:vAlign w:val="bottom"/>
          </w:tcPr>
          <w:p w14:paraId="1B9C2B77"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1.23</w:t>
            </w:r>
          </w:p>
        </w:tc>
      </w:tr>
      <w:tr w:rsidR="00340DD1" w:rsidRPr="00D45A75" w14:paraId="20DC5F4A" w14:textId="77777777" w:rsidTr="00F4602C">
        <w:trPr>
          <w:trHeight w:val="272"/>
        </w:trPr>
        <w:tc>
          <w:tcPr>
            <w:tcW w:w="1215" w:type="dxa"/>
            <w:tcBorders>
              <w:top w:val="nil"/>
              <w:left w:val="nil"/>
              <w:bottom w:val="nil"/>
              <w:right w:val="nil"/>
            </w:tcBorders>
            <w:shd w:val="clear" w:color="auto" w:fill="auto"/>
            <w:noWrap/>
            <w:vAlign w:val="bottom"/>
            <w:hideMark/>
          </w:tcPr>
          <w:p w14:paraId="0F3040E0"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2046" w:type="dxa"/>
            <w:tcBorders>
              <w:top w:val="nil"/>
              <w:left w:val="nil"/>
              <w:bottom w:val="nil"/>
              <w:right w:val="nil"/>
            </w:tcBorders>
            <w:shd w:val="clear" w:color="auto" w:fill="auto"/>
            <w:noWrap/>
            <w:vAlign w:val="bottom"/>
            <w:hideMark/>
          </w:tcPr>
          <w:p w14:paraId="4935821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Female*2007</w:t>
            </w:r>
          </w:p>
        </w:tc>
        <w:tc>
          <w:tcPr>
            <w:tcW w:w="1134" w:type="dxa"/>
            <w:tcBorders>
              <w:top w:val="nil"/>
              <w:left w:val="nil"/>
              <w:bottom w:val="nil"/>
              <w:right w:val="nil"/>
            </w:tcBorders>
            <w:vAlign w:val="bottom"/>
          </w:tcPr>
          <w:p w14:paraId="24CC15A7"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417" w:type="dxa"/>
            <w:tcBorders>
              <w:top w:val="nil"/>
              <w:left w:val="nil"/>
              <w:bottom w:val="nil"/>
              <w:right w:val="nil"/>
            </w:tcBorders>
            <w:vAlign w:val="bottom"/>
          </w:tcPr>
          <w:p w14:paraId="4467801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1.05</w:t>
            </w:r>
          </w:p>
        </w:tc>
        <w:tc>
          <w:tcPr>
            <w:tcW w:w="1134" w:type="dxa"/>
            <w:tcBorders>
              <w:top w:val="nil"/>
              <w:left w:val="nil"/>
              <w:bottom w:val="nil"/>
              <w:right w:val="nil"/>
            </w:tcBorders>
            <w:shd w:val="clear" w:color="auto" w:fill="auto"/>
            <w:noWrap/>
            <w:vAlign w:val="bottom"/>
          </w:tcPr>
          <w:p w14:paraId="51A98C5B"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559" w:type="dxa"/>
            <w:tcBorders>
              <w:top w:val="nil"/>
              <w:left w:val="nil"/>
              <w:bottom w:val="nil"/>
              <w:right w:val="nil"/>
            </w:tcBorders>
            <w:shd w:val="clear" w:color="auto" w:fill="auto"/>
            <w:noWrap/>
            <w:vAlign w:val="bottom"/>
          </w:tcPr>
          <w:p w14:paraId="707A5A05"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1.05</w:t>
            </w:r>
          </w:p>
        </w:tc>
      </w:tr>
      <w:tr w:rsidR="00340DD1" w:rsidRPr="00D45A75" w14:paraId="107DD412" w14:textId="77777777" w:rsidTr="00F4602C">
        <w:trPr>
          <w:trHeight w:val="272"/>
        </w:trPr>
        <w:tc>
          <w:tcPr>
            <w:tcW w:w="1215" w:type="dxa"/>
            <w:tcBorders>
              <w:top w:val="nil"/>
              <w:left w:val="nil"/>
              <w:bottom w:val="nil"/>
              <w:right w:val="nil"/>
            </w:tcBorders>
            <w:shd w:val="clear" w:color="auto" w:fill="auto"/>
            <w:noWrap/>
            <w:vAlign w:val="bottom"/>
            <w:hideMark/>
          </w:tcPr>
          <w:p w14:paraId="41405BE5"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2046" w:type="dxa"/>
            <w:tcBorders>
              <w:top w:val="nil"/>
              <w:left w:val="nil"/>
              <w:bottom w:val="nil"/>
              <w:right w:val="nil"/>
            </w:tcBorders>
            <w:shd w:val="clear" w:color="auto" w:fill="auto"/>
            <w:noWrap/>
            <w:vAlign w:val="bottom"/>
            <w:hideMark/>
          </w:tcPr>
          <w:p w14:paraId="5D123B01"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Female*2010</w:t>
            </w:r>
          </w:p>
        </w:tc>
        <w:tc>
          <w:tcPr>
            <w:tcW w:w="1134" w:type="dxa"/>
            <w:tcBorders>
              <w:top w:val="nil"/>
              <w:left w:val="nil"/>
              <w:bottom w:val="nil"/>
              <w:right w:val="nil"/>
            </w:tcBorders>
            <w:vAlign w:val="bottom"/>
          </w:tcPr>
          <w:p w14:paraId="1F6E74E6"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417" w:type="dxa"/>
            <w:tcBorders>
              <w:top w:val="nil"/>
              <w:left w:val="nil"/>
              <w:bottom w:val="nil"/>
              <w:right w:val="nil"/>
            </w:tcBorders>
            <w:vAlign w:val="bottom"/>
          </w:tcPr>
          <w:p w14:paraId="6B8765B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1.12*</w:t>
            </w:r>
          </w:p>
        </w:tc>
        <w:tc>
          <w:tcPr>
            <w:tcW w:w="1134" w:type="dxa"/>
            <w:tcBorders>
              <w:top w:val="nil"/>
              <w:left w:val="nil"/>
              <w:bottom w:val="nil"/>
              <w:right w:val="nil"/>
            </w:tcBorders>
            <w:shd w:val="clear" w:color="auto" w:fill="auto"/>
            <w:noWrap/>
            <w:vAlign w:val="bottom"/>
          </w:tcPr>
          <w:p w14:paraId="4456B064" w14:textId="77777777" w:rsidR="00340DD1" w:rsidRPr="00D45A75" w:rsidRDefault="00340DD1" w:rsidP="00F4602C">
            <w:pPr>
              <w:spacing w:after="0" w:line="240" w:lineRule="auto"/>
              <w:rPr>
                <w:rFonts w:ascii="Calibri" w:eastAsia="Times New Roman" w:hAnsi="Calibri" w:cs="Times New Roman"/>
                <w:color w:val="000000"/>
                <w:sz w:val="20"/>
                <w:lang w:eastAsia="en-AU"/>
              </w:rPr>
            </w:pPr>
          </w:p>
        </w:tc>
        <w:tc>
          <w:tcPr>
            <w:tcW w:w="1559" w:type="dxa"/>
            <w:tcBorders>
              <w:top w:val="nil"/>
              <w:left w:val="nil"/>
              <w:bottom w:val="nil"/>
              <w:right w:val="nil"/>
            </w:tcBorders>
            <w:shd w:val="clear" w:color="auto" w:fill="auto"/>
            <w:noWrap/>
            <w:vAlign w:val="bottom"/>
          </w:tcPr>
          <w:p w14:paraId="4CB9D71A"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1.03</w:t>
            </w:r>
          </w:p>
        </w:tc>
      </w:tr>
      <w:tr w:rsidR="00340DD1" w:rsidRPr="00D45A75" w14:paraId="0A0A8BEE" w14:textId="77777777" w:rsidTr="00F4602C">
        <w:trPr>
          <w:trHeight w:val="272"/>
        </w:trPr>
        <w:tc>
          <w:tcPr>
            <w:tcW w:w="1215" w:type="dxa"/>
            <w:tcBorders>
              <w:top w:val="nil"/>
              <w:left w:val="nil"/>
              <w:bottom w:val="single" w:sz="4" w:space="0" w:color="auto"/>
              <w:right w:val="nil"/>
            </w:tcBorders>
            <w:shd w:val="clear" w:color="auto" w:fill="auto"/>
            <w:noWrap/>
            <w:vAlign w:val="bottom"/>
            <w:hideMark/>
          </w:tcPr>
          <w:p w14:paraId="463D5EED"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 </w:t>
            </w:r>
          </w:p>
        </w:tc>
        <w:tc>
          <w:tcPr>
            <w:tcW w:w="2046" w:type="dxa"/>
            <w:tcBorders>
              <w:top w:val="nil"/>
              <w:left w:val="nil"/>
              <w:bottom w:val="single" w:sz="4" w:space="0" w:color="auto"/>
              <w:right w:val="nil"/>
            </w:tcBorders>
            <w:shd w:val="clear" w:color="auto" w:fill="auto"/>
            <w:noWrap/>
            <w:vAlign w:val="bottom"/>
            <w:hideMark/>
          </w:tcPr>
          <w:p w14:paraId="3B6F8044"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Female*2013</w:t>
            </w:r>
          </w:p>
        </w:tc>
        <w:tc>
          <w:tcPr>
            <w:tcW w:w="1134" w:type="dxa"/>
            <w:tcBorders>
              <w:top w:val="nil"/>
              <w:left w:val="nil"/>
              <w:bottom w:val="single" w:sz="4" w:space="0" w:color="auto"/>
              <w:right w:val="nil"/>
            </w:tcBorders>
            <w:vAlign w:val="bottom"/>
          </w:tcPr>
          <w:p w14:paraId="3F988632"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 </w:t>
            </w:r>
          </w:p>
        </w:tc>
        <w:tc>
          <w:tcPr>
            <w:tcW w:w="1417" w:type="dxa"/>
            <w:tcBorders>
              <w:top w:val="nil"/>
              <w:left w:val="nil"/>
              <w:bottom w:val="single" w:sz="4" w:space="0" w:color="auto"/>
              <w:right w:val="nil"/>
            </w:tcBorders>
            <w:vAlign w:val="bottom"/>
          </w:tcPr>
          <w:p w14:paraId="59610FAB"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1.07</w:t>
            </w:r>
          </w:p>
        </w:tc>
        <w:tc>
          <w:tcPr>
            <w:tcW w:w="1134" w:type="dxa"/>
            <w:tcBorders>
              <w:top w:val="nil"/>
              <w:left w:val="nil"/>
              <w:bottom w:val="single" w:sz="4" w:space="0" w:color="auto"/>
              <w:right w:val="nil"/>
            </w:tcBorders>
            <w:shd w:val="clear" w:color="auto" w:fill="auto"/>
            <w:noWrap/>
            <w:vAlign w:val="bottom"/>
          </w:tcPr>
          <w:p w14:paraId="7BA2F559"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 </w:t>
            </w:r>
          </w:p>
        </w:tc>
        <w:tc>
          <w:tcPr>
            <w:tcW w:w="1559" w:type="dxa"/>
            <w:tcBorders>
              <w:top w:val="nil"/>
              <w:left w:val="nil"/>
              <w:bottom w:val="single" w:sz="4" w:space="0" w:color="auto"/>
              <w:right w:val="nil"/>
            </w:tcBorders>
            <w:shd w:val="clear" w:color="auto" w:fill="auto"/>
            <w:noWrap/>
            <w:vAlign w:val="bottom"/>
          </w:tcPr>
          <w:p w14:paraId="35AB5C8E" w14:textId="77777777" w:rsidR="00340DD1" w:rsidRPr="00D45A75" w:rsidRDefault="00340DD1" w:rsidP="00F4602C">
            <w:pPr>
              <w:spacing w:after="0" w:line="240" w:lineRule="auto"/>
              <w:rPr>
                <w:rFonts w:ascii="Calibri" w:eastAsia="Times New Roman" w:hAnsi="Calibri" w:cs="Times New Roman"/>
                <w:color w:val="000000"/>
                <w:sz w:val="20"/>
                <w:lang w:eastAsia="en-AU"/>
              </w:rPr>
            </w:pPr>
            <w:r w:rsidRPr="00D45A75">
              <w:rPr>
                <w:rFonts w:ascii="Calibri" w:eastAsia="Times New Roman" w:hAnsi="Calibri" w:cs="Times New Roman"/>
                <w:color w:val="000000"/>
                <w:sz w:val="20"/>
                <w:lang w:eastAsia="en-AU"/>
              </w:rPr>
              <w:t>1.20</w:t>
            </w:r>
          </w:p>
        </w:tc>
      </w:tr>
    </w:tbl>
    <w:p w14:paraId="51A6E2DB" w14:textId="77777777" w:rsidR="00340DD1" w:rsidRDefault="00340DD1" w:rsidP="00340DD1">
      <w:pPr>
        <w:spacing w:after="0" w:line="240" w:lineRule="auto"/>
      </w:pPr>
      <w:r w:rsidRPr="003279AB">
        <w:rPr>
          <w:rFonts w:ascii="Calibri" w:hAnsi="Calibri" w:cs="Times New Roman"/>
          <w:sz w:val="18"/>
          <w:szCs w:val="18"/>
        </w:rPr>
        <w:t>*p&lt;0.05</w:t>
      </w:r>
      <w:r>
        <w:rPr>
          <w:rFonts w:ascii="Calibri" w:hAnsi="Calibri" w:cs="Times New Roman"/>
          <w:sz w:val="18"/>
          <w:szCs w:val="18"/>
        </w:rPr>
        <w:t xml:space="preserve">; **p&lt;.01, </w:t>
      </w:r>
      <w:r w:rsidRPr="003279AB">
        <w:rPr>
          <w:rFonts w:ascii="Calibri" w:hAnsi="Calibri" w:cs="Times New Roman"/>
          <w:sz w:val="18"/>
          <w:szCs w:val="18"/>
        </w:rPr>
        <w:t>***p&lt;0.01</w:t>
      </w:r>
    </w:p>
    <w:p w14:paraId="6ADED380" w14:textId="0A59CAA5" w:rsidR="00340DD1" w:rsidRDefault="00340DD1">
      <w:pPr>
        <w:rPr>
          <w:rFonts w:ascii="Calibri" w:hAnsi="Calibri" w:cs="Calibri"/>
          <w:noProof/>
          <w:lang w:val="en-US"/>
        </w:rPr>
      </w:pPr>
      <w:r>
        <w:br w:type="page"/>
      </w:r>
    </w:p>
    <w:p w14:paraId="4586C0CC" w14:textId="77777777" w:rsidR="00340DD1" w:rsidRDefault="00340DD1">
      <w:pPr>
        <w:sectPr w:rsidR="00340DD1" w:rsidSect="00D45A75">
          <w:footerReference w:type="default" r:id="rId11"/>
          <w:pgSz w:w="11906" w:h="16838"/>
          <w:pgMar w:top="1021" w:right="1440" w:bottom="1021" w:left="1418" w:header="709" w:footer="709" w:gutter="0"/>
          <w:cols w:space="708"/>
          <w:docGrid w:linePitch="360"/>
        </w:sectPr>
      </w:pPr>
    </w:p>
    <w:p w14:paraId="5E3C7FE2" w14:textId="77777777" w:rsidR="00340DD1" w:rsidRPr="001303B1" w:rsidRDefault="00340DD1" w:rsidP="00340DD1">
      <w:pPr>
        <w:rPr>
          <w:rFonts w:ascii="Calibri" w:hAnsi="Calibri" w:cs="Times New Roman"/>
          <w:b/>
        </w:rPr>
      </w:pPr>
      <w:r w:rsidRPr="001303B1">
        <w:rPr>
          <w:rFonts w:ascii="Calibri" w:hAnsi="Calibri" w:cs="Times New Roman"/>
          <w:b/>
        </w:rPr>
        <w:lastRenderedPageBreak/>
        <w:t xml:space="preserve">Table </w:t>
      </w:r>
      <w:r>
        <w:rPr>
          <w:rFonts w:ascii="Calibri" w:hAnsi="Calibri" w:cs="Times New Roman"/>
          <w:b/>
        </w:rPr>
        <w:t>4</w:t>
      </w:r>
      <w:r w:rsidRPr="001303B1">
        <w:rPr>
          <w:rFonts w:ascii="Calibri" w:hAnsi="Calibri" w:cs="Times New Roman"/>
          <w:b/>
        </w:rPr>
        <w:t>: Reasons for reducing</w:t>
      </w:r>
      <w:r>
        <w:rPr>
          <w:rFonts w:ascii="Calibri" w:hAnsi="Calibri" w:cs="Times New Roman"/>
          <w:b/>
        </w:rPr>
        <w:t xml:space="preserve"> and ceasing</w:t>
      </w:r>
      <w:r w:rsidRPr="001303B1">
        <w:rPr>
          <w:rFonts w:ascii="Calibri" w:hAnsi="Calibri" w:cs="Times New Roman"/>
          <w:b/>
        </w:rPr>
        <w:t xml:space="preserve"> alcohol consumption by age </w:t>
      </w:r>
      <w:r>
        <w:rPr>
          <w:rFonts w:ascii="Calibri" w:hAnsi="Calibri" w:cs="Times New Roman"/>
          <w:b/>
        </w:rPr>
        <w:t>and sex (2013)</w:t>
      </w:r>
    </w:p>
    <w:tbl>
      <w:tblPr>
        <w:tblW w:w="15168" w:type="dxa"/>
        <w:tblInd w:w="-598" w:type="dxa"/>
        <w:tblLayout w:type="fixed"/>
        <w:tblLook w:val="04A0" w:firstRow="1" w:lastRow="0" w:firstColumn="1" w:lastColumn="0" w:noHBand="0" w:noVBand="1"/>
      </w:tblPr>
      <w:tblGrid>
        <w:gridCol w:w="851"/>
        <w:gridCol w:w="567"/>
        <w:gridCol w:w="850"/>
        <w:gridCol w:w="567"/>
        <w:gridCol w:w="851"/>
        <w:gridCol w:w="567"/>
        <w:gridCol w:w="709"/>
        <w:gridCol w:w="141"/>
        <w:gridCol w:w="567"/>
        <w:gridCol w:w="851"/>
        <w:gridCol w:w="567"/>
        <w:gridCol w:w="850"/>
        <w:gridCol w:w="567"/>
        <w:gridCol w:w="851"/>
        <w:gridCol w:w="567"/>
        <w:gridCol w:w="850"/>
        <w:gridCol w:w="567"/>
        <w:gridCol w:w="851"/>
        <w:gridCol w:w="567"/>
        <w:gridCol w:w="850"/>
        <w:gridCol w:w="709"/>
        <w:gridCol w:w="851"/>
      </w:tblGrid>
      <w:tr w:rsidR="00340DD1" w:rsidRPr="008C5D4B" w14:paraId="577888F7" w14:textId="77777777" w:rsidTr="00F4602C">
        <w:trPr>
          <w:trHeight w:val="300"/>
        </w:trPr>
        <w:tc>
          <w:tcPr>
            <w:tcW w:w="15168" w:type="dxa"/>
            <w:gridSpan w:val="22"/>
            <w:tcBorders>
              <w:top w:val="single" w:sz="4" w:space="0" w:color="auto"/>
              <w:left w:val="nil"/>
              <w:bottom w:val="single" w:sz="4" w:space="0" w:color="auto"/>
              <w:right w:val="nil"/>
            </w:tcBorders>
            <w:shd w:val="clear" w:color="auto" w:fill="auto"/>
            <w:noWrap/>
            <w:vAlign w:val="center"/>
            <w:hideMark/>
          </w:tcPr>
          <w:p w14:paraId="5202FB89" w14:textId="77777777" w:rsidR="00340DD1" w:rsidRPr="008C5D4B" w:rsidRDefault="00340DD1" w:rsidP="00F4602C">
            <w:pPr>
              <w:spacing w:after="0" w:line="240" w:lineRule="auto"/>
              <w:jc w:val="center"/>
              <w:rPr>
                <w:rFonts w:ascii="Calibri" w:eastAsia="Times New Roman" w:hAnsi="Calibri" w:cs="Times New Roman"/>
                <w:b/>
                <w:bCs/>
                <w:color w:val="000000"/>
                <w:sz w:val="18"/>
                <w:szCs w:val="20"/>
                <w:lang w:eastAsia="en-AU"/>
              </w:rPr>
            </w:pPr>
            <w:r>
              <w:rPr>
                <w:rFonts w:ascii="Calibri" w:eastAsia="Times New Roman" w:hAnsi="Calibri" w:cs="Times New Roman"/>
                <w:b/>
                <w:bCs/>
                <w:color w:val="000000"/>
                <w:sz w:val="18"/>
                <w:szCs w:val="20"/>
                <w:lang w:eastAsia="en-AU"/>
              </w:rPr>
              <w:t>Reasons for reducing d</w:t>
            </w:r>
            <w:r w:rsidRPr="008C5D4B">
              <w:rPr>
                <w:rFonts w:ascii="Calibri" w:eastAsia="Times New Roman" w:hAnsi="Calibri" w:cs="Times New Roman"/>
                <w:b/>
                <w:bCs/>
                <w:color w:val="000000"/>
                <w:sz w:val="18"/>
                <w:szCs w:val="20"/>
                <w:lang w:eastAsia="en-AU"/>
              </w:rPr>
              <w:t>rinking</w:t>
            </w:r>
          </w:p>
        </w:tc>
      </w:tr>
      <w:tr w:rsidR="00340DD1" w:rsidRPr="008C5D4B" w14:paraId="3B3CC393" w14:textId="77777777" w:rsidTr="00F4602C">
        <w:trPr>
          <w:trHeight w:val="525"/>
        </w:trPr>
        <w:tc>
          <w:tcPr>
            <w:tcW w:w="851" w:type="dxa"/>
            <w:tcBorders>
              <w:top w:val="nil"/>
              <w:left w:val="nil"/>
              <w:bottom w:val="single" w:sz="4" w:space="0" w:color="auto"/>
              <w:right w:val="nil"/>
            </w:tcBorders>
            <w:shd w:val="clear" w:color="auto" w:fill="auto"/>
            <w:vAlign w:val="bottom"/>
            <w:hideMark/>
          </w:tcPr>
          <w:p w14:paraId="462B4F8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1417" w:type="dxa"/>
            <w:gridSpan w:val="2"/>
            <w:tcBorders>
              <w:top w:val="single" w:sz="4" w:space="0" w:color="auto"/>
              <w:left w:val="nil"/>
              <w:bottom w:val="single" w:sz="4" w:space="0" w:color="auto"/>
              <w:right w:val="nil"/>
            </w:tcBorders>
            <w:shd w:val="clear" w:color="auto" w:fill="auto"/>
            <w:vAlign w:val="center"/>
            <w:hideMark/>
          </w:tcPr>
          <w:p w14:paraId="06971284"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Health</w:t>
            </w:r>
          </w:p>
        </w:tc>
        <w:tc>
          <w:tcPr>
            <w:tcW w:w="1418" w:type="dxa"/>
            <w:gridSpan w:val="2"/>
            <w:tcBorders>
              <w:top w:val="single" w:sz="4" w:space="0" w:color="auto"/>
              <w:left w:val="nil"/>
              <w:bottom w:val="single" w:sz="4" w:space="0" w:color="auto"/>
              <w:right w:val="nil"/>
            </w:tcBorders>
            <w:shd w:val="clear" w:color="auto" w:fill="auto"/>
            <w:vAlign w:val="center"/>
            <w:hideMark/>
          </w:tcPr>
          <w:p w14:paraId="6CADF9F6"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xml:space="preserve">Lifestyle </w:t>
            </w:r>
          </w:p>
        </w:tc>
        <w:tc>
          <w:tcPr>
            <w:tcW w:w="1417" w:type="dxa"/>
            <w:gridSpan w:val="3"/>
            <w:tcBorders>
              <w:top w:val="single" w:sz="4" w:space="0" w:color="auto"/>
              <w:left w:val="nil"/>
              <w:bottom w:val="single" w:sz="4" w:space="0" w:color="auto"/>
              <w:right w:val="nil"/>
            </w:tcBorders>
            <w:shd w:val="clear" w:color="auto" w:fill="auto"/>
            <w:vAlign w:val="center"/>
            <w:hideMark/>
          </w:tcPr>
          <w:p w14:paraId="695B526B"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Social</w:t>
            </w:r>
          </w:p>
        </w:tc>
        <w:tc>
          <w:tcPr>
            <w:tcW w:w="1418" w:type="dxa"/>
            <w:gridSpan w:val="2"/>
            <w:tcBorders>
              <w:top w:val="single" w:sz="4" w:space="0" w:color="auto"/>
              <w:left w:val="nil"/>
              <w:bottom w:val="single" w:sz="4" w:space="0" w:color="auto"/>
              <w:right w:val="nil"/>
            </w:tcBorders>
            <w:shd w:val="clear" w:color="auto" w:fill="auto"/>
            <w:vAlign w:val="center"/>
            <w:hideMark/>
          </w:tcPr>
          <w:p w14:paraId="6F75BD0B"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Taste/ enjoy</w:t>
            </w:r>
          </w:p>
        </w:tc>
        <w:tc>
          <w:tcPr>
            <w:tcW w:w="1417" w:type="dxa"/>
            <w:gridSpan w:val="2"/>
            <w:tcBorders>
              <w:top w:val="single" w:sz="4" w:space="0" w:color="auto"/>
              <w:left w:val="nil"/>
              <w:bottom w:val="single" w:sz="4" w:space="0" w:color="auto"/>
              <w:right w:val="nil"/>
            </w:tcBorders>
            <w:shd w:val="clear" w:color="auto" w:fill="auto"/>
            <w:vAlign w:val="center"/>
            <w:hideMark/>
          </w:tcPr>
          <w:p w14:paraId="12E23799"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Drink Driving</w:t>
            </w:r>
          </w:p>
        </w:tc>
        <w:tc>
          <w:tcPr>
            <w:tcW w:w="1418" w:type="dxa"/>
            <w:gridSpan w:val="2"/>
            <w:tcBorders>
              <w:top w:val="single" w:sz="4" w:space="0" w:color="auto"/>
              <w:left w:val="nil"/>
              <w:bottom w:val="single" w:sz="4" w:space="0" w:color="auto"/>
              <w:right w:val="nil"/>
            </w:tcBorders>
            <w:shd w:val="clear" w:color="auto" w:fill="auto"/>
            <w:vAlign w:val="center"/>
            <w:hideMark/>
          </w:tcPr>
          <w:p w14:paraId="0B7BB1F1"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xml:space="preserve">Financial </w:t>
            </w:r>
          </w:p>
        </w:tc>
        <w:tc>
          <w:tcPr>
            <w:tcW w:w="1417" w:type="dxa"/>
            <w:gridSpan w:val="2"/>
            <w:tcBorders>
              <w:top w:val="single" w:sz="4" w:space="0" w:color="auto"/>
              <w:left w:val="nil"/>
              <w:bottom w:val="single" w:sz="4" w:space="0" w:color="auto"/>
              <w:right w:val="nil"/>
            </w:tcBorders>
            <w:shd w:val="clear" w:color="auto" w:fill="auto"/>
            <w:vAlign w:val="center"/>
            <w:hideMark/>
          </w:tcPr>
          <w:p w14:paraId="2366175C"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Parent Pressure</w:t>
            </w:r>
          </w:p>
        </w:tc>
        <w:tc>
          <w:tcPr>
            <w:tcW w:w="1418" w:type="dxa"/>
            <w:gridSpan w:val="2"/>
            <w:tcBorders>
              <w:top w:val="single" w:sz="4" w:space="0" w:color="auto"/>
              <w:left w:val="nil"/>
              <w:bottom w:val="single" w:sz="4" w:space="0" w:color="auto"/>
              <w:right w:val="nil"/>
            </w:tcBorders>
            <w:shd w:val="clear" w:color="auto" w:fill="auto"/>
            <w:vAlign w:val="center"/>
            <w:hideMark/>
          </w:tcPr>
          <w:p w14:paraId="1E9AEFBA"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Peer Pressure</w:t>
            </w:r>
          </w:p>
        </w:tc>
        <w:tc>
          <w:tcPr>
            <w:tcW w:w="1417" w:type="dxa"/>
            <w:gridSpan w:val="2"/>
            <w:tcBorders>
              <w:top w:val="single" w:sz="4" w:space="0" w:color="auto"/>
              <w:left w:val="nil"/>
              <w:bottom w:val="single" w:sz="4" w:space="0" w:color="auto"/>
              <w:right w:val="nil"/>
            </w:tcBorders>
            <w:shd w:val="clear" w:color="auto" w:fill="auto"/>
            <w:vAlign w:val="center"/>
            <w:hideMark/>
          </w:tcPr>
          <w:p w14:paraId="38EB7B1A"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Price</w:t>
            </w:r>
          </w:p>
        </w:tc>
        <w:tc>
          <w:tcPr>
            <w:tcW w:w="1560" w:type="dxa"/>
            <w:gridSpan w:val="2"/>
            <w:tcBorders>
              <w:top w:val="single" w:sz="4" w:space="0" w:color="auto"/>
              <w:left w:val="nil"/>
              <w:bottom w:val="single" w:sz="4" w:space="0" w:color="auto"/>
              <w:right w:val="nil"/>
            </w:tcBorders>
            <w:shd w:val="clear" w:color="auto" w:fill="auto"/>
            <w:vAlign w:val="center"/>
            <w:hideMark/>
          </w:tcPr>
          <w:p w14:paraId="3CDE67B1"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Other</w:t>
            </w:r>
          </w:p>
        </w:tc>
      </w:tr>
      <w:tr w:rsidR="00340DD1" w:rsidRPr="008C5D4B" w14:paraId="4E080A27" w14:textId="77777777" w:rsidTr="00F4602C">
        <w:trPr>
          <w:trHeight w:val="300"/>
        </w:trPr>
        <w:tc>
          <w:tcPr>
            <w:tcW w:w="851" w:type="dxa"/>
            <w:tcBorders>
              <w:top w:val="nil"/>
              <w:left w:val="nil"/>
              <w:bottom w:val="nil"/>
              <w:right w:val="nil"/>
            </w:tcBorders>
            <w:shd w:val="clear" w:color="auto" w:fill="auto"/>
            <w:vAlign w:val="bottom"/>
            <w:hideMark/>
          </w:tcPr>
          <w:p w14:paraId="2527A2D0"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p>
        </w:tc>
        <w:tc>
          <w:tcPr>
            <w:tcW w:w="567" w:type="dxa"/>
            <w:tcBorders>
              <w:top w:val="nil"/>
              <w:left w:val="nil"/>
              <w:bottom w:val="nil"/>
              <w:right w:val="nil"/>
            </w:tcBorders>
            <w:shd w:val="clear" w:color="auto" w:fill="auto"/>
            <w:vAlign w:val="center"/>
            <w:hideMark/>
          </w:tcPr>
          <w:p w14:paraId="7C9DD92E"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0" w:type="dxa"/>
            <w:tcBorders>
              <w:top w:val="nil"/>
              <w:left w:val="nil"/>
              <w:bottom w:val="nil"/>
              <w:right w:val="nil"/>
            </w:tcBorders>
            <w:shd w:val="clear" w:color="auto" w:fill="auto"/>
            <w:vAlign w:val="center"/>
            <w:hideMark/>
          </w:tcPr>
          <w:p w14:paraId="4EA1AED3"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2BBCAAE5"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1" w:type="dxa"/>
            <w:tcBorders>
              <w:top w:val="nil"/>
              <w:left w:val="nil"/>
              <w:bottom w:val="nil"/>
              <w:right w:val="nil"/>
            </w:tcBorders>
            <w:shd w:val="clear" w:color="auto" w:fill="auto"/>
            <w:vAlign w:val="center"/>
            <w:hideMark/>
          </w:tcPr>
          <w:p w14:paraId="7FF4EFA6"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729AB90D"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0" w:type="dxa"/>
            <w:gridSpan w:val="2"/>
            <w:tcBorders>
              <w:top w:val="nil"/>
              <w:left w:val="nil"/>
              <w:bottom w:val="nil"/>
              <w:right w:val="nil"/>
            </w:tcBorders>
            <w:shd w:val="clear" w:color="auto" w:fill="auto"/>
            <w:vAlign w:val="center"/>
            <w:hideMark/>
          </w:tcPr>
          <w:p w14:paraId="34BA0A67"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602DF3CC"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1" w:type="dxa"/>
            <w:tcBorders>
              <w:top w:val="nil"/>
              <w:left w:val="nil"/>
              <w:bottom w:val="nil"/>
              <w:right w:val="nil"/>
            </w:tcBorders>
            <w:shd w:val="clear" w:color="auto" w:fill="auto"/>
            <w:vAlign w:val="center"/>
            <w:hideMark/>
          </w:tcPr>
          <w:p w14:paraId="5DEEC5E7"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2C2B253B"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0" w:type="dxa"/>
            <w:tcBorders>
              <w:top w:val="nil"/>
              <w:left w:val="nil"/>
              <w:bottom w:val="nil"/>
              <w:right w:val="nil"/>
            </w:tcBorders>
            <w:shd w:val="clear" w:color="auto" w:fill="auto"/>
            <w:vAlign w:val="center"/>
            <w:hideMark/>
          </w:tcPr>
          <w:p w14:paraId="0E401B02"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4C58D5A5"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1" w:type="dxa"/>
            <w:tcBorders>
              <w:top w:val="nil"/>
              <w:left w:val="nil"/>
              <w:bottom w:val="nil"/>
              <w:right w:val="nil"/>
            </w:tcBorders>
            <w:shd w:val="clear" w:color="auto" w:fill="auto"/>
            <w:vAlign w:val="center"/>
            <w:hideMark/>
          </w:tcPr>
          <w:p w14:paraId="07090472"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7FFC334C"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0" w:type="dxa"/>
            <w:tcBorders>
              <w:top w:val="nil"/>
              <w:left w:val="nil"/>
              <w:bottom w:val="nil"/>
              <w:right w:val="nil"/>
            </w:tcBorders>
            <w:shd w:val="clear" w:color="auto" w:fill="auto"/>
            <w:vAlign w:val="center"/>
            <w:hideMark/>
          </w:tcPr>
          <w:p w14:paraId="0948D90F"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4ABBBE09"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1" w:type="dxa"/>
            <w:tcBorders>
              <w:top w:val="nil"/>
              <w:left w:val="nil"/>
              <w:bottom w:val="nil"/>
              <w:right w:val="nil"/>
            </w:tcBorders>
            <w:shd w:val="clear" w:color="auto" w:fill="auto"/>
            <w:vAlign w:val="center"/>
            <w:hideMark/>
          </w:tcPr>
          <w:p w14:paraId="1F7631D8"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567" w:type="dxa"/>
            <w:tcBorders>
              <w:top w:val="nil"/>
              <w:left w:val="nil"/>
              <w:bottom w:val="nil"/>
              <w:right w:val="nil"/>
            </w:tcBorders>
            <w:shd w:val="clear" w:color="auto" w:fill="auto"/>
            <w:vAlign w:val="center"/>
            <w:hideMark/>
          </w:tcPr>
          <w:p w14:paraId="1462E564"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0" w:type="dxa"/>
            <w:tcBorders>
              <w:top w:val="nil"/>
              <w:left w:val="nil"/>
              <w:bottom w:val="nil"/>
              <w:right w:val="nil"/>
            </w:tcBorders>
            <w:shd w:val="clear" w:color="auto" w:fill="auto"/>
            <w:vAlign w:val="center"/>
            <w:hideMark/>
          </w:tcPr>
          <w:p w14:paraId="3106F077"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c>
          <w:tcPr>
            <w:tcW w:w="709" w:type="dxa"/>
            <w:tcBorders>
              <w:top w:val="nil"/>
              <w:left w:val="nil"/>
              <w:bottom w:val="nil"/>
              <w:right w:val="nil"/>
            </w:tcBorders>
            <w:shd w:val="clear" w:color="auto" w:fill="auto"/>
            <w:vAlign w:val="center"/>
            <w:hideMark/>
          </w:tcPr>
          <w:p w14:paraId="7243D57A"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851" w:type="dxa"/>
            <w:tcBorders>
              <w:top w:val="nil"/>
              <w:left w:val="nil"/>
              <w:bottom w:val="nil"/>
              <w:right w:val="nil"/>
            </w:tcBorders>
            <w:shd w:val="clear" w:color="auto" w:fill="auto"/>
            <w:vAlign w:val="center"/>
            <w:hideMark/>
          </w:tcPr>
          <w:p w14:paraId="2F6197C4" w14:textId="77777777" w:rsidR="00340DD1" w:rsidRPr="008C5D4B" w:rsidRDefault="00340DD1" w:rsidP="00F4602C">
            <w:pPr>
              <w:spacing w:after="0" w:line="240" w:lineRule="auto"/>
              <w:jc w:val="center"/>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OR</w:t>
            </w:r>
          </w:p>
        </w:tc>
      </w:tr>
      <w:tr w:rsidR="00340DD1" w:rsidRPr="008C5D4B" w14:paraId="5A260523" w14:textId="77777777" w:rsidTr="00F4602C">
        <w:trPr>
          <w:trHeight w:val="300"/>
        </w:trPr>
        <w:tc>
          <w:tcPr>
            <w:tcW w:w="851" w:type="dxa"/>
            <w:tcBorders>
              <w:top w:val="nil"/>
              <w:left w:val="nil"/>
              <w:bottom w:val="nil"/>
              <w:right w:val="nil"/>
            </w:tcBorders>
            <w:shd w:val="clear" w:color="auto" w:fill="auto"/>
            <w:noWrap/>
            <w:vAlign w:val="center"/>
            <w:hideMark/>
          </w:tcPr>
          <w:p w14:paraId="257A4CBE"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Age</w:t>
            </w:r>
          </w:p>
        </w:tc>
        <w:tc>
          <w:tcPr>
            <w:tcW w:w="567" w:type="dxa"/>
            <w:tcBorders>
              <w:top w:val="nil"/>
              <w:left w:val="nil"/>
              <w:bottom w:val="nil"/>
              <w:right w:val="nil"/>
            </w:tcBorders>
            <w:shd w:val="clear" w:color="auto" w:fill="auto"/>
            <w:noWrap/>
            <w:vAlign w:val="bottom"/>
            <w:hideMark/>
          </w:tcPr>
          <w:p w14:paraId="5FDECEF1"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p>
        </w:tc>
        <w:tc>
          <w:tcPr>
            <w:tcW w:w="850" w:type="dxa"/>
            <w:tcBorders>
              <w:top w:val="nil"/>
              <w:left w:val="nil"/>
              <w:bottom w:val="nil"/>
              <w:right w:val="nil"/>
            </w:tcBorders>
            <w:shd w:val="clear" w:color="auto" w:fill="auto"/>
            <w:noWrap/>
            <w:vAlign w:val="bottom"/>
            <w:hideMark/>
          </w:tcPr>
          <w:p w14:paraId="01B5DD0E"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38EE0BF9"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1F4E178B"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11E9EFF0"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gridSpan w:val="2"/>
            <w:tcBorders>
              <w:top w:val="nil"/>
              <w:left w:val="nil"/>
              <w:bottom w:val="nil"/>
              <w:right w:val="nil"/>
            </w:tcBorders>
            <w:shd w:val="clear" w:color="auto" w:fill="auto"/>
            <w:noWrap/>
            <w:vAlign w:val="bottom"/>
            <w:hideMark/>
          </w:tcPr>
          <w:p w14:paraId="56A685C1"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4D662676"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62DE658A"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08EA55D3"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20EB285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78775D4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16427E8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0FFCE620"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74150E5F"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66D54DEB"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201B1082"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4955006D"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5CFE2E16"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9" w:type="dxa"/>
            <w:tcBorders>
              <w:top w:val="nil"/>
              <w:left w:val="nil"/>
              <w:bottom w:val="nil"/>
              <w:right w:val="nil"/>
            </w:tcBorders>
            <w:shd w:val="clear" w:color="auto" w:fill="auto"/>
            <w:noWrap/>
            <w:vAlign w:val="bottom"/>
            <w:hideMark/>
          </w:tcPr>
          <w:p w14:paraId="1E3AEFB1"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560A09C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r>
      <w:tr w:rsidR="00340DD1" w:rsidRPr="008C5D4B" w14:paraId="3E9FE9E5" w14:textId="77777777" w:rsidTr="00F4602C">
        <w:trPr>
          <w:trHeight w:val="300"/>
        </w:trPr>
        <w:tc>
          <w:tcPr>
            <w:tcW w:w="851" w:type="dxa"/>
            <w:tcBorders>
              <w:top w:val="nil"/>
              <w:left w:val="nil"/>
              <w:bottom w:val="nil"/>
              <w:right w:val="nil"/>
            </w:tcBorders>
            <w:shd w:val="clear" w:color="auto" w:fill="auto"/>
            <w:noWrap/>
            <w:vAlign w:val="center"/>
            <w:hideMark/>
          </w:tcPr>
          <w:p w14:paraId="7F9FF47D"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14-17</w:t>
            </w:r>
          </w:p>
        </w:tc>
        <w:tc>
          <w:tcPr>
            <w:tcW w:w="567" w:type="dxa"/>
            <w:tcBorders>
              <w:top w:val="nil"/>
              <w:left w:val="nil"/>
              <w:bottom w:val="nil"/>
              <w:right w:val="nil"/>
            </w:tcBorders>
            <w:shd w:val="clear" w:color="auto" w:fill="auto"/>
            <w:noWrap/>
            <w:vAlign w:val="bottom"/>
            <w:hideMark/>
          </w:tcPr>
          <w:p w14:paraId="36736B6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20.8</w:t>
            </w:r>
          </w:p>
        </w:tc>
        <w:tc>
          <w:tcPr>
            <w:tcW w:w="850" w:type="dxa"/>
            <w:tcBorders>
              <w:top w:val="nil"/>
              <w:left w:val="nil"/>
              <w:bottom w:val="nil"/>
              <w:right w:val="nil"/>
            </w:tcBorders>
            <w:shd w:val="clear" w:color="auto" w:fill="auto"/>
            <w:noWrap/>
            <w:vAlign w:val="bottom"/>
            <w:hideMark/>
          </w:tcPr>
          <w:p w14:paraId="04EB276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0.21***</w:t>
            </w:r>
          </w:p>
        </w:tc>
        <w:tc>
          <w:tcPr>
            <w:tcW w:w="567" w:type="dxa"/>
            <w:tcBorders>
              <w:top w:val="nil"/>
              <w:left w:val="nil"/>
              <w:bottom w:val="nil"/>
              <w:right w:val="nil"/>
            </w:tcBorders>
            <w:shd w:val="clear" w:color="auto" w:fill="auto"/>
            <w:noWrap/>
            <w:vAlign w:val="bottom"/>
            <w:hideMark/>
          </w:tcPr>
          <w:p w14:paraId="4C5378F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44.8</w:t>
            </w:r>
          </w:p>
        </w:tc>
        <w:tc>
          <w:tcPr>
            <w:tcW w:w="851" w:type="dxa"/>
            <w:tcBorders>
              <w:top w:val="nil"/>
              <w:left w:val="nil"/>
              <w:bottom w:val="nil"/>
              <w:right w:val="nil"/>
            </w:tcBorders>
            <w:shd w:val="clear" w:color="auto" w:fill="auto"/>
            <w:noWrap/>
            <w:vAlign w:val="bottom"/>
            <w:hideMark/>
          </w:tcPr>
          <w:p w14:paraId="3954F18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0.83</w:t>
            </w:r>
          </w:p>
        </w:tc>
        <w:tc>
          <w:tcPr>
            <w:tcW w:w="567" w:type="dxa"/>
            <w:tcBorders>
              <w:top w:val="nil"/>
              <w:left w:val="nil"/>
              <w:bottom w:val="nil"/>
              <w:right w:val="nil"/>
            </w:tcBorders>
            <w:shd w:val="clear" w:color="auto" w:fill="auto"/>
            <w:noWrap/>
            <w:vAlign w:val="bottom"/>
            <w:hideMark/>
          </w:tcPr>
          <w:p w14:paraId="0AC19DC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35</w:t>
            </w:r>
            <w:r>
              <w:rPr>
                <w:rFonts w:ascii="Calibri" w:eastAsia="Times New Roman" w:hAnsi="Calibri" w:cs="Times New Roman"/>
                <w:color w:val="000000"/>
                <w:sz w:val="18"/>
                <w:szCs w:val="20"/>
                <w:lang w:eastAsia="en-AU"/>
              </w:rPr>
              <w:t>.0</w:t>
            </w:r>
          </w:p>
        </w:tc>
        <w:tc>
          <w:tcPr>
            <w:tcW w:w="850" w:type="dxa"/>
            <w:gridSpan w:val="2"/>
            <w:tcBorders>
              <w:top w:val="nil"/>
              <w:left w:val="nil"/>
              <w:bottom w:val="nil"/>
              <w:right w:val="nil"/>
            </w:tcBorders>
            <w:shd w:val="clear" w:color="auto" w:fill="auto"/>
            <w:noWrap/>
            <w:vAlign w:val="bottom"/>
            <w:hideMark/>
          </w:tcPr>
          <w:p w14:paraId="40CFCDA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1.44</w:t>
            </w:r>
          </w:p>
        </w:tc>
        <w:tc>
          <w:tcPr>
            <w:tcW w:w="567" w:type="dxa"/>
            <w:tcBorders>
              <w:top w:val="nil"/>
              <w:left w:val="nil"/>
              <w:bottom w:val="nil"/>
              <w:right w:val="nil"/>
            </w:tcBorders>
            <w:shd w:val="clear" w:color="auto" w:fill="auto"/>
            <w:noWrap/>
            <w:vAlign w:val="bottom"/>
            <w:hideMark/>
          </w:tcPr>
          <w:p w14:paraId="7F11C6D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18.3</w:t>
            </w:r>
          </w:p>
        </w:tc>
        <w:tc>
          <w:tcPr>
            <w:tcW w:w="851" w:type="dxa"/>
            <w:tcBorders>
              <w:top w:val="nil"/>
              <w:left w:val="nil"/>
              <w:bottom w:val="nil"/>
              <w:right w:val="nil"/>
            </w:tcBorders>
            <w:shd w:val="clear" w:color="auto" w:fill="auto"/>
            <w:noWrap/>
            <w:vAlign w:val="bottom"/>
            <w:hideMark/>
          </w:tcPr>
          <w:p w14:paraId="6805853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1.96*</w:t>
            </w:r>
          </w:p>
        </w:tc>
        <w:tc>
          <w:tcPr>
            <w:tcW w:w="567" w:type="dxa"/>
            <w:tcBorders>
              <w:top w:val="nil"/>
              <w:left w:val="nil"/>
              <w:bottom w:val="nil"/>
              <w:right w:val="nil"/>
            </w:tcBorders>
            <w:shd w:val="clear" w:color="auto" w:fill="auto"/>
            <w:noWrap/>
            <w:vAlign w:val="bottom"/>
            <w:hideMark/>
          </w:tcPr>
          <w:p w14:paraId="36D44C7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5.7</w:t>
            </w:r>
          </w:p>
        </w:tc>
        <w:tc>
          <w:tcPr>
            <w:tcW w:w="850" w:type="dxa"/>
            <w:tcBorders>
              <w:top w:val="nil"/>
              <w:left w:val="nil"/>
              <w:bottom w:val="nil"/>
              <w:right w:val="nil"/>
            </w:tcBorders>
            <w:shd w:val="clear" w:color="auto" w:fill="auto"/>
            <w:noWrap/>
            <w:vAlign w:val="bottom"/>
            <w:hideMark/>
          </w:tcPr>
          <w:p w14:paraId="098782D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w:t>
            </w:r>
          </w:p>
        </w:tc>
        <w:tc>
          <w:tcPr>
            <w:tcW w:w="567" w:type="dxa"/>
            <w:tcBorders>
              <w:top w:val="nil"/>
              <w:left w:val="nil"/>
              <w:bottom w:val="nil"/>
              <w:right w:val="nil"/>
            </w:tcBorders>
            <w:shd w:val="clear" w:color="auto" w:fill="auto"/>
            <w:noWrap/>
            <w:vAlign w:val="bottom"/>
            <w:hideMark/>
          </w:tcPr>
          <w:p w14:paraId="2EB3891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10.5</w:t>
            </w:r>
          </w:p>
        </w:tc>
        <w:tc>
          <w:tcPr>
            <w:tcW w:w="851" w:type="dxa"/>
            <w:tcBorders>
              <w:top w:val="nil"/>
              <w:left w:val="nil"/>
              <w:bottom w:val="nil"/>
              <w:right w:val="nil"/>
            </w:tcBorders>
            <w:shd w:val="clear" w:color="auto" w:fill="auto"/>
            <w:noWrap/>
            <w:vAlign w:val="bottom"/>
            <w:hideMark/>
          </w:tcPr>
          <w:p w14:paraId="389EEB0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0.81</w:t>
            </w:r>
          </w:p>
        </w:tc>
        <w:tc>
          <w:tcPr>
            <w:tcW w:w="567" w:type="dxa"/>
            <w:tcBorders>
              <w:top w:val="nil"/>
              <w:left w:val="nil"/>
              <w:bottom w:val="nil"/>
              <w:right w:val="nil"/>
            </w:tcBorders>
            <w:shd w:val="clear" w:color="auto" w:fill="auto"/>
            <w:noWrap/>
            <w:vAlign w:val="bottom"/>
            <w:hideMark/>
          </w:tcPr>
          <w:p w14:paraId="43AC5EA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10.1</w:t>
            </w:r>
          </w:p>
        </w:tc>
        <w:tc>
          <w:tcPr>
            <w:tcW w:w="850" w:type="dxa"/>
            <w:tcBorders>
              <w:top w:val="nil"/>
              <w:left w:val="nil"/>
              <w:bottom w:val="nil"/>
              <w:right w:val="nil"/>
            </w:tcBorders>
            <w:shd w:val="clear" w:color="auto" w:fill="auto"/>
            <w:noWrap/>
            <w:vAlign w:val="bottom"/>
            <w:hideMark/>
          </w:tcPr>
          <w:p w14:paraId="46B86CC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6.31***</w:t>
            </w:r>
          </w:p>
        </w:tc>
        <w:tc>
          <w:tcPr>
            <w:tcW w:w="567" w:type="dxa"/>
            <w:tcBorders>
              <w:top w:val="nil"/>
              <w:left w:val="nil"/>
              <w:bottom w:val="nil"/>
              <w:right w:val="nil"/>
            </w:tcBorders>
            <w:shd w:val="clear" w:color="auto" w:fill="auto"/>
            <w:noWrap/>
            <w:vAlign w:val="bottom"/>
            <w:hideMark/>
          </w:tcPr>
          <w:p w14:paraId="2C322A5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w:t>
            </w:r>
          </w:p>
        </w:tc>
        <w:tc>
          <w:tcPr>
            <w:tcW w:w="851" w:type="dxa"/>
            <w:tcBorders>
              <w:top w:val="nil"/>
              <w:left w:val="nil"/>
              <w:bottom w:val="nil"/>
              <w:right w:val="nil"/>
            </w:tcBorders>
            <w:shd w:val="clear" w:color="auto" w:fill="auto"/>
            <w:noWrap/>
            <w:vAlign w:val="bottom"/>
            <w:hideMark/>
          </w:tcPr>
          <w:p w14:paraId="1B903FB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9.87**</w:t>
            </w:r>
          </w:p>
        </w:tc>
        <w:tc>
          <w:tcPr>
            <w:tcW w:w="567" w:type="dxa"/>
            <w:tcBorders>
              <w:top w:val="nil"/>
              <w:left w:val="nil"/>
              <w:bottom w:val="nil"/>
              <w:right w:val="nil"/>
            </w:tcBorders>
            <w:shd w:val="clear" w:color="auto" w:fill="auto"/>
            <w:noWrap/>
            <w:vAlign w:val="bottom"/>
            <w:hideMark/>
          </w:tcPr>
          <w:p w14:paraId="07E890E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5.6</w:t>
            </w:r>
          </w:p>
        </w:tc>
        <w:tc>
          <w:tcPr>
            <w:tcW w:w="850" w:type="dxa"/>
            <w:tcBorders>
              <w:top w:val="nil"/>
              <w:left w:val="nil"/>
              <w:bottom w:val="nil"/>
              <w:right w:val="nil"/>
            </w:tcBorders>
            <w:shd w:val="clear" w:color="auto" w:fill="auto"/>
            <w:noWrap/>
            <w:vAlign w:val="bottom"/>
            <w:hideMark/>
          </w:tcPr>
          <w:p w14:paraId="000C478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1.57</w:t>
            </w:r>
          </w:p>
        </w:tc>
        <w:tc>
          <w:tcPr>
            <w:tcW w:w="709" w:type="dxa"/>
            <w:tcBorders>
              <w:top w:val="nil"/>
              <w:left w:val="nil"/>
              <w:bottom w:val="nil"/>
              <w:right w:val="nil"/>
            </w:tcBorders>
            <w:shd w:val="clear" w:color="auto" w:fill="auto"/>
            <w:noWrap/>
            <w:vAlign w:val="bottom"/>
            <w:hideMark/>
          </w:tcPr>
          <w:p w14:paraId="722032A5"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16.8</w:t>
            </w:r>
          </w:p>
        </w:tc>
        <w:tc>
          <w:tcPr>
            <w:tcW w:w="851" w:type="dxa"/>
            <w:tcBorders>
              <w:top w:val="nil"/>
              <w:left w:val="nil"/>
              <w:bottom w:val="nil"/>
              <w:right w:val="nil"/>
            </w:tcBorders>
            <w:shd w:val="clear" w:color="auto" w:fill="auto"/>
            <w:noWrap/>
            <w:vAlign w:val="bottom"/>
            <w:hideMark/>
          </w:tcPr>
          <w:p w14:paraId="5843DDC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3.46***</w:t>
            </w:r>
          </w:p>
        </w:tc>
      </w:tr>
      <w:tr w:rsidR="00340DD1" w:rsidRPr="008C5D4B" w14:paraId="7BE46C25" w14:textId="77777777" w:rsidTr="00F4602C">
        <w:trPr>
          <w:trHeight w:val="300"/>
        </w:trPr>
        <w:tc>
          <w:tcPr>
            <w:tcW w:w="851" w:type="dxa"/>
            <w:tcBorders>
              <w:top w:val="nil"/>
              <w:left w:val="nil"/>
              <w:bottom w:val="nil"/>
              <w:right w:val="nil"/>
            </w:tcBorders>
            <w:shd w:val="clear" w:color="auto" w:fill="auto"/>
            <w:noWrap/>
            <w:vAlign w:val="center"/>
            <w:hideMark/>
          </w:tcPr>
          <w:p w14:paraId="17DCBE6D"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18-23</w:t>
            </w:r>
          </w:p>
        </w:tc>
        <w:tc>
          <w:tcPr>
            <w:tcW w:w="567" w:type="dxa"/>
            <w:tcBorders>
              <w:top w:val="nil"/>
              <w:left w:val="nil"/>
              <w:bottom w:val="nil"/>
              <w:right w:val="nil"/>
            </w:tcBorders>
            <w:shd w:val="clear" w:color="auto" w:fill="auto"/>
            <w:noWrap/>
            <w:vAlign w:val="bottom"/>
            <w:hideMark/>
          </w:tcPr>
          <w:p w14:paraId="0A8212F9"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40.7</w:t>
            </w:r>
          </w:p>
        </w:tc>
        <w:tc>
          <w:tcPr>
            <w:tcW w:w="850" w:type="dxa"/>
            <w:tcBorders>
              <w:top w:val="nil"/>
              <w:left w:val="nil"/>
              <w:bottom w:val="nil"/>
              <w:right w:val="nil"/>
            </w:tcBorders>
            <w:shd w:val="clear" w:color="auto" w:fill="auto"/>
            <w:noWrap/>
            <w:vAlign w:val="bottom"/>
            <w:hideMark/>
          </w:tcPr>
          <w:p w14:paraId="3B1E96D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0.56***</w:t>
            </w:r>
          </w:p>
        </w:tc>
        <w:tc>
          <w:tcPr>
            <w:tcW w:w="567" w:type="dxa"/>
            <w:tcBorders>
              <w:top w:val="nil"/>
              <w:left w:val="nil"/>
              <w:bottom w:val="nil"/>
              <w:right w:val="nil"/>
            </w:tcBorders>
            <w:shd w:val="clear" w:color="auto" w:fill="auto"/>
            <w:noWrap/>
            <w:vAlign w:val="bottom"/>
            <w:hideMark/>
          </w:tcPr>
          <w:p w14:paraId="1F8DEC1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54.5</w:t>
            </w:r>
          </w:p>
        </w:tc>
        <w:tc>
          <w:tcPr>
            <w:tcW w:w="851" w:type="dxa"/>
            <w:tcBorders>
              <w:top w:val="nil"/>
              <w:left w:val="nil"/>
              <w:bottom w:val="nil"/>
              <w:right w:val="nil"/>
            </w:tcBorders>
            <w:shd w:val="clear" w:color="auto" w:fill="auto"/>
            <w:noWrap/>
            <w:vAlign w:val="bottom"/>
            <w:hideMark/>
          </w:tcPr>
          <w:p w14:paraId="22A7A98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1.23</w:t>
            </w:r>
          </w:p>
        </w:tc>
        <w:tc>
          <w:tcPr>
            <w:tcW w:w="567" w:type="dxa"/>
            <w:tcBorders>
              <w:top w:val="nil"/>
              <w:left w:val="nil"/>
              <w:bottom w:val="nil"/>
              <w:right w:val="nil"/>
            </w:tcBorders>
            <w:shd w:val="clear" w:color="auto" w:fill="auto"/>
            <w:noWrap/>
            <w:vAlign w:val="bottom"/>
            <w:hideMark/>
          </w:tcPr>
          <w:p w14:paraId="151F016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39.5</w:t>
            </w:r>
          </w:p>
        </w:tc>
        <w:tc>
          <w:tcPr>
            <w:tcW w:w="850" w:type="dxa"/>
            <w:gridSpan w:val="2"/>
            <w:tcBorders>
              <w:top w:val="nil"/>
              <w:left w:val="nil"/>
              <w:bottom w:val="nil"/>
              <w:right w:val="nil"/>
            </w:tcBorders>
            <w:shd w:val="clear" w:color="auto" w:fill="auto"/>
            <w:noWrap/>
            <w:vAlign w:val="bottom"/>
            <w:hideMark/>
          </w:tcPr>
          <w:p w14:paraId="618574B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1.74***</w:t>
            </w:r>
          </w:p>
        </w:tc>
        <w:tc>
          <w:tcPr>
            <w:tcW w:w="567" w:type="dxa"/>
            <w:tcBorders>
              <w:top w:val="nil"/>
              <w:left w:val="nil"/>
              <w:bottom w:val="nil"/>
              <w:right w:val="nil"/>
            </w:tcBorders>
            <w:shd w:val="clear" w:color="auto" w:fill="auto"/>
            <w:noWrap/>
            <w:vAlign w:val="bottom"/>
            <w:hideMark/>
          </w:tcPr>
          <w:p w14:paraId="57DBF92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19.6</w:t>
            </w:r>
          </w:p>
        </w:tc>
        <w:tc>
          <w:tcPr>
            <w:tcW w:w="851" w:type="dxa"/>
            <w:tcBorders>
              <w:top w:val="nil"/>
              <w:left w:val="nil"/>
              <w:bottom w:val="nil"/>
              <w:right w:val="nil"/>
            </w:tcBorders>
            <w:shd w:val="clear" w:color="auto" w:fill="auto"/>
            <w:noWrap/>
            <w:vAlign w:val="bottom"/>
            <w:hideMark/>
          </w:tcPr>
          <w:p w14:paraId="2CF166F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2.13***</w:t>
            </w:r>
          </w:p>
        </w:tc>
        <w:tc>
          <w:tcPr>
            <w:tcW w:w="567" w:type="dxa"/>
            <w:tcBorders>
              <w:top w:val="nil"/>
              <w:left w:val="nil"/>
              <w:bottom w:val="nil"/>
              <w:right w:val="nil"/>
            </w:tcBorders>
            <w:shd w:val="clear" w:color="auto" w:fill="auto"/>
            <w:noWrap/>
            <w:vAlign w:val="bottom"/>
            <w:hideMark/>
          </w:tcPr>
          <w:p w14:paraId="4407F4D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13.4</w:t>
            </w:r>
          </w:p>
        </w:tc>
        <w:tc>
          <w:tcPr>
            <w:tcW w:w="850" w:type="dxa"/>
            <w:tcBorders>
              <w:top w:val="nil"/>
              <w:left w:val="nil"/>
              <w:bottom w:val="nil"/>
              <w:right w:val="nil"/>
            </w:tcBorders>
            <w:shd w:val="clear" w:color="auto" w:fill="auto"/>
            <w:noWrap/>
            <w:vAlign w:val="bottom"/>
            <w:hideMark/>
          </w:tcPr>
          <w:p w14:paraId="004981A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1.53**</w:t>
            </w:r>
          </w:p>
        </w:tc>
        <w:tc>
          <w:tcPr>
            <w:tcW w:w="567" w:type="dxa"/>
            <w:tcBorders>
              <w:top w:val="nil"/>
              <w:left w:val="nil"/>
              <w:bottom w:val="nil"/>
              <w:right w:val="nil"/>
            </w:tcBorders>
            <w:shd w:val="clear" w:color="auto" w:fill="auto"/>
            <w:noWrap/>
            <w:vAlign w:val="bottom"/>
            <w:hideMark/>
          </w:tcPr>
          <w:p w14:paraId="1F0096F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19.9</w:t>
            </w:r>
          </w:p>
        </w:tc>
        <w:tc>
          <w:tcPr>
            <w:tcW w:w="851" w:type="dxa"/>
            <w:tcBorders>
              <w:top w:val="nil"/>
              <w:left w:val="nil"/>
              <w:bottom w:val="nil"/>
              <w:right w:val="nil"/>
            </w:tcBorders>
            <w:shd w:val="clear" w:color="auto" w:fill="auto"/>
            <w:noWrap/>
            <w:vAlign w:val="bottom"/>
            <w:hideMark/>
          </w:tcPr>
          <w:p w14:paraId="74ABBE9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1.72***</w:t>
            </w:r>
          </w:p>
        </w:tc>
        <w:tc>
          <w:tcPr>
            <w:tcW w:w="567" w:type="dxa"/>
            <w:tcBorders>
              <w:top w:val="nil"/>
              <w:left w:val="nil"/>
              <w:bottom w:val="nil"/>
              <w:right w:val="nil"/>
            </w:tcBorders>
            <w:shd w:val="clear" w:color="auto" w:fill="auto"/>
            <w:noWrap/>
            <w:vAlign w:val="bottom"/>
            <w:hideMark/>
          </w:tcPr>
          <w:p w14:paraId="7BBBBF0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3.2</w:t>
            </w:r>
          </w:p>
        </w:tc>
        <w:tc>
          <w:tcPr>
            <w:tcW w:w="850" w:type="dxa"/>
            <w:tcBorders>
              <w:top w:val="nil"/>
              <w:left w:val="nil"/>
              <w:bottom w:val="nil"/>
              <w:right w:val="nil"/>
            </w:tcBorders>
            <w:shd w:val="clear" w:color="auto" w:fill="auto"/>
            <w:noWrap/>
            <w:vAlign w:val="bottom"/>
            <w:hideMark/>
          </w:tcPr>
          <w:p w14:paraId="6C9C92C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1.86</w:t>
            </w:r>
          </w:p>
        </w:tc>
        <w:tc>
          <w:tcPr>
            <w:tcW w:w="567" w:type="dxa"/>
            <w:tcBorders>
              <w:top w:val="nil"/>
              <w:left w:val="nil"/>
              <w:bottom w:val="nil"/>
              <w:right w:val="nil"/>
            </w:tcBorders>
            <w:shd w:val="clear" w:color="auto" w:fill="auto"/>
            <w:noWrap/>
            <w:vAlign w:val="bottom"/>
            <w:hideMark/>
          </w:tcPr>
          <w:p w14:paraId="4DB9079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w:t>
            </w:r>
          </w:p>
        </w:tc>
        <w:tc>
          <w:tcPr>
            <w:tcW w:w="851" w:type="dxa"/>
            <w:tcBorders>
              <w:top w:val="nil"/>
              <w:left w:val="nil"/>
              <w:bottom w:val="nil"/>
              <w:right w:val="nil"/>
            </w:tcBorders>
            <w:shd w:val="clear" w:color="auto" w:fill="auto"/>
            <w:noWrap/>
            <w:vAlign w:val="bottom"/>
            <w:hideMark/>
          </w:tcPr>
          <w:p w14:paraId="4E65C19D"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1.58</w:t>
            </w:r>
          </w:p>
        </w:tc>
        <w:tc>
          <w:tcPr>
            <w:tcW w:w="567" w:type="dxa"/>
            <w:tcBorders>
              <w:top w:val="nil"/>
              <w:left w:val="nil"/>
              <w:bottom w:val="nil"/>
              <w:right w:val="nil"/>
            </w:tcBorders>
            <w:shd w:val="clear" w:color="auto" w:fill="auto"/>
            <w:noWrap/>
            <w:vAlign w:val="bottom"/>
            <w:hideMark/>
          </w:tcPr>
          <w:p w14:paraId="30C18AF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7.6</w:t>
            </w:r>
          </w:p>
        </w:tc>
        <w:tc>
          <w:tcPr>
            <w:tcW w:w="850" w:type="dxa"/>
            <w:tcBorders>
              <w:top w:val="nil"/>
              <w:left w:val="nil"/>
              <w:bottom w:val="nil"/>
              <w:right w:val="nil"/>
            </w:tcBorders>
            <w:shd w:val="clear" w:color="auto" w:fill="auto"/>
            <w:noWrap/>
            <w:vAlign w:val="bottom"/>
            <w:hideMark/>
          </w:tcPr>
          <w:p w14:paraId="0BFDD56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2.21***</w:t>
            </w:r>
          </w:p>
        </w:tc>
        <w:tc>
          <w:tcPr>
            <w:tcW w:w="709" w:type="dxa"/>
            <w:tcBorders>
              <w:top w:val="nil"/>
              <w:left w:val="nil"/>
              <w:bottom w:val="nil"/>
              <w:right w:val="nil"/>
            </w:tcBorders>
            <w:shd w:val="clear" w:color="auto" w:fill="auto"/>
            <w:noWrap/>
            <w:vAlign w:val="bottom"/>
            <w:hideMark/>
          </w:tcPr>
          <w:p w14:paraId="23F1249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6.6</w:t>
            </w:r>
          </w:p>
        </w:tc>
        <w:tc>
          <w:tcPr>
            <w:tcW w:w="851" w:type="dxa"/>
            <w:tcBorders>
              <w:top w:val="nil"/>
              <w:left w:val="nil"/>
              <w:bottom w:val="nil"/>
              <w:right w:val="nil"/>
            </w:tcBorders>
            <w:shd w:val="clear" w:color="auto" w:fill="auto"/>
            <w:noWrap/>
            <w:vAlign w:val="bottom"/>
            <w:hideMark/>
          </w:tcPr>
          <w:p w14:paraId="7516847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w:t>
            </w:r>
            <w:r>
              <w:rPr>
                <w:rFonts w:ascii="Calibri" w:eastAsia="Times New Roman" w:hAnsi="Calibri" w:cs="Times New Roman"/>
                <w:color w:val="000000"/>
                <w:sz w:val="18"/>
                <w:szCs w:val="20"/>
                <w:lang w:eastAsia="en-AU"/>
              </w:rPr>
              <w:t>0</w:t>
            </w:r>
          </w:p>
        </w:tc>
      </w:tr>
      <w:tr w:rsidR="00340DD1" w:rsidRPr="008C5D4B" w14:paraId="25C4D51C" w14:textId="77777777" w:rsidTr="00F4602C">
        <w:trPr>
          <w:trHeight w:val="300"/>
        </w:trPr>
        <w:tc>
          <w:tcPr>
            <w:tcW w:w="851" w:type="dxa"/>
            <w:tcBorders>
              <w:top w:val="nil"/>
              <w:left w:val="nil"/>
              <w:bottom w:val="nil"/>
              <w:right w:val="nil"/>
            </w:tcBorders>
            <w:shd w:val="clear" w:color="auto" w:fill="auto"/>
            <w:noWrap/>
            <w:vAlign w:val="center"/>
            <w:hideMark/>
          </w:tcPr>
          <w:p w14:paraId="0515BA29"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24-29</w:t>
            </w:r>
          </w:p>
        </w:tc>
        <w:tc>
          <w:tcPr>
            <w:tcW w:w="567" w:type="dxa"/>
            <w:tcBorders>
              <w:top w:val="nil"/>
              <w:left w:val="nil"/>
              <w:bottom w:val="nil"/>
              <w:right w:val="nil"/>
            </w:tcBorders>
            <w:shd w:val="clear" w:color="auto" w:fill="auto"/>
            <w:noWrap/>
            <w:vAlign w:val="bottom"/>
            <w:hideMark/>
          </w:tcPr>
          <w:p w14:paraId="2D936DF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45.6</w:t>
            </w:r>
          </w:p>
        </w:tc>
        <w:tc>
          <w:tcPr>
            <w:tcW w:w="850" w:type="dxa"/>
            <w:tcBorders>
              <w:top w:val="nil"/>
              <w:left w:val="nil"/>
              <w:bottom w:val="nil"/>
              <w:right w:val="nil"/>
            </w:tcBorders>
            <w:shd w:val="clear" w:color="auto" w:fill="auto"/>
            <w:noWrap/>
            <w:vAlign w:val="bottom"/>
            <w:hideMark/>
          </w:tcPr>
          <w:p w14:paraId="0BEE89F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0.69***</w:t>
            </w:r>
          </w:p>
        </w:tc>
        <w:tc>
          <w:tcPr>
            <w:tcW w:w="567" w:type="dxa"/>
            <w:tcBorders>
              <w:top w:val="nil"/>
              <w:left w:val="nil"/>
              <w:bottom w:val="nil"/>
              <w:right w:val="nil"/>
            </w:tcBorders>
            <w:shd w:val="clear" w:color="auto" w:fill="auto"/>
            <w:noWrap/>
            <w:vAlign w:val="bottom"/>
            <w:hideMark/>
          </w:tcPr>
          <w:p w14:paraId="59300F37"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60.1</w:t>
            </w:r>
          </w:p>
        </w:tc>
        <w:tc>
          <w:tcPr>
            <w:tcW w:w="851" w:type="dxa"/>
            <w:tcBorders>
              <w:top w:val="nil"/>
              <w:left w:val="nil"/>
              <w:bottom w:val="nil"/>
              <w:right w:val="nil"/>
            </w:tcBorders>
            <w:shd w:val="clear" w:color="auto" w:fill="auto"/>
            <w:noWrap/>
            <w:vAlign w:val="bottom"/>
            <w:hideMark/>
          </w:tcPr>
          <w:p w14:paraId="23C49131"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1.54***</w:t>
            </w:r>
          </w:p>
        </w:tc>
        <w:tc>
          <w:tcPr>
            <w:tcW w:w="567" w:type="dxa"/>
            <w:tcBorders>
              <w:top w:val="nil"/>
              <w:left w:val="nil"/>
              <w:bottom w:val="nil"/>
              <w:right w:val="nil"/>
            </w:tcBorders>
            <w:shd w:val="clear" w:color="auto" w:fill="auto"/>
            <w:noWrap/>
            <w:vAlign w:val="bottom"/>
            <w:hideMark/>
          </w:tcPr>
          <w:p w14:paraId="4702C0F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31.9</w:t>
            </w:r>
          </w:p>
        </w:tc>
        <w:tc>
          <w:tcPr>
            <w:tcW w:w="850" w:type="dxa"/>
            <w:gridSpan w:val="2"/>
            <w:tcBorders>
              <w:top w:val="nil"/>
              <w:left w:val="nil"/>
              <w:bottom w:val="nil"/>
              <w:right w:val="nil"/>
            </w:tcBorders>
            <w:shd w:val="clear" w:color="auto" w:fill="auto"/>
            <w:noWrap/>
            <w:vAlign w:val="bottom"/>
            <w:hideMark/>
          </w:tcPr>
          <w:p w14:paraId="4FB1BE7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1.25*</w:t>
            </w:r>
          </w:p>
        </w:tc>
        <w:tc>
          <w:tcPr>
            <w:tcW w:w="567" w:type="dxa"/>
            <w:tcBorders>
              <w:top w:val="nil"/>
              <w:left w:val="nil"/>
              <w:bottom w:val="nil"/>
              <w:right w:val="nil"/>
            </w:tcBorders>
            <w:shd w:val="clear" w:color="auto" w:fill="auto"/>
            <w:noWrap/>
            <w:vAlign w:val="bottom"/>
            <w:hideMark/>
          </w:tcPr>
          <w:p w14:paraId="70E4A2E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w:t>
            </w:r>
            <w:r>
              <w:rPr>
                <w:rFonts w:ascii="Calibri" w:eastAsia="Times New Roman" w:hAnsi="Calibri" w:cs="Times New Roman"/>
                <w:color w:val="000000"/>
                <w:sz w:val="18"/>
                <w:szCs w:val="20"/>
                <w:lang w:eastAsia="en-AU"/>
              </w:rPr>
              <w:t>.0</w:t>
            </w:r>
          </w:p>
        </w:tc>
        <w:tc>
          <w:tcPr>
            <w:tcW w:w="851" w:type="dxa"/>
            <w:tcBorders>
              <w:top w:val="nil"/>
              <w:left w:val="nil"/>
              <w:bottom w:val="nil"/>
              <w:right w:val="nil"/>
            </w:tcBorders>
            <w:shd w:val="clear" w:color="auto" w:fill="auto"/>
            <w:noWrap/>
            <w:vAlign w:val="bottom"/>
            <w:hideMark/>
          </w:tcPr>
          <w:p w14:paraId="0E4BA483"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1.54**</w:t>
            </w:r>
          </w:p>
        </w:tc>
        <w:tc>
          <w:tcPr>
            <w:tcW w:w="567" w:type="dxa"/>
            <w:tcBorders>
              <w:top w:val="nil"/>
              <w:left w:val="nil"/>
              <w:bottom w:val="nil"/>
              <w:right w:val="nil"/>
            </w:tcBorders>
            <w:shd w:val="clear" w:color="auto" w:fill="auto"/>
            <w:noWrap/>
            <w:vAlign w:val="bottom"/>
            <w:hideMark/>
          </w:tcPr>
          <w:p w14:paraId="06F2E87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9.1</w:t>
            </w:r>
          </w:p>
        </w:tc>
        <w:tc>
          <w:tcPr>
            <w:tcW w:w="850" w:type="dxa"/>
            <w:tcBorders>
              <w:top w:val="nil"/>
              <w:left w:val="nil"/>
              <w:bottom w:val="nil"/>
              <w:right w:val="nil"/>
            </w:tcBorders>
            <w:shd w:val="clear" w:color="auto" w:fill="auto"/>
            <w:noWrap/>
            <w:vAlign w:val="bottom"/>
            <w:hideMark/>
          </w:tcPr>
          <w:p w14:paraId="2FCD03E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0.98</w:t>
            </w:r>
          </w:p>
        </w:tc>
        <w:tc>
          <w:tcPr>
            <w:tcW w:w="567" w:type="dxa"/>
            <w:tcBorders>
              <w:top w:val="nil"/>
              <w:left w:val="nil"/>
              <w:bottom w:val="nil"/>
              <w:right w:val="nil"/>
            </w:tcBorders>
            <w:shd w:val="clear" w:color="auto" w:fill="auto"/>
            <w:noWrap/>
            <w:vAlign w:val="bottom"/>
            <w:hideMark/>
          </w:tcPr>
          <w:p w14:paraId="671AC91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17.7</w:t>
            </w:r>
          </w:p>
        </w:tc>
        <w:tc>
          <w:tcPr>
            <w:tcW w:w="851" w:type="dxa"/>
            <w:tcBorders>
              <w:top w:val="nil"/>
              <w:left w:val="nil"/>
              <w:bottom w:val="nil"/>
              <w:right w:val="nil"/>
            </w:tcBorders>
            <w:shd w:val="clear" w:color="auto" w:fill="auto"/>
            <w:noWrap/>
            <w:vAlign w:val="bottom"/>
            <w:hideMark/>
          </w:tcPr>
          <w:p w14:paraId="09A18F5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1.48**</w:t>
            </w:r>
          </w:p>
        </w:tc>
        <w:tc>
          <w:tcPr>
            <w:tcW w:w="567" w:type="dxa"/>
            <w:tcBorders>
              <w:top w:val="nil"/>
              <w:left w:val="nil"/>
              <w:bottom w:val="nil"/>
              <w:right w:val="nil"/>
            </w:tcBorders>
            <w:shd w:val="clear" w:color="auto" w:fill="auto"/>
            <w:noWrap/>
            <w:vAlign w:val="bottom"/>
            <w:hideMark/>
          </w:tcPr>
          <w:p w14:paraId="1603B1A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w:t>
            </w:r>
          </w:p>
        </w:tc>
        <w:tc>
          <w:tcPr>
            <w:tcW w:w="850" w:type="dxa"/>
            <w:tcBorders>
              <w:top w:val="nil"/>
              <w:left w:val="nil"/>
              <w:bottom w:val="nil"/>
              <w:right w:val="nil"/>
            </w:tcBorders>
            <w:shd w:val="clear" w:color="auto" w:fill="auto"/>
            <w:noWrap/>
            <w:vAlign w:val="bottom"/>
            <w:hideMark/>
          </w:tcPr>
          <w:p w14:paraId="26C21E7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0.76</w:t>
            </w:r>
          </w:p>
        </w:tc>
        <w:tc>
          <w:tcPr>
            <w:tcW w:w="567" w:type="dxa"/>
            <w:tcBorders>
              <w:top w:val="nil"/>
              <w:left w:val="nil"/>
              <w:bottom w:val="nil"/>
              <w:right w:val="nil"/>
            </w:tcBorders>
            <w:shd w:val="clear" w:color="auto" w:fill="auto"/>
            <w:noWrap/>
            <w:vAlign w:val="bottom"/>
            <w:hideMark/>
          </w:tcPr>
          <w:p w14:paraId="001899A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w:t>
            </w:r>
          </w:p>
        </w:tc>
        <w:tc>
          <w:tcPr>
            <w:tcW w:w="851" w:type="dxa"/>
            <w:tcBorders>
              <w:top w:val="nil"/>
              <w:left w:val="nil"/>
              <w:bottom w:val="nil"/>
              <w:right w:val="nil"/>
            </w:tcBorders>
            <w:shd w:val="clear" w:color="auto" w:fill="auto"/>
            <w:noWrap/>
            <w:vAlign w:val="bottom"/>
            <w:hideMark/>
          </w:tcPr>
          <w:p w14:paraId="4ACC236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0.86</w:t>
            </w:r>
          </w:p>
        </w:tc>
        <w:tc>
          <w:tcPr>
            <w:tcW w:w="567" w:type="dxa"/>
            <w:tcBorders>
              <w:top w:val="nil"/>
              <w:left w:val="nil"/>
              <w:bottom w:val="nil"/>
              <w:right w:val="nil"/>
            </w:tcBorders>
            <w:shd w:val="clear" w:color="auto" w:fill="auto"/>
            <w:noWrap/>
            <w:vAlign w:val="bottom"/>
            <w:hideMark/>
          </w:tcPr>
          <w:p w14:paraId="147781B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5.4</w:t>
            </w:r>
          </w:p>
        </w:tc>
        <w:tc>
          <w:tcPr>
            <w:tcW w:w="850" w:type="dxa"/>
            <w:tcBorders>
              <w:top w:val="nil"/>
              <w:left w:val="nil"/>
              <w:bottom w:val="nil"/>
              <w:right w:val="nil"/>
            </w:tcBorders>
            <w:shd w:val="clear" w:color="auto" w:fill="auto"/>
            <w:noWrap/>
            <w:vAlign w:val="bottom"/>
            <w:hideMark/>
          </w:tcPr>
          <w:p w14:paraId="47B8E3C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1.53</w:t>
            </w:r>
          </w:p>
        </w:tc>
        <w:tc>
          <w:tcPr>
            <w:tcW w:w="709" w:type="dxa"/>
            <w:tcBorders>
              <w:top w:val="nil"/>
              <w:left w:val="nil"/>
              <w:bottom w:val="nil"/>
              <w:right w:val="nil"/>
            </w:tcBorders>
            <w:shd w:val="clear" w:color="auto" w:fill="auto"/>
            <w:noWrap/>
            <w:vAlign w:val="bottom"/>
            <w:hideMark/>
          </w:tcPr>
          <w:p w14:paraId="1B08663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6.1</w:t>
            </w:r>
          </w:p>
        </w:tc>
        <w:tc>
          <w:tcPr>
            <w:tcW w:w="851" w:type="dxa"/>
            <w:tcBorders>
              <w:top w:val="nil"/>
              <w:left w:val="nil"/>
              <w:bottom w:val="nil"/>
              <w:right w:val="nil"/>
            </w:tcBorders>
            <w:shd w:val="clear" w:color="auto" w:fill="auto"/>
            <w:noWrap/>
            <w:vAlign w:val="bottom"/>
            <w:hideMark/>
          </w:tcPr>
          <w:p w14:paraId="2C46735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1.11</w:t>
            </w:r>
          </w:p>
        </w:tc>
      </w:tr>
      <w:tr w:rsidR="00340DD1" w:rsidRPr="008C5D4B" w14:paraId="04A43620" w14:textId="77777777" w:rsidTr="00F4602C">
        <w:trPr>
          <w:trHeight w:val="300"/>
        </w:trPr>
        <w:tc>
          <w:tcPr>
            <w:tcW w:w="851" w:type="dxa"/>
            <w:tcBorders>
              <w:top w:val="nil"/>
              <w:left w:val="nil"/>
              <w:bottom w:val="nil"/>
              <w:right w:val="nil"/>
            </w:tcBorders>
            <w:shd w:val="clear" w:color="auto" w:fill="auto"/>
            <w:noWrap/>
            <w:vAlign w:val="center"/>
            <w:hideMark/>
          </w:tcPr>
          <w:p w14:paraId="0B306599"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30-49</w:t>
            </w:r>
          </w:p>
        </w:tc>
        <w:tc>
          <w:tcPr>
            <w:tcW w:w="567" w:type="dxa"/>
            <w:tcBorders>
              <w:top w:val="nil"/>
              <w:left w:val="nil"/>
              <w:bottom w:val="nil"/>
              <w:right w:val="nil"/>
            </w:tcBorders>
            <w:shd w:val="clear" w:color="auto" w:fill="auto"/>
            <w:noWrap/>
            <w:vAlign w:val="bottom"/>
            <w:hideMark/>
          </w:tcPr>
          <w:p w14:paraId="5AB64A9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55</w:t>
            </w:r>
            <w:r>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hideMark/>
          </w:tcPr>
          <w:p w14:paraId="1E57680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1A3FB09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49.4</w:t>
            </w:r>
          </w:p>
        </w:tc>
        <w:tc>
          <w:tcPr>
            <w:tcW w:w="851" w:type="dxa"/>
            <w:tcBorders>
              <w:top w:val="nil"/>
              <w:left w:val="nil"/>
              <w:bottom w:val="nil"/>
              <w:right w:val="nil"/>
            </w:tcBorders>
            <w:shd w:val="clear" w:color="auto" w:fill="auto"/>
            <w:noWrap/>
            <w:vAlign w:val="bottom"/>
            <w:hideMark/>
          </w:tcPr>
          <w:p w14:paraId="1866399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24BD350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27.2</w:t>
            </w:r>
          </w:p>
        </w:tc>
        <w:tc>
          <w:tcPr>
            <w:tcW w:w="850" w:type="dxa"/>
            <w:gridSpan w:val="2"/>
            <w:tcBorders>
              <w:top w:val="nil"/>
              <w:left w:val="nil"/>
              <w:bottom w:val="nil"/>
              <w:right w:val="nil"/>
            </w:tcBorders>
            <w:shd w:val="clear" w:color="auto" w:fill="auto"/>
            <w:noWrap/>
            <w:vAlign w:val="bottom"/>
            <w:hideMark/>
          </w:tcPr>
          <w:p w14:paraId="09A8CE4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2BFD2C4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10.3</w:t>
            </w:r>
          </w:p>
        </w:tc>
        <w:tc>
          <w:tcPr>
            <w:tcW w:w="851" w:type="dxa"/>
            <w:tcBorders>
              <w:top w:val="nil"/>
              <w:left w:val="nil"/>
              <w:bottom w:val="nil"/>
              <w:right w:val="nil"/>
            </w:tcBorders>
            <w:shd w:val="clear" w:color="auto" w:fill="auto"/>
            <w:noWrap/>
            <w:vAlign w:val="bottom"/>
            <w:hideMark/>
          </w:tcPr>
          <w:p w14:paraId="2A97FD5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23DE441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9.2</w:t>
            </w:r>
          </w:p>
        </w:tc>
        <w:tc>
          <w:tcPr>
            <w:tcW w:w="850" w:type="dxa"/>
            <w:tcBorders>
              <w:top w:val="nil"/>
              <w:left w:val="nil"/>
              <w:bottom w:val="nil"/>
              <w:right w:val="nil"/>
            </w:tcBorders>
            <w:shd w:val="clear" w:color="auto" w:fill="auto"/>
            <w:noWrap/>
            <w:vAlign w:val="bottom"/>
            <w:hideMark/>
          </w:tcPr>
          <w:p w14:paraId="20E66E7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43286B6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12.7</w:t>
            </w:r>
          </w:p>
        </w:tc>
        <w:tc>
          <w:tcPr>
            <w:tcW w:w="851" w:type="dxa"/>
            <w:tcBorders>
              <w:top w:val="nil"/>
              <w:left w:val="nil"/>
              <w:bottom w:val="nil"/>
              <w:right w:val="nil"/>
            </w:tcBorders>
            <w:shd w:val="clear" w:color="auto" w:fill="auto"/>
            <w:noWrap/>
            <w:vAlign w:val="bottom"/>
            <w:hideMark/>
          </w:tcPr>
          <w:p w14:paraId="00AC18C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653FF23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1.8</w:t>
            </w:r>
          </w:p>
        </w:tc>
        <w:tc>
          <w:tcPr>
            <w:tcW w:w="850" w:type="dxa"/>
            <w:tcBorders>
              <w:top w:val="nil"/>
              <w:left w:val="nil"/>
              <w:bottom w:val="nil"/>
              <w:right w:val="nil"/>
            </w:tcBorders>
            <w:shd w:val="clear" w:color="auto" w:fill="auto"/>
            <w:noWrap/>
            <w:vAlign w:val="bottom"/>
            <w:hideMark/>
          </w:tcPr>
          <w:p w14:paraId="613B48D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3A6591B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w:t>
            </w:r>
          </w:p>
        </w:tc>
        <w:tc>
          <w:tcPr>
            <w:tcW w:w="851" w:type="dxa"/>
            <w:tcBorders>
              <w:top w:val="nil"/>
              <w:left w:val="nil"/>
              <w:bottom w:val="nil"/>
              <w:right w:val="nil"/>
            </w:tcBorders>
            <w:shd w:val="clear" w:color="auto" w:fill="auto"/>
            <w:noWrap/>
            <w:vAlign w:val="bottom"/>
            <w:hideMark/>
          </w:tcPr>
          <w:p w14:paraId="65948CE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0EEF1959"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3.6</w:t>
            </w:r>
          </w:p>
        </w:tc>
        <w:tc>
          <w:tcPr>
            <w:tcW w:w="850" w:type="dxa"/>
            <w:tcBorders>
              <w:top w:val="nil"/>
              <w:left w:val="nil"/>
              <w:bottom w:val="nil"/>
              <w:right w:val="nil"/>
            </w:tcBorders>
            <w:shd w:val="clear" w:color="auto" w:fill="auto"/>
            <w:noWrap/>
            <w:vAlign w:val="bottom"/>
            <w:hideMark/>
          </w:tcPr>
          <w:p w14:paraId="05AC161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709" w:type="dxa"/>
            <w:tcBorders>
              <w:top w:val="nil"/>
              <w:left w:val="nil"/>
              <w:bottom w:val="nil"/>
              <w:right w:val="nil"/>
            </w:tcBorders>
            <w:shd w:val="clear" w:color="auto" w:fill="auto"/>
            <w:noWrap/>
            <w:vAlign w:val="bottom"/>
            <w:hideMark/>
          </w:tcPr>
          <w:p w14:paraId="35D94BE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5.5</w:t>
            </w:r>
          </w:p>
        </w:tc>
        <w:tc>
          <w:tcPr>
            <w:tcW w:w="851" w:type="dxa"/>
            <w:tcBorders>
              <w:top w:val="nil"/>
              <w:left w:val="nil"/>
              <w:bottom w:val="nil"/>
              <w:right w:val="nil"/>
            </w:tcBorders>
            <w:shd w:val="clear" w:color="auto" w:fill="auto"/>
            <w:noWrap/>
            <w:vAlign w:val="bottom"/>
            <w:hideMark/>
          </w:tcPr>
          <w:p w14:paraId="6C40951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r>
      <w:tr w:rsidR="00340DD1" w:rsidRPr="008C5D4B" w14:paraId="681CF247" w14:textId="77777777" w:rsidTr="00F4602C">
        <w:trPr>
          <w:trHeight w:val="300"/>
        </w:trPr>
        <w:tc>
          <w:tcPr>
            <w:tcW w:w="851" w:type="dxa"/>
            <w:tcBorders>
              <w:top w:val="nil"/>
              <w:left w:val="nil"/>
              <w:bottom w:val="nil"/>
              <w:right w:val="nil"/>
            </w:tcBorders>
            <w:shd w:val="clear" w:color="auto" w:fill="auto"/>
            <w:noWrap/>
            <w:vAlign w:val="center"/>
            <w:hideMark/>
          </w:tcPr>
          <w:p w14:paraId="2ABD27E4"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Pr>
                <w:rFonts w:ascii="Calibri" w:eastAsia="Times New Roman" w:hAnsi="Calibri" w:cs="Times New Roman"/>
                <w:b/>
                <w:bCs/>
                <w:color w:val="000000"/>
                <w:sz w:val="18"/>
                <w:szCs w:val="20"/>
                <w:lang w:eastAsia="en-AU"/>
              </w:rPr>
              <w:t xml:space="preserve">  50-64</w:t>
            </w:r>
          </w:p>
        </w:tc>
        <w:tc>
          <w:tcPr>
            <w:tcW w:w="567" w:type="dxa"/>
            <w:tcBorders>
              <w:top w:val="nil"/>
              <w:left w:val="nil"/>
              <w:bottom w:val="nil"/>
              <w:right w:val="nil"/>
            </w:tcBorders>
            <w:shd w:val="clear" w:color="auto" w:fill="auto"/>
            <w:noWrap/>
            <w:vAlign w:val="bottom"/>
            <w:hideMark/>
          </w:tcPr>
          <w:p w14:paraId="35B02D7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60.5</w:t>
            </w:r>
          </w:p>
        </w:tc>
        <w:tc>
          <w:tcPr>
            <w:tcW w:w="850" w:type="dxa"/>
            <w:tcBorders>
              <w:top w:val="nil"/>
              <w:left w:val="nil"/>
              <w:bottom w:val="nil"/>
              <w:right w:val="nil"/>
            </w:tcBorders>
            <w:shd w:val="clear" w:color="auto" w:fill="auto"/>
            <w:noWrap/>
            <w:vAlign w:val="bottom"/>
            <w:hideMark/>
          </w:tcPr>
          <w:p w14:paraId="42CE288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w:t>
            </w:r>
            <w:r>
              <w:rPr>
                <w:rFonts w:ascii="Calibri" w:eastAsia="Times New Roman" w:hAnsi="Calibri" w:cs="Times New Roman"/>
                <w:color w:val="000000"/>
                <w:sz w:val="18"/>
                <w:szCs w:val="20"/>
                <w:lang w:eastAsia="en-AU"/>
              </w:rPr>
              <w:t>25</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79F63A4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23.2</w:t>
            </w:r>
          </w:p>
        </w:tc>
        <w:tc>
          <w:tcPr>
            <w:tcW w:w="851" w:type="dxa"/>
            <w:tcBorders>
              <w:top w:val="nil"/>
              <w:left w:val="nil"/>
              <w:bottom w:val="nil"/>
              <w:right w:val="nil"/>
            </w:tcBorders>
            <w:shd w:val="clear" w:color="auto" w:fill="auto"/>
            <w:noWrap/>
            <w:vAlign w:val="bottom"/>
            <w:hideMark/>
          </w:tcPr>
          <w:p w14:paraId="7627AC0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w:t>
            </w:r>
            <w:r>
              <w:rPr>
                <w:rFonts w:ascii="Calibri" w:eastAsia="Times New Roman" w:hAnsi="Calibri" w:cs="Times New Roman"/>
                <w:color w:val="000000"/>
                <w:sz w:val="18"/>
                <w:szCs w:val="20"/>
                <w:lang w:eastAsia="en-AU"/>
              </w:rPr>
              <w:t>31</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6B00A0A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w:t>
            </w:r>
            <w:r>
              <w:rPr>
                <w:rFonts w:ascii="Calibri" w:eastAsia="Times New Roman" w:hAnsi="Calibri" w:cs="Times New Roman"/>
                <w:color w:val="000000"/>
                <w:sz w:val="18"/>
                <w:szCs w:val="20"/>
                <w:lang w:eastAsia="en-AU"/>
              </w:rPr>
              <w:t>1.9</w:t>
            </w:r>
          </w:p>
        </w:tc>
        <w:tc>
          <w:tcPr>
            <w:tcW w:w="850" w:type="dxa"/>
            <w:gridSpan w:val="2"/>
            <w:tcBorders>
              <w:top w:val="nil"/>
              <w:left w:val="nil"/>
              <w:bottom w:val="nil"/>
              <w:right w:val="nil"/>
            </w:tcBorders>
            <w:shd w:val="clear" w:color="auto" w:fill="auto"/>
            <w:noWrap/>
            <w:vAlign w:val="bottom"/>
            <w:hideMark/>
          </w:tcPr>
          <w:p w14:paraId="1220F5F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1.25*</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1589254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11.0</w:t>
            </w:r>
          </w:p>
        </w:tc>
        <w:tc>
          <w:tcPr>
            <w:tcW w:w="851" w:type="dxa"/>
            <w:tcBorders>
              <w:top w:val="nil"/>
              <w:left w:val="nil"/>
              <w:bottom w:val="nil"/>
              <w:right w:val="nil"/>
            </w:tcBorders>
            <w:shd w:val="clear" w:color="auto" w:fill="auto"/>
            <w:noWrap/>
            <w:vAlign w:val="bottom"/>
            <w:hideMark/>
          </w:tcPr>
          <w:p w14:paraId="4968DEA1"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1.08</w:t>
            </w:r>
          </w:p>
        </w:tc>
        <w:tc>
          <w:tcPr>
            <w:tcW w:w="567" w:type="dxa"/>
            <w:tcBorders>
              <w:top w:val="nil"/>
              <w:left w:val="nil"/>
              <w:bottom w:val="nil"/>
              <w:right w:val="nil"/>
            </w:tcBorders>
            <w:shd w:val="clear" w:color="auto" w:fill="auto"/>
            <w:noWrap/>
            <w:vAlign w:val="bottom"/>
            <w:hideMark/>
          </w:tcPr>
          <w:p w14:paraId="5731904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18.1</w:t>
            </w:r>
          </w:p>
        </w:tc>
        <w:tc>
          <w:tcPr>
            <w:tcW w:w="850" w:type="dxa"/>
            <w:tcBorders>
              <w:top w:val="nil"/>
              <w:left w:val="nil"/>
              <w:bottom w:val="nil"/>
              <w:right w:val="nil"/>
            </w:tcBorders>
            <w:shd w:val="clear" w:color="auto" w:fill="auto"/>
            <w:noWrap/>
            <w:vAlign w:val="bottom"/>
            <w:hideMark/>
          </w:tcPr>
          <w:p w14:paraId="237963D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w:t>
            </w:r>
            <w:r>
              <w:rPr>
                <w:rFonts w:ascii="Calibri" w:eastAsia="Times New Roman" w:hAnsi="Calibri" w:cs="Times New Roman"/>
                <w:color w:val="000000"/>
                <w:sz w:val="18"/>
                <w:szCs w:val="20"/>
                <w:lang w:eastAsia="en-AU"/>
              </w:rPr>
              <w:t>19</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02F8EE3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8.1</w:t>
            </w:r>
          </w:p>
        </w:tc>
        <w:tc>
          <w:tcPr>
            <w:tcW w:w="851" w:type="dxa"/>
            <w:tcBorders>
              <w:top w:val="nil"/>
              <w:left w:val="nil"/>
              <w:bottom w:val="nil"/>
              <w:right w:val="nil"/>
            </w:tcBorders>
            <w:shd w:val="clear" w:color="auto" w:fill="auto"/>
            <w:noWrap/>
            <w:vAlign w:val="bottom"/>
            <w:hideMark/>
          </w:tcPr>
          <w:p w14:paraId="22D7F1D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w:t>
            </w:r>
            <w:r>
              <w:rPr>
                <w:rFonts w:ascii="Calibri" w:eastAsia="Times New Roman" w:hAnsi="Calibri" w:cs="Times New Roman"/>
                <w:color w:val="000000"/>
                <w:sz w:val="18"/>
                <w:szCs w:val="20"/>
                <w:lang w:eastAsia="en-AU"/>
              </w:rPr>
              <w:t>0</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5165F65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w:t>
            </w:r>
            <w:r>
              <w:rPr>
                <w:rFonts w:ascii="Calibri" w:eastAsia="Times New Roman" w:hAnsi="Calibri" w:cs="Times New Roman"/>
                <w:color w:val="000000"/>
                <w:sz w:val="18"/>
                <w:szCs w:val="20"/>
                <w:lang w:eastAsia="en-AU"/>
              </w:rPr>
              <w:t>7</w:t>
            </w:r>
          </w:p>
        </w:tc>
        <w:tc>
          <w:tcPr>
            <w:tcW w:w="850" w:type="dxa"/>
            <w:tcBorders>
              <w:top w:val="nil"/>
              <w:left w:val="nil"/>
              <w:bottom w:val="nil"/>
              <w:right w:val="nil"/>
            </w:tcBorders>
            <w:shd w:val="clear" w:color="auto" w:fill="auto"/>
            <w:noWrap/>
            <w:vAlign w:val="bottom"/>
            <w:hideMark/>
          </w:tcPr>
          <w:p w14:paraId="4FA73BC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0.3</w:t>
            </w:r>
            <w:r>
              <w:rPr>
                <w:rFonts w:ascii="Calibri" w:eastAsia="Times New Roman" w:hAnsi="Calibri" w:cs="Times New Roman"/>
                <w:color w:val="000000"/>
                <w:sz w:val="18"/>
                <w:szCs w:val="20"/>
                <w:lang w:eastAsia="en-AU"/>
              </w:rPr>
              <w:t>8</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5DADC7B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w:t>
            </w:r>
            <w:r>
              <w:rPr>
                <w:rFonts w:ascii="Calibri" w:eastAsia="Times New Roman" w:hAnsi="Calibri" w:cs="Times New Roman"/>
                <w:color w:val="000000"/>
                <w:sz w:val="18"/>
                <w:szCs w:val="20"/>
                <w:lang w:eastAsia="en-AU"/>
              </w:rPr>
              <w:t>3</w:t>
            </w:r>
          </w:p>
        </w:tc>
        <w:tc>
          <w:tcPr>
            <w:tcW w:w="851" w:type="dxa"/>
            <w:tcBorders>
              <w:top w:val="nil"/>
              <w:left w:val="nil"/>
              <w:bottom w:val="nil"/>
              <w:right w:val="nil"/>
            </w:tcBorders>
            <w:shd w:val="clear" w:color="auto" w:fill="auto"/>
            <w:noWrap/>
            <w:vAlign w:val="bottom"/>
            <w:hideMark/>
          </w:tcPr>
          <w:p w14:paraId="6ED2AF2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w:t>
            </w:r>
            <w:r>
              <w:rPr>
                <w:rFonts w:ascii="Calibri" w:eastAsia="Times New Roman" w:hAnsi="Calibri" w:cs="Times New Roman"/>
                <w:color w:val="000000"/>
                <w:sz w:val="18"/>
                <w:szCs w:val="20"/>
                <w:lang w:eastAsia="en-AU"/>
              </w:rPr>
              <w:t>61</w:t>
            </w:r>
          </w:p>
        </w:tc>
        <w:tc>
          <w:tcPr>
            <w:tcW w:w="567" w:type="dxa"/>
            <w:tcBorders>
              <w:top w:val="nil"/>
              <w:left w:val="nil"/>
              <w:bottom w:val="nil"/>
              <w:right w:val="nil"/>
            </w:tcBorders>
            <w:shd w:val="clear" w:color="auto" w:fill="auto"/>
            <w:noWrap/>
            <w:vAlign w:val="bottom"/>
            <w:hideMark/>
          </w:tcPr>
          <w:p w14:paraId="23978EC5"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4.3</w:t>
            </w:r>
          </w:p>
        </w:tc>
        <w:tc>
          <w:tcPr>
            <w:tcW w:w="850" w:type="dxa"/>
            <w:tcBorders>
              <w:top w:val="nil"/>
              <w:left w:val="nil"/>
              <w:bottom w:val="nil"/>
              <w:right w:val="nil"/>
            </w:tcBorders>
            <w:shd w:val="clear" w:color="auto" w:fill="auto"/>
            <w:noWrap/>
            <w:vAlign w:val="bottom"/>
            <w:hideMark/>
          </w:tcPr>
          <w:p w14:paraId="084CD63D"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w:t>
            </w:r>
            <w:r>
              <w:rPr>
                <w:rFonts w:ascii="Calibri" w:eastAsia="Times New Roman" w:hAnsi="Calibri" w:cs="Times New Roman"/>
                <w:color w:val="000000"/>
                <w:sz w:val="18"/>
                <w:szCs w:val="20"/>
                <w:lang w:eastAsia="en-AU"/>
              </w:rPr>
              <w:t>19</w:t>
            </w:r>
          </w:p>
        </w:tc>
        <w:tc>
          <w:tcPr>
            <w:tcW w:w="709" w:type="dxa"/>
            <w:tcBorders>
              <w:top w:val="nil"/>
              <w:left w:val="nil"/>
              <w:bottom w:val="nil"/>
              <w:right w:val="nil"/>
            </w:tcBorders>
            <w:shd w:val="clear" w:color="auto" w:fill="auto"/>
            <w:noWrap/>
            <w:vAlign w:val="bottom"/>
            <w:hideMark/>
          </w:tcPr>
          <w:p w14:paraId="06C39E4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5.3</w:t>
            </w:r>
          </w:p>
        </w:tc>
        <w:tc>
          <w:tcPr>
            <w:tcW w:w="851" w:type="dxa"/>
            <w:tcBorders>
              <w:top w:val="nil"/>
              <w:left w:val="nil"/>
              <w:bottom w:val="nil"/>
              <w:right w:val="nil"/>
            </w:tcBorders>
            <w:shd w:val="clear" w:color="auto" w:fill="auto"/>
            <w:noWrap/>
            <w:vAlign w:val="bottom"/>
            <w:hideMark/>
          </w:tcPr>
          <w:p w14:paraId="199AF10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0.95</w:t>
            </w:r>
          </w:p>
        </w:tc>
      </w:tr>
      <w:tr w:rsidR="00340DD1" w:rsidRPr="008C5D4B" w14:paraId="0B5FB59E" w14:textId="77777777" w:rsidTr="00F4602C">
        <w:trPr>
          <w:trHeight w:val="300"/>
        </w:trPr>
        <w:tc>
          <w:tcPr>
            <w:tcW w:w="851" w:type="dxa"/>
            <w:tcBorders>
              <w:top w:val="nil"/>
              <w:left w:val="nil"/>
              <w:bottom w:val="nil"/>
              <w:right w:val="nil"/>
            </w:tcBorders>
            <w:shd w:val="clear" w:color="auto" w:fill="auto"/>
            <w:noWrap/>
            <w:vAlign w:val="center"/>
          </w:tcPr>
          <w:p w14:paraId="3987871A"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Pr>
                <w:rFonts w:ascii="Calibri" w:eastAsia="Times New Roman" w:hAnsi="Calibri" w:cs="Times New Roman"/>
                <w:b/>
                <w:bCs/>
                <w:color w:val="000000"/>
                <w:sz w:val="18"/>
                <w:szCs w:val="20"/>
                <w:lang w:eastAsia="en-AU"/>
              </w:rPr>
              <w:t xml:space="preserve">  65+</w:t>
            </w:r>
          </w:p>
        </w:tc>
        <w:tc>
          <w:tcPr>
            <w:tcW w:w="567" w:type="dxa"/>
            <w:tcBorders>
              <w:top w:val="nil"/>
              <w:left w:val="nil"/>
              <w:bottom w:val="nil"/>
              <w:right w:val="nil"/>
            </w:tcBorders>
            <w:shd w:val="clear" w:color="auto" w:fill="auto"/>
            <w:noWrap/>
            <w:vAlign w:val="bottom"/>
          </w:tcPr>
          <w:p w14:paraId="1F56CD35"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56.8</w:t>
            </w:r>
          </w:p>
        </w:tc>
        <w:tc>
          <w:tcPr>
            <w:tcW w:w="850" w:type="dxa"/>
            <w:tcBorders>
              <w:top w:val="nil"/>
              <w:left w:val="nil"/>
              <w:bottom w:val="nil"/>
              <w:right w:val="nil"/>
            </w:tcBorders>
            <w:shd w:val="clear" w:color="auto" w:fill="auto"/>
            <w:noWrap/>
            <w:vAlign w:val="bottom"/>
          </w:tcPr>
          <w:p w14:paraId="600B3F2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1.07</w:t>
            </w:r>
          </w:p>
        </w:tc>
        <w:tc>
          <w:tcPr>
            <w:tcW w:w="567" w:type="dxa"/>
            <w:tcBorders>
              <w:top w:val="nil"/>
              <w:left w:val="nil"/>
              <w:bottom w:val="nil"/>
              <w:right w:val="nil"/>
            </w:tcBorders>
            <w:shd w:val="clear" w:color="auto" w:fill="auto"/>
            <w:noWrap/>
            <w:vAlign w:val="bottom"/>
          </w:tcPr>
          <w:p w14:paraId="2A8266E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10.7</w:t>
            </w:r>
          </w:p>
        </w:tc>
        <w:tc>
          <w:tcPr>
            <w:tcW w:w="851" w:type="dxa"/>
            <w:tcBorders>
              <w:top w:val="nil"/>
              <w:left w:val="nil"/>
              <w:bottom w:val="nil"/>
              <w:right w:val="nil"/>
            </w:tcBorders>
            <w:shd w:val="clear" w:color="auto" w:fill="auto"/>
            <w:noWrap/>
            <w:vAlign w:val="bottom"/>
          </w:tcPr>
          <w:p w14:paraId="67B36EE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0.12***</w:t>
            </w:r>
          </w:p>
        </w:tc>
        <w:tc>
          <w:tcPr>
            <w:tcW w:w="567" w:type="dxa"/>
            <w:tcBorders>
              <w:top w:val="nil"/>
              <w:left w:val="nil"/>
              <w:bottom w:val="nil"/>
              <w:right w:val="nil"/>
            </w:tcBorders>
            <w:shd w:val="clear" w:color="auto" w:fill="auto"/>
            <w:noWrap/>
            <w:vAlign w:val="bottom"/>
          </w:tcPr>
          <w:p w14:paraId="69B3A2A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27.2</w:t>
            </w:r>
          </w:p>
        </w:tc>
        <w:tc>
          <w:tcPr>
            <w:tcW w:w="850" w:type="dxa"/>
            <w:gridSpan w:val="2"/>
            <w:tcBorders>
              <w:top w:val="nil"/>
              <w:left w:val="nil"/>
              <w:bottom w:val="nil"/>
              <w:right w:val="nil"/>
            </w:tcBorders>
            <w:shd w:val="clear" w:color="auto" w:fill="auto"/>
            <w:noWrap/>
            <w:vAlign w:val="bottom"/>
          </w:tcPr>
          <w:p w14:paraId="2B7507F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1.00</w:t>
            </w:r>
          </w:p>
        </w:tc>
        <w:tc>
          <w:tcPr>
            <w:tcW w:w="567" w:type="dxa"/>
            <w:tcBorders>
              <w:top w:val="nil"/>
              <w:left w:val="nil"/>
              <w:bottom w:val="nil"/>
              <w:right w:val="nil"/>
            </w:tcBorders>
            <w:shd w:val="clear" w:color="auto" w:fill="auto"/>
            <w:noWrap/>
            <w:vAlign w:val="bottom"/>
          </w:tcPr>
          <w:p w14:paraId="43BE5F6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11.4</w:t>
            </w:r>
          </w:p>
        </w:tc>
        <w:tc>
          <w:tcPr>
            <w:tcW w:w="851" w:type="dxa"/>
            <w:tcBorders>
              <w:top w:val="nil"/>
              <w:left w:val="nil"/>
              <w:bottom w:val="nil"/>
              <w:right w:val="nil"/>
            </w:tcBorders>
            <w:shd w:val="clear" w:color="auto" w:fill="auto"/>
            <w:noWrap/>
            <w:vAlign w:val="bottom"/>
          </w:tcPr>
          <w:p w14:paraId="795EA46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1.13</w:t>
            </w:r>
          </w:p>
        </w:tc>
        <w:tc>
          <w:tcPr>
            <w:tcW w:w="567" w:type="dxa"/>
            <w:tcBorders>
              <w:top w:val="nil"/>
              <w:left w:val="nil"/>
              <w:bottom w:val="nil"/>
              <w:right w:val="nil"/>
            </w:tcBorders>
            <w:shd w:val="clear" w:color="auto" w:fill="auto"/>
            <w:noWrap/>
            <w:vAlign w:val="bottom"/>
          </w:tcPr>
          <w:p w14:paraId="3ED5967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23.8</w:t>
            </w:r>
          </w:p>
        </w:tc>
        <w:tc>
          <w:tcPr>
            <w:tcW w:w="850" w:type="dxa"/>
            <w:tcBorders>
              <w:top w:val="nil"/>
              <w:left w:val="nil"/>
              <w:bottom w:val="nil"/>
              <w:right w:val="nil"/>
            </w:tcBorders>
            <w:shd w:val="clear" w:color="auto" w:fill="auto"/>
            <w:noWrap/>
            <w:vAlign w:val="bottom"/>
          </w:tcPr>
          <w:p w14:paraId="22F99903"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3.09***</w:t>
            </w:r>
          </w:p>
        </w:tc>
        <w:tc>
          <w:tcPr>
            <w:tcW w:w="567" w:type="dxa"/>
            <w:tcBorders>
              <w:top w:val="nil"/>
              <w:left w:val="nil"/>
              <w:bottom w:val="nil"/>
              <w:right w:val="nil"/>
            </w:tcBorders>
            <w:shd w:val="clear" w:color="auto" w:fill="auto"/>
            <w:noWrap/>
            <w:vAlign w:val="bottom"/>
          </w:tcPr>
          <w:p w14:paraId="5C6FDCC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8.1</w:t>
            </w:r>
          </w:p>
        </w:tc>
        <w:tc>
          <w:tcPr>
            <w:tcW w:w="851" w:type="dxa"/>
            <w:tcBorders>
              <w:top w:val="nil"/>
              <w:left w:val="nil"/>
              <w:bottom w:val="nil"/>
              <w:right w:val="nil"/>
            </w:tcBorders>
            <w:shd w:val="clear" w:color="auto" w:fill="auto"/>
            <w:noWrap/>
            <w:vAlign w:val="bottom"/>
          </w:tcPr>
          <w:p w14:paraId="4A74E20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0.61***</w:t>
            </w:r>
          </w:p>
        </w:tc>
        <w:tc>
          <w:tcPr>
            <w:tcW w:w="567" w:type="dxa"/>
            <w:tcBorders>
              <w:top w:val="nil"/>
              <w:left w:val="nil"/>
              <w:bottom w:val="nil"/>
              <w:right w:val="nil"/>
            </w:tcBorders>
            <w:shd w:val="clear" w:color="auto" w:fill="auto"/>
            <w:noWrap/>
            <w:vAlign w:val="bottom"/>
          </w:tcPr>
          <w:p w14:paraId="01111C4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0.4</w:t>
            </w:r>
          </w:p>
        </w:tc>
        <w:tc>
          <w:tcPr>
            <w:tcW w:w="850" w:type="dxa"/>
            <w:tcBorders>
              <w:top w:val="nil"/>
              <w:left w:val="nil"/>
              <w:bottom w:val="nil"/>
              <w:right w:val="nil"/>
            </w:tcBorders>
            <w:shd w:val="clear" w:color="auto" w:fill="auto"/>
            <w:noWrap/>
            <w:vAlign w:val="bottom"/>
          </w:tcPr>
          <w:p w14:paraId="0876F743"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0.21**</w:t>
            </w:r>
          </w:p>
        </w:tc>
        <w:tc>
          <w:tcPr>
            <w:tcW w:w="567" w:type="dxa"/>
            <w:tcBorders>
              <w:top w:val="nil"/>
              <w:left w:val="nil"/>
              <w:bottom w:val="nil"/>
              <w:right w:val="nil"/>
            </w:tcBorders>
            <w:shd w:val="clear" w:color="auto" w:fill="auto"/>
            <w:noWrap/>
            <w:vAlign w:val="bottom"/>
          </w:tcPr>
          <w:p w14:paraId="56F8778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0.7</w:t>
            </w:r>
          </w:p>
        </w:tc>
        <w:tc>
          <w:tcPr>
            <w:tcW w:w="851" w:type="dxa"/>
            <w:tcBorders>
              <w:top w:val="nil"/>
              <w:left w:val="nil"/>
              <w:bottom w:val="nil"/>
              <w:right w:val="nil"/>
            </w:tcBorders>
            <w:shd w:val="clear" w:color="auto" w:fill="auto"/>
            <w:noWrap/>
            <w:vAlign w:val="bottom"/>
          </w:tcPr>
          <w:p w14:paraId="150EE94D"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1.25</w:t>
            </w:r>
          </w:p>
        </w:tc>
        <w:tc>
          <w:tcPr>
            <w:tcW w:w="567" w:type="dxa"/>
            <w:tcBorders>
              <w:top w:val="nil"/>
              <w:left w:val="nil"/>
              <w:bottom w:val="nil"/>
              <w:right w:val="nil"/>
            </w:tcBorders>
            <w:shd w:val="clear" w:color="auto" w:fill="auto"/>
            <w:noWrap/>
            <w:vAlign w:val="bottom"/>
          </w:tcPr>
          <w:p w14:paraId="7818EA0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6.6</w:t>
            </w:r>
          </w:p>
        </w:tc>
        <w:tc>
          <w:tcPr>
            <w:tcW w:w="850" w:type="dxa"/>
            <w:tcBorders>
              <w:top w:val="nil"/>
              <w:left w:val="nil"/>
              <w:bottom w:val="nil"/>
              <w:right w:val="nil"/>
            </w:tcBorders>
            <w:shd w:val="clear" w:color="auto" w:fill="auto"/>
            <w:noWrap/>
            <w:vAlign w:val="bottom"/>
          </w:tcPr>
          <w:p w14:paraId="6ED67A6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1.88***</w:t>
            </w:r>
          </w:p>
        </w:tc>
        <w:tc>
          <w:tcPr>
            <w:tcW w:w="709" w:type="dxa"/>
            <w:tcBorders>
              <w:top w:val="nil"/>
              <w:left w:val="nil"/>
              <w:bottom w:val="nil"/>
              <w:right w:val="nil"/>
            </w:tcBorders>
            <w:shd w:val="clear" w:color="auto" w:fill="auto"/>
            <w:noWrap/>
            <w:vAlign w:val="bottom"/>
          </w:tcPr>
          <w:p w14:paraId="3522073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7.6</w:t>
            </w:r>
          </w:p>
        </w:tc>
        <w:tc>
          <w:tcPr>
            <w:tcW w:w="851" w:type="dxa"/>
            <w:tcBorders>
              <w:top w:val="nil"/>
              <w:left w:val="nil"/>
              <w:bottom w:val="nil"/>
              <w:right w:val="nil"/>
            </w:tcBorders>
            <w:shd w:val="clear" w:color="auto" w:fill="auto"/>
            <w:noWrap/>
            <w:vAlign w:val="bottom"/>
          </w:tcPr>
          <w:p w14:paraId="757B044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1.41*</w:t>
            </w:r>
          </w:p>
        </w:tc>
      </w:tr>
      <w:tr w:rsidR="00340DD1" w:rsidRPr="008C5D4B" w14:paraId="0F1AEBB7" w14:textId="77777777" w:rsidTr="00F4602C">
        <w:trPr>
          <w:trHeight w:val="300"/>
        </w:trPr>
        <w:tc>
          <w:tcPr>
            <w:tcW w:w="851" w:type="dxa"/>
            <w:tcBorders>
              <w:top w:val="nil"/>
              <w:left w:val="nil"/>
              <w:bottom w:val="nil"/>
              <w:right w:val="nil"/>
            </w:tcBorders>
            <w:shd w:val="clear" w:color="auto" w:fill="auto"/>
            <w:noWrap/>
            <w:vAlign w:val="center"/>
            <w:hideMark/>
          </w:tcPr>
          <w:p w14:paraId="71C72D43"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Sex</w:t>
            </w:r>
          </w:p>
        </w:tc>
        <w:tc>
          <w:tcPr>
            <w:tcW w:w="567" w:type="dxa"/>
            <w:tcBorders>
              <w:top w:val="nil"/>
              <w:left w:val="nil"/>
              <w:bottom w:val="nil"/>
              <w:right w:val="nil"/>
            </w:tcBorders>
            <w:shd w:val="clear" w:color="auto" w:fill="auto"/>
            <w:noWrap/>
            <w:vAlign w:val="bottom"/>
            <w:hideMark/>
          </w:tcPr>
          <w:p w14:paraId="01204C65"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p>
        </w:tc>
        <w:tc>
          <w:tcPr>
            <w:tcW w:w="850" w:type="dxa"/>
            <w:tcBorders>
              <w:top w:val="nil"/>
              <w:left w:val="nil"/>
              <w:bottom w:val="nil"/>
              <w:right w:val="nil"/>
            </w:tcBorders>
            <w:shd w:val="clear" w:color="auto" w:fill="auto"/>
            <w:noWrap/>
            <w:vAlign w:val="bottom"/>
            <w:hideMark/>
          </w:tcPr>
          <w:p w14:paraId="4F1F654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027D438B"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1A94D5E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5ADEF7C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gridSpan w:val="2"/>
            <w:tcBorders>
              <w:top w:val="nil"/>
              <w:left w:val="nil"/>
              <w:bottom w:val="nil"/>
              <w:right w:val="nil"/>
            </w:tcBorders>
            <w:shd w:val="clear" w:color="auto" w:fill="auto"/>
            <w:noWrap/>
            <w:vAlign w:val="bottom"/>
            <w:hideMark/>
          </w:tcPr>
          <w:p w14:paraId="36D47D9D"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10E3AE3B"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099FB7C6"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4F59CC1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42F7922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2EAECF6A"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0357E8E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5E8EC620"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26539C2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709A7EE6"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72032B9F"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7EAD6C84"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5E290A99"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9" w:type="dxa"/>
            <w:tcBorders>
              <w:top w:val="nil"/>
              <w:left w:val="nil"/>
              <w:bottom w:val="nil"/>
              <w:right w:val="nil"/>
            </w:tcBorders>
            <w:shd w:val="clear" w:color="auto" w:fill="auto"/>
            <w:noWrap/>
            <w:vAlign w:val="bottom"/>
            <w:hideMark/>
          </w:tcPr>
          <w:p w14:paraId="6788792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799CCABF"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r>
      <w:tr w:rsidR="00340DD1" w:rsidRPr="008C5D4B" w14:paraId="549E0FFB" w14:textId="77777777" w:rsidTr="00F4602C">
        <w:trPr>
          <w:trHeight w:val="300"/>
        </w:trPr>
        <w:tc>
          <w:tcPr>
            <w:tcW w:w="851" w:type="dxa"/>
            <w:tcBorders>
              <w:top w:val="nil"/>
              <w:left w:val="nil"/>
              <w:bottom w:val="nil"/>
              <w:right w:val="nil"/>
            </w:tcBorders>
            <w:shd w:val="clear" w:color="auto" w:fill="auto"/>
            <w:noWrap/>
            <w:vAlign w:val="center"/>
            <w:hideMark/>
          </w:tcPr>
          <w:p w14:paraId="16D1755E"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Pr>
                <w:rFonts w:ascii="Calibri" w:eastAsia="Times New Roman" w:hAnsi="Calibri" w:cs="Times New Roman"/>
                <w:b/>
                <w:bCs/>
                <w:color w:val="000000"/>
                <w:sz w:val="18"/>
                <w:szCs w:val="20"/>
                <w:lang w:eastAsia="en-AU"/>
              </w:rPr>
              <w:t xml:space="preserve">  Male</w:t>
            </w:r>
          </w:p>
        </w:tc>
        <w:tc>
          <w:tcPr>
            <w:tcW w:w="567" w:type="dxa"/>
            <w:tcBorders>
              <w:top w:val="nil"/>
              <w:left w:val="nil"/>
              <w:bottom w:val="nil"/>
              <w:right w:val="nil"/>
            </w:tcBorders>
            <w:shd w:val="clear" w:color="auto" w:fill="auto"/>
            <w:noWrap/>
            <w:vAlign w:val="bottom"/>
            <w:hideMark/>
          </w:tcPr>
          <w:p w14:paraId="7C905F3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51.1</w:t>
            </w:r>
          </w:p>
        </w:tc>
        <w:tc>
          <w:tcPr>
            <w:tcW w:w="850" w:type="dxa"/>
            <w:tcBorders>
              <w:top w:val="nil"/>
              <w:left w:val="nil"/>
              <w:bottom w:val="nil"/>
              <w:right w:val="nil"/>
            </w:tcBorders>
            <w:shd w:val="clear" w:color="auto" w:fill="auto"/>
            <w:noWrap/>
            <w:vAlign w:val="bottom"/>
            <w:hideMark/>
          </w:tcPr>
          <w:p w14:paraId="49A22A3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6D3B048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42</w:t>
            </w:r>
            <w:r>
              <w:rPr>
                <w:rFonts w:ascii="Calibri" w:eastAsia="Times New Roman" w:hAnsi="Calibri" w:cs="Times New Roman"/>
                <w:color w:val="000000"/>
                <w:sz w:val="18"/>
                <w:szCs w:val="20"/>
                <w:lang w:eastAsia="en-AU"/>
              </w:rPr>
              <w:t>.0</w:t>
            </w:r>
          </w:p>
        </w:tc>
        <w:tc>
          <w:tcPr>
            <w:tcW w:w="851" w:type="dxa"/>
            <w:tcBorders>
              <w:top w:val="nil"/>
              <w:left w:val="nil"/>
              <w:bottom w:val="nil"/>
              <w:right w:val="nil"/>
            </w:tcBorders>
            <w:shd w:val="clear" w:color="auto" w:fill="auto"/>
            <w:noWrap/>
            <w:vAlign w:val="bottom"/>
            <w:hideMark/>
          </w:tcPr>
          <w:p w14:paraId="0C28B85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11355FB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30.2</w:t>
            </w:r>
          </w:p>
        </w:tc>
        <w:tc>
          <w:tcPr>
            <w:tcW w:w="850" w:type="dxa"/>
            <w:gridSpan w:val="2"/>
            <w:tcBorders>
              <w:top w:val="nil"/>
              <w:left w:val="nil"/>
              <w:bottom w:val="nil"/>
              <w:right w:val="nil"/>
            </w:tcBorders>
            <w:shd w:val="clear" w:color="auto" w:fill="auto"/>
            <w:noWrap/>
            <w:vAlign w:val="bottom"/>
            <w:hideMark/>
          </w:tcPr>
          <w:p w14:paraId="47A4BA9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159793B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12.6</w:t>
            </w:r>
          </w:p>
        </w:tc>
        <w:tc>
          <w:tcPr>
            <w:tcW w:w="851" w:type="dxa"/>
            <w:tcBorders>
              <w:top w:val="nil"/>
              <w:left w:val="nil"/>
              <w:bottom w:val="nil"/>
              <w:right w:val="nil"/>
            </w:tcBorders>
            <w:shd w:val="clear" w:color="auto" w:fill="auto"/>
            <w:noWrap/>
            <w:vAlign w:val="bottom"/>
            <w:hideMark/>
          </w:tcPr>
          <w:p w14:paraId="730AB14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7C404D9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w:t>
            </w:r>
          </w:p>
        </w:tc>
        <w:tc>
          <w:tcPr>
            <w:tcW w:w="850" w:type="dxa"/>
            <w:tcBorders>
              <w:top w:val="nil"/>
              <w:left w:val="nil"/>
              <w:bottom w:val="nil"/>
              <w:right w:val="nil"/>
            </w:tcBorders>
            <w:shd w:val="clear" w:color="auto" w:fill="auto"/>
            <w:noWrap/>
            <w:vAlign w:val="bottom"/>
            <w:hideMark/>
          </w:tcPr>
          <w:p w14:paraId="49EE188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4E3028E5"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w:t>
            </w:r>
          </w:p>
        </w:tc>
        <w:tc>
          <w:tcPr>
            <w:tcW w:w="851" w:type="dxa"/>
            <w:tcBorders>
              <w:top w:val="nil"/>
              <w:left w:val="nil"/>
              <w:bottom w:val="nil"/>
              <w:right w:val="nil"/>
            </w:tcBorders>
            <w:shd w:val="clear" w:color="auto" w:fill="auto"/>
            <w:noWrap/>
            <w:vAlign w:val="bottom"/>
            <w:hideMark/>
          </w:tcPr>
          <w:p w14:paraId="289DACF7"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4401360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2.1</w:t>
            </w:r>
          </w:p>
        </w:tc>
        <w:tc>
          <w:tcPr>
            <w:tcW w:w="850" w:type="dxa"/>
            <w:tcBorders>
              <w:top w:val="nil"/>
              <w:left w:val="nil"/>
              <w:bottom w:val="nil"/>
              <w:right w:val="nil"/>
            </w:tcBorders>
            <w:shd w:val="clear" w:color="auto" w:fill="auto"/>
            <w:noWrap/>
            <w:vAlign w:val="bottom"/>
            <w:hideMark/>
          </w:tcPr>
          <w:p w14:paraId="7D83850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39929A55"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w:t>
            </w:r>
          </w:p>
        </w:tc>
        <w:tc>
          <w:tcPr>
            <w:tcW w:w="851" w:type="dxa"/>
            <w:tcBorders>
              <w:top w:val="nil"/>
              <w:left w:val="nil"/>
              <w:bottom w:val="nil"/>
              <w:right w:val="nil"/>
            </w:tcBorders>
            <w:shd w:val="clear" w:color="auto" w:fill="auto"/>
            <w:noWrap/>
            <w:vAlign w:val="bottom"/>
            <w:hideMark/>
          </w:tcPr>
          <w:p w14:paraId="48378B6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15EC47D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6</w:t>
            </w:r>
          </w:p>
        </w:tc>
        <w:tc>
          <w:tcPr>
            <w:tcW w:w="850" w:type="dxa"/>
            <w:tcBorders>
              <w:top w:val="nil"/>
              <w:left w:val="nil"/>
              <w:bottom w:val="nil"/>
              <w:right w:val="nil"/>
            </w:tcBorders>
            <w:shd w:val="clear" w:color="auto" w:fill="auto"/>
            <w:noWrap/>
            <w:vAlign w:val="bottom"/>
            <w:hideMark/>
          </w:tcPr>
          <w:p w14:paraId="248DA16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709" w:type="dxa"/>
            <w:tcBorders>
              <w:top w:val="nil"/>
              <w:left w:val="nil"/>
              <w:bottom w:val="nil"/>
              <w:right w:val="nil"/>
            </w:tcBorders>
            <w:shd w:val="clear" w:color="auto" w:fill="auto"/>
            <w:noWrap/>
            <w:vAlign w:val="bottom"/>
            <w:hideMark/>
          </w:tcPr>
          <w:p w14:paraId="6875EE7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5.9</w:t>
            </w:r>
          </w:p>
        </w:tc>
        <w:tc>
          <w:tcPr>
            <w:tcW w:w="851" w:type="dxa"/>
            <w:tcBorders>
              <w:top w:val="nil"/>
              <w:left w:val="nil"/>
              <w:bottom w:val="nil"/>
              <w:right w:val="nil"/>
            </w:tcBorders>
            <w:shd w:val="clear" w:color="auto" w:fill="auto"/>
            <w:noWrap/>
            <w:vAlign w:val="bottom"/>
            <w:hideMark/>
          </w:tcPr>
          <w:p w14:paraId="0F4B3E3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r>
      <w:tr w:rsidR="00340DD1" w:rsidRPr="008C5D4B" w14:paraId="1898FFA0" w14:textId="77777777" w:rsidTr="00F4602C">
        <w:trPr>
          <w:trHeight w:val="300"/>
        </w:trPr>
        <w:tc>
          <w:tcPr>
            <w:tcW w:w="851" w:type="dxa"/>
            <w:tcBorders>
              <w:top w:val="nil"/>
              <w:left w:val="nil"/>
              <w:bottom w:val="nil"/>
              <w:right w:val="nil"/>
            </w:tcBorders>
            <w:shd w:val="clear" w:color="auto" w:fill="auto"/>
            <w:noWrap/>
            <w:vAlign w:val="center"/>
            <w:hideMark/>
          </w:tcPr>
          <w:p w14:paraId="4ED7E7C6"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Female</w:t>
            </w:r>
          </w:p>
        </w:tc>
        <w:tc>
          <w:tcPr>
            <w:tcW w:w="567" w:type="dxa"/>
            <w:tcBorders>
              <w:top w:val="nil"/>
              <w:left w:val="nil"/>
              <w:bottom w:val="nil"/>
              <w:right w:val="nil"/>
            </w:tcBorders>
            <w:shd w:val="clear" w:color="auto" w:fill="auto"/>
            <w:noWrap/>
            <w:vAlign w:val="bottom"/>
            <w:hideMark/>
          </w:tcPr>
          <w:p w14:paraId="4BE37DB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54.9</w:t>
            </w:r>
          </w:p>
        </w:tc>
        <w:tc>
          <w:tcPr>
            <w:tcW w:w="850" w:type="dxa"/>
            <w:tcBorders>
              <w:top w:val="nil"/>
              <w:left w:val="nil"/>
              <w:bottom w:val="nil"/>
              <w:right w:val="nil"/>
            </w:tcBorders>
            <w:shd w:val="clear" w:color="auto" w:fill="auto"/>
            <w:noWrap/>
            <w:vAlign w:val="bottom"/>
            <w:hideMark/>
          </w:tcPr>
          <w:p w14:paraId="715B50DD"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1.16**</w:t>
            </w:r>
          </w:p>
        </w:tc>
        <w:tc>
          <w:tcPr>
            <w:tcW w:w="567" w:type="dxa"/>
            <w:tcBorders>
              <w:top w:val="nil"/>
              <w:left w:val="nil"/>
              <w:bottom w:val="nil"/>
              <w:right w:val="nil"/>
            </w:tcBorders>
            <w:shd w:val="clear" w:color="auto" w:fill="auto"/>
            <w:noWrap/>
            <w:vAlign w:val="bottom"/>
            <w:hideMark/>
          </w:tcPr>
          <w:p w14:paraId="573A17A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37.3</w:t>
            </w:r>
          </w:p>
        </w:tc>
        <w:tc>
          <w:tcPr>
            <w:tcW w:w="851" w:type="dxa"/>
            <w:tcBorders>
              <w:top w:val="nil"/>
              <w:left w:val="nil"/>
              <w:bottom w:val="nil"/>
              <w:right w:val="nil"/>
            </w:tcBorders>
            <w:shd w:val="clear" w:color="auto" w:fill="auto"/>
            <w:noWrap/>
            <w:vAlign w:val="bottom"/>
            <w:hideMark/>
          </w:tcPr>
          <w:p w14:paraId="6AA98AAD"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0.82***</w:t>
            </w:r>
          </w:p>
        </w:tc>
        <w:tc>
          <w:tcPr>
            <w:tcW w:w="567" w:type="dxa"/>
            <w:tcBorders>
              <w:top w:val="nil"/>
              <w:left w:val="nil"/>
              <w:bottom w:val="nil"/>
              <w:right w:val="nil"/>
            </w:tcBorders>
            <w:shd w:val="clear" w:color="auto" w:fill="auto"/>
            <w:noWrap/>
            <w:vAlign w:val="bottom"/>
            <w:hideMark/>
          </w:tcPr>
          <w:p w14:paraId="0539ED1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30.8</w:t>
            </w:r>
          </w:p>
        </w:tc>
        <w:tc>
          <w:tcPr>
            <w:tcW w:w="850" w:type="dxa"/>
            <w:gridSpan w:val="2"/>
            <w:tcBorders>
              <w:top w:val="nil"/>
              <w:left w:val="nil"/>
              <w:bottom w:val="nil"/>
              <w:right w:val="nil"/>
            </w:tcBorders>
            <w:shd w:val="clear" w:color="auto" w:fill="auto"/>
            <w:noWrap/>
            <w:vAlign w:val="bottom"/>
            <w:hideMark/>
          </w:tcPr>
          <w:p w14:paraId="1A4A11F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1.03</w:t>
            </w:r>
          </w:p>
        </w:tc>
        <w:tc>
          <w:tcPr>
            <w:tcW w:w="567" w:type="dxa"/>
            <w:tcBorders>
              <w:top w:val="nil"/>
              <w:left w:val="nil"/>
              <w:bottom w:val="nil"/>
              <w:right w:val="nil"/>
            </w:tcBorders>
            <w:shd w:val="clear" w:color="auto" w:fill="auto"/>
            <w:noWrap/>
            <w:vAlign w:val="bottom"/>
            <w:hideMark/>
          </w:tcPr>
          <w:p w14:paraId="26A0969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12.3</w:t>
            </w:r>
          </w:p>
        </w:tc>
        <w:tc>
          <w:tcPr>
            <w:tcW w:w="851" w:type="dxa"/>
            <w:tcBorders>
              <w:top w:val="nil"/>
              <w:left w:val="nil"/>
              <w:bottom w:val="nil"/>
              <w:right w:val="nil"/>
            </w:tcBorders>
            <w:shd w:val="clear" w:color="auto" w:fill="auto"/>
            <w:noWrap/>
            <w:vAlign w:val="bottom"/>
            <w:hideMark/>
          </w:tcPr>
          <w:p w14:paraId="79BEC2F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0.97</w:t>
            </w:r>
          </w:p>
        </w:tc>
        <w:tc>
          <w:tcPr>
            <w:tcW w:w="567" w:type="dxa"/>
            <w:tcBorders>
              <w:top w:val="nil"/>
              <w:left w:val="nil"/>
              <w:bottom w:val="nil"/>
              <w:right w:val="nil"/>
            </w:tcBorders>
            <w:shd w:val="clear" w:color="auto" w:fill="auto"/>
            <w:noWrap/>
            <w:vAlign w:val="bottom"/>
            <w:hideMark/>
          </w:tcPr>
          <w:p w14:paraId="264BB92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12.1</w:t>
            </w:r>
          </w:p>
        </w:tc>
        <w:tc>
          <w:tcPr>
            <w:tcW w:w="850" w:type="dxa"/>
            <w:tcBorders>
              <w:top w:val="nil"/>
              <w:left w:val="nil"/>
              <w:bottom w:val="nil"/>
              <w:right w:val="nil"/>
            </w:tcBorders>
            <w:shd w:val="clear" w:color="auto" w:fill="auto"/>
            <w:noWrap/>
            <w:vAlign w:val="bottom"/>
            <w:hideMark/>
          </w:tcPr>
          <w:p w14:paraId="420B0B9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0.78**</w:t>
            </w:r>
          </w:p>
        </w:tc>
        <w:tc>
          <w:tcPr>
            <w:tcW w:w="567" w:type="dxa"/>
            <w:tcBorders>
              <w:top w:val="nil"/>
              <w:left w:val="nil"/>
              <w:bottom w:val="nil"/>
              <w:right w:val="nil"/>
            </w:tcBorders>
            <w:shd w:val="clear" w:color="auto" w:fill="auto"/>
            <w:noWrap/>
            <w:vAlign w:val="bottom"/>
            <w:hideMark/>
          </w:tcPr>
          <w:p w14:paraId="3CC7CA4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11.7</w:t>
            </w:r>
          </w:p>
        </w:tc>
        <w:tc>
          <w:tcPr>
            <w:tcW w:w="851" w:type="dxa"/>
            <w:tcBorders>
              <w:top w:val="nil"/>
              <w:left w:val="nil"/>
              <w:bottom w:val="nil"/>
              <w:right w:val="nil"/>
            </w:tcBorders>
            <w:shd w:val="clear" w:color="auto" w:fill="auto"/>
            <w:noWrap/>
            <w:vAlign w:val="bottom"/>
            <w:hideMark/>
          </w:tcPr>
          <w:p w14:paraId="57A8421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0.88</w:t>
            </w:r>
          </w:p>
        </w:tc>
        <w:tc>
          <w:tcPr>
            <w:tcW w:w="567" w:type="dxa"/>
            <w:tcBorders>
              <w:top w:val="nil"/>
              <w:left w:val="nil"/>
              <w:bottom w:val="nil"/>
              <w:right w:val="nil"/>
            </w:tcBorders>
            <w:shd w:val="clear" w:color="auto" w:fill="auto"/>
            <w:noWrap/>
            <w:vAlign w:val="bottom"/>
            <w:hideMark/>
          </w:tcPr>
          <w:p w14:paraId="6CFC319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w:t>
            </w:r>
            <w:r>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hideMark/>
          </w:tcPr>
          <w:p w14:paraId="22074167"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0.48**</w:t>
            </w:r>
          </w:p>
        </w:tc>
        <w:tc>
          <w:tcPr>
            <w:tcW w:w="567" w:type="dxa"/>
            <w:tcBorders>
              <w:top w:val="nil"/>
              <w:left w:val="nil"/>
              <w:bottom w:val="nil"/>
              <w:right w:val="nil"/>
            </w:tcBorders>
            <w:shd w:val="clear" w:color="auto" w:fill="auto"/>
            <w:noWrap/>
            <w:vAlign w:val="bottom"/>
            <w:hideMark/>
          </w:tcPr>
          <w:p w14:paraId="0B64D447"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w:t>
            </w:r>
          </w:p>
        </w:tc>
        <w:tc>
          <w:tcPr>
            <w:tcW w:w="851" w:type="dxa"/>
            <w:tcBorders>
              <w:top w:val="nil"/>
              <w:left w:val="nil"/>
              <w:bottom w:val="nil"/>
              <w:right w:val="nil"/>
            </w:tcBorders>
            <w:shd w:val="clear" w:color="auto" w:fill="auto"/>
            <w:noWrap/>
            <w:vAlign w:val="bottom"/>
            <w:hideMark/>
          </w:tcPr>
          <w:p w14:paraId="363062B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0.73</w:t>
            </w:r>
          </w:p>
        </w:tc>
        <w:tc>
          <w:tcPr>
            <w:tcW w:w="567" w:type="dxa"/>
            <w:tcBorders>
              <w:top w:val="nil"/>
              <w:left w:val="nil"/>
              <w:bottom w:val="nil"/>
              <w:right w:val="nil"/>
            </w:tcBorders>
            <w:shd w:val="clear" w:color="auto" w:fill="auto"/>
            <w:noWrap/>
            <w:vAlign w:val="bottom"/>
            <w:hideMark/>
          </w:tcPr>
          <w:p w14:paraId="7946CAE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3.7</w:t>
            </w:r>
          </w:p>
        </w:tc>
        <w:tc>
          <w:tcPr>
            <w:tcW w:w="850" w:type="dxa"/>
            <w:tcBorders>
              <w:top w:val="nil"/>
              <w:left w:val="nil"/>
              <w:bottom w:val="nil"/>
              <w:right w:val="nil"/>
            </w:tcBorders>
            <w:shd w:val="clear" w:color="auto" w:fill="auto"/>
            <w:noWrap/>
            <w:vAlign w:val="bottom"/>
            <w:hideMark/>
          </w:tcPr>
          <w:p w14:paraId="2BE41A3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0.61***</w:t>
            </w:r>
          </w:p>
        </w:tc>
        <w:tc>
          <w:tcPr>
            <w:tcW w:w="709" w:type="dxa"/>
            <w:tcBorders>
              <w:top w:val="nil"/>
              <w:left w:val="nil"/>
              <w:bottom w:val="nil"/>
              <w:right w:val="nil"/>
            </w:tcBorders>
            <w:shd w:val="clear" w:color="auto" w:fill="auto"/>
            <w:noWrap/>
            <w:vAlign w:val="bottom"/>
            <w:hideMark/>
          </w:tcPr>
          <w:p w14:paraId="68CEF005"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6.6</w:t>
            </w:r>
          </w:p>
        </w:tc>
        <w:tc>
          <w:tcPr>
            <w:tcW w:w="851" w:type="dxa"/>
            <w:tcBorders>
              <w:top w:val="nil"/>
              <w:left w:val="nil"/>
              <w:bottom w:val="nil"/>
              <w:right w:val="nil"/>
            </w:tcBorders>
            <w:shd w:val="clear" w:color="auto" w:fill="auto"/>
            <w:noWrap/>
            <w:vAlign w:val="bottom"/>
            <w:hideMark/>
          </w:tcPr>
          <w:p w14:paraId="65DADE8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1.14</w:t>
            </w:r>
          </w:p>
        </w:tc>
      </w:tr>
      <w:tr w:rsidR="00340DD1" w:rsidRPr="008C5D4B" w14:paraId="1BFCCFB1" w14:textId="77777777" w:rsidTr="00F4602C">
        <w:trPr>
          <w:trHeight w:val="300"/>
        </w:trPr>
        <w:tc>
          <w:tcPr>
            <w:tcW w:w="851" w:type="dxa"/>
            <w:tcBorders>
              <w:top w:val="nil"/>
              <w:left w:val="nil"/>
              <w:bottom w:val="single" w:sz="4" w:space="0" w:color="auto"/>
              <w:right w:val="nil"/>
            </w:tcBorders>
            <w:shd w:val="clear" w:color="auto" w:fill="auto"/>
            <w:noWrap/>
            <w:vAlign w:val="center"/>
            <w:hideMark/>
          </w:tcPr>
          <w:p w14:paraId="40935146"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Total</w:t>
            </w:r>
          </w:p>
        </w:tc>
        <w:tc>
          <w:tcPr>
            <w:tcW w:w="567" w:type="dxa"/>
            <w:tcBorders>
              <w:top w:val="nil"/>
              <w:left w:val="nil"/>
              <w:bottom w:val="single" w:sz="4" w:space="0" w:color="auto"/>
              <w:right w:val="nil"/>
            </w:tcBorders>
            <w:shd w:val="clear" w:color="auto" w:fill="auto"/>
            <w:noWrap/>
            <w:vAlign w:val="bottom"/>
            <w:hideMark/>
          </w:tcPr>
          <w:p w14:paraId="6EA1D47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52.9</w:t>
            </w:r>
          </w:p>
        </w:tc>
        <w:tc>
          <w:tcPr>
            <w:tcW w:w="850" w:type="dxa"/>
            <w:tcBorders>
              <w:top w:val="nil"/>
              <w:left w:val="nil"/>
              <w:bottom w:val="single" w:sz="4" w:space="0" w:color="auto"/>
              <w:right w:val="nil"/>
            </w:tcBorders>
            <w:shd w:val="clear" w:color="auto" w:fill="auto"/>
            <w:noWrap/>
            <w:vAlign w:val="bottom"/>
            <w:hideMark/>
          </w:tcPr>
          <w:p w14:paraId="516040C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74A2F09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39.8</w:t>
            </w:r>
          </w:p>
        </w:tc>
        <w:tc>
          <w:tcPr>
            <w:tcW w:w="851" w:type="dxa"/>
            <w:tcBorders>
              <w:top w:val="nil"/>
              <w:left w:val="nil"/>
              <w:bottom w:val="single" w:sz="4" w:space="0" w:color="auto"/>
              <w:right w:val="nil"/>
            </w:tcBorders>
            <w:shd w:val="clear" w:color="auto" w:fill="auto"/>
            <w:noWrap/>
            <w:vAlign w:val="bottom"/>
            <w:hideMark/>
          </w:tcPr>
          <w:p w14:paraId="29F4647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1FBFD9A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30.5</w:t>
            </w:r>
          </w:p>
        </w:tc>
        <w:tc>
          <w:tcPr>
            <w:tcW w:w="850" w:type="dxa"/>
            <w:gridSpan w:val="2"/>
            <w:tcBorders>
              <w:top w:val="nil"/>
              <w:left w:val="nil"/>
              <w:bottom w:val="single" w:sz="4" w:space="0" w:color="auto"/>
              <w:right w:val="nil"/>
            </w:tcBorders>
            <w:shd w:val="clear" w:color="auto" w:fill="auto"/>
            <w:noWrap/>
            <w:vAlign w:val="bottom"/>
            <w:hideMark/>
          </w:tcPr>
          <w:p w14:paraId="1E0E28D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2040E6D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12.4</w:t>
            </w:r>
          </w:p>
        </w:tc>
        <w:tc>
          <w:tcPr>
            <w:tcW w:w="851" w:type="dxa"/>
            <w:tcBorders>
              <w:top w:val="nil"/>
              <w:left w:val="nil"/>
              <w:bottom w:val="single" w:sz="4" w:space="0" w:color="auto"/>
              <w:right w:val="nil"/>
            </w:tcBorders>
            <w:shd w:val="clear" w:color="auto" w:fill="auto"/>
            <w:noWrap/>
            <w:vAlign w:val="bottom"/>
            <w:hideMark/>
          </w:tcPr>
          <w:p w14:paraId="74E59FA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282B7F3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13.7</w:t>
            </w:r>
          </w:p>
        </w:tc>
        <w:tc>
          <w:tcPr>
            <w:tcW w:w="850" w:type="dxa"/>
            <w:tcBorders>
              <w:top w:val="nil"/>
              <w:left w:val="nil"/>
              <w:bottom w:val="single" w:sz="4" w:space="0" w:color="auto"/>
              <w:right w:val="nil"/>
            </w:tcBorders>
            <w:shd w:val="clear" w:color="auto" w:fill="auto"/>
            <w:noWrap/>
            <w:vAlign w:val="bottom"/>
            <w:hideMark/>
          </w:tcPr>
          <w:p w14:paraId="27BB88C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607B8F3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12.4</w:t>
            </w:r>
          </w:p>
        </w:tc>
        <w:tc>
          <w:tcPr>
            <w:tcW w:w="851" w:type="dxa"/>
            <w:tcBorders>
              <w:top w:val="nil"/>
              <w:left w:val="nil"/>
              <w:bottom w:val="single" w:sz="4" w:space="0" w:color="auto"/>
              <w:right w:val="nil"/>
            </w:tcBorders>
            <w:shd w:val="clear" w:color="auto" w:fill="auto"/>
            <w:noWrap/>
            <w:vAlign w:val="bottom"/>
            <w:hideMark/>
          </w:tcPr>
          <w:p w14:paraId="7F32F98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619C0FE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r>
              <w:rPr>
                <w:rFonts w:ascii="Calibri" w:eastAsia="Times New Roman" w:hAnsi="Calibri" w:cs="Times New Roman"/>
                <w:color w:val="000000"/>
                <w:sz w:val="18"/>
                <w:szCs w:val="20"/>
                <w:lang w:eastAsia="en-AU"/>
              </w:rPr>
              <w:t>1.6</w:t>
            </w:r>
          </w:p>
        </w:tc>
        <w:tc>
          <w:tcPr>
            <w:tcW w:w="850" w:type="dxa"/>
            <w:tcBorders>
              <w:top w:val="nil"/>
              <w:left w:val="nil"/>
              <w:bottom w:val="single" w:sz="4" w:space="0" w:color="auto"/>
              <w:right w:val="nil"/>
            </w:tcBorders>
            <w:shd w:val="clear" w:color="auto" w:fill="auto"/>
            <w:noWrap/>
            <w:vAlign w:val="bottom"/>
            <w:hideMark/>
          </w:tcPr>
          <w:p w14:paraId="3B1BED69"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396FA7B7"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r>
              <w:rPr>
                <w:rFonts w:ascii="Calibri" w:eastAsia="Times New Roman" w:hAnsi="Calibri" w:cs="Times New Roman"/>
                <w:color w:val="000000"/>
                <w:sz w:val="18"/>
                <w:szCs w:val="20"/>
                <w:lang w:eastAsia="en-AU"/>
              </w:rPr>
              <w:t>0.6</w:t>
            </w:r>
          </w:p>
        </w:tc>
        <w:tc>
          <w:tcPr>
            <w:tcW w:w="851" w:type="dxa"/>
            <w:tcBorders>
              <w:top w:val="nil"/>
              <w:left w:val="nil"/>
              <w:bottom w:val="single" w:sz="4" w:space="0" w:color="auto"/>
              <w:right w:val="nil"/>
            </w:tcBorders>
            <w:shd w:val="clear" w:color="auto" w:fill="auto"/>
            <w:noWrap/>
            <w:vAlign w:val="bottom"/>
            <w:hideMark/>
          </w:tcPr>
          <w:p w14:paraId="0B81F7C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140ADD5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r>
              <w:rPr>
                <w:rFonts w:ascii="Calibri" w:eastAsia="Times New Roman" w:hAnsi="Calibri" w:cs="Times New Roman"/>
                <w:color w:val="000000"/>
                <w:sz w:val="18"/>
                <w:szCs w:val="20"/>
                <w:lang w:eastAsia="en-AU"/>
              </w:rPr>
              <w:t>4.9</w:t>
            </w:r>
          </w:p>
        </w:tc>
        <w:tc>
          <w:tcPr>
            <w:tcW w:w="850" w:type="dxa"/>
            <w:tcBorders>
              <w:top w:val="nil"/>
              <w:left w:val="nil"/>
              <w:bottom w:val="single" w:sz="4" w:space="0" w:color="auto"/>
              <w:right w:val="nil"/>
            </w:tcBorders>
            <w:shd w:val="clear" w:color="auto" w:fill="auto"/>
            <w:noWrap/>
            <w:vAlign w:val="bottom"/>
            <w:hideMark/>
          </w:tcPr>
          <w:p w14:paraId="7FDA22D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709" w:type="dxa"/>
            <w:tcBorders>
              <w:top w:val="nil"/>
              <w:left w:val="nil"/>
              <w:bottom w:val="single" w:sz="4" w:space="0" w:color="auto"/>
              <w:right w:val="nil"/>
            </w:tcBorders>
            <w:shd w:val="clear" w:color="auto" w:fill="auto"/>
            <w:noWrap/>
            <w:vAlign w:val="bottom"/>
            <w:hideMark/>
          </w:tcPr>
          <w:p w14:paraId="6E77F3A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r>
              <w:rPr>
                <w:rFonts w:ascii="Calibri" w:eastAsia="Times New Roman" w:hAnsi="Calibri" w:cs="Times New Roman"/>
                <w:color w:val="000000"/>
                <w:sz w:val="18"/>
                <w:szCs w:val="20"/>
                <w:lang w:eastAsia="en-AU"/>
              </w:rPr>
              <w:t>6.2</w:t>
            </w:r>
          </w:p>
        </w:tc>
        <w:tc>
          <w:tcPr>
            <w:tcW w:w="851" w:type="dxa"/>
            <w:tcBorders>
              <w:top w:val="nil"/>
              <w:left w:val="nil"/>
              <w:bottom w:val="single" w:sz="4" w:space="0" w:color="auto"/>
              <w:right w:val="nil"/>
            </w:tcBorders>
            <w:shd w:val="clear" w:color="auto" w:fill="auto"/>
            <w:noWrap/>
            <w:vAlign w:val="bottom"/>
            <w:hideMark/>
          </w:tcPr>
          <w:p w14:paraId="0ACAAA8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r>
      <w:tr w:rsidR="00340DD1" w:rsidRPr="008C5D4B" w14:paraId="5C3468D0" w14:textId="77777777" w:rsidTr="00F4602C">
        <w:trPr>
          <w:trHeight w:val="300"/>
        </w:trPr>
        <w:tc>
          <w:tcPr>
            <w:tcW w:w="15168" w:type="dxa"/>
            <w:gridSpan w:val="22"/>
            <w:tcBorders>
              <w:top w:val="single" w:sz="4" w:space="0" w:color="auto"/>
              <w:left w:val="nil"/>
              <w:bottom w:val="single" w:sz="4" w:space="0" w:color="auto"/>
              <w:right w:val="nil"/>
            </w:tcBorders>
            <w:shd w:val="clear" w:color="auto" w:fill="auto"/>
            <w:noWrap/>
            <w:vAlign w:val="center"/>
            <w:hideMark/>
          </w:tcPr>
          <w:p w14:paraId="4CB87A30" w14:textId="77777777" w:rsidR="00340DD1" w:rsidRPr="008C5D4B" w:rsidRDefault="00340DD1" w:rsidP="00F4602C">
            <w:pPr>
              <w:spacing w:after="0" w:line="240" w:lineRule="auto"/>
              <w:jc w:val="center"/>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Reasons for </w:t>
            </w:r>
            <w:r>
              <w:rPr>
                <w:rFonts w:ascii="Calibri" w:eastAsia="Times New Roman" w:hAnsi="Calibri" w:cs="Times New Roman"/>
                <w:b/>
                <w:bCs/>
                <w:color w:val="000000"/>
                <w:sz w:val="18"/>
                <w:szCs w:val="20"/>
                <w:lang w:eastAsia="en-AU"/>
              </w:rPr>
              <w:t>ceasing d</w:t>
            </w:r>
            <w:r w:rsidRPr="008C5D4B">
              <w:rPr>
                <w:rFonts w:ascii="Calibri" w:eastAsia="Times New Roman" w:hAnsi="Calibri" w:cs="Times New Roman"/>
                <w:b/>
                <w:bCs/>
                <w:color w:val="000000"/>
                <w:sz w:val="18"/>
                <w:szCs w:val="20"/>
                <w:lang w:eastAsia="en-AU"/>
              </w:rPr>
              <w:t>rinking</w:t>
            </w:r>
          </w:p>
        </w:tc>
      </w:tr>
      <w:tr w:rsidR="00340DD1" w:rsidRPr="008C5D4B" w14:paraId="65F41D3C" w14:textId="77777777" w:rsidTr="00F4602C">
        <w:trPr>
          <w:trHeight w:val="300"/>
        </w:trPr>
        <w:tc>
          <w:tcPr>
            <w:tcW w:w="851" w:type="dxa"/>
            <w:tcBorders>
              <w:top w:val="nil"/>
              <w:left w:val="nil"/>
              <w:bottom w:val="nil"/>
              <w:right w:val="nil"/>
            </w:tcBorders>
            <w:shd w:val="clear" w:color="auto" w:fill="auto"/>
            <w:noWrap/>
            <w:vAlign w:val="center"/>
            <w:hideMark/>
          </w:tcPr>
          <w:p w14:paraId="61A5EA8C"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Age</w:t>
            </w:r>
          </w:p>
        </w:tc>
        <w:tc>
          <w:tcPr>
            <w:tcW w:w="567" w:type="dxa"/>
            <w:tcBorders>
              <w:top w:val="nil"/>
              <w:left w:val="nil"/>
              <w:bottom w:val="nil"/>
              <w:right w:val="nil"/>
            </w:tcBorders>
            <w:shd w:val="clear" w:color="auto" w:fill="auto"/>
            <w:noWrap/>
            <w:vAlign w:val="bottom"/>
            <w:hideMark/>
          </w:tcPr>
          <w:p w14:paraId="3523E7C8"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p>
        </w:tc>
        <w:tc>
          <w:tcPr>
            <w:tcW w:w="850" w:type="dxa"/>
            <w:tcBorders>
              <w:top w:val="nil"/>
              <w:left w:val="nil"/>
              <w:bottom w:val="nil"/>
              <w:right w:val="nil"/>
            </w:tcBorders>
            <w:shd w:val="clear" w:color="auto" w:fill="auto"/>
            <w:noWrap/>
            <w:vAlign w:val="bottom"/>
            <w:hideMark/>
          </w:tcPr>
          <w:p w14:paraId="3D7FC53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69BD957C"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291CB354"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4D186BF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9" w:type="dxa"/>
            <w:tcBorders>
              <w:top w:val="nil"/>
              <w:left w:val="nil"/>
              <w:bottom w:val="nil"/>
              <w:right w:val="nil"/>
            </w:tcBorders>
            <w:shd w:val="clear" w:color="auto" w:fill="auto"/>
            <w:noWrap/>
            <w:vAlign w:val="bottom"/>
            <w:hideMark/>
          </w:tcPr>
          <w:p w14:paraId="3CF2C363"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8" w:type="dxa"/>
            <w:gridSpan w:val="2"/>
            <w:tcBorders>
              <w:top w:val="nil"/>
              <w:left w:val="nil"/>
              <w:bottom w:val="nil"/>
              <w:right w:val="nil"/>
            </w:tcBorders>
            <w:shd w:val="clear" w:color="auto" w:fill="auto"/>
            <w:noWrap/>
            <w:vAlign w:val="bottom"/>
            <w:hideMark/>
          </w:tcPr>
          <w:p w14:paraId="483E92F1"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2398098F"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1AB37CE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72CB8E7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062588A9"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68F860A2"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1BA00B42"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65DCA5BC"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5CCF176E"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0FC2B3A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3B72B53B"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3A9F6EAD"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9" w:type="dxa"/>
            <w:tcBorders>
              <w:top w:val="nil"/>
              <w:left w:val="nil"/>
              <w:bottom w:val="nil"/>
              <w:right w:val="nil"/>
            </w:tcBorders>
            <w:shd w:val="clear" w:color="auto" w:fill="auto"/>
            <w:noWrap/>
            <w:vAlign w:val="bottom"/>
            <w:hideMark/>
          </w:tcPr>
          <w:p w14:paraId="1165BF50"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07691916"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r>
      <w:tr w:rsidR="00340DD1" w:rsidRPr="008C5D4B" w14:paraId="1B33F540" w14:textId="77777777" w:rsidTr="00F4602C">
        <w:trPr>
          <w:trHeight w:val="300"/>
        </w:trPr>
        <w:tc>
          <w:tcPr>
            <w:tcW w:w="851" w:type="dxa"/>
            <w:tcBorders>
              <w:top w:val="nil"/>
              <w:left w:val="nil"/>
              <w:bottom w:val="nil"/>
              <w:right w:val="nil"/>
            </w:tcBorders>
            <w:shd w:val="clear" w:color="auto" w:fill="auto"/>
            <w:noWrap/>
            <w:vAlign w:val="center"/>
            <w:hideMark/>
          </w:tcPr>
          <w:p w14:paraId="61126222"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14-17</w:t>
            </w:r>
          </w:p>
        </w:tc>
        <w:tc>
          <w:tcPr>
            <w:tcW w:w="567" w:type="dxa"/>
            <w:tcBorders>
              <w:top w:val="nil"/>
              <w:left w:val="nil"/>
              <w:bottom w:val="nil"/>
              <w:right w:val="nil"/>
            </w:tcBorders>
            <w:shd w:val="clear" w:color="auto" w:fill="auto"/>
            <w:noWrap/>
            <w:vAlign w:val="bottom"/>
            <w:hideMark/>
          </w:tcPr>
          <w:p w14:paraId="194B9C4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20.7</w:t>
            </w:r>
          </w:p>
        </w:tc>
        <w:tc>
          <w:tcPr>
            <w:tcW w:w="850" w:type="dxa"/>
            <w:tcBorders>
              <w:top w:val="nil"/>
              <w:left w:val="nil"/>
              <w:bottom w:val="nil"/>
              <w:right w:val="nil"/>
            </w:tcBorders>
            <w:shd w:val="clear" w:color="auto" w:fill="auto"/>
            <w:noWrap/>
            <w:vAlign w:val="bottom"/>
            <w:hideMark/>
          </w:tcPr>
          <w:p w14:paraId="04B809A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0.34*</w:t>
            </w:r>
          </w:p>
        </w:tc>
        <w:tc>
          <w:tcPr>
            <w:tcW w:w="567" w:type="dxa"/>
            <w:tcBorders>
              <w:top w:val="nil"/>
              <w:left w:val="nil"/>
              <w:bottom w:val="nil"/>
              <w:right w:val="nil"/>
            </w:tcBorders>
            <w:shd w:val="clear" w:color="auto" w:fill="auto"/>
            <w:noWrap/>
            <w:vAlign w:val="bottom"/>
            <w:hideMark/>
          </w:tcPr>
          <w:p w14:paraId="2357BAD7"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33.3</w:t>
            </w:r>
          </w:p>
        </w:tc>
        <w:tc>
          <w:tcPr>
            <w:tcW w:w="851" w:type="dxa"/>
            <w:tcBorders>
              <w:top w:val="nil"/>
              <w:left w:val="nil"/>
              <w:bottom w:val="nil"/>
              <w:right w:val="nil"/>
            </w:tcBorders>
            <w:shd w:val="clear" w:color="auto" w:fill="auto"/>
            <w:noWrap/>
            <w:vAlign w:val="bottom"/>
            <w:hideMark/>
          </w:tcPr>
          <w:p w14:paraId="77A79C2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0.73</w:t>
            </w:r>
          </w:p>
        </w:tc>
        <w:tc>
          <w:tcPr>
            <w:tcW w:w="567" w:type="dxa"/>
            <w:tcBorders>
              <w:top w:val="nil"/>
              <w:left w:val="nil"/>
              <w:bottom w:val="nil"/>
              <w:right w:val="nil"/>
            </w:tcBorders>
            <w:shd w:val="clear" w:color="auto" w:fill="auto"/>
            <w:noWrap/>
            <w:vAlign w:val="bottom"/>
            <w:hideMark/>
          </w:tcPr>
          <w:p w14:paraId="741E5A0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35.7</w:t>
            </w:r>
          </w:p>
        </w:tc>
        <w:tc>
          <w:tcPr>
            <w:tcW w:w="709" w:type="dxa"/>
            <w:tcBorders>
              <w:top w:val="nil"/>
              <w:left w:val="nil"/>
              <w:bottom w:val="nil"/>
              <w:right w:val="nil"/>
            </w:tcBorders>
            <w:shd w:val="clear" w:color="auto" w:fill="auto"/>
            <w:noWrap/>
            <w:vAlign w:val="bottom"/>
            <w:hideMark/>
          </w:tcPr>
          <w:p w14:paraId="4B70EB67"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1.77</w:t>
            </w:r>
          </w:p>
        </w:tc>
        <w:tc>
          <w:tcPr>
            <w:tcW w:w="708" w:type="dxa"/>
            <w:gridSpan w:val="2"/>
            <w:tcBorders>
              <w:top w:val="nil"/>
              <w:left w:val="nil"/>
              <w:bottom w:val="nil"/>
              <w:right w:val="nil"/>
            </w:tcBorders>
            <w:shd w:val="clear" w:color="auto" w:fill="auto"/>
            <w:noWrap/>
            <w:vAlign w:val="bottom"/>
            <w:hideMark/>
          </w:tcPr>
          <w:p w14:paraId="4603AA0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19.9</w:t>
            </w:r>
          </w:p>
        </w:tc>
        <w:tc>
          <w:tcPr>
            <w:tcW w:w="851" w:type="dxa"/>
            <w:tcBorders>
              <w:top w:val="nil"/>
              <w:left w:val="nil"/>
              <w:bottom w:val="nil"/>
              <w:right w:val="nil"/>
            </w:tcBorders>
            <w:shd w:val="clear" w:color="auto" w:fill="auto"/>
            <w:noWrap/>
            <w:vAlign w:val="bottom"/>
            <w:hideMark/>
          </w:tcPr>
          <w:p w14:paraId="159FBA8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2.14</w:t>
            </w:r>
          </w:p>
        </w:tc>
        <w:tc>
          <w:tcPr>
            <w:tcW w:w="567" w:type="dxa"/>
            <w:tcBorders>
              <w:top w:val="nil"/>
              <w:left w:val="nil"/>
              <w:bottom w:val="nil"/>
              <w:right w:val="nil"/>
            </w:tcBorders>
            <w:shd w:val="clear" w:color="auto" w:fill="auto"/>
            <w:noWrap/>
            <w:vAlign w:val="bottom"/>
            <w:hideMark/>
          </w:tcPr>
          <w:p w14:paraId="2BC4501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8.3</w:t>
            </w:r>
          </w:p>
        </w:tc>
        <w:tc>
          <w:tcPr>
            <w:tcW w:w="850" w:type="dxa"/>
            <w:tcBorders>
              <w:top w:val="nil"/>
              <w:left w:val="nil"/>
              <w:bottom w:val="nil"/>
              <w:right w:val="nil"/>
            </w:tcBorders>
            <w:shd w:val="clear" w:color="auto" w:fill="auto"/>
            <w:noWrap/>
            <w:vAlign w:val="bottom"/>
            <w:hideMark/>
          </w:tcPr>
          <w:p w14:paraId="254099C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1.43</w:t>
            </w:r>
          </w:p>
        </w:tc>
        <w:tc>
          <w:tcPr>
            <w:tcW w:w="567" w:type="dxa"/>
            <w:tcBorders>
              <w:top w:val="nil"/>
              <w:left w:val="nil"/>
              <w:bottom w:val="nil"/>
              <w:right w:val="nil"/>
            </w:tcBorders>
            <w:shd w:val="clear" w:color="auto" w:fill="auto"/>
            <w:noWrap/>
            <w:vAlign w:val="bottom"/>
            <w:hideMark/>
          </w:tcPr>
          <w:p w14:paraId="3A576B7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2.2</w:t>
            </w:r>
          </w:p>
        </w:tc>
        <w:tc>
          <w:tcPr>
            <w:tcW w:w="851" w:type="dxa"/>
            <w:tcBorders>
              <w:top w:val="nil"/>
              <w:left w:val="nil"/>
              <w:bottom w:val="nil"/>
              <w:right w:val="nil"/>
            </w:tcBorders>
            <w:shd w:val="clear" w:color="auto" w:fill="auto"/>
            <w:noWrap/>
            <w:vAlign w:val="bottom"/>
            <w:hideMark/>
          </w:tcPr>
          <w:p w14:paraId="46C177D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0.26</w:t>
            </w:r>
          </w:p>
        </w:tc>
        <w:tc>
          <w:tcPr>
            <w:tcW w:w="567" w:type="dxa"/>
            <w:tcBorders>
              <w:top w:val="nil"/>
              <w:left w:val="nil"/>
              <w:bottom w:val="nil"/>
              <w:right w:val="nil"/>
            </w:tcBorders>
            <w:shd w:val="clear" w:color="auto" w:fill="auto"/>
            <w:noWrap/>
            <w:vAlign w:val="bottom"/>
            <w:hideMark/>
          </w:tcPr>
          <w:p w14:paraId="07201A67"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14.8</w:t>
            </w:r>
          </w:p>
        </w:tc>
        <w:tc>
          <w:tcPr>
            <w:tcW w:w="850" w:type="dxa"/>
            <w:tcBorders>
              <w:top w:val="nil"/>
              <w:left w:val="nil"/>
              <w:bottom w:val="nil"/>
              <w:right w:val="nil"/>
            </w:tcBorders>
            <w:shd w:val="clear" w:color="auto" w:fill="auto"/>
            <w:noWrap/>
            <w:vAlign w:val="bottom"/>
            <w:hideMark/>
          </w:tcPr>
          <w:p w14:paraId="75A18EF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9.35***</w:t>
            </w:r>
          </w:p>
        </w:tc>
        <w:tc>
          <w:tcPr>
            <w:tcW w:w="567" w:type="dxa"/>
            <w:tcBorders>
              <w:top w:val="nil"/>
              <w:left w:val="nil"/>
              <w:bottom w:val="nil"/>
              <w:right w:val="nil"/>
            </w:tcBorders>
            <w:shd w:val="clear" w:color="auto" w:fill="auto"/>
            <w:noWrap/>
            <w:vAlign w:val="bottom"/>
            <w:hideMark/>
          </w:tcPr>
          <w:p w14:paraId="51F6D11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3.3</w:t>
            </w:r>
          </w:p>
        </w:tc>
        <w:tc>
          <w:tcPr>
            <w:tcW w:w="851" w:type="dxa"/>
            <w:tcBorders>
              <w:top w:val="nil"/>
              <w:left w:val="nil"/>
              <w:bottom w:val="nil"/>
              <w:right w:val="nil"/>
            </w:tcBorders>
            <w:shd w:val="clear" w:color="auto" w:fill="auto"/>
            <w:noWrap/>
            <w:vAlign w:val="bottom"/>
            <w:hideMark/>
          </w:tcPr>
          <w:p w14:paraId="04BFD86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4.02</w:t>
            </w:r>
          </w:p>
        </w:tc>
        <w:tc>
          <w:tcPr>
            <w:tcW w:w="567" w:type="dxa"/>
            <w:tcBorders>
              <w:top w:val="nil"/>
              <w:left w:val="nil"/>
              <w:bottom w:val="nil"/>
              <w:right w:val="nil"/>
            </w:tcBorders>
            <w:shd w:val="clear" w:color="auto" w:fill="auto"/>
            <w:noWrap/>
            <w:vAlign w:val="bottom"/>
            <w:hideMark/>
          </w:tcPr>
          <w:p w14:paraId="4EDD2BE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hideMark/>
          </w:tcPr>
          <w:p w14:paraId="15EAF46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709" w:type="dxa"/>
            <w:tcBorders>
              <w:top w:val="nil"/>
              <w:left w:val="nil"/>
              <w:bottom w:val="nil"/>
              <w:right w:val="nil"/>
            </w:tcBorders>
            <w:shd w:val="clear" w:color="auto" w:fill="auto"/>
            <w:noWrap/>
            <w:vAlign w:val="bottom"/>
            <w:hideMark/>
          </w:tcPr>
          <w:p w14:paraId="71AEA39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37.6</w:t>
            </w:r>
          </w:p>
        </w:tc>
        <w:tc>
          <w:tcPr>
            <w:tcW w:w="851" w:type="dxa"/>
            <w:tcBorders>
              <w:top w:val="nil"/>
              <w:left w:val="nil"/>
              <w:bottom w:val="nil"/>
              <w:right w:val="nil"/>
            </w:tcBorders>
            <w:shd w:val="clear" w:color="auto" w:fill="auto"/>
            <w:noWrap/>
            <w:vAlign w:val="bottom"/>
            <w:hideMark/>
          </w:tcPr>
          <w:p w14:paraId="53C72DC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4.87***</w:t>
            </w:r>
          </w:p>
        </w:tc>
      </w:tr>
      <w:tr w:rsidR="00340DD1" w:rsidRPr="008C5D4B" w14:paraId="26568ACC" w14:textId="77777777" w:rsidTr="00F4602C">
        <w:trPr>
          <w:trHeight w:val="300"/>
        </w:trPr>
        <w:tc>
          <w:tcPr>
            <w:tcW w:w="851" w:type="dxa"/>
            <w:tcBorders>
              <w:top w:val="nil"/>
              <w:left w:val="nil"/>
              <w:bottom w:val="nil"/>
              <w:right w:val="nil"/>
            </w:tcBorders>
            <w:shd w:val="clear" w:color="auto" w:fill="auto"/>
            <w:noWrap/>
            <w:vAlign w:val="center"/>
            <w:hideMark/>
          </w:tcPr>
          <w:p w14:paraId="33545671"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18-23</w:t>
            </w:r>
          </w:p>
        </w:tc>
        <w:tc>
          <w:tcPr>
            <w:tcW w:w="567" w:type="dxa"/>
            <w:tcBorders>
              <w:top w:val="nil"/>
              <w:left w:val="nil"/>
              <w:bottom w:val="nil"/>
              <w:right w:val="nil"/>
            </w:tcBorders>
            <w:shd w:val="clear" w:color="auto" w:fill="auto"/>
            <w:noWrap/>
            <w:vAlign w:val="bottom"/>
            <w:hideMark/>
          </w:tcPr>
          <w:p w14:paraId="4584FDC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33.3</w:t>
            </w:r>
          </w:p>
        </w:tc>
        <w:tc>
          <w:tcPr>
            <w:tcW w:w="850" w:type="dxa"/>
            <w:tcBorders>
              <w:top w:val="nil"/>
              <w:left w:val="nil"/>
              <w:bottom w:val="nil"/>
              <w:right w:val="nil"/>
            </w:tcBorders>
            <w:shd w:val="clear" w:color="auto" w:fill="auto"/>
            <w:noWrap/>
            <w:vAlign w:val="bottom"/>
            <w:hideMark/>
          </w:tcPr>
          <w:p w14:paraId="1A077A4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0.65</w:t>
            </w:r>
          </w:p>
        </w:tc>
        <w:tc>
          <w:tcPr>
            <w:tcW w:w="567" w:type="dxa"/>
            <w:tcBorders>
              <w:top w:val="nil"/>
              <w:left w:val="nil"/>
              <w:bottom w:val="nil"/>
              <w:right w:val="nil"/>
            </w:tcBorders>
            <w:shd w:val="clear" w:color="auto" w:fill="auto"/>
            <w:noWrap/>
            <w:vAlign w:val="bottom"/>
            <w:hideMark/>
          </w:tcPr>
          <w:p w14:paraId="2BEAD33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48.6</w:t>
            </w:r>
          </w:p>
        </w:tc>
        <w:tc>
          <w:tcPr>
            <w:tcW w:w="851" w:type="dxa"/>
            <w:tcBorders>
              <w:top w:val="nil"/>
              <w:left w:val="nil"/>
              <w:bottom w:val="nil"/>
              <w:right w:val="nil"/>
            </w:tcBorders>
            <w:shd w:val="clear" w:color="auto" w:fill="auto"/>
            <w:noWrap/>
            <w:vAlign w:val="bottom"/>
            <w:hideMark/>
          </w:tcPr>
          <w:p w14:paraId="6AB6455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1.39</w:t>
            </w:r>
          </w:p>
        </w:tc>
        <w:tc>
          <w:tcPr>
            <w:tcW w:w="567" w:type="dxa"/>
            <w:tcBorders>
              <w:top w:val="nil"/>
              <w:left w:val="nil"/>
              <w:bottom w:val="nil"/>
              <w:right w:val="nil"/>
            </w:tcBorders>
            <w:shd w:val="clear" w:color="auto" w:fill="auto"/>
            <w:noWrap/>
            <w:vAlign w:val="bottom"/>
            <w:hideMark/>
          </w:tcPr>
          <w:p w14:paraId="6D8E07D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29.1</w:t>
            </w:r>
          </w:p>
        </w:tc>
        <w:tc>
          <w:tcPr>
            <w:tcW w:w="709" w:type="dxa"/>
            <w:tcBorders>
              <w:top w:val="nil"/>
              <w:left w:val="nil"/>
              <w:bottom w:val="nil"/>
              <w:right w:val="nil"/>
            </w:tcBorders>
            <w:shd w:val="clear" w:color="auto" w:fill="auto"/>
            <w:noWrap/>
            <w:vAlign w:val="bottom"/>
            <w:hideMark/>
          </w:tcPr>
          <w:p w14:paraId="7CCEE37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1.31</w:t>
            </w:r>
          </w:p>
        </w:tc>
        <w:tc>
          <w:tcPr>
            <w:tcW w:w="708" w:type="dxa"/>
            <w:gridSpan w:val="2"/>
            <w:tcBorders>
              <w:top w:val="nil"/>
              <w:left w:val="nil"/>
              <w:bottom w:val="nil"/>
              <w:right w:val="nil"/>
            </w:tcBorders>
            <w:shd w:val="clear" w:color="auto" w:fill="auto"/>
            <w:noWrap/>
            <w:vAlign w:val="bottom"/>
            <w:hideMark/>
          </w:tcPr>
          <w:p w14:paraId="27FA61A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13.5</w:t>
            </w:r>
          </w:p>
        </w:tc>
        <w:tc>
          <w:tcPr>
            <w:tcW w:w="851" w:type="dxa"/>
            <w:tcBorders>
              <w:top w:val="nil"/>
              <w:left w:val="nil"/>
              <w:bottom w:val="nil"/>
              <w:right w:val="nil"/>
            </w:tcBorders>
            <w:shd w:val="clear" w:color="auto" w:fill="auto"/>
            <w:noWrap/>
            <w:vAlign w:val="bottom"/>
            <w:hideMark/>
          </w:tcPr>
          <w:p w14:paraId="4B81B191"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1.34</w:t>
            </w:r>
          </w:p>
        </w:tc>
        <w:tc>
          <w:tcPr>
            <w:tcW w:w="567" w:type="dxa"/>
            <w:tcBorders>
              <w:top w:val="nil"/>
              <w:left w:val="nil"/>
              <w:bottom w:val="nil"/>
              <w:right w:val="nil"/>
            </w:tcBorders>
            <w:shd w:val="clear" w:color="auto" w:fill="auto"/>
            <w:noWrap/>
            <w:vAlign w:val="bottom"/>
            <w:hideMark/>
          </w:tcPr>
          <w:p w14:paraId="4985D65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w:t>
            </w:r>
            <w:r>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hideMark/>
          </w:tcPr>
          <w:p w14:paraId="2E7D09E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1.95</w:t>
            </w:r>
          </w:p>
        </w:tc>
        <w:tc>
          <w:tcPr>
            <w:tcW w:w="567" w:type="dxa"/>
            <w:tcBorders>
              <w:top w:val="nil"/>
              <w:left w:val="nil"/>
              <w:bottom w:val="nil"/>
              <w:right w:val="nil"/>
            </w:tcBorders>
            <w:shd w:val="clear" w:color="auto" w:fill="auto"/>
            <w:noWrap/>
            <w:vAlign w:val="bottom"/>
            <w:hideMark/>
          </w:tcPr>
          <w:p w14:paraId="0DF16FC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13.1</w:t>
            </w:r>
          </w:p>
        </w:tc>
        <w:tc>
          <w:tcPr>
            <w:tcW w:w="851" w:type="dxa"/>
            <w:tcBorders>
              <w:top w:val="nil"/>
              <w:left w:val="nil"/>
              <w:bottom w:val="nil"/>
              <w:right w:val="nil"/>
            </w:tcBorders>
            <w:shd w:val="clear" w:color="auto" w:fill="auto"/>
            <w:noWrap/>
            <w:vAlign w:val="bottom"/>
            <w:hideMark/>
          </w:tcPr>
          <w:p w14:paraId="025B14F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1.74</w:t>
            </w:r>
          </w:p>
        </w:tc>
        <w:tc>
          <w:tcPr>
            <w:tcW w:w="567" w:type="dxa"/>
            <w:tcBorders>
              <w:top w:val="nil"/>
              <w:left w:val="nil"/>
              <w:bottom w:val="nil"/>
              <w:right w:val="nil"/>
            </w:tcBorders>
            <w:shd w:val="clear" w:color="auto" w:fill="auto"/>
            <w:noWrap/>
            <w:vAlign w:val="bottom"/>
            <w:hideMark/>
          </w:tcPr>
          <w:p w14:paraId="7B402D7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w:t>
            </w:r>
          </w:p>
        </w:tc>
        <w:tc>
          <w:tcPr>
            <w:tcW w:w="850" w:type="dxa"/>
            <w:tcBorders>
              <w:top w:val="nil"/>
              <w:left w:val="nil"/>
              <w:bottom w:val="nil"/>
              <w:right w:val="nil"/>
            </w:tcBorders>
            <w:shd w:val="clear" w:color="auto" w:fill="auto"/>
            <w:noWrap/>
            <w:vAlign w:val="bottom"/>
            <w:hideMark/>
          </w:tcPr>
          <w:p w14:paraId="681DBB2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0.44</w:t>
            </w:r>
          </w:p>
        </w:tc>
        <w:tc>
          <w:tcPr>
            <w:tcW w:w="567" w:type="dxa"/>
            <w:tcBorders>
              <w:top w:val="nil"/>
              <w:left w:val="nil"/>
              <w:bottom w:val="nil"/>
              <w:right w:val="nil"/>
            </w:tcBorders>
            <w:shd w:val="clear" w:color="auto" w:fill="auto"/>
            <w:noWrap/>
            <w:vAlign w:val="bottom"/>
            <w:hideMark/>
          </w:tcPr>
          <w:p w14:paraId="57A18E2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w:t>
            </w:r>
          </w:p>
        </w:tc>
        <w:tc>
          <w:tcPr>
            <w:tcW w:w="851" w:type="dxa"/>
            <w:tcBorders>
              <w:top w:val="nil"/>
              <w:left w:val="nil"/>
              <w:bottom w:val="nil"/>
              <w:right w:val="nil"/>
            </w:tcBorders>
            <w:shd w:val="clear" w:color="auto" w:fill="auto"/>
            <w:noWrap/>
            <w:vAlign w:val="bottom"/>
            <w:hideMark/>
          </w:tcPr>
          <w:p w14:paraId="6BD63BF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1.82</w:t>
            </w:r>
          </w:p>
        </w:tc>
        <w:tc>
          <w:tcPr>
            <w:tcW w:w="567" w:type="dxa"/>
            <w:tcBorders>
              <w:top w:val="nil"/>
              <w:left w:val="nil"/>
              <w:bottom w:val="nil"/>
              <w:right w:val="nil"/>
            </w:tcBorders>
            <w:shd w:val="clear" w:color="auto" w:fill="auto"/>
            <w:noWrap/>
            <w:vAlign w:val="bottom"/>
            <w:hideMark/>
          </w:tcPr>
          <w:p w14:paraId="14C8350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w:t>
            </w:r>
            <w:r>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hideMark/>
          </w:tcPr>
          <w:p w14:paraId="5FA5FD9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2.59</w:t>
            </w:r>
          </w:p>
        </w:tc>
        <w:tc>
          <w:tcPr>
            <w:tcW w:w="709" w:type="dxa"/>
            <w:tcBorders>
              <w:top w:val="nil"/>
              <w:left w:val="nil"/>
              <w:bottom w:val="nil"/>
              <w:right w:val="nil"/>
            </w:tcBorders>
            <w:shd w:val="clear" w:color="auto" w:fill="auto"/>
            <w:noWrap/>
            <w:vAlign w:val="bottom"/>
            <w:hideMark/>
          </w:tcPr>
          <w:p w14:paraId="7DFF6E3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20.4</w:t>
            </w:r>
          </w:p>
        </w:tc>
        <w:tc>
          <w:tcPr>
            <w:tcW w:w="851" w:type="dxa"/>
            <w:tcBorders>
              <w:top w:val="nil"/>
              <w:left w:val="nil"/>
              <w:bottom w:val="nil"/>
              <w:right w:val="nil"/>
            </w:tcBorders>
            <w:shd w:val="clear" w:color="auto" w:fill="auto"/>
            <w:noWrap/>
            <w:vAlign w:val="bottom"/>
            <w:hideMark/>
          </w:tcPr>
          <w:p w14:paraId="4B340953"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2.07*</w:t>
            </w:r>
          </w:p>
        </w:tc>
      </w:tr>
      <w:tr w:rsidR="00340DD1" w:rsidRPr="008C5D4B" w14:paraId="19A96085" w14:textId="77777777" w:rsidTr="00F4602C">
        <w:trPr>
          <w:trHeight w:val="300"/>
        </w:trPr>
        <w:tc>
          <w:tcPr>
            <w:tcW w:w="851" w:type="dxa"/>
            <w:tcBorders>
              <w:top w:val="nil"/>
              <w:left w:val="nil"/>
              <w:bottom w:val="nil"/>
              <w:right w:val="nil"/>
            </w:tcBorders>
            <w:shd w:val="clear" w:color="auto" w:fill="auto"/>
            <w:noWrap/>
            <w:vAlign w:val="center"/>
            <w:hideMark/>
          </w:tcPr>
          <w:p w14:paraId="61177F30"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24-29</w:t>
            </w:r>
          </w:p>
        </w:tc>
        <w:tc>
          <w:tcPr>
            <w:tcW w:w="567" w:type="dxa"/>
            <w:tcBorders>
              <w:top w:val="nil"/>
              <w:left w:val="nil"/>
              <w:bottom w:val="nil"/>
              <w:right w:val="nil"/>
            </w:tcBorders>
            <w:shd w:val="clear" w:color="auto" w:fill="auto"/>
            <w:noWrap/>
            <w:vAlign w:val="bottom"/>
            <w:hideMark/>
          </w:tcPr>
          <w:p w14:paraId="5D772E6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32.7</w:t>
            </w:r>
          </w:p>
        </w:tc>
        <w:tc>
          <w:tcPr>
            <w:tcW w:w="850" w:type="dxa"/>
            <w:tcBorders>
              <w:top w:val="nil"/>
              <w:left w:val="nil"/>
              <w:bottom w:val="nil"/>
              <w:right w:val="nil"/>
            </w:tcBorders>
            <w:shd w:val="clear" w:color="auto" w:fill="auto"/>
            <w:noWrap/>
            <w:vAlign w:val="bottom"/>
            <w:hideMark/>
          </w:tcPr>
          <w:p w14:paraId="403CEB3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0.64</w:t>
            </w:r>
          </w:p>
        </w:tc>
        <w:tc>
          <w:tcPr>
            <w:tcW w:w="567" w:type="dxa"/>
            <w:tcBorders>
              <w:top w:val="nil"/>
              <w:left w:val="nil"/>
              <w:bottom w:val="nil"/>
              <w:right w:val="nil"/>
            </w:tcBorders>
            <w:shd w:val="clear" w:color="auto" w:fill="auto"/>
            <w:noWrap/>
            <w:vAlign w:val="bottom"/>
            <w:hideMark/>
          </w:tcPr>
          <w:p w14:paraId="7C18216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31.8</w:t>
            </w:r>
          </w:p>
        </w:tc>
        <w:tc>
          <w:tcPr>
            <w:tcW w:w="851" w:type="dxa"/>
            <w:tcBorders>
              <w:top w:val="nil"/>
              <w:left w:val="nil"/>
              <w:bottom w:val="nil"/>
              <w:right w:val="nil"/>
            </w:tcBorders>
            <w:shd w:val="clear" w:color="auto" w:fill="auto"/>
            <w:noWrap/>
            <w:vAlign w:val="bottom"/>
            <w:hideMark/>
          </w:tcPr>
          <w:p w14:paraId="44C63B6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0.68</w:t>
            </w:r>
          </w:p>
        </w:tc>
        <w:tc>
          <w:tcPr>
            <w:tcW w:w="567" w:type="dxa"/>
            <w:tcBorders>
              <w:top w:val="nil"/>
              <w:left w:val="nil"/>
              <w:bottom w:val="nil"/>
              <w:right w:val="nil"/>
            </w:tcBorders>
            <w:shd w:val="clear" w:color="auto" w:fill="auto"/>
            <w:noWrap/>
            <w:vAlign w:val="bottom"/>
            <w:hideMark/>
          </w:tcPr>
          <w:p w14:paraId="03E1568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16.9</w:t>
            </w:r>
          </w:p>
        </w:tc>
        <w:tc>
          <w:tcPr>
            <w:tcW w:w="709" w:type="dxa"/>
            <w:tcBorders>
              <w:top w:val="nil"/>
              <w:left w:val="nil"/>
              <w:bottom w:val="nil"/>
              <w:right w:val="nil"/>
            </w:tcBorders>
            <w:shd w:val="clear" w:color="auto" w:fill="auto"/>
            <w:noWrap/>
            <w:vAlign w:val="bottom"/>
            <w:hideMark/>
          </w:tcPr>
          <w:p w14:paraId="76C2364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0.65</w:t>
            </w:r>
          </w:p>
        </w:tc>
        <w:tc>
          <w:tcPr>
            <w:tcW w:w="708" w:type="dxa"/>
            <w:gridSpan w:val="2"/>
            <w:tcBorders>
              <w:top w:val="nil"/>
              <w:left w:val="nil"/>
              <w:bottom w:val="nil"/>
              <w:right w:val="nil"/>
            </w:tcBorders>
            <w:shd w:val="clear" w:color="auto" w:fill="auto"/>
            <w:noWrap/>
            <w:vAlign w:val="bottom"/>
            <w:hideMark/>
          </w:tcPr>
          <w:p w14:paraId="13A9914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8.1</w:t>
            </w:r>
          </w:p>
        </w:tc>
        <w:tc>
          <w:tcPr>
            <w:tcW w:w="851" w:type="dxa"/>
            <w:tcBorders>
              <w:top w:val="nil"/>
              <w:left w:val="nil"/>
              <w:bottom w:val="nil"/>
              <w:right w:val="nil"/>
            </w:tcBorders>
            <w:shd w:val="clear" w:color="auto" w:fill="auto"/>
            <w:noWrap/>
            <w:vAlign w:val="bottom"/>
            <w:hideMark/>
          </w:tcPr>
          <w:p w14:paraId="6B36DC8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0.76</w:t>
            </w:r>
          </w:p>
        </w:tc>
        <w:tc>
          <w:tcPr>
            <w:tcW w:w="567" w:type="dxa"/>
            <w:tcBorders>
              <w:top w:val="nil"/>
              <w:left w:val="nil"/>
              <w:bottom w:val="nil"/>
              <w:right w:val="nil"/>
            </w:tcBorders>
            <w:shd w:val="clear" w:color="auto" w:fill="auto"/>
            <w:noWrap/>
            <w:vAlign w:val="bottom"/>
            <w:hideMark/>
          </w:tcPr>
          <w:p w14:paraId="32B8214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2.6</w:t>
            </w:r>
          </w:p>
        </w:tc>
        <w:tc>
          <w:tcPr>
            <w:tcW w:w="850" w:type="dxa"/>
            <w:tcBorders>
              <w:top w:val="nil"/>
              <w:left w:val="nil"/>
              <w:bottom w:val="nil"/>
              <w:right w:val="nil"/>
            </w:tcBorders>
            <w:shd w:val="clear" w:color="auto" w:fill="auto"/>
            <w:noWrap/>
            <w:vAlign w:val="bottom"/>
            <w:hideMark/>
          </w:tcPr>
          <w:p w14:paraId="5CE19DF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0.41</w:t>
            </w:r>
          </w:p>
        </w:tc>
        <w:tc>
          <w:tcPr>
            <w:tcW w:w="567" w:type="dxa"/>
            <w:tcBorders>
              <w:top w:val="nil"/>
              <w:left w:val="nil"/>
              <w:bottom w:val="nil"/>
              <w:right w:val="nil"/>
            </w:tcBorders>
            <w:shd w:val="clear" w:color="auto" w:fill="auto"/>
            <w:noWrap/>
            <w:vAlign w:val="bottom"/>
            <w:hideMark/>
          </w:tcPr>
          <w:p w14:paraId="56772D7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7.8</w:t>
            </w:r>
          </w:p>
        </w:tc>
        <w:tc>
          <w:tcPr>
            <w:tcW w:w="851" w:type="dxa"/>
            <w:tcBorders>
              <w:top w:val="nil"/>
              <w:left w:val="nil"/>
              <w:bottom w:val="nil"/>
              <w:right w:val="nil"/>
            </w:tcBorders>
            <w:shd w:val="clear" w:color="auto" w:fill="auto"/>
            <w:noWrap/>
            <w:vAlign w:val="bottom"/>
            <w:hideMark/>
          </w:tcPr>
          <w:p w14:paraId="3518AC77"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0.97</w:t>
            </w:r>
          </w:p>
        </w:tc>
        <w:tc>
          <w:tcPr>
            <w:tcW w:w="567" w:type="dxa"/>
            <w:tcBorders>
              <w:top w:val="nil"/>
              <w:left w:val="nil"/>
              <w:bottom w:val="nil"/>
              <w:right w:val="nil"/>
            </w:tcBorders>
            <w:shd w:val="clear" w:color="auto" w:fill="auto"/>
            <w:noWrap/>
            <w:vAlign w:val="bottom"/>
            <w:hideMark/>
          </w:tcPr>
          <w:p w14:paraId="0E9D1079"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hideMark/>
          </w:tcPr>
          <w:p w14:paraId="3A8DB11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68D0D0D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0.3</w:t>
            </w:r>
          </w:p>
        </w:tc>
        <w:tc>
          <w:tcPr>
            <w:tcW w:w="851" w:type="dxa"/>
            <w:tcBorders>
              <w:top w:val="nil"/>
              <w:left w:val="nil"/>
              <w:bottom w:val="nil"/>
              <w:right w:val="nil"/>
            </w:tcBorders>
            <w:shd w:val="clear" w:color="auto" w:fill="auto"/>
            <w:noWrap/>
            <w:vAlign w:val="bottom"/>
            <w:hideMark/>
          </w:tcPr>
          <w:p w14:paraId="2DE7EAF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0.29</w:t>
            </w:r>
          </w:p>
        </w:tc>
        <w:tc>
          <w:tcPr>
            <w:tcW w:w="567" w:type="dxa"/>
            <w:tcBorders>
              <w:top w:val="nil"/>
              <w:left w:val="nil"/>
              <w:bottom w:val="nil"/>
              <w:right w:val="nil"/>
            </w:tcBorders>
            <w:shd w:val="clear" w:color="auto" w:fill="auto"/>
            <w:noWrap/>
            <w:vAlign w:val="bottom"/>
            <w:hideMark/>
          </w:tcPr>
          <w:p w14:paraId="352E0E67"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w:t>
            </w:r>
          </w:p>
        </w:tc>
        <w:tc>
          <w:tcPr>
            <w:tcW w:w="850" w:type="dxa"/>
            <w:tcBorders>
              <w:top w:val="nil"/>
              <w:left w:val="nil"/>
              <w:bottom w:val="nil"/>
              <w:right w:val="nil"/>
            </w:tcBorders>
            <w:shd w:val="clear" w:color="auto" w:fill="auto"/>
            <w:noWrap/>
            <w:vAlign w:val="bottom"/>
            <w:hideMark/>
          </w:tcPr>
          <w:p w14:paraId="42EB44E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0.57</w:t>
            </w:r>
          </w:p>
        </w:tc>
        <w:tc>
          <w:tcPr>
            <w:tcW w:w="709" w:type="dxa"/>
            <w:tcBorders>
              <w:top w:val="nil"/>
              <w:left w:val="nil"/>
              <w:bottom w:val="nil"/>
              <w:right w:val="nil"/>
            </w:tcBorders>
            <w:shd w:val="clear" w:color="auto" w:fill="auto"/>
            <w:noWrap/>
            <w:vAlign w:val="bottom"/>
            <w:hideMark/>
          </w:tcPr>
          <w:p w14:paraId="56BE662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17.8</w:t>
            </w:r>
          </w:p>
        </w:tc>
        <w:tc>
          <w:tcPr>
            <w:tcW w:w="851" w:type="dxa"/>
            <w:tcBorders>
              <w:top w:val="nil"/>
              <w:left w:val="nil"/>
              <w:bottom w:val="nil"/>
              <w:right w:val="nil"/>
            </w:tcBorders>
            <w:shd w:val="clear" w:color="auto" w:fill="auto"/>
            <w:noWrap/>
            <w:vAlign w:val="bottom"/>
            <w:hideMark/>
          </w:tcPr>
          <w:p w14:paraId="6162782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1.77</w:t>
            </w:r>
          </w:p>
        </w:tc>
      </w:tr>
      <w:tr w:rsidR="00340DD1" w:rsidRPr="008C5D4B" w14:paraId="63E048B3" w14:textId="77777777" w:rsidTr="00F4602C">
        <w:trPr>
          <w:trHeight w:val="300"/>
        </w:trPr>
        <w:tc>
          <w:tcPr>
            <w:tcW w:w="851" w:type="dxa"/>
            <w:tcBorders>
              <w:top w:val="nil"/>
              <w:left w:val="nil"/>
              <w:bottom w:val="nil"/>
              <w:right w:val="nil"/>
            </w:tcBorders>
            <w:shd w:val="clear" w:color="auto" w:fill="auto"/>
            <w:noWrap/>
            <w:vAlign w:val="center"/>
            <w:hideMark/>
          </w:tcPr>
          <w:p w14:paraId="11E87FB3"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Pr>
                <w:rFonts w:ascii="Calibri" w:eastAsia="Times New Roman" w:hAnsi="Calibri" w:cs="Times New Roman"/>
                <w:b/>
                <w:bCs/>
                <w:color w:val="000000"/>
                <w:sz w:val="18"/>
                <w:szCs w:val="20"/>
                <w:lang w:eastAsia="en-AU"/>
              </w:rPr>
              <w:t xml:space="preserve">  30-49</w:t>
            </w:r>
          </w:p>
        </w:tc>
        <w:tc>
          <w:tcPr>
            <w:tcW w:w="567" w:type="dxa"/>
            <w:tcBorders>
              <w:top w:val="nil"/>
              <w:left w:val="nil"/>
              <w:bottom w:val="nil"/>
              <w:right w:val="nil"/>
            </w:tcBorders>
            <w:shd w:val="clear" w:color="auto" w:fill="auto"/>
            <w:noWrap/>
            <w:vAlign w:val="bottom"/>
            <w:hideMark/>
          </w:tcPr>
          <w:p w14:paraId="1F779E0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43.2</w:t>
            </w:r>
          </w:p>
        </w:tc>
        <w:tc>
          <w:tcPr>
            <w:tcW w:w="850" w:type="dxa"/>
            <w:tcBorders>
              <w:top w:val="nil"/>
              <w:left w:val="nil"/>
              <w:bottom w:val="nil"/>
              <w:right w:val="nil"/>
            </w:tcBorders>
            <w:shd w:val="clear" w:color="auto" w:fill="auto"/>
            <w:noWrap/>
            <w:vAlign w:val="bottom"/>
            <w:hideMark/>
          </w:tcPr>
          <w:p w14:paraId="4AF6BF5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771696E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40.5</w:t>
            </w:r>
          </w:p>
        </w:tc>
        <w:tc>
          <w:tcPr>
            <w:tcW w:w="851" w:type="dxa"/>
            <w:tcBorders>
              <w:top w:val="nil"/>
              <w:left w:val="nil"/>
              <w:bottom w:val="nil"/>
              <w:right w:val="nil"/>
            </w:tcBorders>
            <w:shd w:val="clear" w:color="auto" w:fill="auto"/>
            <w:noWrap/>
            <w:vAlign w:val="bottom"/>
            <w:hideMark/>
          </w:tcPr>
          <w:p w14:paraId="38A7641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08B7E0A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23.9</w:t>
            </w:r>
          </w:p>
        </w:tc>
        <w:tc>
          <w:tcPr>
            <w:tcW w:w="709" w:type="dxa"/>
            <w:tcBorders>
              <w:top w:val="nil"/>
              <w:left w:val="nil"/>
              <w:bottom w:val="nil"/>
              <w:right w:val="nil"/>
            </w:tcBorders>
            <w:shd w:val="clear" w:color="auto" w:fill="auto"/>
            <w:noWrap/>
            <w:vAlign w:val="bottom"/>
            <w:hideMark/>
          </w:tcPr>
          <w:p w14:paraId="1131809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708" w:type="dxa"/>
            <w:gridSpan w:val="2"/>
            <w:tcBorders>
              <w:top w:val="nil"/>
              <w:left w:val="nil"/>
              <w:bottom w:val="nil"/>
              <w:right w:val="nil"/>
            </w:tcBorders>
            <w:shd w:val="clear" w:color="auto" w:fill="auto"/>
            <w:noWrap/>
            <w:vAlign w:val="bottom"/>
            <w:hideMark/>
          </w:tcPr>
          <w:p w14:paraId="331FF81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10.4</w:t>
            </w:r>
          </w:p>
        </w:tc>
        <w:tc>
          <w:tcPr>
            <w:tcW w:w="851" w:type="dxa"/>
            <w:tcBorders>
              <w:top w:val="nil"/>
              <w:left w:val="nil"/>
              <w:bottom w:val="nil"/>
              <w:right w:val="nil"/>
            </w:tcBorders>
            <w:shd w:val="clear" w:color="auto" w:fill="auto"/>
            <w:noWrap/>
            <w:vAlign w:val="bottom"/>
            <w:hideMark/>
          </w:tcPr>
          <w:p w14:paraId="6C7DDAF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3345B6D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5.9</w:t>
            </w:r>
          </w:p>
        </w:tc>
        <w:tc>
          <w:tcPr>
            <w:tcW w:w="850" w:type="dxa"/>
            <w:tcBorders>
              <w:top w:val="nil"/>
              <w:left w:val="nil"/>
              <w:bottom w:val="nil"/>
              <w:right w:val="nil"/>
            </w:tcBorders>
            <w:shd w:val="clear" w:color="auto" w:fill="auto"/>
            <w:noWrap/>
            <w:vAlign w:val="bottom"/>
            <w:hideMark/>
          </w:tcPr>
          <w:p w14:paraId="1484BEE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439CB1D5"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w:t>
            </w:r>
            <w:r>
              <w:rPr>
                <w:rFonts w:ascii="Calibri" w:eastAsia="Times New Roman" w:hAnsi="Calibri" w:cs="Times New Roman"/>
                <w:color w:val="000000"/>
                <w:sz w:val="18"/>
                <w:szCs w:val="20"/>
                <w:lang w:eastAsia="en-AU"/>
              </w:rPr>
              <w:t>.0</w:t>
            </w:r>
          </w:p>
        </w:tc>
        <w:tc>
          <w:tcPr>
            <w:tcW w:w="851" w:type="dxa"/>
            <w:tcBorders>
              <w:top w:val="nil"/>
              <w:left w:val="nil"/>
              <w:bottom w:val="nil"/>
              <w:right w:val="nil"/>
            </w:tcBorders>
            <w:shd w:val="clear" w:color="auto" w:fill="auto"/>
            <w:noWrap/>
            <w:vAlign w:val="bottom"/>
            <w:hideMark/>
          </w:tcPr>
          <w:p w14:paraId="6D5F134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7372FE3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1.8</w:t>
            </w:r>
          </w:p>
        </w:tc>
        <w:tc>
          <w:tcPr>
            <w:tcW w:w="850" w:type="dxa"/>
            <w:tcBorders>
              <w:top w:val="nil"/>
              <w:left w:val="nil"/>
              <w:bottom w:val="nil"/>
              <w:right w:val="nil"/>
            </w:tcBorders>
            <w:shd w:val="clear" w:color="auto" w:fill="auto"/>
            <w:noWrap/>
            <w:vAlign w:val="bottom"/>
            <w:hideMark/>
          </w:tcPr>
          <w:p w14:paraId="1D8EFD5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1198B99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0.1</w:t>
            </w:r>
          </w:p>
        </w:tc>
        <w:tc>
          <w:tcPr>
            <w:tcW w:w="851" w:type="dxa"/>
            <w:tcBorders>
              <w:top w:val="nil"/>
              <w:left w:val="nil"/>
              <w:bottom w:val="nil"/>
              <w:right w:val="nil"/>
            </w:tcBorders>
            <w:shd w:val="clear" w:color="auto" w:fill="auto"/>
            <w:noWrap/>
            <w:vAlign w:val="bottom"/>
            <w:hideMark/>
          </w:tcPr>
          <w:p w14:paraId="2B155D7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6DAF056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w:t>
            </w:r>
            <w:r>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hideMark/>
          </w:tcPr>
          <w:p w14:paraId="6E70221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709" w:type="dxa"/>
            <w:tcBorders>
              <w:top w:val="nil"/>
              <w:left w:val="nil"/>
              <w:bottom w:val="nil"/>
              <w:right w:val="nil"/>
            </w:tcBorders>
            <w:shd w:val="clear" w:color="auto" w:fill="auto"/>
            <w:noWrap/>
            <w:vAlign w:val="bottom"/>
            <w:hideMark/>
          </w:tcPr>
          <w:p w14:paraId="5ED8404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w:t>
            </w:r>
            <w:r>
              <w:rPr>
                <w:rFonts w:ascii="Calibri" w:eastAsia="Times New Roman" w:hAnsi="Calibri" w:cs="Times New Roman"/>
                <w:color w:val="000000"/>
                <w:sz w:val="18"/>
                <w:szCs w:val="20"/>
                <w:lang w:eastAsia="en-AU"/>
              </w:rPr>
              <w:t>.0</w:t>
            </w:r>
          </w:p>
        </w:tc>
        <w:tc>
          <w:tcPr>
            <w:tcW w:w="851" w:type="dxa"/>
            <w:tcBorders>
              <w:top w:val="nil"/>
              <w:left w:val="nil"/>
              <w:bottom w:val="nil"/>
              <w:right w:val="nil"/>
            </w:tcBorders>
            <w:shd w:val="clear" w:color="auto" w:fill="auto"/>
            <w:noWrap/>
            <w:vAlign w:val="bottom"/>
            <w:hideMark/>
          </w:tcPr>
          <w:p w14:paraId="29274DC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r>
      <w:tr w:rsidR="00340DD1" w:rsidRPr="008C5D4B" w14:paraId="730EE945" w14:textId="77777777" w:rsidTr="00F4602C">
        <w:trPr>
          <w:trHeight w:val="300"/>
        </w:trPr>
        <w:tc>
          <w:tcPr>
            <w:tcW w:w="851" w:type="dxa"/>
            <w:tcBorders>
              <w:top w:val="nil"/>
              <w:left w:val="nil"/>
              <w:bottom w:val="nil"/>
              <w:right w:val="nil"/>
            </w:tcBorders>
            <w:shd w:val="clear" w:color="auto" w:fill="auto"/>
            <w:noWrap/>
            <w:vAlign w:val="center"/>
            <w:hideMark/>
          </w:tcPr>
          <w:p w14:paraId="2E51E0B5"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50</w:t>
            </w:r>
            <w:r>
              <w:rPr>
                <w:rFonts w:ascii="Calibri" w:eastAsia="Times New Roman" w:hAnsi="Calibri" w:cs="Times New Roman"/>
                <w:b/>
                <w:bCs/>
                <w:color w:val="000000"/>
                <w:sz w:val="18"/>
                <w:szCs w:val="20"/>
                <w:lang w:eastAsia="en-AU"/>
              </w:rPr>
              <w:t>-64</w:t>
            </w:r>
          </w:p>
        </w:tc>
        <w:tc>
          <w:tcPr>
            <w:tcW w:w="567" w:type="dxa"/>
            <w:tcBorders>
              <w:top w:val="nil"/>
              <w:left w:val="nil"/>
              <w:bottom w:val="nil"/>
              <w:right w:val="nil"/>
            </w:tcBorders>
            <w:shd w:val="clear" w:color="auto" w:fill="auto"/>
            <w:noWrap/>
            <w:vAlign w:val="bottom"/>
            <w:hideMark/>
          </w:tcPr>
          <w:p w14:paraId="162645E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64.8</w:t>
            </w:r>
          </w:p>
        </w:tc>
        <w:tc>
          <w:tcPr>
            <w:tcW w:w="850" w:type="dxa"/>
            <w:tcBorders>
              <w:top w:val="nil"/>
              <w:left w:val="nil"/>
              <w:bottom w:val="nil"/>
              <w:right w:val="nil"/>
            </w:tcBorders>
            <w:shd w:val="clear" w:color="auto" w:fill="auto"/>
            <w:noWrap/>
            <w:vAlign w:val="bottom"/>
            <w:hideMark/>
          </w:tcPr>
          <w:p w14:paraId="5553EFE7"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w:t>
            </w:r>
            <w:r>
              <w:rPr>
                <w:rFonts w:ascii="Calibri" w:eastAsia="Times New Roman" w:hAnsi="Calibri" w:cs="Times New Roman"/>
                <w:color w:val="000000"/>
                <w:sz w:val="18"/>
                <w:szCs w:val="20"/>
                <w:lang w:eastAsia="en-AU"/>
              </w:rPr>
              <w:t>42</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102753F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28.8</w:t>
            </w:r>
          </w:p>
        </w:tc>
        <w:tc>
          <w:tcPr>
            <w:tcW w:w="851" w:type="dxa"/>
            <w:tcBorders>
              <w:top w:val="nil"/>
              <w:left w:val="nil"/>
              <w:bottom w:val="nil"/>
              <w:right w:val="nil"/>
            </w:tcBorders>
            <w:shd w:val="clear" w:color="auto" w:fill="auto"/>
            <w:noWrap/>
            <w:vAlign w:val="bottom"/>
            <w:hideMark/>
          </w:tcPr>
          <w:p w14:paraId="4FCD563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0.59</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137259C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26.9</w:t>
            </w:r>
          </w:p>
        </w:tc>
        <w:tc>
          <w:tcPr>
            <w:tcW w:w="709" w:type="dxa"/>
            <w:tcBorders>
              <w:top w:val="nil"/>
              <w:left w:val="nil"/>
              <w:bottom w:val="nil"/>
              <w:right w:val="nil"/>
            </w:tcBorders>
            <w:shd w:val="clear" w:color="auto" w:fill="auto"/>
            <w:noWrap/>
            <w:vAlign w:val="bottom"/>
            <w:hideMark/>
          </w:tcPr>
          <w:p w14:paraId="24E9CA5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1.17</w:t>
            </w:r>
          </w:p>
        </w:tc>
        <w:tc>
          <w:tcPr>
            <w:tcW w:w="708" w:type="dxa"/>
            <w:gridSpan w:val="2"/>
            <w:tcBorders>
              <w:top w:val="nil"/>
              <w:left w:val="nil"/>
              <w:bottom w:val="nil"/>
              <w:right w:val="nil"/>
            </w:tcBorders>
            <w:shd w:val="clear" w:color="auto" w:fill="auto"/>
            <w:noWrap/>
            <w:vAlign w:val="bottom"/>
            <w:hideMark/>
          </w:tcPr>
          <w:p w14:paraId="3803DF7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5.6</w:t>
            </w:r>
          </w:p>
        </w:tc>
        <w:tc>
          <w:tcPr>
            <w:tcW w:w="851" w:type="dxa"/>
            <w:tcBorders>
              <w:top w:val="nil"/>
              <w:left w:val="nil"/>
              <w:bottom w:val="nil"/>
              <w:right w:val="nil"/>
            </w:tcBorders>
            <w:shd w:val="clear" w:color="auto" w:fill="auto"/>
            <w:noWrap/>
            <w:vAlign w:val="bottom"/>
            <w:hideMark/>
          </w:tcPr>
          <w:p w14:paraId="07A0C81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0.51</w:t>
            </w:r>
          </w:p>
        </w:tc>
        <w:tc>
          <w:tcPr>
            <w:tcW w:w="567" w:type="dxa"/>
            <w:tcBorders>
              <w:top w:val="nil"/>
              <w:left w:val="nil"/>
              <w:bottom w:val="nil"/>
              <w:right w:val="nil"/>
            </w:tcBorders>
            <w:shd w:val="clear" w:color="auto" w:fill="auto"/>
            <w:noWrap/>
            <w:vAlign w:val="bottom"/>
            <w:hideMark/>
          </w:tcPr>
          <w:p w14:paraId="3E29483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14.9</w:t>
            </w:r>
          </w:p>
        </w:tc>
        <w:tc>
          <w:tcPr>
            <w:tcW w:w="850" w:type="dxa"/>
            <w:tcBorders>
              <w:top w:val="nil"/>
              <w:left w:val="nil"/>
              <w:bottom w:val="nil"/>
              <w:right w:val="nil"/>
            </w:tcBorders>
            <w:shd w:val="clear" w:color="auto" w:fill="auto"/>
            <w:noWrap/>
            <w:vAlign w:val="bottom"/>
            <w:hideMark/>
          </w:tcPr>
          <w:p w14:paraId="50C342D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2.78</w:t>
            </w:r>
            <w:r w:rsidRPr="008C5D4B">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hideMark/>
          </w:tcPr>
          <w:p w14:paraId="6DE8E19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11.4</w:t>
            </w:r>
          </w:p>
        </w:tc>
        <w:tc>
          <w:tcPr>
            <w:tcW w:w="851" w:type="dxa"/>
            <w:tcBorders>
              <w:top w:val="nil"/>
              <w:left w:val="nil"/>
              <w:bottom w:val="nil"/>
              <w:right w:val="nil"/>
            </w:tcBorders>
            <w:shd w:val="clear" w:color="auto" w:fill="auto"/>
            <w:noWrap/>
            <w:vAlign w:val="bottom"/>
            <w:hideMark/>
          </w:tcPr>
          <w:p w14:paraId="1A2243E1"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w:t>
            </w:r>
            <w:r>
              <w:rPr>
                <w:rFonts w:ascii="Calibri" w:eastAsia="Times New Roman" w:hAnsi="Calibri" w:cs="Times New Roman"/>
                <w:color w:val="000000"/>
                <w:sz w:val="18"/>
                <w:szCs w:val="20"/>
                <w:lang w:eastAsia="en-AU"/>
              </w:rPr>
              <w:t>48</w:t>
            </w:r>
          </w:p>
        </w:tc>
        <w:tc>
          <w:tcPr>
            <w:tcW w:w="567" w:type="dxa"/>
            <w:tcBorders>
              <w:top w:val="nil"/>
              <w:left w:val="nil"/>
              <w:bottom w:val="nil"/>
              <w:right w:val="nil"/>
            </w:tcBorders>
            <w:shd w:val="clear" w:color="auto" w:fill="auto"/>
            <w:noWrap/>
            <w:vAlign w:val="bottom"/>
            <w:hideMark/>
          </w:tcPr>
          <w:p w14:paraId="2F92DE3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3.1</w:t>
            </w:r>
          </w:p>
        </w:tc>
        <w:tc>
          <w:tcPr>
            <w:tcW w:w="850" w:type="dxa"/>
            <w:tcBorders>
              <w:top w:val="nil"/>
              <w:left w:val="nil"/>
              <w:bottom w:val="nil"/>
              <w:right w:val="nil"/>
            </w:tcBorders>
            <w:shd w:val="clear" w:color="auto" w:fill="auto"/>
            <w:noWrap/>
            <w:vAlign w:val="bottom"/>
            <w:hideMark/>
          </w:tcPr>
          <w:p w14:paraId="3064994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1.08</w:t>
            </w:r>
          </w:p>
        </w:tc>
        <w:tc>
          <w:tcPr>
            <w:tcW w:w="567" w:type="dxa"/>
            <w:tcBorders>
              <w:top w:val="nil"/>
              <w:left w:val="nil"/>
              <w:bottom w:val="nil"/>
              <w:right w:val="nil"/>
            </w:tcBorders>
            <w:shd w:val="clear" w:color="auto" w:fill="auto"/>
            <w:noWrap/>
            <w:vAlign w:val="bottom"/>
            <w:hideMark/>
          </w:tcPr>
          <w:p w14:paraId="1E59582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w:t>
            </w:r>
            <w:r>
              <w:rPr>
                <w:rFonts w:ascii="Calibri" w:eastAsia="Times New Roman" w:hAnsi="Calibri" w:cs="Times New Roman"/>
                <w:color w:val="000000"/>
                <w:sz w:val="18"/>
                <w:szCs w:val="20"/>
                <w:lang w:eastAsia="en-AU"/>
              </w:rPr>
              <w:t>.0</w:t>
            </w:r>
          </w:p>
        </w:tc>
        <w:tc>
          <w:tcPr>
            <w:tcW w:w="851" w:type="dxa"/>
            <w:tcBorders>
              <w:top w:val="nil"/>
              <w:left w:val="nil"/>
              <w:bottom w:val="nil"/>
              <w:right w:val="nil"/>
            </w:tcBorders>
            <w:shd w:val="clear" w:color="auto" w:fill="auto"/>
            <w:noWrap/>
            <w:vAlign w:val="bottom"/>
            <w:hideMark/>
          </w:tcPr>
          <w:p w14:paraId="64982A8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w:t>
            </w:r>
            <w:r>
              <w:rPr>
                <w:rFonts w:ascii="Calibri" w:eastAsia="Times New Roman" w:hAnsi="Calibri" w:cs="Times New Roman"/>
                <w:color w:val="000000"/>
                <w:sz w:val="18"/>
                <w:szCs w:val="20"/>
                <w:lang w:eastAsia="en-AU"/>
              </w:rPr>
              <w:t>4</w:t>
            </w:r>
          </w:p>
        </w:tc>
        <w:tc>
          <w:tcPr>
            <w:tcW w:w="567" w:type="dxa"/>
            <w:tcBorders>
              <w:top w:val="nil"/>
              <w:left w:val="nil"/>
              <w:bottom w:val="nil"/>
              <w:right w:val="nil"/>
            </w:tcBorders>
            <w:shd w:val="clear" w:color="auto" w:fill="auto"/>
            <w:noWrap/>
            <w:vAlign w:val="bottom"/>
            <w:hideMark/>
          </w:tcPr>
          <w:p w14:paraId="3CA3A29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w:t>
            </w:r>
            <w:r>
              <w:rPr>
                <w:rFonts w:ascii="Calibri" w:eastAsia="Times New Roman" w:hAnsi="Calibri" w:cs="Times New Roman"/>
                <w:color w:val="000000"/>
                <w:sz w:val="18"/>
                <w:szCs w:val="20"/>
                <w:lang w:eastAsia="en-AU"/>
              </w:rPr>
              <w:t>3</w:t>
            </w:r>
          </w:p>
        </w:tc>
        <w:tc>
          <w:tcPr>
            <w:tcW w:w="850" w:type="dxa"/>
            <w:tcBorders>
              <w:top w:val="nil"/>
              <w:left w:val="nil"/>
              <w:bottom w:val="nil"/>
              <w:right w:val="nil"/>
            </w:tcBorders>
            <w:shd w:val="clear" w:color="auto" w:fill="auto"/>
            <w:noWrap/>
            <w:vAlign w:val="bottom"/>
            <w:hideMark/>
          </w:tcPr>
          <w:p w14:paraId="6CA1E4E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2.2</w:t>
            </w:r>
            <w:r>
              <w:rPr>
                <w:rFonts w:ascii="Calibri" w:eastAsia="Times New Roman" w:hAnsi="Calibri" w:cs="Times New Roman"/>
                <w:color w:val="000000"/>
                <w:sz w:val="18"/>
                <w:szCs w:val="20"/>
                <w:lang w:eastAsia="en-AU"/>
              </w:rPr>
              <w:t>1</w:t>
            </w:r>
          </w:p>
        </w:tc>
        <w:tc>
          <w:tcPr>
            <w:tcW w:w="709" w:type="dxa"/>
            <w:tcBorders>
              <w:top w:val="nil"/>
              <w:left w:val="nil"/>
              <w:bottom w:val="nil"/>
              <w:right w:val="nil"/>
            </w:tcBorders>
            <w:shd w:val="clear" w:color="auto" w:fill="auto"/>
            <w:noWrap/>
            <w:vAlign w:val="bottom"/>
            <w:hideMark/>
          </w:tcPr>
          <w:p w14:paraId="19D8696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18.4</w:t>
            </w:r>
          </w:p>
        </w:tc>
        <w:tc>
          <w:tcPr>
            <w:tcW w:w="851" w:type="dxa"/>
            <w:tcBorders>
              <w:top w:val="nil"/>
              <w:left w:val="nil"/>
              <w:bottom w:val="nil"/>
              <w:right w:val="nil"/>
            </w:tcBorders>
            <w:shd w:val="clear" w:color="auto" w:fill="auto"/>
            <w:noWrap/>
            <w:vAlign w:val="bottom"/>
            <w:hideMark/>
          </w:tcPr>
          <w:p w14:paraId="1E4FB63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1.82</w:t>
            </w:r>
            <w:r w:rsidRPr="008C5D4B">
              <w:rPr>
                <w:rFonts w:ascii="Calibri" w:eastAsia="Times New Roman" w:hAnsi="Calibri" w:cs="Times New Roman"/>
                <w:color w:val="000000"/>
                <w:sz w:val="18"/>
                <w:szCs w:val="20"/>
                <w:lang w:eastAsia="en-AU"/>
              </w:rPr>
              <w:t>*</w:t>
            </w:r>
          </w:p>
        </w:tc>
      </w:tr>
      <w:tr w:rsidR="00340DD1" w:rsidRPr="008C5D4B" w14:paraId="2D5B7392" w14:textId="77777777" w:rsidTr="00F4602C">
        <w:trPr>
          <w:trHeight w:val="300"/>
        </w:trPr>
        <w:tc>
          <w:tcPr>
            <w:tcW w:w="851" w:type="dxa"/>
            <w:tcBorders>
              <w:top w:val="nil"/>
              <w:left w:val="nil"/>
              <w:bottom w:val="nil"/>
              <w:right w:val="nil"/>
            </w:tcBorders>
            <w:shd w:val="clear" w:color="auto" w:fill="auto"/>
            <w:noWrap/>
            <w:vAlign w:val="center"/>
          </w:tcPr>
          <w:p w14:paraId="1E17F53A"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Pr>
                <w:rFonts w:ascii="Calibri" w:eastAsia="Times New Roman" w:hAnsi="Calibri" w:cs="Times New Roman"/>
                <w:b/>
                <w:bCs/>
                <w:color w:val="000000"/>
                <w:sz w:val="18"/>
                <w:szCs w:val="20"/>
                <w:lang w:eastAsia="en-AU"/>
              </w:rPr>
              <w:t xml:space="preserve">  65+</w:t>
            </w:r>
          </w:p>
        </w:tc>
        <w:tc>
          <w:tcPr>
            <w:tcW w:w="567" w:type="dxa"/>
            <w:tcBorders>
              <w:top w:val="nil"/>
              <w:left w:val="nil"/>
              <w:bottom w:val="nil"/>
              <w:right w:val="nil"/>
            </w:tcBorders>
            <w:shd w:val="clear" w:color="auto" w:fill="auto"/>
            <w:noWrap/>
            <w:vAlign w:val="bottom"/>
          </w:tcPr>
          <w:p w14:paraId="182780F9"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59.7</w:t>
            </w:r>
          </w:p>
        </w:tc>
        <w:tc>
          <w:tcPr>
            <w:tcW w:w="850" w:type="dxa"/>
            <w:tcBorders>
              <w:top w:val="nil"/>
              <w:left w:val="nil"/>
              <w:bottom w:val="nil"/>
              <w:right w:val="nil"/>
            </w:tcBorders>
            <w:shd w:val="clear" w:color="auto" w:fill="auto"/>
            <w:noWrap/>
            <w:vAlign w:val="bottom"/>
          </w:tcPr>
          <w:p w14:paraId="3E8B8E33"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1.94*</w:t>
            </w:r>
          </w:p>
        </w:tc>
        <w:tc>
          <w:tcPr>
            <w:tcW w:w="567" w:type="dxa"/>
            <w:tcBorders>
              <w:top w:val="nil"/>
              <w:left w:val="nil"/>
              <w:bottom w:val="nil"/>
              <w:right w:val="nil"/>
            </w:tcBorders>
            <w:shd w:val="clear" w:color="auto" w:fill="auto"/>
            <w:noWrap/>
            <w:vAlign w:val="bottom"/>
          </w:tcPr>
          <w:p w14:paraId="0ADB07C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7.9</w:t>
            </w:r>
          </w:p>
        </w:tc>
        <w:tc>
          <w:tcPr>
            <w:tcW w:w="851" w:type="dxa"/>
            <w:tcBorders>
              <w:top w:val="nil"/>
              <w:left w:val="nil"/>
              <w:bottom w:val="nil"/>
              <w:right w:val="nil"/>
            </w:tcBorders>
            <w:shd w:val="clear" w:color="auto" w:fill="auto"/>
            <w:noWrap/>
            <w:vAlign w:val="bottom"/>
          </w:tcPr>
          <w:p w14:paraId="0FC6418D"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0.13***</w:t>
            </w:r>
          </w:p>
        </w:tc>
        <w:tc>
          <w:tcPr>
            <w:tcW w:w="567" w:type="dxa"/>
            <w:tcBorders>
              <w:top w:val="nil"/>
              <w:left w:val="nil"/>
              <w:bottom w:val="nil"/>
              <w:right w:val="nil"/>
            </w:tcBorders>
            <w:shd w:val="clear" w:color="auto" w:fill="auto"/>
            <w:noWrap/>
            <w:vAlign w:val="bottom"/>
          </w:tcPr>
          <w:p w14:paraId="43CD730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15.6</w:t>
            </w:r>
          </w:p>
        </w:tc>
        <w:tc>
          <w:tcPr>
            <w:tcW w:w="709" w:type="dxa"/>
            <w:tcBorders>
              <w:top w:val="nil"/>
              <w:left w:val="nil"/>
              <w:bottom w:val="nil"/>
              <w:right w:val="nil"/>
            </w:tcBorders>
            <w:shd w:val="clear" w:color="auto" w:fill="auto"/>
            <w:noWrap/>
            <w:vAlign w:val="bottom"/>
          </w:tcPr>
          <w:p w14:paraId="3BC36F5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0.59</w:t>
            </w:r>
          </w:p>
        </w:tc>
        <w:tc>
          <w:tcPr>
            <w:tcW w:w="708" w:type="dxa"/>
            <w:gridSpan w:val="2"/>
            <w:tcBorders>
              <w:top w:val="nil"/>
              <w:left w:val="nil"/>
              <w:bottom w:val="nil"/>
              <w:right w:val="nil"/>
            </w:tcBorders>
            <w:shd w:val="clear" w:color="auto" w:fill="auto"/>
            <w:noWrap/>
            <w:vAlign w:val="bottom"/>
          </w:tcPr>
          <w:p w14:paraId="53946B73"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11.7</w:t>
            </w:r>
          </w:p>
        </w:tc>
        <w:tc>
          <w:tcPr>
            <w:tcW w:w="851" w:type="dxa"/>
            <w:tcBorders>
              <w:top w:val="nil"/>
              <w:left w:val="nil"/>
              <w:bottom w:val="nil"/>
              <w:right w:val="nil"/>
            </w:tcBorders>
            <w:shd w:val="clear" w:color="auto" w:fill="auto"/>
            <w:noWrap/>
            <w:vAlign w:val="bottom"/>
          </w:tcPr>
          <w:p w14:paraId="7FEAEFB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1.14</w:t>
            </w:r>
          </w:p>
        </w:tc>
        <w:tc>
          <w:tcPr>
            <w:tcW w:w="567" w:type="dxa"/>
            <w:tcBorders>
              <w:top w:val="nil"/>
              <w:left w:val="nil"/>
              <w:bottom w:val="nil"/>
              <w:right w:val="nil"/>
            </w:tcBorders>
            <w:shd w:val="clear" w:color="auto" w:fill="auto"/>
            <w:noWrap/>
            <w:vAlign w:val="bottom"/>
          </w:tcPr>
          <w:p w14:paraId="72FC4B79"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15.4</w:t>
            </w:r>
          </w:p>
        </w:tc>
        <w:tc>
          <w:tcPr>
            <w:tcW w:w="850" w:type="dxa"/>
            <w:tcBorders>
              <w:top w:val="nil"/>
              <w:left w:val="nil"/>
              <w:bottom w:val="nil"/>
              <w:right w:val="nil"/>
            </w:tcBorders>
            <w:shd w:val="clear" w:color="auto" w:fill="auto"/>
            <w:noWrap/>
            <w:vAlign w:val="bottom"/>
          </w:tcPr>
          <w:p w14:paraId="53E8601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2.89**</w:t>
            </w:r>
          </w:p>
        </w:tc>
        <w:tc>
          <w:tcPr>
            <w:tcW w:w="567" w:type="dxa"/>
            <w:tcBorders>
              <w:top w:val="nil"/>
              <w:left w:val="nil"/>
              <w:bottom w:val="nil"/>
              <w:right w:val="nil"/>
            </w:tcBorders>
            <w:shd w:val="clear" w:color="auto" w:fill="auto"/>
            <w:noWrap/>
            <w:vAlign w:val="bottom"/>
          </w:tcPr>
          <w:p w14:paraId="14BBF57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4.0</w:t>
            </w:r>
          </w:p>
        </w:tc>
        <w:tc>
          <w:tcPr>
            <w:tcW w:w="851" w:type="dxa"/>
            <w:tcBorders>
              <w:top w:val="nil"/>
              <w:left w:val="nil"/>
              <w:bottom w:val="nil"/>
              <w:right w:val="nil"/>
            </w:tcBorders>
            <w:shd w:val="clear" w:color="auto" w:fill="auto"/>
            <w:noWrap/>
            <w:vAlign w:val="bottom"/>
          </w:tcPr>
          <w:p w14:paraId="09C4307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0.48</w:t>
            </w:r>
          </w:p>
        </w:tc>
        <w:tc>
          <w:tcPr>
            <w:tcW w:w="567" w:type="dxa"/>
            <w:tcBorders>
              <w:top w:val="nil"/>
              <w:left w:val="nil"/>
              <w:bottom w:val="nil"/>
              <w:right w:val="nil"/>
            </w:tcBorders>
            <w:shd w:val="clear" w:color="auto" w:fill="auto"/>
            <w:noWrap/>
            <w:vAlign w:val="bottom"/>
          </w:tcPr>
          <w:p w14:paraId="4684307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0</w:t>
            </w:r>
          </w:p>
        </w:tc>
        <w:tc>
          <w:tcPr>
            <w:tcW w:w="850" w:type="dxa"/>
            <w:tcBorders>
              <w:top w:val="nil"/>
              <w:left w:val="nil"/>
              <w:bottom w:val="nil"/>
              <w:right w:val="nil"/>
            </w:tcBorders>
            <w:shd w:val="clear" w:color="auto" w:fill="auto"/>
            <w:noWrap/>
            <w:vAlign w:val="bottom"/>
          </w:tcPr>
          <w:p w14:paraId="5843A93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w:t>
            </w:r>
          </w:p>
        </w:tc>
        <w:tc>
          <w:tcPr>
            <w:tcW w:w="567" w:type="dxa"/>
            <w:tcBorders>
              <w:top w:val="nil"/>
              <w:left w:val="nil"/>
              <w:bottom w:val="nil"/>
              <w:right w:val="nil"/>
            </w:tcBorders>
            <w:shd w:val="clear" w:color="auto" w:fill="auto"/>
            <w:noWrap/>
            <w:vAlign w:val="bottom"/>
          </w:tcPr>
          <w:p w14:paraId="36BF32A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1.1</w:t>
            </w:r>
          </w:p>
        </w:tc>
        <w:tc>
          <w:tcPr>
            <w:tcW w:w="851" w:type="dxa"/>
            <w:tcBorders>
              <w:top w:val="nil"/>
              <w:left w:val="nil"/>
              <w:bottom w:val="nil"/>
              <w:right w:val="nil"/>
            </w:tcBorders>
            <w:shd w:val="clear" w:color="auto" w:fill="auto"/>
            <w:noWrap/>
            <w:vAlign w:val="bottom"/>
          </w:tcPr>
          <w:p w14:paraId="600695F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1.25</w:t>
            </w:r>
          </w:p>
        </w:tc>
        <w:tc>
          <w:tcPr>
            <w:tcW w:w="567" w:type="dxa"/>
            <w:tcBorders>
              <w:top w:val="nil"/>
              <w:left w:val="nil"/>
              <w:bottom w:val="nil"/>
              <w:right w:val="nil"/>
            </w:tcBorders>
            <w:shd w:val="clear" w:color="auto" w:fill="auto"/>
            <w:noWrap/>
            <w:vAlign w:val="bottom"/>
          </w:tcPr>
          <w:p w14:paraId="77B517F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4.8</w:t>
            </w:r>
          </w:p>
        </w:tc>
        <w:tc>
          <w:tcPr>
            <w:tcW w:w="850" w:type="dxa"/>
            <w:tcBorders>
              <w:top w:val="nil"/>
              <w:left w:val="nil"/>
              <w:bottom w:val="nil"/>
              <w:right w:val="nil"/>
            </w:tcBorders>
            <w:shd w:val="clear" w:color="auto" w:fill="auto"/>
            <w:noWrap/>
            <w:vAlign w:val="bottom"/>
          </w:tcPr>
          <w:p w14:paraId="796692F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2.45</w:t>
            </w:r>
          </w:p>
        </w:tc>
        <w:tc>
          <w:tcPr>
            <w:tcW w:w="709" w:type="dxa"/>
            <w:tcBorders>
              <w:top w:val="nil"/>
              <w:left w:val="nil"/>
              <w:bottom w:val="nil"/>
              <w:right w:val="nil"/>
            </w:tcBorders>
            <w:shd w:val="clear" w:color="auto" w:fill="auto"/>
            <w:noWrap/>
            <w:vAlign w:val="bottom"/>
          </w:tcPr>
          <w:p w14:paraId="6F20D4FC"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23.3</w:t>
            </w:r>
          </w:p>
        </w:tc>
        <w:tc>
          <w:tcPr>
            <w:tcW w:w="851" w:type="dxa"/>
            <w:tcBorders>
              <w:top w:val="nil"/>
              <w:left w:val="nil"/>
              <w:bottom w:val="nil"/>
              <w:right w:val="nil"/>
            </w:tcBorders>
            <w:shd w:val="clear" w:color="auto" w:fill="auto"/>
            <w:noWrap/>
            <w:vAlign w:val="bottom"/>
          </w:tcPr>
          <w:p w14:paraId="5997BDD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Pr>
                <w:rFonts w:ascii="Calibri" w:eastAsia="Times New Roman" w:hAnsi="Calibri" w:cs="Times New Roman"/>
                <w:color w:val="000000"/>
                <w:sz w:val="18"/>
                <w:szCs w:val="20"/>
                <w:lang w:eastAsia="en-AU"/>
              </w:rPr>
              <w:t>2.45**</w:t>
            </w:r>
          </w:p>
        </w:tc>
      </w:tr>
      <w:tr w:rsidR="00340DD1" w:rsidRPr="008C5D4B" w14:paraId="4F7601C0" w14:textId="77777777" w:rsidTr="00F4602C">
        <w:trPr>
          <w:trHeight w:val="300"/>
        </w:trPr>
        <w:tc>
          <w:tcPr>
            <w:tcW w:w="851" w:type="dxa"/>
            <w:tcBorders>
              <w:top w:val="nil"/>
              <w:left w:val="nil"/>
              <w:bottom w:val="nil"/>
              <w:right w:val="nil"/>
            </w:tcBorders>
            <w:shd w:val="clear" w:color="auto" w:fill="auto"/>
            <w:noWrap/>
            <w:vAlign w:val="center"/>
            <w:hideMark/>
          </w:tcPr>
          <w:p w14:paraId="286D68EE"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Sex</w:t>
            </w:r>
          </w:p>
        </w:tc>
        <w:tc>
          <w:tcPr>
            <w:tcW w:w="567" w:type="dxa"/>
            <w:tcBorders>
              <w:top w:val="nil"/>
              <w:left w:val="nil"/>
              <w:bottom w:val="nil"/>
              <w:right w:val="nil"/>
            </w:tcBorders>
            <w:shd w:val="clear" w:color="auto" w:fill="auto"/>
            <w:noWrap/>
            <w:vAlign w:val="bottom"/>
            <w:hideMark/>
          </w:tcPr>
          <w:p w14:paraId="085F317B"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p>
        </w:tc>
        <w:tc>
          <w:tcPr>
            <w:tcW w:w="850" w:type="dxa"/>
            <w:tcBorders>
              <w:top w:val="nil"/>
              <w:left w:val="nil"/>
              <w:bottom w:val="nil"/>
              <w:right w:val="nil"/>
            </w:tcBorders>
            <w:shd w:val="clear" w:color="auto" w:fill="auto"/>
            <w:noWrap/>
            <w:vAlign w:val="bottom"/>
            <w:hideMark/>
          </w:tcPr>
          <w:p w14:paraId="46F9E5F1"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7BF7397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5664B883"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7107669C"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9" w:type="dxa"/>
            <w:tcBorders>
              <w:top w:val="nil"/>
              <w:left w:val="nil"/>
              <w:bottom w:val="nil"/>
              <w:right w:val="nil"/>
            </w:tcBorders>
            <w:shd w:val="clear" w:color="auto" w:fill="auto"/>
            <w:noWrap/>
            <w:vAlign w:val="bottom"/>
            <w:hideMark/>
          </w:tcPr>
          <w:p w14:paraId="43F8538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8" w:type="dxa"/>
            <w:gridSpan w:val="2"/>
            <w:tcBorders>
              <w:top w:val="nil"/>
              <w:left w:val="nil"/>
              <w:bottom w:val="nil"/>
              <w:right w:val="nil"/>
            </w:tcBorders>
            <w:shd w:val="clear" w:color="auto" w:fill="auto"/>
            <w:noWrap/>
            <w:vAlign w:val="bottom"/>
            <w:hideMark/>
          </w:tcPr>
          <w:p w14:paraId="28A92867"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7C7FC065"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4C04DFBF"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7208825E"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4B7E4423"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4608D372"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5BA4A95C"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57020C4E"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049EFD08"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625DD693"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567" w:type="dxa"/>
            <w:tcBorders>
              <w:top w:val="nil"/>
              <w:left w:val="nil"/>
              <w:bottom w:val="nil"/>
              <w:right w:val="nil"/>
            </w:tcBorders>
            <w:shd w:val="clear" w:color="auto" w:fill="auto"/>
            <w:noWrap/>
            <w:vAlign w:val="bottom"/>
            <w:hideMark/>
          </w:tcPr>
          <w:p w14:paraId="44FDA7DC"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0" w:type="dxa"/>
            <w:tcBorders>
              <w:top w:val="nil"/>
              <w:left w:val="nil"/>
              <w:bottom w:val="nil"/>
              <w:right w:val="nil"/>
            </w:tcBorders>
            <w:shd w:val="clear" w:color="auto" w:fill="auto"/>
            <w:noWrap/>
            <w:vAlign w:val="bottom"/>
            <w:hideMark/>
          </w:tcPr>
          <w:p w14:paraId="521D7052"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709" w:type="dxa"/>
            <w:tcBorders>
              <w:top w:val="nil"/>
              <w:left w:val="nil"/>
              <w:bottom w:val="nil"/>
              <w:right w:val="nil"/>
            </w:tcBorders>
            <w:shd w:val="clear" w:color="auto" w:fill="auto"/>
            <w:noWrap/>
            <w:vAlign w:val="bottom"/>
            <w:hideMark/>
          </w:tcPr>
          <w:p w14:paraId="4E6AEBFB"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c>
          <w:tcPr>
            <w:tcW w:w="851" w:type="dxa"/>
            <w:tcBorders>
              <w:top w:val="nil"/>
              <w:left w:val="nil"/>
              <w:bottom w:val="nil"/>
              <w:right w:val="nil"/>
            </w:tcBorders>
            <w:shd w:val="clear" w:color="auto" w:fill="auto"/>
            <w:noWrap/>
            <w:vAlign w:val="bottom"/>
            <w:hideMark/>
          </w:tcPr>
          <w:p w14:paraId="76EBCF20" w14:textId="77777777" w:rsidR="00340DD1" w:rsidRPr="008C5D4B" w:rsidRDefault="00340DD1" w:rsidP="00F4602C">
            <w:pPr>
              <w:spacing w:after="0" w:line="240" w:lineRule="auto"/>
              <w:rPr>
                <w:rFonts w:ascii="Times New Roman" w:eastAsia="Times New Roman" w:hAnsi="Times New Roman" w:cs="Times New Roman"/>
                <w:sz w:val="18"/>
                <w:szCs w:val="20"/>
                <w:lang w:eastAsia="en-AU"/>
              </w:rPr>
            </w:pPr>
          </w:p>
        </w:tc>
      </w:tr>
      <w:tr w:rsidR="00340DD1" w:rsidRPr="008C5D4B" w14:paraId="6E6F57FC" w14:textId="77777777" w:rsidTr="00F4602C">
        <w:trPr>
          <w:trHeight w:val="300"/>
        </w:trPr>
        <w:tc>
          <w:tcPr>
            <w:tcW w:w="851" w:type="dxa"/>
            <w:tcBorders>
              <w:top w:val="nil"/>
              <w:left w:val="nil"/>
              <w:bottom w:val="nil"/>
              <w:right w:val="nil"/>
            </w:tcBorders>
            <w:shd w:val="clear" w:color="auto" w:fill="auto"/>
            <w:noWrap/>
            <w:vAlign w:val="center"/>
            <w:hideMark/>
          </w:tcPr>
          <w:p w14:paraId="7D2DF7CA"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Pr>
                <w:rFonts w:ascii="Calibri" w:eastAsia="Times New Roman" w:hAnsi="Calibri" w:cs="Times New Roman"/>
                <w:b/>
                <w:bCs/>
                <w:color w:val="000000"/>
                <w:sz w:val="18"/>
                <w:szCs w:val="20"/>
                <w:lang w:eastAsia="en-AU"/>
              </w:rPr>
              <w:t xml:space="preserve">  Male</w:t>
            </w:r>
          </w:p>
        </w:tc>
        <w:tc>
          <w:tcPr>
            <w:tcW w:w="567" w:type="dxa"/>
            <w:tcBorders>
              <w:top w:val="nil"/>
              <w:left w:val="nil"/>
              <w:bottom w:val="nil"/>
              <w:right w:val="nil"/>
            </w:tcBorders>
            <w:shd w:val="clear" w:color="auto" w:fill="auto"/>
            <w:noWrap/>
            <w:vAlign w:val="bottom"/>
            <w:hideMark/>
          </w:tcPr>
          <w:p w14:paraId="678806C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53.1</w:t>
            </w:r>
          </w:p>
        </w:tc>
        <w:tc>
          <w:tcPr>
            <w:tcW w:w="850" w:type="dxa"/>
            <w:tcBorders>
              <w:top w:val="nil"/>
              <w:left w:val="nil"/>
              <w:bottom w:val="nil"/>
              <w:right w:val="nil"/>
            </w:tcBorders>
            <w:shd w:val="clear" w:color="auto" w:fill="auto"/>
            <w:noWrap/>
            <w:vAlign w:val="bottom"/>
            <w:hideMark/>
          </w:tcPr>
          <w:p w14:paraId="6879E19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26CFD55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44.5</w:t>
            </w:r>
          </w:p>
        </w:tc>
        <w:tc>
          <w:tcPr>
            <w:tcW w:w="851" w:type="dxa"/>
            <w:tcBorders>
              <w:top w:val="nil"/>
              <w:left w:val="nil"/>
              <w:bottom w:val="nil"/>
              <w:right w:val="nil"/>
            </w:tcBorders>
            <w:shd w:val="clear" w:color="auto" w:fill="auto"/>
            <w:noWrap/>
            <w:vAlign w:val="bottom"/>
            <w:hideMark/>
          </w:tcPr>
          <w:p w14:paraId="0E374325"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7917973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29.7</w:t>
            </w:r>
          </w:p>
        </w:tc>
        <w:tc>
          <w:tcPr>
            <w:tcW w:w="709" w:type="dxa"/>
            <w:tcBorders>
              <w:top w:val="nil"/>
              <w:left w:val="nil"/>
              <w:bottom w:val="nil"/>
              <w:right w:val="nil"/>
            </w:tcBorders>
            <w:shd w:val="clear" w:color="auto" w:fill="auto"/>
            <w:noWrap/>
            <w:vAlign w:val="bottom"/>
            <w:hideMark/>
          </w:tcPr>
          <w:p w14:paraId="191007D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708" w:type="dxa"/>
            <w:gridSpan w:val="2"/>
            <w:tcBorders>
              <w:top w:val="nil"/>
              <w:left w:val="nil"/>
              <w:bottom w:val="nil"/>
              <w:right w:val="nil"/>
            </w:tcBorders>
            <w:shd w:val="clear" w:color="auto" w:fill="auto"/>
            <w:noWrap/>
            <w:vAlign w:val="bottom"/>
            <w:hideMark/>
          </w:tcPr>
          <w:p w14:paraId="1709C99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12.2</w:t>
            </w:r>
          </w:p>
        </w:tc>
        <w:tc>
          <w:tcPr>
            <w:tcW w:w="851" w:type="dxa"/>
            <w:tcBorders>
              <w:top w:val="nil"/>
              <w:left w:val="nil"/>
              <w:bottom w:val="nil"/>
              <w:right w:val="nil"/>
            </w:tcBorders>
            <w:shd w:val="clear" w:color="auto" w:fill="auto"/>
            <w:noWrap/>
            <w:vAlign w:val="bottom"/>
            <w:hideMark/>
          </w:tcPr>
          <w:p w14:paraId="6D87F481"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13BBF7B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9.6</w:t>
            </w:r>
          </w:p>
        </w:tc>
        <w:tc>
          <w:tcPr>
            <w:tcW w:w="850" w:type="dxa"/>
            <w:tcBorders>
              <w:top w:val="nil"/>
              <w:left w:val="nil"/>
              <w:bottom w:val="nil"/>
              <w:right w:val="nil"/>
            </w:tcBorders>
            <w:shd w:val="clear" w:color="auto" w:fill="auto"/>
            <w:noWrap/>
            <w:vAlign w:val="bottom"/>
            <w:hideMark/>
          </w:tcPr>
          <w:p w14:paraId="2D1B154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030B1610"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8.7</w:t>
            </w:r>
          </w:p>
        </w:tc>
        <w:tc>
          <w:tcPr>
            <w:tcW w:w="851" w:type="dxa"/>
            <w:tcBorders>
              <w:top w:val="nil"/>
              <w:left w:val="nil"/>
              <w:bottom w:val="nil"/>
              <w:right w:val="nil"/>
            </w:tcBorders>
            <w:shd w:val="clear" w:color="auto" w:fill="auto"/>
            <w:noWrap/>
            <w:vAlign w:val="bottom"/>
            <w:hideMark/>
          </w:tcPr>
          <w:p w14:paraId="5B5A272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2C9DA82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2.5</w:t>
            </w:r>
          </w:p>
        </w:tc>
        <w:tc>
          <w:tcPr>
            <w:tcW w:w="850" w:type="dxa"/>
            <w:tcBorders>
              <w:top w:val="nil"/>
              <w:left w:val="nil"/>
              <w:bottom w:val="nil"/>
              <w:right w:val="nil"/>
            </w:tcBorders>
            <w:shd w:val="clear" w:color="auto" w:fill="auto"/>
            <w:noWrap/>
            <w:vAlign w:val="bottom"/>
            <w:hideMark/>
          </w:tcPr>
          <w:p w14:paraId="37483FCD"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69C4635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1.5</w:t>
            </w:r>
          </w:p>
        </w:tc>
        <w:tc>
          <w:tcPr>
            <w:tcW w:w="851" w:type="dxa"/>
            <w:tcBorders>
              <w:top w:val="nil"/>
              <w:left w:val="nil"/>
              <w:bottom w:val="nil"/>
              <w:right w:val="nil"/>
            </w:tcBorders>
            <w:shd w:val="clear" w:color="auto" w:fill="auto"/>
            <w:noWrap/>
            <w:vAlign w:val="bottom"/>
            <w:hideMark/>
          </w:tcPr>
          <w:p w14:paraId="2E236EC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567" w:type="dxa"/>
            <w:tcBorders>
              <w:top w:val="nil"/>
              <w:left w:val="nil"/>
              <w:bottom w:val="nil"/>
              <w:right w:val="nil"/>
            </w:tcBorders>
            <w:shd w:val="clear" w:color="auto" w:fill="auto"/>
            <w:noWrap/>
            <w:vAlign w:val="bottom"/>
            <w:hideMark/>
          </w:tcPr>
          <w:p w14:paraId="205D72E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3.9</w:t>
            </w:r>
          </w:p>
        </w:tc>
        <w:tc>
          <w:tcPr>
            <w:tcW w:w="850" w:type="dxa"/>
            <w:tcBorders>
              <w:top w:val="nil"/>
              <w:left w:val="nil"/>
              <w:bottom w:val="nil"/>
              <w:right w:val="nil"/>
            </w:tcBorders>
            <w:shd w:val="clear" w:color="auto" w:fill="auto"/>
            <w:noWrap/>
            <w:vAlign w:val="bottom"/>
            <w:hideMark/>
          </w:tcPr>
          <w:p w14:paraId="3C0ED58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c>
          <w:tcPr>
            <w:tcW w:w="709" w:type="dxa"/>
            <w:tcBorders>
              <w:top w:val="nil"/>
              <w:left w:val="nil"/>
              <w:bottom w:val="nil"/>
              <w:right w:val="nil"/>
            </w:tcBorders>
            <w:shd w:val="clear" w:color="auto" w:fill="auto"/>
            <w:noWrap/>
            <w:vAlign w:val="bottom"/>
            <w:hideMark/>
          </w:tcPr>
          <w:p w14:paraId="20215C7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21.4</w:t>
            </w:r>
          </w:p>
        </w:tc>
        <w:tc>
          <w:tcPr>
            <w:tcW w:w="851" w:type="dxa"/>
            <w:tcBorders>
              <w:top w:val="nil"/>
              <w:left w:val="nil"/>
              <w:bottom w:val="nil"/>
              <w:right w:val="nil"/>
            </w:tcBorders>
            <w:shd w:val="clear" w:color="auto" w:fill="auto"/>
            <w:noWrap/>
            <w:vAlign w:val="bottom"/>
            <w:hideMark/>
          </w:tcPr>
          <w:p w14:paraId="3AE49686"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 (Ref)</w:t>
            </w:r>
          </w:p>
        </w:tc>
      </w:tr>
      <w:tr w:rsidR="00340DD1" w:rsidRPr="008C5D4B" w14:paraId="1753B551" w14:textId="77777777" w:rsidTr="00F4602C">
        <w:trPr>
          <w:trHeight w:val="300"/>
        </w:trPr>
        <w:tc>
          <w:tcPr>
            <w:tcW w:w="851" w:type="dxa"/>
            <w:tcBorders>
              <w:top w:val="nil"/>
              <w:left w:val="nil"/>
              <w:bottom w:val="nil"/>
              <w:right w:val="nil"/>
            </w:tcBorders>
            <w:shd w:val="clear" w:color="auto" w:fill="auto"/>
            <w:noWrap/>
            <w:vAlign w:val="center"/>
            <w:hideMark/>
          </w:tcPr>
          <w:p w14:paraId="408F5F6C"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 xml:space="preserve">  Female</w:t>
            </w:r>
          </w:p>
        </w:tc>
        <w:tc>
          <w:tcPr>
            <w:tcW w:w="567" w:type="dxa"/>
            <w:tcBorders>
              <w:top w:val="nil"/>
              <w:left w:val="nil"/>
              <w:bottom w:val="nil"/>
              <w:right w:val="nil"/>
            </w:tcBorders>
            <w:shd w:val="clear" w:color="auto" w:fill="auto"/>
            <w:noWrap/>
            <w:vAlign w:val="bottom"/>
            <w:hideMark/>
          </w:tcPr>
          <w:p w14:paraId="574C9C4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36.5</w:t>
            </w:r>
          </w:p>
        </w:tc>
        <w:tc>
          <w:tcPr>
            <w:tcW w:w="850" w:type="dxa"/>
            <w:tcBorders>
              <w:top w:val="nil"/>
              <w:left w:val="nil"/>
              <w:bottom w:val="nil"/>
              <w:right w:val="nil"/>
            </w:tcBorders>
            <w:shd w:val="clear" w:color="auto" w:fill="auto"/>
            <w:noWrap/>
            <w:vAlign w:val="bottom"/>
            <w:hideMark/>
          </w:tcPr>
          <w:p w14:paraId="31136AA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0.51***</w:t>
            </w:r>
          </w:p>
        </w:tc>
        <w:tc>
          <w:tcPr>
            <w:tcW w:w="567" w:type="dxa"/>
            <w:tcBorders>
              <w:top w:val="nil"/>
              <w:left w:val="nil"/>
              <w:bottom w:val="nil"/>
              <w:right w:val="nil"/>
            </w:tcBorders>
            <w:shd w:val="clear" w:color="auto" w:fill="auto"/>
            <w:noWrap/>
            <w:vAlign w:val="bottom"/>
            <w:hideMark/>
          </w:tcPr>
          <w:p w14:paraId="50EEE72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30.9</w:t>
            </w:r>
          </w:p>
        </w:tc>
        <w:tc>
          <w:tcPr>
            <w:tcW w:w="851" w:type="dxa"/>
            <w:tcBorders>
              <w:top w:val="nil"/>
              <w:left w:val="nil"/>
              <w:bottom w:val="nil"/>
              <w:right w:val="nil"/>
            </w:tcBorders>
            <w:shd w:val="clear" w:color="auto" w:fill="auto"/>
            <w:noWrap/>
            <w:vAlign w:val="bottom"/>
            <w:hideMark/>
          </w:tcPr>
          <w:p w14:paraId="78277BC4"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0.56***</w:t>
            </w:r>
          </w:p>
        </w:tc>
        <w:tc>
          <w:tcPr>
            <w:tcW w:w="567" w:type="dxa"/>
            <w:tcBorders>
              <w:top w:val="nil"/>
              <w:left w:val="nil"/>
              <w:bottom w:val="nil"/>
              <w:right w:val="nil"/>
            </w:tcBorders>
            <w:shd w:val="clear" w:color="auto" w:fill="auto"/>
            <w:noWrap/>
            <w:vAlign w:val="bottom"/>
            <w:hideMark/>
          </w:tcPr>
          <w:p w14:paraId="1DC406E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20.9</w:t>
            </w:r>
          </w:p>
        </w:tc>
        <w:tc>
          <w:tcPr>
            <w:tcW w:w="709" w:type="dxa"/>
            <w:tcBorders>
              <w:top w:val="nil"/>
              <w:left w:val="nil"/>
              <w:bottom w:val="nil"/>
              <w:right w:val="nil"/>
            </w:tcBorders>
            <w:shd w:val="clear" w:color="auto" w:fill="auto"/>
            <w:noWrap/>
            <w:vAlign w:val="bottom"/>
            <w:hideMark/>
          </w:tcPr>
          <w:p w14:paraId="044A0A77"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0.63*</w:t>
            </w:r>
          </w:p>
        </w:tc>
        <w:tc>
          <w:tcPr>
            <w:tcW w:w="708" w:type="dxa"/>
            <w:gridSpan w:val="2"/>
            <w:tcBorders>
              <w:top w:val="nil"/>
              <w:left w:val="nil"/>
              <w:bottom w:val="nil"/>
              <w:right w:val="nil"/>
            </w:tcBorders>
            <w:shd w:val="clear" w:color="auto" w:fill="auto"/>
            <w:noWrap/>
            <w:vAlign w:val="bottom"/>
            <w:hideMark/>
          </w:tcPr>
          <w:p w14:paraId="27802756"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9.7</w:t>
            </w:r>
          </w:p>
        </w:tc>
        <w:tc>
          <w:tcPr>
            <w:tcW w:w="851" w:type="dxa"/>
            <w:tcBorders>
              <w:top w:val="nil"/>
              <w:left w:val="nil"/>
              <w:bottom w:val="nil"/>
              <w:right w:val="nil"/>
            </w:tcBorders>
            <w:shd w:val="clear" w:color="auto" w:fill="auto"/>
            <w:noWrap/>
            <w:vAlign w:val="bottom"/>
            <w:hideMark/>
          </w:tcPr>
          <w:p w14:paraId="7A71D93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0.77</w:t>
            </w:r>
          </w:p>
        </w:tc>
        <w:tc>
          <w:tcPr>
            <w:tcW w:w="567" w:type="dxa"/>
            <w:tcBorders>
              <w:top w:val="nil"/>
              <w:left w:val="nil"/>
              <w:bottom w:val="nil"/>
              <w:right w:val="nil"/>
            </w:tcBorders>
            <w:shd w:val="clear" w:color="auto" w:fill="auto"/>
            <w:noWrap/>
            <w:vAlign w:val="bottom"/>
            <w:hideMark/>
          </w:tcPr>
          <w:p w14:paraId="7CA818E7"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7.2</w:t>
            </w:r>
          </w:p>
        </w:tc>
        <w:tc>
          <w:tcPr>
            <w:tcW w:w="850" w:type="dxa"/>
            <w:tcBorders>
              <w:top w:val="nil"/>
              <w:left w:val="nil"/>
              <w:bottom w:val="nil"/>
              <w:right w:val="nil"/>
            </w:tcBorders>
            <w:shd w:val="clear" w:color="auto" w:fill="auto"/>
            <w:noWrap/>
            <w:vAlign w:val="bottom"/>
            <w:hideMark/>
          </w:tcPr>
          <w:p w14:paraId="57D0600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0.72</w:t>
            </w:r>
          </w:p>
        </w:tc>
        <w:tc>
          <w:tcPr>
            <w:tcW w:w="567" w:type="dxa"/>
            <w:tcBorders>
              <w:top w:val="nil"/>
              <w:left w:val="nil"/>
              <w:bottom w:val="nil"/>
              <w:right w:val="nil"/>
            </w:tcBorders>
            <w:shd w:val="clear" w:color="auto" w:fill="auto"/>
            <w:noWrap/>
            <w:vAlign w:val="bottom"/>
            <w:hideMark/>
          </w:tcPr>
          <w:p w14:paraId="700023EF"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8.2</w:t>
            </w:r>
          </w:p>
        </w:tc>
        <w:tc>
          <w:tcPr>
            <w:tcW w:w="851" w:type="dxa"/>
            <w:tcBorders>
              <w:top w:val="nil"/>
              <w:left w:val="nil"/>
              <w:bottom w:val="nil"/>
              <w:right w:val="nil"/>
            </w:tcBorders>
            <w:shd w:val="clear" w:color="auto" w:fill="auto"/>
            <w:noWrap/>
            <w:vAlign w:val="bottom"/>
            <w:hideMark/>
          </w:tcPr>
          <w:p w14:paraId="506F87A7"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0.93</w:t>
            </w:r>
          </w:p>
        </w:tc>
        <w:tc>
          <w:tcPr>
            <w:tcW w:w="567" w:type="dxa"/>
            <w:tcBorders>
              <w:top w:val="nil"/>
              <w:left w:val="nil"/>
              <w:bottom w:val="nil"/>
              <w:right w:val="nil"/>
            </w:tcBorders>
            <w:shd w:val="clear" w:color="auto" w:fill="auto"/>
            <w:noWrap/>
            <w:vAlign w:val="bottom"/>
            <w:hideMark/>
          </w:tcPr>
          <w:p w14:paraId="61B3E70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2.3</w:t>
            </w:r>
          </w:p>
        </w:tc>
        <w:tc>
          <w:tcPr>
            <w:tcW w:w="850" w:type="dxa"/>
            <w:tcBorders>
              <w:top w:val="nil"/>
              <w:left w:val="nil"/>
              <w:bottom w:val="nil"/>
              <w:right w:val="nil"/>
            </w:tcBorders>
            <w:shd w:val="clear" w:color="auto" w:fill="auto"/>
            <w:noWrap/>
            <w:vAlign w:val="bottom"/>
            <w:hideMark/>
          </w:tcPr>
          <w:p w14:paraId="4DB233A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0.9</w:t>
            </w:r>
          </w:p>
        </w:tc>
        <w:tc>
          <w:tcPr>
            <w:tcW w:w="567" w:type="dxa"/>
            <w:tcBorders>
              <w:top w:val="nil"/>
              <w:left w:val="nil"/>
              <w:bottom w:val="nil"/>
              <w:right w:val="nil"/>
            </w:tcBorders>
            <w:shd w:val="clear" w:color="auto" w:fill="auto"/>
            <w:noWrap/>
            <w:vAlign w:val="bottom"/>
            <w:hideMark/>
          </w:tcPr>
          <w:p w14:paraId="48749E8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0.8</w:t>
            </w:r>
          </w:p>
        </w:tc>
        <w:tc>
          <w:tcPr>
            <w:tcW w:w="851" w:type="dxa"/>
            <w:tcBorders>
              <w:top w:val="nil"/>
              <w:left w:val="nil"/>
              <w:bottom w:val="nil"/>
              <w:right w:val="nil"/>
            </w:tcBorders>
            <w:shd w:val="clear" w:color="auto" w:fill="auto"/>
            <w:noWrap/>
            <w:vAlign w:val="bottom"/>
            <w:hideMark/>
          </w:tcPr>
          <w:p w14:paraId="3CF198F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0.5</w:t>
            </w:r>
          </w:p>
        </w:tc>
        <w:tc>
          <w:tcPr>
            <w:tcW w:w="567" w:type="dxa"/>
            <w:tcBorders>
              <w:top w:val="nil"/>
              <w:left w:val="nil"/>
              <w:bottom w:val="nil"/>
              <w:right w:val="nil"/>
            </w:tcBorders>
            <w:shd w:val="clear" w:color="auto" w:fill="auto"/>
            <w:noWrap/>
            <w:vAlign w:val="bottom"/>
            <w:hideMark/>
          </w:tcPr>
          <w:p w14:paraId="1B8667B2"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1.9</w:t>
            </w:r>
          </w:p>
        </w:tc>
        <w:tc>
          <w:tcPr>
            <w:tcW w:w="850" w:type="dxa"/>
            <w:tcBorders>
              <w:top w:val="nil"/>
              <w:left w:val="nil"/>
              <w:bottom w:val="nil"/>
              <w:right w:val="nil"/>
            </w:tcBorders>
            <w:shd w:val="clear" w:color="auto" w:fill="auto"/>
            <w:noWrap/>
            <w:vAlign w:val="bottom"/>
            <w:hideMark/>
          </w:tcPr>
          <w:p w14:paraId="0E44C5F9"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0.46</w:t>
            </w:r>
          </w:p>
        </w:tc>
        <w:tc>
          <w:tcPr>
            <w:tcW w:w="709" w:type="dxa"/>
            <w:tcBorders>
              <w:top w:val="nil"/>
              <w:left w:val="nil"/>
              <w:bottom w:val="nil"/>
              <w:right w:val="nil"/>
            </w:tcBorders>
            <w:shd w:val="clear" w:color="auto" w:fill="auto"/>
            <w:noWrap/>
            <w:vAlign w:val="bottom"/>
            <w:hideMark/>
          </w:tcPr>
          <w:p w14:paraId="7F6B9EAB"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14.6</w:t>
            </w:r>
          </w:p>
        </w:tc>
        <w:tc>
          <w:tcPr>
            <w:tcW w:w="851" w:type="dxa"/>
            <w:tcBorders>
              <w:top w:val="nil"/>
              <w:left w:val="nil"/>
              <w:bottom w:val="nil"/>
              <w:right w:val="nil"/>
            </w:tcBorders>
            <w:shd w:val="clear" w:color="auto" w:fill="auto"/>
            <w:noWrap/>
            <w:vAlign w:val="bottom"/>
            <w:hideMark/>
          </w:tcPr>
          <w:p w14:paraId="5EB315AF"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0.63*</w:t>
            </w:r>
          </w:p>
        </w:tc>
      </w:tr>
      <w:tr w:rsidR="00340DD1" w:rsidRPr="008C5D4B" w14:paraId="2AAF9184" w14:textId="77777777" w:rsidTr="00F4602C">
        <w:trPr>
          <w:trHeight w:val="300"/>
        </w:trPr>
        <w:tc>
          <w:tcPr>
            <w:tcW w:w="851" w:type="dxa"/>
            <w:tcBorders>
              <w:top w:val="nil"/>
              <w:left w:val="nil"/>
              <w:bottom w:val="single" w:sz="4" w:space="0" w:color="auto"/>
              <w:right w:val="nil"/>
            </w:tcBorders>
            <w:shd w:val="clear" w:color="auto" w:fill="auto"/>
            <w:noWrap/>
            <w:vAlign w:val="center"/>
            <w:hideMark/>
          </w:tcPr>
          <w:p w14:paraId="015F96A2" w14:textId="77777777" w:rsidR="00340DD1" w:rsidRPr="008C5D4B" w:rsidRDefault="00340DD1" w:rsidP="00F4602C">
            <w:pPr>
              <w:spacing w:after="0" w:line="240" w:lineRule="auto"/>
              <w:rPr>
                <w:rFonts w:ascii="Calibri" w:eastAsia="Times New Roman" w:hAnsi="Calibri" w:cs="Times New Roman"/>
                <w:b/>
                <w:bCs/>
                <w:color w:val="000000"/>
                <w:sz w:val="18"/>
                <w:szCs w:val="20"/>
                <w:lang w:eastAsia="en-AU"/>
              </w:rPr>
            </w:pPr>
            <w:r w:rsidRPr="008C5D4B">
              <w:rPr>
                <w:rFonts w:ascii="Calibri" w:eastAsia="Times New Roman" w:hAnsi="Calibri" w:cs="Times New Roman"/>
                <w:b/>
                <w:bCs/>
                <w:color w:val="000000"/>
                <w:sz w:val="18"/>
                <w:szCs w:val="20"/>
                <w:lang w:eastAsia="en-AU"/>
              </w:rPr>
              <w:t>Total</w:t>
            </w:r>
          </w:p>
        </w:tc>
        <w:tc>
          <w:tcPr>
            <w:tcW w:w="567" w:type="dxa"/>
            <w:tcBorders>
              <w:top w:val="nil"/>
              <w:left w:val="nil"/>
              <w:bottom w:val="single" w:sz="4" w:space="0" w:color="auto"/>
              <w:right w:val="nil"/>
            </w:tcBorders>
            <w:shd w:val="clear" w:color="auto" w:fill="auto"/>
            <w:noWrap/>
            <w:vAlign w:val="bottom"/>
            <w:hideMark/>
          </w:tcPr>
          <w:p w14:paraId="4B226CCA"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42.6</w:t>
            </w:r>
          </w:p>
        </w:tc>
        <w:tc>
          <w:tcPr>
            <w:tcW w:w="850" w:type="dxa"/>
            <w:tcBorders>
              <w:top w:val="nil"/>
              <w:left w:val="nil"/>
              <w:bottom w:val="single" w:sz="4" w:space="0" w:color="auto"/>
              <w:right w:val="nil"/>
            </w:tcBorders>
            <w:shd w:val="clear" w:color="auto" w:fill="auto"/>
            <w:noWrap/>
            <w:vAlign w:val="bottom"/>
            <w:hideMark/>
          </w:tcPr>
          <w:p w14:paraId="02B4541C"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5B0B6321"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35.9</w:t>
            </w:r>
          </w:p>
        </w:tc>
        <w:tc>
          <w:tcPr>
            <w:tcW w:w="851" w:type="dxa"/>
            <w:tcBorders>
              <w:top w:val="nil"/>
              <w:left w:val="nil"/>
              <w:bottom w:val="single" w:sz="4" w:space="0" w:color="auto"/>
              <w:right w:val="nil"/>
            </w:tcBorders>
            <w:shd w:val="clear" w:color="auto" w:fill="auto"/>
            <w:noWrap/>
            <w:vAlign w:val="bottom"/>
            <w:hideMark/>
          </w:tcPr>
          <w:p w14:paraId="5EE6C23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55B628B9"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24.1</w:t>
            </w:r>
          </w:p>
        </w:tc>
        <w:tc>
          <w:tcPr>
            <w:tcW w:w="709" w:type="dxa"/>
            <w:tcBorders>
              <w:top w:val="nil"/>
              <w:left w:val="nil"/>
              <w:bottom w:val="single" w:sz="4" w:space="0" w:color="auto"/>
              <w:right w:val="nil"/>
            </w:tcBorders>
            <w:shd w:val="clear" w:color="auto" w:fill="auto"/>
            <w:noWrap/>
            <w:vAlign w:val="bottom"/>
            <w:hideMark/>
          </w:tcPr>
          <w:p w14:paraId="48453280"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708" w:type="dxa"/>
            <w:gridSpan w:val="2"/>
            <w:tcBorders>
              <w:top w:val="nil"/>
              <w:left w:val="nil"/>
              <w:bottom w:val="single" w:sz="4" w:space="0" w:color="auto"/>
              <w:right w:val="nil"/>
            </w:tcBorders>
            <w:shd w:val="clear" w:color="auto" w:fill="auto"/>
            <w:noWrap/>
            <w:vAlign w:val="bottom"/>
            <w:hideMark/>
          </w:tcPr>
          <w:p w14:paraId="21AF248E"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10.6</w:t>
            </w:r>
          </w:p>
        </w:tc>
        <w:tc>
          <w:tcPr>
            <w:tcW w:w="851" w:type="dxa"/>
            <w:tcBorders>
              <w:top w:val="nil"/>
              <w:left w:val="nil"/>
              <w:bottom w:val="single" w:sz="4" w:space="0" w:color="auto"/>
              <w:right w:val="nil"/>
            </w:tcBorders>
            <w:shd w:val="clear" w:color="auto" w:fill="auto"/>
            <w:noWrap/>
            <w:vAlign w:val="bottom"/>
            <w:hideMark/>
          </w:tcPr>
          <w:p w14:paraId="571A1D1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1FDA324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w:t>
            </w:r>
            <w:r>
              <w:rPr>
                <w:rFonts w:ascii="Calibri" w:eastAsia="Times New Roman" w:hAnsi="Calibri" w:cs="Times New Roman"/>
                <w:color w:val="000000"/>
                <w:sz w:val="18"/>
                <w:szCs w:val="20"/>
                <w:lang w:eastAsia="en-AU"/>
              </w:rPr>
              <w:t>.0</w:t>
            </w:r>
          </w:p>
        </w:tc>
        <w:tc>
          <w:tcPr>
            <w:tcW w:w="850" w:type="dxa"/>
            <w:tcBorders>
              <w:top w:val="nil"/>
              <w:left w:val="nil"/>
              <w:bottom w:val="single" w:sz="4" w:space="0" w:color="auto"/>
              <w:right w:val="nil"/>
            </w:tcBorders>
            <w:shd w:val="clear" w:color="auto" w:fill="auto"/>
            <w:noWrap/>
            <w:vAlign w:val="bottom"/>
            <w:hideMark/>
          </w:tcPr>
          <w:p w14:paraId="10C889FE"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78629CD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8.4</w:t>
            </w:r>
          </w:p>
        </w:tc>
        <w:tc>
          <w:tcPr>
            <w:tcW w:w="851" w:type="dxa"/>
            <w:tcBorders>
              <w:top w:val="nil"/>
              <w:left w:val="nil"/>
              <w:bottom w:val="single" w:sz="4" w:space="0" w:color="auto"/>
              <w:right w:val="nil"/>
            </w:tcBorders>
            <w:shd w:val="clear" w:color="auto" w:fill="auto"/>
            <w:noWrap/>
            <w:vAlign w:val="bottom"/>
            <w:hideMark/>
          </w:tcPr>
          <w:p w14:paraId="7A275CC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531E867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2.4</w:t>
            </w:r>
          </w:p>
        </w:tc>
        <w:tc>
          <w:tcPr>
            <w:tcW w:w="850" w:type="dxa"/>
            <w:tcBorders>
              <w:top w:val="nil"/>
              <w:left w:val="nil"/>
              <w:bottom w:val="single" w:sz="4" w:space="0" w:color="auto"/>
              <w:right w:val="nil"/>
            </w:tcBorders>
            <w:shd w:val="clear" w:color="auto" w:fill="auto"/>
            <w:noWrap/>
            <w:vAlign w:val="bottom"/>
            <w:hideMark/>
          </w:tcPr>
          <w:p w14:paraId="55199D82"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52BC5DFD"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1.1</w:t>
            </w:r>
          </w:p>
        </w:tc>
        <w:tc>
          <w:tcPr>
            <w:tcW w:w="851" w:type="dxa"/>
            <w:tcBorders>
              <w:top w:val="nil"/>
              <w:left w:val="nil"/>
              <w:bottom w:val="single" w:sz="4" w:space="0" w:color="auto"/>
              <w:right w:val="nil"/>
            </w:tcBorders>
            <w:shd w:val="clear" w:color="auto" w:fill="auto"/>
            <w:noWrap/>
            <w:vAlign w:val="bottom"/>
            <w:hideMark/>
          </w:tcPr>
          <w:p w14:paraId="1F6EA3FB"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567" w:type="dxa"/>
            <w:tcBorders>
              <w:top w:val="nil"/>
              <w:left w:val="nil"/>
              <w:bottom w:val="single" w:sz="4" w:space="0" w:color="auto"/>
              <w:right w:val="nil"/>
            </w:tcBorders>
            <w:shd w:val="clear" w:color="auto" w:fill="auto"/>
            <w:noWrap/>
            <w:vAlign w:val="bottom"/>
            <w:hideMark/>
          </w:tcPr>
          <w:p w14:paraId="72958B54"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2.6</w:t>
            </w:r>
          </w:p>
        </w:tc>
        <w:tc>
          <w:tcPr>
            <w:tcW w:w="850" w:type="dxa"/>
            <w:tcBorders>
              <w:top w:val="nil"/>
              <w:left w:val="nil"/>
              <w:bottom w:val="single" w:sz="4" w:space="0" w:color="auto"/>
              <w:right w:val="nil"/>
            </w:tcBorders>
            <w:shd w:val="clear" w:color="auto" w:fill="auto"/>
            <w:noWrap/>
            <w:vAlign w:val="bottom"/>
            <w:hideMark/>
          </w:tcPr>
          <w:p w14:paraId="6E0F09BA"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c>
          <w:tcPr>
            <w:tcW w:w="709" w:type="dxa"/>
            <w:tcBorders>
              <w:top w:val="nil"/>
              <w:left w:val="nil"/>
              <w:bottom w:val="single" w:sz="4" w:space="0" w:color="auto"/>
              <w:right w:val="nil"/>
            </w:tcBorders>
            <w:shd w:val="clear" w:color="auto" w:fill="auto"/>
            <w:noWrap/>
            <w:vAlign w:val="bottom"/>
            <w:hideMark/>
          </w:tcPr>
          <w:p w14:paraId="51F51A48" w14:textId="77777777" w:rsidR="00340DD1" w:rsidRPr="008C5D4B" w:rsidRDefault="00340DD1" w:rsidP="00F4602C">
            <w:pPr>
              <w:spacing w:after="0" w:line="240" w:lineRule="auto"/>
              <w:jc w:val="right"/>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17.1</w:t>
            </w:r>
          </w:p>
        </w:tc>
        <w:tc>
          <w:tcPr>
            <w:tcW w:w="851" w:type="dxa"/>
            <w:tcBorders>
              <w:top w:val="nil"/>
              <w:left w:val="nil"/>
              <w:bottom w:val="single" w:sz="4" w:space="0" w:color="auto"/>
              <w:right w:val="nil"/>
            </w:tcBorders>
            <w:shd w:val="clear" w:color="auto" w:fill="auto"/>
            <w:noWrap/>
            <w:vAlign w:val="bottom"/>
            <w:hideMark/>
          </w:tcPr>
          <w:p w14:paraId="42FE23C8" w14:textId="77777777" w:rsidR="00340DD1" w:rsidRPr="008C5D4B" w:rsidRDefault="00340DD1" w:rsidP="00F4602C">
            <w:pPr>
              <w:spacing w:after="0" w:line="240" w:lineRule="auto"/>
              <w:rPr>
                <w:rFonts w:ascii="Calibri" w:eastAsia="Times New Roman" w:hAnsi="Calibri" w:cs="Times New Roman"/>
                <w:color w:val="000000"/>
                <w:sz w:val="18"/>
                <w:szCs w:val="20"/>
                <w:lang w:eastAsia="en-AU"/>
              </w:rPr>
            </w:pPr>
            <w:r w:rsidRPr="008C5D4B">
              <w:rPr>
                <w:rFonts w:ascii="Calibri" w:eastAsia="Times New Roman" w:hAnsi="Calibri" w:cs="Times New Roman"/>
                <w:color w:val="000000"/>
                <w:sz w:val="18"/>
                <w:szCs w:val="20"/>
                <w:lang w:eastAsia="en-AU"/>
              </w:rPr>
              <w:t> </w:t>
            </w:r>
          </w:p>
        </w:tc>
      </w:tr>
    </w:tbl>
    <w:p w14:paraId="2C6E30F9" w14:textId="77777777" w:rsidR="00340DD1" w:rsidRDefault="00340DD1" w:rsidP="00340DD1">
      <w:pPr>
        <w:spacing w:after="0"/>
        <w:rPr>
          <w:rFonts w:ascii="Calibri" w:hAnsi="Calibri" w:cs="Times New Roman"/>
          <w:sz w:val="18"/>
          <w:szCs w:val="18"/>
        </w:rPr>
      </w:pPr>
      <w:r w:rsidRPr="003279AB">
        <w:rPr>
          <w:rFonts w:ascii="Calibri" w:hAnsi="Calibri" w:cs="Times New Roman"/>
          <w:sz w:val="18"/>
          <w:szCs w:val="18"/>
        </w:rPr>
        <w:t>*p&lt;0.05</w:t>
      </w:r>
      <w:r>
        <w:rPr>
          <w:rFonts w:ascii="Calibri" w:hAnsi="Calibri" w:cs="Times New Roman"/>
          <w:sz w:val="18"/>
          <w:szCs w:val="18"/>
        </w:rPr>
        <w:t xml:space="preserve">; **p&lt;.01, </w:t>
      </w:r>
      <w:r w:rsidRPr="003279AB">
        <w:rPr>
          <w:rFonts w:ascii="Calibri" w:hAnsi="Calibri" w:cs="Times New Roman"/>
          <w:sz w:val="18"/>
          <w:szCs w:val="18"/>
        </w:rPr>
        <w:t>***p&lt;0.01</w:t>
      </w:r>
    </w:p>
    <w:p w14:paraId="1A5986E4" w14:textId="77777777" w:rsidR="00340DD1" w:rsidRDefault="00340DD1" w:rsidP="00340DD1">
      <w:pPr>
        <w:spacing w:after="0"/>
      </w:pPr>
      <w:r>
        <w:rPr>
          <w:rFonts w:ascii="Calibri" w:hAnsi="Calibri" w:cs="Times New Roman"/>
          <w:sz w:val="18"/>
          <w:szCs w:val="18"/>
        </w:rPr>
        <w:t>N=7,679 (Reduced Drinking); N = 1,034 (Ceased Drinking)</w:t>
      </w:r>
      <w:r>
        <w:t xml:space="preserve"> </w:t>
      </w:r>
    </w:p>
    <w:p w14:paraId="368FACDD" w14:textId="77777777" w:rsidR="00340DD1" w:rsidRDefault="00340DD1">
      <w:pPr>
        <w:sectPr w:rsidR="00340DD1" w:rsidSect="00340DD1">
          <w:pgSz w:w="16838" w:h="11906" w:orient="landscape"/>
          <w:pgMar w:top="1418" w:right="1021" w:bottom="1440" w:left="1021" w:header="709" w:footer="709" w:gutter="0"/>
          <w:cols w:space="708"/>
          <w:docGrid w:linePitch="360"/>
        </w:sectPr>
      </w:pPr>
    </w:p>
    <w:p w14:paraId="6E63B7C1" w14:textId="77777777" w:rsidR="00340DD1" w:rsidRPr="00561F97" w:rsidRDefault="00340DD1" w:rsidP="00340DD1">
      <w:pPr>
        <w:spacing w:after="0" w:line="240" w:lineRule="auto"/>
        <w:rPr>
          <w:rFonts w:ascii="Calibri" w:hAnsi="Calibri" w:cs="Times New Roman"/>
          <w:b/>
        </w:rPr>
      </w:pPr>
      <w:r>
        <w:rPr>
          <w:rFonts w:ascii="Calibri" w:hAnsi="Calibri" w:cs="Times New Roman"/>
          <w:b/>
        </w:rPr>
        <w:lastRenderedPageBreak/>
        <w:t xml:space="preserve">Supplementary Table 1: </w:t>
      </w:r>
      <w:r w:rsidRPr="00561F97">
        <w:rPr>
          <w:rFonts w:ascii="Calibri" w:hAnsi="Calibri" w:cs="Times New Roman"/>
          <w:b/>
        </w:rPr>
        <w:t>Proportion of drinkers who reduced</w:t>
      </w:r>
      <w:r>
        <w:rPr>
          <w:rFonts w:ascii="Calibri" w:hAnsi="Calibri" w:cs="Times New Roman"/>
          <w:b/>
        </w:rPr>
        <w:t xml:space="preserve"> or ceased </w:t>
      </w:r>
      <w:r w:rsidRPr="00561F97">
        <w:rPr>
          <w:rFonts w:ascii="Calibri" w:hAnsi="Calibri" w:cs="Times New Roman"/>
          <w:b/>
        </w:rPr>
        <w:t xml:space="preserve">drinking </w:t>
      </w:r>
      <w:r>
        <w:rPr>
          <w:rFonts w:ascii="Calibri" w:hAnsi="Calibri" w:cs="Times New Roman"/>
          <w:b/>
        </w:rPr>
        <w:t xml:space="preserve">in the past 12 months </w:t>
      </w:r>
      <w:r w:rsidRPr="00561F97">
        <w:rPr>
          <w:rFonts w:ascii="Calibri" w:hAnsi="Calibri" w:cs="Times New Roman"/>
          <w:b/>
        </w:rPr>
        <w:t>by age</w:t>
      </w:r>
      <w:r>
        <w:rPr>
          <w:rFonts w:ascii="Calibri" w:hAnsi="Calibri" w:cs="Times New Roman"/>
          <w:b/>
        </w:rPr>
        <w:t xml:space="preserve">, sex </w:t>
      </w:r>
      <w:r w:rsidRPr="00561F97">
        <w:rPr>
          <w:rFonts w:ascii="Calibri" w:hAnsi="Calibri" w:cs="Times New Roman"/>
          <w:b/>
        </w:rPr>
        <w:t>and year of survey</w:t>
      </w:r>
      <w:r>
        <w:rPr>
          <w:rFonts w:ascii="Calibri" w:hAnsi="Calibri" w:cs="Times New Roman"/>
          <w:b/>
        </w:rPr>
        <w:t xml:space="preserve"> (95% CI)</w:t>
      </w:r>
    </w:p>
    <w:tbl>
      <w:tblPr>
        <w:tblW w:w="9923" w:type="dxa"/>
        <w:tblLayout w:type="fixed"/>
        <w:tblLook w:val="04A0" w:firstRow="1" w:lastRow="0" w:firstColumn="1" w:lastColumn="0" w:noHBand="0" w:noVBand="1"/>
      </w:tblPr>
      <w:tblGrid>
        <w:gridCol w:w="993"/>
        <w:gridCol w:w="708"/>
        <w:gridCol w:w="1701"/>
        <w:gridCol w:w="1701"/>
        <w:gridCol w:w="1560"/>
        <w:gridCol w:w="1701"/>
        <w:gridCol w:w="1559"/>
      </w:tblGrid>
      <w:tr w:rsidR="00340DD1" w:rsidRPr="004E3096" w14:paraId="01A82F75" w14:textId="77777777" w:rsidTr="00F4602C">
        <w:trPr>
          <w:trHeight w:val="300"/>
        </w:trPr>
        <w:tc>
          <w:tcPr>
            <w:tcW w:w="9923" w:type="dxa"/>
            <w:gridSpan w:val="7"/>
            <w:tcBorders>
              <w:top w:val="single" w:sz="4" w:space="0" w:color="auto"/>
              <w:left w:val="nil"/>
              <w:bottom w:val="single" w:sz="4" w:space="0" w:color="auto"/>
              <w:right w:val="nil"/>
            </w:tcBorders>
            <w:shd w:val="clear" w:color="auto" w:fill="auto"/>
            <w:noWrap/>
            <w:vAlign w:val="center"/>
          </w:tcPr>
          <w:p w14:paraId="028D4BF9" w14:textId="77777777" w:rsidR="00340DD1" w:rsidRPr="004E3096" w:rsidRDefault="00340DD1" w:rsidP="00F4602C">
            <w:pPr>
              <w:spacing w:after="0" w:line="240" w:lineRule="auto"/>
              <w:jc w:val="center"/>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Reduced d</w:t>
            </w:r>
            <w:r w:rsidRPr="004E3096">
              <w:rPr>
                <w:rFonts w:ascii="Calibri" w:eastAsia="Times New Roman" w:hAnsi="Calibri" w:cs="Times New Roman"/>
                <w:b/>
                <w:bCs/>
                <w:color w:val="000000"/>
                <w:sz w:val="20"/>
                <w:szCs w:val="20"/>
                <w:lang w:eastAsia="en-AU"/>
              </w:rPr>
              <w:t>rinking</w:t>
            </w:r>
            <w:r>
              <w:rPr>
                <w:rFonts w:ascii="Calibri" w:eastAsia="Times New Roman" w:hAnsi="Calibri" w:cs="Times New Roman"/>
                <w:b/>
                <w:bCs/>
                <w:color w:val="000000"/>
                <w:sz w:val="20"/>
                <w:szCs w:val="20"/>
                <w:lang w:eastAsia="en-AU"/>
              </w:rPr>
              <w:t xml:space="preserve"> </w:t>
            </w:r>
          </w:p>
        </w:tc>
      </w:tr>
      <w:tr w:rsidR="00340DD1" w:rsidRPr="004E3096" w14:paraId="77B44593" w14:textId="77777777" w:rsidTr="00F4602C">
        <w:trPr>
          <w:trHeight w:val="300"/>
        </w:trPr>
        <w:tc>
          <w:tcPr>
            <w:tcW w:w="993" w:type="dxa"/>
            <w:tcBorders>
              <w:top w:val="single" w:sz="4" w:space="0" w:color="auto"/>
              <w:left w:val="nil"/>
              <w:bottom w:val="single" w:sz="4" w:space="0" w:color="auto"/>
              <w:right w:val="nil"/>
            </w:tcBorders>
            <w:shd w:val="clear" w:color="auto" w:fill="auto"/>
            <w:noWrap/>
            <w:vAlign w:val="bottom"/>
            <w:hideMark/>
          </w:tcPr>
          <w:p w14:paraId="2C313E20" w14:textId="77777777" w:rsidR="00340DD1" w:rsidRPr="004E3096" w:rsidRDefault="00340DD1" w:rsidP="00F4602C">
            <w:pPr>
              <w:spacing w:after="0" w:line="240" w:lineRule="auto"/>
              <w:jc w:val="center"/>
              <w:rPr>
                <w:rFonts w:ascii="Calibri" w:eastAsia="Times New Roman" w:hAnsi="Calibri" w:cs="Times New Roman"/>
                <w:b/>
                <w:bCs/>
                <w:color w:val="000000"/>
                <w:sz w:val="20"/>
                <w:szCs w:val="20"/>
                <w:lang w:eastAsia="en-AU"/>
              </w:rPr>
            </w:pPr>
          </w:p>
        </w:tc>
        <w:tc>
          <w:tcPr>
            <w:tcW w:w="708" w:type="dxa"/>
            <w:tcBorders>
              <w:top w:val="single" w:sz="4" w:space="0" w:color="auto"/>
              <w:left w:val="nil"/>
              <w:bottom w:val="single" w:sz="4" w:space="0" w:color="auto"/>
              <w:right w:val="nil"/>
            </w:tcBorders>
          </w:tcPr>
          <w:p w14:paraId="782918F3"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p>
        </w:tc>
        <w:tc>
          <w:tcPr>
            <w:tcW w:w="1701" w:type="dxa"/>
            <w:tcBorders>
              <w:top w:val="single" w:sz="4" w:space="0" w:color="auto"/>
              <w:left w:val="nil"/>
              <w:bottom w:val="single" w:sz="4" w:space="0" w:color="auto"/>
              <w:right w:val="nil"/>
            </w:tcBorders>
            <w:shd w:val="clear" w:color="auto" w:fill="auto"/>
            <w:noWrap/>
            <w:vAlign w:val="bottom"/>
            <w:hideMark/>
          </w:tcPr>
          <w:p w14:paraId="5BAF0C56"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2001</w:t>
            </w:r>
          </w:p>
        </w:tc>
        <w:tc>
          <w:tcPr>
            <w:tcW w:w="1701" w:type="dxa"/>
            <w:tcBorders>
              <w:top w:val="single" w:sz="4" w:space="0" w:color="auto"/>
              <w:left w:val="nil"/>
              <w:bottom w:val="single" w:sz="4" w:space="0" w:color="auto"/>
              <w:right w:val="nil"/>
            </w:tcBorders>
            <w:shd w:val="clear" w:color="auto" w:fill="auto"/>
            <w:noWrap/>
            <w:vAlign w:val="bottom"/>
            <w:hideMark/>
          </w:tcPr>
          <w:p w14:paraId="6579309B"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2004</w:t>
            </w:r>
          </w:p>
        </w:tc>
        <w:tc>
          <w:tcPr>
            <w:tcW w:w="1560" w:type="dxa"/>
            <w:tcBorders>
              <w:top w:val="single" w:sz="4" w:space="0" w:color="auto"/>
              <w:left w:val="nil"/>
              <w:bottom w:val="single" w:sz="4" w:space="0" w:color="auto"/>
              <w:right w:val="nil"/>
            </w:tcBorders>
            <w:shd w:val="clear" w:color="auto" w:fill="auto"/>
            <w:noWrap/>
            <w:vAlign w:val="bottom"/>
            <w:hideMark/>
          </w:tcPr>
          <w:p w14:paraId="754AA3B1"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2007</w:t>
            </w:r>
          </w:p>
        </w:tc>
        <w:tc>
          <w:tcPr>
            <w:tcW w:w="1701" w:type="dxa"/>
            <w:tcBorders>
              <w:top w:val="single" w:sz="4" w:space="0" w:color="auto"/>
              <w:left w:val="nil"/>
              <w:bottom w:val="single" w:sz="4" w:space="0" w:color="auto"/>
              <w:right w:val="nil"/>
            </w:tcBorders>
            <w:shd w:val="clear" w:color="auto" w:fill="auto"/>
            <w:noWrap/>
            <w:vAlign w:val="bottom"/>
            <w:hideMark/>
          </w:tcPr>
          <w:p w14:paraId="4B76A108"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2010</w:t>
            </w:r>
          </w:p>
        </w:tc>
        <w:tc>
          <w:tcPr>
            <w:tcW w:w="1559" w:type="dxa"/>
            <w:tcBorders>
              <w:top w:val="single" w:sz="4" w:space="0" w:color="auto"/>
              <w:left w:val="nil"/>
              <w:bottom w:val="single" w:sz="4" w:space="0" w:color="auto"/>
              <w:right w:val="nil"/>
            </w:tcBorders>
            <w:shd w:val="clear" w:color="auto" w:fill="auto"/>
            <w:noWrap/>
            <w:vAlign w:val="bottom"/>
            <w:hideMark/>
          </w:tcPr>
          <w:p w14:paraId="210C80C2"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2013</w:t>
            </w:r>
          </w:p>
        </w:tc>
      </w:tr>
      <w:tr w:rsidR="00340DD1" w:rsidRPr="004E3096" w14:paraId="3088E60B" w14:textId="77777777" w:rsidTr="00F4602C">
        <w:trPr>
          <w:trHeight w:val="300"/>
        </w:trPr>
        <w:tc>
          <w:tcPr>
            <w:tcW w:w="993" w:type="dxa"/>
            <w:vMerge w:val="restart"/>
            <w:tcBorders>
              <w:top w:val="single" w:sz="4" w:space="0" w:color="auto"/>
              <w:left w:val="nil"/>
              <w:right w:val="nil"/>
            </w:tcBorders>
            <w:shd w:val="clear" w:color="auto" w:fill="auto"/>
            <w:noWrap/>
            <w:vAlign w:val="center"/>
          </w:tcPr>
          <w:p w14:paraId="59DE13F5"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Males</w:t>
            </w:r>
          </w:p>
        </w:tc>
        <w:tc>
          <w:tcPr>
            <w:tcW w:w="708" w:type="dxa"/>
            <w:tcBorders>
              <w:top w:val="single" w:sz="4" w:space="0" w:color="auto"/>
              <w:left w:val="nil"/>
              <w:right w:val="nil"/>
            </w:tcBorders>
            <w:vAlign w:val="bottom"/>
          </w:tcPr>
          <w:p w14:paraId="37B08C13"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14-17</w:t>
            </w:r>
          </w:p>
        </w:tc>
        <w:tc>
          <w:tcPr>
            <w:tcW w:w="1701" w:type="dxa"/>
            <w:tcBorders>
              <w:top w:val="single" w:sz="4" w:space="0" w:color="auto"/>
              <w:left w:val="nil"/>
              <w:right w:val="nil"/>
            </w:tcBorders>
            <w:shd w:val="clear" w:color="auto" w:fill="auto"/>
            <w:noWrap/>
            <w:vAlign w:val="bottom"/>
          </w:tcPr>
          <w:p w14:paraId="0AFA883A"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29.5 (25.0, 34.5)</w:t>
            </w:r>
          </w:p>
        </w:tc>
        <w:tc>
          <w:tcPr>
            <w:tcW w:w="1701" w:type="dxa"/>
            <w:tcBorders>
              <w:top w:val="single" w:sz="4" w:space="0" w:color="auto"/>
              <w:left w:val="nil"/>
              <w:right w:val="nil"/>
            </w:tcBorders>
            <w:shd w:val="clear" w:color="auto" w:fill="auto"/>
            <w:noWrap/>
            <w:vAlign w:val="bottom"/>
          </w:tcPr>
          <w:p w14:paraId="4848CBF2"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29.0 (23.4, 35.2)</w:t>
            </w:r>
          </w:p>
        </w:tc>
        <w:tc>
          <w:tcPr>
            <w:tcW w:w="1560" w:type="dxa"/>
            <w:tcBorders>
              <w:top w:val="single" w:sz="4" w:space="0" w:color="auto"/>
              <w:left w:val="nil"/>
              <w:right w:val="nil"/>
            </w:tcBorders>
            <w:shd w:val="clear" w:color="auto" w:fill="auto"/>
            <w:noWrap/>
            <w:vAlign w:val="bottom"/>
          </w:tcPr>
          <w:p w14:paraId="2BC4E991"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32.4 (26.4, 38.9)</w:t>
            </w:r>
          </w:p>
        </w:tc>
        <w:tc>
          <w:tcPr>
            <w:tcW w:w="1701" w:type="dxa"/>
            <w:tcBorders>
              <w:top w:val="single" w:sz="4" w:space="0" w:color="auto"/>
              <w:left w:val="nil"/>
              <w:right w:val="nil"/>
            </w:tcBorders>
            <w:shd w:val="clear" w:color="auto" w:fill="auto"/>
            <w:noWrap/>
            <w:vAlign w:val="bottom"/>
          </w:tcPr>
          <w:p w14:paraId="3C4133AC"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32.7 (26.3, 39.7)</w:t>
            </w:r>
          </w:p>
        </w:tc>
        <w:tc>
          <w:tcPr>
            <w:tcW w:w="1559" w:type="dxa"/>
            <w:tcBorders>
              <w:top w:val="single" w:sz="4" w:space="0" w:color="auto"/>
              <w:left w:val="nil"/>
              <w:right w:val="nil"/>
            </w:tcBorders>
            <w:shd w:val="clear" w:color="auto" w:fill="auto"/>
            <w:noWrap/>
            <w:vAlign w:val="bottom"/>
          </w:tcPr>
          <w:p w14:paraId="2C6818B7"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34.8 (26.5, 44.3)</w:t>
            </w:r>
          </w:p>
        </w:tc>
      </w:tr>
      <w:tr w:rsidR="00340DD1" w:rsidRPr="004E3096" w14:paraId="0DB9EF5F" w14:textId="77777777" w:rsidTr="00F4602C">
        <w:trPr>
          <w:trHeight w:val="300"/>
        </w:trPr>
        <w:tc>
          <w:tcPr>
            <w:tcW w:w="993" w:type="dxa"/>
            <w:vMerge/>
            <w:tcBorders>
              <w:left w:val="nil"/>
              <w:right w:val="nil"/>
            </w:tcBorders>
            <w:shd w:val="clear" w:color="auto" w:fill="auto"/>
            <w:noWrap/>
            <w:vAlign w:val="bottom"/>
          </w:tcPr>
          <w:p w14:paraId="0EEE0B5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5D36C0A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18-23</w:t>
            </w:r>
          </w:p>
        </w:tc>
        <w:tc>
          <w:tcPr>
            <w:tcW w:w="1701" w:type="dxa"/>
            <w:tcBorders>
              <w:left w:val="nil"/>
              <w:right w:val="nil"/>
            </w:tcBorders>
            <w:shd w:val="clear" w:color="auto" w:fill="auto"/>
            <w:noWrap/>
            <w:vAlign w:val="bottom"/>
          </w:tcPr>
          <w:p w14:paraId="188AC182"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41.1 (37.3, 45.0)</w:t>
            </w:r>
          </w:p>
        </w:tc>
        <w:tc>
          <w:tcPr>
            <w:tcW w:w="1701" w:type="dxa"/>
            <w:tcBorders>
              <w:left w:val="nil"/>
              <w:right w:val="nil"/>
            </w:tcBorders>
            <w:shd w:val="clear" w:color="auto" w:fill="auto"/>
            <w:noWrap/>
            <w:vAlign w:val="bottom"/>
          </w:tcPr>
          <w:p w14:paraId="1E2E5A17"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45.1 (40.6, 49.7)</w:t>
            </w:r>
          </w:p>
        </w:tc>
        <w:tc>
          <w:tcPr>
            <w:tcW w:w="1560" w:type="dxa"/>
            <w:tcBorders>
              <w:left w:val="nil"/>
              <w:right w:val="nil"/>
            </w:tcBorders>
            <w:shd w:val="clear" w:color="auto" w:fill="auto"/>
            <w:noWrap/>
            <w:vAlign w:val="bottom"/>
          </w:tcPr>
          <w:p w14:paraId="7342F13B"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47.8 (42.7, 52.9)</w:t>
            </w:r>
          </w:p>
        </w:tc>
        <w:tc>
          <w:tcPr>
            <w:tcW w:w="1701" w:type="dxa"/>
            <w:tcBorders>
              <w:left w:val="nil"/>
              <w:right w:val="nil"/>
            </w:tcBorders>
            <w:shd w:val="clear" w:color="auto" w:fill="auto"/>
            <w:noWrap/>
            <w:vAlign w:val="bottom"/>
          </w:tcPr>
          <w:p w14:paraId="6A2D4C35"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48</w:t>
            </w:r>
            <w:r>
              <w:rPr>
                <w:rFonts w:ascii="Calibri" w:hAnsi="Calibri"/>
                <w:color w:val="000000"/>
                <w:sz w:val="20"/>
                <w:szCs w:val="20"/>
              </w:rPr>
              <w:t>.0</w:t>
            </w:r>
            <w:r w:rsidRPr="004E3096">
              <w:rPr>
                <w:rFonts w:ascii="Calibri" w:hAnsi="Calibri"/>
                <w:color w:val="000000"/>
                <w:sz w:val="20"/>
                <w:szCs w:val="20"/>
              </w:rPr>
              <w:t xml:space="preserve"> (43.7, 52.2)</w:t>
            </w:r>
          </w:p>
        </w:tc>
        <w:tc>
          <w:tcPr>
            <w:tcW w:w="1559" w:type="dxa"/>
            <w:tcBorders>
              <w:left w:val="nil"/>
              <w:right w:val="nil"/>
            </w:tcBorders>
            <w:shd w:val="clear" w:color="auto" w:fill="auto"/>
            <w:noWrap/>
            <w:vAlign w:val="bottom"/>
          </w:tcPr>
          <w:p w14:paraId="66D17D1F"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43.1 (38.4, 47.8)</w:t>
            </w:r>
          </w:p>
        </w:tc>
      </w:tr>
      <w:tr w:rsidR="00340DD1" w:rsidRPr="004E3096" w14:paraId="7E08BF3D" w14:textId="77777777" w:rsidTr="00F4602C">
        <w:trPr>
          <w:trHeight w:val="300"/>
        </w:trPr>
        <w:tc>
          <w:tcPr>
            <w:tcW w:w="993" w:type="dxa"/>
            <w:vMerge/>
            <w:tcBorders>
              <w:left w:val="nil"/>
              <w:right w:val="nil"/>
            </w:tcBorders>
            <w:shd w:val="clear" w:color="auto" w:fill="auto"/>
            <w:noWrap/>
            <w:vAlign w:val="bottom"/>
          </w:tcPr>
          <w:p w14:paraId="3120D293"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533B1AA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24-29</w:t>
            </w:r>
          </w:p>
        </w:tc>
        <w:tc>
          <w:tcPr>
            <w:tcW w:w="1701" w:type="dxa"/>
            <w:tcBorders>
              <w:left w:val="nil"/>
              <w:right w:val="nil"/>
            </w:tcBorders>
            <w:shd w:val="clear" w:color="auto" w:fill="auto"/>
            <w:noWrap/>
            <w:vAlign w:val="bottom"/>
          </w:tcPr>
          <w:p w14:paraId="1D7B77C7"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48.1 (44.3, 51.9)</w:t>
            </w:r>
          </w:p>
        </w:tc>
        <w:tc>
          <w:tcPr>
            <w:tcW w:w="1701" w:type="dxa"/>
            <w:tcBorders>
              <w:left w:val="nil"/>
              <w:right w:val="nil"/>
            </w:tcBorders>
            <w:shd w:val="clear" w:color="auto" w:fill="auto"/>
            <w:noWrap/>
            <w:vAlign w:val="bottom"/>
          </w:tcPr>
          <w:p w14:paraId="24AEDCB8"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45.0 (41.0, 49.1)</w:t>
            </w:r>
          </w:p>
        </w:tc>
        <w:tc>
          <w:tcPr>
            <w:tcW w:w="1560" w:type="dxa"/>
            <w:tcBorders>
              <w:left w:val="nil"/>
              <w:right w:val="nil"/>
            </w:tcBorders>
            <w:shd w:val="clear" w:color="auto" w:fill="auto"/>
            <w:noWrap/>
            <w:vAlign w:val="bottom"/>
          </w:tcPr>
          <w:p w14:paraId="635646FF"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51.1 (46.3, 56.0)</w:t>
            </w:r>
          </w:p>
        </w:tc>
        <w:tc>
          <w:tcPr>
            <w:tcW w:w="1701" w:type="dxa"/>
            <w:tcBorders>
              <w:left w:val="nil"/>
              <w:right w:val="nil"/>
            </w:tcBorders>
            <w:shd w:val="clear" w:color="auto" w:fill="auto"/>
            <w:noWrap/>
            <w:vAlign w:val="bottom"/>
          </w:tcPr>
          <w:p w14:paraId="7FEEA1C3"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51.9 (47.8, 56</w:t>
            </w:r>
            <w:r>
              <w:rPr>
                <w:rFonts w:ascii="Calibri" w:hAnsi="Calibri"/>
                <w:color w:val="000000"/>
                <w:sz w:val="20"/>
                <w:szCs w:val="20"/>
              </w:rPr>
              <w:t>.0</w:t>
            </w:r>
            <w:r w:rsidRPr="004E3096">
              <w:rPr>
                <w:rFonts w:ascii="Calibri" w:hAnsi="Calibri"/>
                <w:color w:val="000000"/>
                <w:sz w:val="20"/>
                <w:szCs w:val="20"/>
              </w:rPr>
              <w:t>)</w:t>
            </w:r>
          </w:p>
        </w:tc>
        <w:tc>
          <w:tcPr>
            <w:tcW w:w="1559" w:type="dxa"/>
            <w:tcBorders>
              <w:left w:val="nil"/>
              <w:right w:val="nil"/>
            </w:tcBorders>
            <w:shd w:val="clear" w:color="auto" w:fill="auto"/>
            <w:noWrap/>
            <w:vAlign w:val="bottom"/>
          </w:tcPr>
          <w:p w14:paraId="00C0C315"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48.2 (43.9, 52.5)</w:t>
            </w:r>
          </w:p>
        </w:tc>
      </w:tr>
      <w:tr w:rsidR="00340DD1" w:rsidRPr="004E3096" w14:paraId="4844385A" w14:textId="77777777" w:rsidTr="00F4602C">
        <w:trPr>
          <w:trHeight w:val="300"/>
        </w:trPr>
        <w:tc>
          <w:tcPr>
            <w:tcW w:w="993" w:type="dxa"/>
            <w:vMerge/>
            <w:tcBorders>
              <w:left w:val="nil"/>
              <w:right w:val="nil"/>
            </w:tcBorders>
            <w:shd w:val="clear" w:color="auto" w:fill="auto"/>
            <w:noWrap/>
            <w:vAlign w:val="bottom"/>
          </w:tcPr>
          <w:p w14:paraId="309D735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235F5A87"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30-49</w:t>
            </w:r>
          </w:p>
        </w:tc>
        <w:tc>
          <w:tcPr>
            <w:tcW w:w="1701" w:type="dxa"/>
            <w:tcBorders>
              <w:left w:val="nil"/>
              <w:right w:val="nil"/>
            </w:tcBorders>
            <w:shd w:val="clear" w:color="auto" w:fill="auto"/>
            <w:noWrap/>
            <w:vAlign w:val="bottom"/>
          </w:tcPr>
          <w:p w14:paraId="1C20B92C"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39.5 (37.7, 41.3)</w:t>
            </w:r>
          </w:p>
        </w:tc>
        <w:tc>
          <w:tcPr>
            <w:tcW w:w="1701" w:type="dxa"/>
            <w:tcBorders>
              <w:left w:val="nil"/>
              <w:right w:val="nil"/>
            </w:tcBorders>
            <w:shd w:val="clear" w:color="auto" w:fill="auto"/>
            <w:noWrap/>
            <w:vAlign w:val="bottom"/>
          </w:tcPr>
          <w:p w14:paraId="2E6C9571"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44.7 (42.7, 46.7)</w:t>
            </w:r>
          </w:p>
        </w:tc>
        <w:tc>
          <w:tcPr>
            <w:tcW w:w="1560" w:type="dxa"/>
            <w:tcBorders>
              <w:left w:val="nil"/>
              <w:right w:val="nil"/>
            </w:tcBorders>
            <w:shd w:val="clear" w:color="auto" w:fill="auto"/>
            <w:noWrap/>
            <w:vAlign w:val="bottom"/>
          </w:tcPr>
          <w:p w14:paraId="16ADDC55"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45.4 (43.2, 47.7)</w:t>
            </w:r>
          </w:p>
        </w:tc>
        <w:tc>
          <w:tcPr>
            <w:tcW w:w="1701" w:type="dxa"/>
            <w:tcBorders>
              <w:left w:val="nil"/>
              <w:right w:val="nil"/>
            </w:tcBorders>
            <w:shd w:val="clear" w:color="auto" w:fill="auto"/>
            <w:noWrap/>
            <w:vAlign w:val="bottom"/>
          </w:tcPr>
          <w:p w14:paraId="26EA58E9"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44.9 (43</w:t>
            </w:r>
            <w:r>
              <w:rPr>
                <w:rFonts w:ascii="Calibri" w:hAnsi="Calibri"/>
                <w:color w:val="000000"/>
                <w:sz w:val="20"/>
                <w:szCs w:val="20"/>
              </w:rPr>
              <w:t>.0</w:t>
            </w:r>
            <w:r w:rsidRPr="004E3096">
              <w:rPr>
                <w:rFonts w:ascii="Calibri" w:hAnsi="Calibri"/>
                <w:color w:val="000000"/>
                <w:sz w:val="20"/>
                <w:szCs w:val="20"/>
              </w:rPr>
              <w:t>, 46.8)</w:t>
            </w:r>
          </w:p>
        </w:tc>
        <w:tc>
          <w:tcPr>
            <w:tcW w:w="1559" w:type="dxa"/>
            <w:tcBorders>
              <w:left w:val="nil"/>
              <w:right w:val="nil"/>
            </w:tcBorders>
            <w:shd w:val="clear" w:color="auto" w:fill="auto"/>
            <w:noWrap/>
            <w:vAlign w:val="bottom"/>
          </w:tcPr>
          <w:p w14:paraId="0761A6AF"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45.6 (43.5, 47.7)</w:t>
            </w:r>
          </w:p>
        </w:tc>
      </w:tr>
      <w:tr w:rsidR="00340DD1" w:rsidRPr="004E3096" w14:paraId="68A1D1C8" w14:textId="77777777" w:rsidTr="00F4602C">
        <w:trPr>
          <w:trHeight w:val="300"/>
        </w:trPr>
        <w:tc>
          <w:tcPr>
            <w:tcW w:w="993" w:type="dxa"/>
            <w:vMerge/>
            <w:tcBorders>
              <w:left w:val="nil"/>
              <w:right w:val="nil"/>
            </w:tcBorders>
            <w:shd w:val="clear" w:color="auto" w:fill="auto"/>
            <w:noWrap/>
            <w:vAlign w:val="bottom"/>
          </w:tcPr>
          <w:p w14:paraId="7C32B80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center"/>
          </w:tcPr>
          <w:p w14:paraId="40CB9F04"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50-64</w:t>
            </w:r>
          </w:p>
        </w:tc>
        <w:tc>
          <w:tcPr>
            <w:tcW w:w="1701" w:type="dxa"/>
            <w:tcBorders>
              <w:left w:val="nil"/>
              <w:right w:val="nil"/>
            </w:tcBorders>
            <w:shd w:val="clear" w:color="auto" w:fill="auto"/>
            <w:noWrap/>
            <w:vAlign w:val="bottom"/>
          </w:tcPr>
          <w:p w14:paraId="5EA043A1"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42.7</w:t>
            </w:r>
            <w:r w:rsidRPr="004E3096">
              <w:rPr>
                <w:rFonts w:ascii="Calibri" w:eastAsia="Times New Roman" w:hAnsi="Calibri" w:cs="Times New Roman"/>
                <w:bCs/>
                <w:color w:val="000000"/>
                <w:sz w:val="20"/>
                <w:szCs w:val="20"/>
                <w:lang w:eastAsia="en-AU"/>
              </w:rPr>
              <w:t xml:space="preserve"> (4</w:t>
            </w:r>
            <w:r>
              <w:rPr>
                <w:rFonts w:ascii="Calibri" w:eastAsia="Times New Roman" w:hAnsi="Calibri" w:cs="Times New Roman"/>
                <w:bCs/>
                <w:color w:val="000000"/>
                <w:sz w:val="20"/>
                <w:szCs w:val="20"/>
                <w:lang w:eastAsia="en-AU"/>
              </w:rPr>
              <w:t>0</w:t>
            </w:r>
            <w:r w:rsidRPr="004E3096">
              <w:rPr>
                <w:rFonts w:ascii="Calibri" w:eastAsia="Times New Roman" w:hAnsi="Calibri" w:cs="Times New Roman"/>
                <w:bCs/>
                <w:color w:val="000000"/>
                <w:sz w:val="20"/>
                <w:szCs w:val="20"/>
                <w:lang w:eastAsia="en-AU"/>
              </w:rPr>
              <w:t>.</w:t>
            </w:r>
            <w:r>
              <w:rPr>
                <w:rFonts w:ascii="Calibri" w:eastAsia="Times New Roman" w:hAnsi="Calibri" w:cs="Times New Roman"/>
                <w:bCs/>
                <w:color w:val="000000"/>
                <w:sz w:val="20"/>
                <w:szCs w:val="20"/>
                <w:lang w:eastAsia="en-AU"/>
              </w:rPr>
              <w:t>4</w:t>
            </w:r>
            <w:r w:rsidRPr="004E3096">
              <w:rPr>
                <w:rFonts w:ascii="Calibri" w:eastAsia="Times New Roman" w:hAnsi="Calibri" w:cs="Times New Roman"/>
                <w:bCs/>
                <w:color w:val="000000"/>
                <w:sz w:val="20"/>
                <w:szCs w:val="20"/>
                <w:lang w:eastAsia="en-AU"/>
              </w:rPr>
              <w:t>, 45.</w:t>
            </w:r>
            <w:r>
              <w:rPr>
                <w:rFonts w:ascii="Calibri" w:eastAsia="Times New Roman" w:hAnsi="Calibri" w:cs="Times New Roman"/>
                <w:bCs/>
                <w:color w:val="000000"/>
                <w:sz w:val="20"/>
                <w:szCs w:val="20"/>
                <w:lang w:eastAsia="en-AU"/>
              </w:rPr>
              <w:t>1</w:t>
            </w:r>
            <w:r w:rsidRPr="004E3096">
              <w:rPr>
                <w:rFonts w:ascii="Calibri" w:eastAsia="Times New Roman" w:hAnsi="Calibri" w:cs="Times New Roman"/>
                <w:bCs/>
                <w:color w:val="000000"/>
                <w:sz w:val="20"/>
                <w:szCs w:val="20"/>
                <w:lang w:eastAsia="en-AU"/>
              </w:rPr>
              <w:t>)</w:t>
            </w:r>
          </w:p>
        </w:tc>
        <w:tc>
          <w:tcPr>
            <w:tcW w:w="1701" w:type="dxa"/>
            <w:tcBorders>
              <w:left w:val="nil"/>
              <w:right w:val="nil"/>
            </w:tcBorders>
            <w:shd w:val="clear" w:color="auto" w:fill="auto"/>
            <w:noWrap/>
            <w:vAlign w:val="bottom"/>
          </w:tcPr>
          <w:p w14:paraId="454F55E6"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45.6 (43.2, 48.0)</w:t>
            </w:r>
          </w:p>
        </w:tc>
        <w:tc>
          <w:tcPr>
            <w:tcW w:w="1560" w:type="dxa"/>
            <w:tcBorders>
              <w:left w:val="nil"/>
              <w:right w:val="nil"/>
            </w:tcBorders>
            <w:shd w:val="clear" w:color="auto" w:fill="auto"/>
            <w:noWrap/>
            <w:vAlign w:val="bottom"/>
          </w:tcPr>
          <w:p w14:paraId="0F9F2D4D"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47.8 (45.1, 50.4)</w:t>
            </w:r>
          </w:p>
        </w:tc>
        <w:tc>
          <w:tcPr>
            <w:tcW w:w="1701" w:type="dxa"/>
            <w:tcBorders>
              <w:left w:val="nil"/>
              <w:right w:val="nil"/>
            </w:tcBorders>
            <w:shd w:val="clear" w:color="auto" w:fill="auto"/>
            <w:noWrap/>
            <w:vAlign w:val="bottom"/>
          </w:tcPr>
          <w:p w14:paraId="6899A728"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44.5 (42.3, 46.7)</w:t>
            </w:r>
          </w:p>
        </w:tc>
        <w:tc>
          <w:tcPr>
            <w:tcW w:w="1559" w:type="dxa"/>
            <w:tcBorders>
              <w:left w:val="nil"/>
              <w:right w:val="nil"/>
            </w:tcBorders>
            <w:shd w:val="clear" w:color="auto" w:fill="auto"/>
            <w:noWrap/>
            <w:vAlign w:val="bottom"/>
          </w:tcPr>
          <w:p w14:paraId="69AE8E9B"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45.6 (43.2, 48.0)</w:t>
            </w:r>
          </w:p>
        </w:tc>
      </w:tr>
      <w:tr w:rsidR="00340DD1" w:rsidRPr="004E3096" w14:paraId="3C73B160" w14:textId="77777777" w:rsidTr="00F4602C">
        <w:trPr>
          <w:trHeight w:val="300"/>
        </w:trPr>
        <w:tc>
          <w:tcPr>
            <w:tcW w:w="993" w:type="dxa"/>
            <w:vMerge/>
            <w:tcBorders>
              <w:left w:val="nil"/>
              <w:right w:val="nil"/>
            </w:tcBorders>
            <w:shd w:val="clear" w:color="auto" w:fill="auto"/>
            <w:noWrap/>
            <w:vAlign w:val="bottom"/>
          </w:tcPr>
          <w:p w14:paraId="22F9E111"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center"/>
          </w:tcPr>
          <w:p w14:paraId="673C02D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65+</w:t>
            </w:r>
          </w:p>
        </w:tc>
        <w:tc>
          <w:tcPr>
            <w:tcW w:w="1701" w:type="dxa"/>
            <w:tcBorders>
              <w:left w:val="nil"/>
              <w:right w:val="nil"/>
            </w:tcBorders>
            <w:shd w:val="clear" w:color="auto" w:fill="auto"/>
            <w:noWrap/>
            <w:vAlign w:val="bottom"/>
          </w:tcPr>
          <w:p w14:paraId="0446F99C"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44.9 (42.2, 47.6)</w:t>
            </w:r>
          </w:p>
        </w:tc>
        <w:tc>
          <w:tcPr>
            <w:tcW w:w="1701" w:type="dxa"/>
            <w:tcBorders>
              <w:left w:val="nil"/>
              <w:right w:val="nil"/>
            </w:tcBorders>
            <w:shd w:val="clear" w:color="auto" w:fill="auto"/>
            <w:noWrap/>
            <w:vAlign w:val="bottom"/>
          </w:tcPr>
          <w:p w14:paraId="31E28BEC"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49.5 (46.8, 52.3)</w:t>
            </w:r>
          </w:p>
        </w:tc>
        <w:tc>
          <w:tcPr>
            <w:tcW w:w="1560" w:type="dxa"/>
            <w:tcBorders>
              <w:left w:val="nil"/>
              <w:right w:val="nil"/>
            </w:tcBorders>
            <w:shd w:val="clear" w:color="auto" w:fill="auto"/>
            <w:noWrap/>
            <w:vAlign w:val="bottom"/>
          </w:tcPr>
          <w:p w14:paraId="5B1EA3B1"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50.5 (47.6, 53.4)</w:t>
            </w:r>
          </w:p>
        </w:tc>
        <w:tc>
          <w:tcPr>
            <w:tcW w:w="1701" w:type="dxa"/>
            <w:tcBorders>
              <w:left w:val="nil"/>
              <w:right w:val="nil"/>
            </w:tcBorders>
            <w:shd w:val="clear" w:color="auto" w:fill="auto"/>
            <w:noWrap/>
            <w:vAlign w:val="bottom"/>
          </w:tcPr>
          <w:p w14:paraId="417A97AA"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45.6 (43.2, 48.0)</w:t>
            </w:r>
          </w:p>
        </w:tc>
        <w:tc>
          <w:tcPr>
            <w:tcW w:w="1559" w:type="dxa"/>
            <w:tcBorders>
              <w:left w:val="nil"/>
              <w:right w:val="nil"/>
            </w:tcBorders>
            <w:shd w:val="clear" w:color="auto" w:fill="auto"/>
            <w:noWrap/>
            <w:vAlign w:val="bottom"/>
          </w:tcPr>
          <w:p w14:paraId="171930D9"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45.9 (43.5, 48.4)</w:t>
            </w:r>
          </w:p>
        </w:tc>
      </w:tr>
      <w:tr w:rsidR="00340DD1" w:rsidRPr="004E3096" w14:paraId="27CD9AE3" w14:textId="77777777" w:rsidTr="00F4602C">
        <w:trPr>
          <w:trHeight w:val="300"/>
        </w:trPr>
        <w:tc>
          <w:tcPr>
            <w:tcW w:w="993" w:type="dxa"/>
            <w:vMerge/>
            <w:tcBorders>
              <w:left w:val="nil"/>
              <w:bottom w:val="single" w:sz="4" w:space="0" w:color="auto"/>
              <w:right w:val="nil"/>
            </w:tcBorders>
            <w:shd w:val="clear" w:color="auto" w:fill="auto"/>
            <w:noWrap/>
            <w:vAlign w:val="bottom"/>
          </w:tcPr>
          <w:p w14:paraId="3D6880B9"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bottom w:val="single" w:sz="4" w:space="0" w:color="auto"/>
              <w:right w:val="nil"/>
            </w:tcBorders>
            <w:vAlign w:val="bottom"/>
          </w:tcPr>
          <w:p w14:paraId="6D1F12AB"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Total</w:t>
            </w:r>
          </w:p>
        </w:tc>
        <w:tc>
          <w:tcPr>
            <w:tcW w:w="1701" w:type="dxa"/>
            <w:tcBorders>
              <w:left w:val="nil"/>
              <w:bottom w:val="single" w:sz="4" w:space="0" w:color="auto"/>
              <w:right w:val="nil"/>
            </w:tcBorders>
            <w:shd w:val="clear" w:color="auto" w:fill="auto"/>
            <w:noWrap/>
            <w:vAlign w:val="bottom"/>
          </w:tcPr>
          <w:p w14:paraId="5C1C25AD"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41.4 (40.2, 42.5)</w:t>
            </w:r>
          </w:p>
        </w:tc>
        <w:tc>
          <w:tcPr>
            <w:tcW w:w="1701" w:type="dxa"/>
            <w:tcBorders>
              <w:left w:val="nil"/>
              <w:bottom w:val="single" w:sz="4" w:space="0" w:color="auto"/>
              <w:right w:val="nil"/>
            </w:tcBorders>
            <w:shd w:val="clear" w:color="auto" w:fill="auto"/>
            <w:noWrap/>
            <w:vAlign w:val="bottom"/>
          </w:tcPr>
          <w:p w14:paraId="3EDE4BEB"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44.9 (43.6, 46.1)</w:t>
            </w:r>
          </w:p>
        </w:tc>
        <w:tc>
          <w:tcPr>
            <w:tcW w:w="1560" w:type="dxa"/>
            <w:tcBorders>
              <w:left w:val="nil"/>
              <w:bottom w:val="single" w:sz="4" w:space="0" w:color="auto"/>
              <w:right w:val="nil"/>
            </w:tcBorders>
            <w:shd w:val="clear" w:color="auto" w:fill="auto"/>
            <w:noWrap/>
            <w:vAlign w:val="bottom"/>
          </w:tcPr>
          <w:p w14:paraId="711349B0"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46.9 (45.5, 48.2)</w:t>
            </w:r>
          </w:p>
        </w:tc>
        <w:tc>
          <w:tcPr>
            <w:tcW w:w="1701" w:type="dxa"/>
            <w:tcBorders>
              <w:left w:val="nil"/>
              <w:bottom w:val="single" w:sz="4" w:space="0" w:color="auto"/>
              <w:right w:val="nil"/>
            </w:tcBorders>
            <w:shd w:val="clear" w:color="auto" w:fill="auto"/>
            <w:noWrap/>
            <w:vAlign w:val="bottom"/>
          </w:tcPr>
          <w:p w14:paraId="0BFEE48B"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45.5 (44.3, 46.7)</w:t>
            </w:r>
          </w:p>
        </w:tc>
        <w:tc>
          <w:tcPr>
            <w:tcW w:w="1559" w:type="dxa"/>
            <w:tcBorders>
              <w:left w:val="nil"/>
              <w:bottom w:val="single" w:sz="4" w:space="0" w:color="auto"/>
              <w:right w:val="nil"/>
            </w:tcBorders>
            <w:shd w:val="clear" w:color="auto" w:fill="auto"/>
            <w:noWrap/>
            <w:vAlign w:val="bottom"/>
          </w:tcPr>
          <w:p w14:paraId="4C9268DC"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45.3 (44</w:t>
            </w:r>
            <w:r>
              <w:rPr>
                <w:rFonts w:ascii="Calibri" w:hAnsi="Calibri"/>
                <w:b/>
                <w:color w:val="000000"/>
                <w:sz w:val="20"/>
                <w:szCs w:val="20"/>
              </w:rPr>
              <w:t>.0</w:t>
            </w:r>
            <w:r w:rsidRPr="004E3096">
              <w:rPr>
                <w:rFonts w:ascii="Calibri" w:hAnsi="Calibri"/>
                <w:b/>
                <w:color w:val="000000"/>
                <w:sz w:val="20"/>
                <w:szCs w:val="20"/>
              </w:rPr>
              <w:t>, 46.6)</w:t>
            </w:r>
          </w:p>
        </w:tc>
      </w:tr>
      <w:tr w:rsidR="00340DD1" w:rsidRPr="004E3096" w14:paraId="6F517707" w14:textId="77777777" w:rsidTr="00F4602C">
        <w:trPr>
          <w:trHeight w:val="300"/>
        </w:trPr>
        <w:tc>
          <w:tcPr>
            <w:tcW w:w="993" w:type="dxa"/>
            <w:vMerge w:val="restart"/>
            <w:tcBorders>
              <w:top w:val="single" w:sz="4" w:space="0" w:color="auto"/>
              <w:left w:val="nil"/>
              <w:right w:val="nil"/>
            </w:tcBorders>
            <w:shd w:val="clear" w:color="auto" w:fill="auto"/>
            <w:noWrap/>
            <w:vAlign w:val="center"/>
          </w:tcPr>
          <w:p w14:paraId="15BBBD93"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Females</w:t>
            </w:r>
          </w:p>
        </w:tc>
        <w:tc>
          <w:tcPr>
            <w:tcW w:w="708" w:type="dxa"/>
            <w:tcBorders>
              <w:top w:val="single" w:sz="4" w:space="0" w:color="auto"/>
              <w:left w:val="nil"/>
              <w:right w:val="nil"/>
            </w:tcBorders>
            <w:vAlign w:val="center"/>
          </w:tcPr>
          <w:p w14:paraId="5E647256"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14-17</w:t>
            </w:r>
          </w:p>
        </w:tc>
        <w:tc>
          <w:tcPr>
            <w:tcW w:w="1701" w:type="dxa"/>
            <w:tcBorders>
              <w:top w:val="single" w:sz="4" w:space="0" w:color="auto"/>
              <w:left w:val="nil"/>
              <w:right w:val="nil"/>
            </w:tcBorders>
            <w:shd w:val="clear" w:color="auto" w:fill="auto"/>
            <w:noWrap/>
            <w:vAlign w:val="bottom"/>
          </w:tcPr>
          <w:p w14:paraId="4E83477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color w:val="000000"/>
                <w:sz w:val="20"/>
                <w:szCs w:val="20"/>
                <w:lang w:eastAsia="en-AU"/>
              </w:rPr>
              <w:t>31.1 (26.7, 35.9)</w:t>
            </w:r>
          </w:p>
        </w:tc>
        <w:tc>
          <w:tcPr>
            <w:tcW w:w="1701" w:type="dxa"/>
            <w:tcBorders>
              <w:top w:val="single" w:sz="4" w:space="0" w:color="auto"/>
              <w:left w:val="nil"/>
              <w:right w:val="nil"/>
            </w:tcBorders>
            <w:shd w:val="clear" w:color="auto" w:fill="auto"/>
            <w:noWrap/>
            <w:vAlign w:val="bottom"/>
          </w:tcPr>
          <w:p w14:paraId="1D58EA6F" w14:textId="77777777" w:rsidR="00340DD1" w:rsidRPr="005D5238" w:rsidRDefault="00340DD1" w:rsidP="00F4602C">
            <w:pPr>
              <w:spacing w:after="0" w:line="240" w:lineRule="auto"/>
              <w:jc w:val="right"/>
              <w:rPr>
                <w:rFonts w:ascii="Calibri" w:eastAsia="Times New Roman" w:hAnsi="Calibri" w:cs="Times New Roman"/>
                <w:color w:val="000000"/>
                <w:sz w:val="20"/>
                <w:szCs w:val="20"/>
                <w:lang w:eastAsia="en-AU"/>
              </w:rPr>
            </w:pPr>
            <w:r w:rsidRPr="005D5238">
              <w:rPr>
                <w:rFonts w:ascii="Calibri" w:eastAsia="Times New Roman" w:hAnsi="Calibri" w:cs="Times New Roman"/>
                <w:color w:val="000000"/>
                <w:sz w:val="20"/>
                <w:szCs w:val="20"/>
                <w:lang w:eastAsia="en-AU"/>
              </w:rPr>
              <w:t>31.5 (26.8, 36.6)</w:t>
            </w:r>
          </w:p>
        </w:tc>
        <w:tc>
          <w:tcPr>
            <w:tcW w:w="1560" w:type="dxa"/>
            <w:tcBorders>
              <w:top w:val="single" w:sz="4" w:space="0" w:color="auto"/>
              <w:left w:val="nil"/>
              <w:right w:val="nil"/>
            </w:tcBorders>
            <w:shd w:val="clear" w:color="auto" w:fill="auto"/>
            <w:noWrap/>
            <w:vAlign w:val="bottom"/>
          </w:tcPr>
          <w:p w14:paraId="77266E20" w14:textId="77777777" w:rsidR="00340DD1" w:rsidRPr="005D5238" w:rsidRDefault="00340DD1" w:rsidP="00F4602C">
            <w:pPr>
              <w:spacing w:after="0" w:line="240" w:lineRule="auto"/>
              <w:jc w:val="right"/>
              <w:rPr>
                <w:rFonts w:ascii="Calibri" w:hAnsi="Calibri"/>
                <w:color w:val="000000"/>
                <w:sz w:val="20"/>
                <w:szCs w:val="20"/>
              </w:rPr>
            </w:pPr>
            <w:r w:rsidRPr="005D5238">
              <w:rPr>
                <w:rFonts w:ascii="Calibri" w:hAnsi="Calibri"/>
                <w:color w:val="000000"/>
                <w:sz w:val="20"/>
                <w:szCs w:val="20"/>
              </w:rPr>
              <w:t>36.8 (30.8, 43.2)</w:t>
            </w:r>
          </w:p>
        </w:tc>
        <w:tc>
          <w:tcPr>
            <w:tcW w:w="1701" w:type="dxa"/>
            <w:tcBorders>
              <w:top w:val="single" w:sz="4" w:space="0" w:color="auto"/>
              <w:left w:val="nil"/>
              <w:right w:val="nil"/>
            </w:tcBorders>
            <w:shd w:val="clear" w:color="auto" w:fill="auto"/>
            <w:noWrap/>
            <w:vAlign w:val="bottom"/>
          </w:tcPr>
          <w:p w14:paraId="185BBE9C" w14:textId="77777777" w:rsidR="00340DD1" w:rsidRPr="005D5238" w:rsidRDefault="00340DD1" w:rsidP="00F4602C">
            <w:pPr>
              <w:spacing w:after="0" w:line="240" w:lineRule="auto"/>
              <w:jc w:val="right"/>
              <w:rPr>
                <w:rFonts w:ascii="Calibri" w:hAnsi="Calibri"/>
                <w:color w:val="000000"/>
                <w:sz w:val="20"/>
                <w:szCs w:val="20"/>
              </w:rPr>
            </w:pPr>
            <w:r w:rsidRPr="005D5238">
              <w:rPr>
                <w:rFonts w:ascii="Calibri" w:hAnsi="Calibri"/>
                <w:color w:val="000000"/>
                <w:sz w:val="20"/>
                <w:szCs w:val="20"/>
              </w:rPr>
              <w:t>37.9 (31.9, 44.3)</w:t>
            </w:r>
          </w:p>
        </w:tc>
        <w:tc>
          <w:tcPr>
            <w:tcW w:w="1559" w:type="dxa"/>
            <w:tcBorders>
              <w:top w:val="single" w:sz="4" w:space="0" w:color="auto"/>
              <w:left w:val="nil"/>
              <w:right w:val="nil"/>
            </w:tcBorders>
            <w:shd w:val="clear" w:color="auto" w:fill="auto"/>
            <w:noWrap/>
            <w:vAlign w:val="bottom"/>
          </w:tcPr>
          <w:p w14:paraId="12AC1940" w14:textId="77777777" w:rsidR="00340DD1" w:rsidRPr="005D5238" w:rsidRDefault="00340DD1" w:rsidP="00F4602C">
            <w:pPr>
              <w:spacing w:after="0" w:line="240" w:lineRule="auto"/>
              <w:jc w:val="right"/>
              <w:rPr>
                <w:rFonts w:ascii="Calibri" w:hAnsi="Calibri"/>
                <w:color w:val="000000"/>
                <w:sz w:val="20"/>
                <w:szCs w:val="20"/>
              </w:rPr>
            </w:pPr>
            <w:r w:rsidRPr="005D5238">
              <w:rPr>
                <w:rFonts w:ascii="Calibri" w:hAnsi="Calibri"/>
                <w:color w:val="000000"/>
                <w:sz w:val="20"/>
                <w:szCs w:val="20"/>
              </w:rPr>
              <w:t>27.5 (21.0, 35.1)</w:t>
            </w:r>
          </w:p>
        </w:tc>
      </w:tr>
      <w:tr w:rsidR="00340DD1" w:rsidRPr="004E3096" w14:paraId="57268755" w14:textId="77777777" w:rsidTr="00F4602C">
        <w:trPr>
          <w:trHeight w:val="300"/>
        </w:trPr>
        <w:tc>
          <w:tcPr>
            <w:tcW w:w="993" w:type="dxa"/>
            <w:vMerge/>
            <w:tcBorders>
              <w:left w:val="nil"/>
              <w:right w:val="nil"/>
            </w:tcBorders>
            <w:shd w:val="clear" w:color="auto" w:fill="auto"/>
            <w:noWrap/>
            <w:vAlign w:val="bottom"/>
          </w:tcPr>
          <w:p w14:paraId="23502C06"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center"/>
          </w:tcPr>
          <w:p w14:paraId="55B5ABF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18-23</w:t>
            </w:r>
          </w:p>
        </w:tc>
        <w:tc>
          <w:tcPr>
            <w:tcW w:w="1701" w:type="dxa"/>
            <w:tcBorders>
              <w:left w:val="nil"/>
              <w:right w:val="nil"/>
            </w:tcBorders>
            <w:shd w:val="clear" w:color="auto" w:fill="auto"/>
            <w:noWrap/>
            <w:vAlign w:val="bottom"/>
          </w:tcPr>
          <w:p w14:paraId="3593B92A"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color w:val="000000"/>
                <w:sz w:val="20"/>
                <w:szCs w:val="20"/>
                <w:lang w:eastAsia="en-AU"/>
              </w:rPr>
              <w:t>41.8 (38.5, 45.2)</w:t>
            </w:r>
          </w:p>
        </w:tc>
        <w:tc>
          <w:tcPr>
            <w:tcW w:w="1701" w:type="dxa"/>
            <w:tcBorders>
              <w:left w:val="nil"/>
              <w:right w:val="nil"/>
            </w:tcBorders>
            <w:shd w:val="clear" w:color="auto" w:fill="auto"/>
            <w:noWrap/>
            <w:vAlign w:val="bottom"/>
          </w:tcPr>
          <w:p w14:paraId="7F335932"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color w:val="000000"/>
                <w:sz w:val="20"/>
                <w:szCs w:val="20"/>
                <w:lang w:eastAsia="en-AU"/>
              </w:rPr>
              <w:t>49.4 (45.8, 53.0)</w:t>
            </w:r>
          </w:p>
        </w:tc>
        <w:tc>
          <w:tcPr>
            <w:tcW w:w="1560" w:type="dxa"/>
            <w:tcBorders>
              <w:left w:val="nil"/>
              <w:right w:val="nil"/>
            </w:tcBorders>
            <w:shd w:val="clear" w:color="auto" w:fill="auto"/>
            <w:noWrap/>
            <w:vAlign w:val="bottom"/>
          </w:tcPr>
          <w:p w14:paraId="6FF1C44E"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49.7 (45.2, 54.2)</w:t>
            </w:r>
          </w:p>
        </w:tc>
        <w:tc>
          <w:tcPr>
            <w:tcW w:w="1701" w:type="dxa"/>
            <w:tcBorders>
              <w:left w:val="nil"/>
              <w:right w:val="nil"/>
            </w:tcBorders>
            <w:shd w:val="clear" w:color="auto" w:fill="auto"/>
            <w:noWrap/>
            <w:vAlign w:val="bottom"/>
          </w:tcPr>
          <w:p w14:paraId="2904C8F7"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48.5 (44.6, 52.4)</w:t>
            </w:r>
          </w:p>
        </w:tc>
        <w:tc>
          <w:tcPr>
            <w:tcW w:w="1559" w:type="dxa"/>
            <w:tcBorders>
              <w:left w:val="nil"/>
              <w:right w:val="nil"/>
            </w:tcBorders>
            <w:shd w:val="clear" w:color="auto" w:fill="auto"/>
            <w:noWrap/>
            <w:vAlign w:val="bottom"/>
          </w:tcPr>
          <w:p w14:paraId="379E8379"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45.1 (40.8, 49.5)</w:t>
            </w:r>
          </w:p>
        </w:tc>
      </w:tr>
      <w:tr w:rsidR="00340DD1" w:rsidRPr="004E3096" w14:paraId="768FDFA6" w14:textId="77777777" w:rsidTr="00F4602C">
        <w:trPr>
          <w:trHeight w:val="334"/>
        </w:trPr>
        <w:tc>
          <w:tcPr>
            <w:tcW w:w="993" w:type="dxa"/>
            <w:vMerge/>
            <w:tcBorders>
              <w:left w:val="nil"/>
              <w:right w:val="nil"/>
            </w:tcBorders>
            <w:shd w:val="clear" w:color="auto" w:fill="auto"/>
            <w:noWrap/>
            <w:vAlign w:val="bottom"/>
          </w:tcPr>
          <w:p w14:paraId="7C22A191"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center"/>
          </w:tcPr>
          <w:p w14:paraId="579D21C6"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24-29</w:t>
            </w:r>
          </w:p>
        </w:tc>
        <w:tc>
          <w:tcPr>
            <w:tcW w:w="1701" w:type="dxa"/>
            <w:tcBorders>
              <w:left w:val="nil"/>
              <w:right w:val="nil"/>
            </w:tcBorders>
            <w:shd w:val="clear" w:color="auto" w:fill="auto"/>
            <w:noWrap/>
            <w:vAlign w:val="bottom"/>
          </w:tcPr>
          <w:p w14:paraId="42258A90"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color w:val="000000"/>
                <w:sz w:val="20"/>
                <w:szCs w:val="20"/>
                <w:lang w:eastAsia="en-AU"/>
              </w:rPr>
              <w:t>43.3 (40.4, 46.4)</w:t>
            </w:r>
          </w:p>
        </w:tc>
        <w:tc>
          <w:tcPr>
            <w:tcW w:w="1701" w:type="dxa"/>
            <w:tcBorders>
              <w:left w:val="nil"/>
              <w:right w:val="nil"/>
            </w:tcBorders>
            <w:shd w:val="clear" w:color="auto" w:fill="auto"/>
            <w:noWrap/>
            <w:vAlign w:val="bottom"/>
          </w:tcPr>
          <w:p w14:paraId="354183CA"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color w:val="000000"/>
                <w:sz w:val="20"/>
                <w:szCs w:val="20"/>
                <w:lang w:eastAsia="en-AU"/>
              </w:rPr>
              <w:t>45.7 (42.2, 49.2)</w:t>
            </w:r>
          </w:p>
        </w:tc>
        <w:tc>
          <w:tcPr>
            <w:tcW w:w="1560" w:type="dxa"/>
            <w:tcBorders>
              <w:left w:val="nil"/>
              <w:right w:val="nil"/>
            </w:tcBorders>
            <w:shd w:val="clear" w:color="auto" w:fill="auto"/>
            <w:noWrap/>
            <w:vAlign w:val="bottom"/>
          </w:tcPr>
          <w:p w14:paraId="2D69AF2E"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44.8 (40.8, 48.9)</w:t>
            </w:r>
          </w:p>
        </w:tc>
        <w:tc>
          <w:tcPr>
            <w:tcW w:w="1701" w:type="dxa"/>
            <w:tcBorders>
              <w:left w:val="nil"/>
              <w:right w:val="nil"/>
            </w:tcBorders>
            <w:shd w:val="clear" w:color="auto" w:fill="auto"/>
            <w:noWrap/>
            <w:vAlign w:val="bottom"/>
          </w:tcPr>
          <w:p w14:paraId="4A724689"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50</w:t>
            </w:r>
            <w:r>
              <w:rPr>
                <w:rFonts w:ascii="Calibri" w:hAnsi="Calibri"/>
                <w:color w:val="000000"/>
                <w:sz w:val="20"/>
                <w:szCs w:val="20"/>
              </w:rPr>
              <w:t>.0</w:t>
            </w:r>
            <w:r w:rsidRPr="004E3096">
              <w:rPr>
                <w:rFonts w:ascii="Calibri" w:hAnsi="Calibri"/>
                <w:color w:val="000000"/>
                <w:sz w:val="20"/>
                <w:szCs w:val="20"/>
              </w:rPr>
              <w:t xml:space="preserve"> (46.6, 53.4)</w:t>
            </w:r>
          </w:p>
        </w:tc>
        <w:tc>
          <w:tcPr>
            <w:tcW w:w="1559" w:type="dxa"/>
            <w:tcBorders>
              <w:left w:val="nil"/>
              <w:right w:val="nil"/>
            </w:tcBorders>
            <w:shd w:val="clear" w:color="auto" w:fill="auto"/>
            <w:noWrap/>
            <w:vAlign w:val="bottom"/>
          </w:tcPr>
          <w:p w14:paraId="1D08D2E8"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49.9 (46.2, 53.5)</w:t>
            </w:r>
          </w:p>
        </w:tc>
      </w:tr>
      <w:tr w:rsidR="00340DD1" w:rsidRPr="004E3096" w14:paraId="1840446D" w14:textId="77777777" w:rsidTr="00F4602C">
        <w:trPr>
          <w:trHeight w:val="173"/>
        </w:trPr>
        <w:tc>
          <w:tcPr>
            <w:tcW w:w="993" w:type="dxa"/>
            <w:vMerge/>
            <w:tcBorders>
              <w:left w:val="nil"/>
              <w:right w:val="nil"/>
            </w:tcBorders>
            <w:shd w:val="clear" w:color="auto" w:fill="auto"/>
            <w:noWrap/>
            <w:vAlign w:val="bottom"/>
          </w:tcPr>
          <w:p w14:paraId="0883ED8D"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center"/>
          </w:tcPr>
          <w:p w14:paraId="483CF2A5"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30-49</w:t>
            </w:r>
          </w:p>
        </w:tc>
        <w:tc>
          <w:tcPr>
            <w:tcW w:w="1701" w:type="dxa"/>
            <w:tcBorders>
              <w:left w:val="nil"/>
              <w:right w:val="nil"/>
            </w:tcBorders>
            <w:shd w:val="clear" w:color="auto" w:fill="auto"/>
            <w:noWrap/>
            <w:vAlign w:val="bottom"/>
          </w:tcPr>
          <w:p w14:paraId="65357529"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color w:val="000000"/>
                <w:sz w:val="20"/>
                <w:szCs w:val="20"/>
                <w:lang w:eastAsia="en-AU"/>
              </w:rPr>
              <w:t>36.5 (35.0, 38.1)</w:t>
            </w:r>
          </w:p>
        </w:tc>
        <w:tc>
          <w:tcPr>
            <w:tcW w:w="1701" w:type="dxa"/>
            <w:tcBorders>
              <w:left w:val="nil"/>
              <w:right w:val="nil"/>
            </w:tcBorders>
            <w:shd w:val="clear" w:color="auto" w:fill="auto"/>
            <w:noWrap/>
            <w:vAlign w:val="bottom"/>
          </w:tcPr>
          <w:p w14:paraId="4EDCA23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color w:val="000000"/>
                <w:sz w:val="20"/>
                <w:szCs w:val="20"/>
                <w:lang w:eastAsia="en-AU"/>
              </w:rPr>
              <w:t>40.3 (38.6, 42.0)</w:t>
            </w:r>
          </w:p>
        </w:tc>
        <w:tc>
          <w:tcPr>
            <w:tcW w:w="1560" w:type="dxa"/>
            <w:tcBorders>
              <w:left w:val="nil"/>
              <w:right w:val="nil"/>
            </w:tcBorders>
            <w:shd w:val="clear" w:color="auto" w:fill="auto"/>
            <w:noWrap/>
            <w:vAlign w:val="bottom"/>
          </w:tcPr>
          <w:p w14:paraId="0147657C"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44</w:t>
            </w:r>
            <w:r>
              <w:rPr>
                <w:rFonts w:ascii="Calibri" w:hAnsi="Calibri"/>
                <w:color w:val="000000"/>
                <w:sz w:val="20"/>
                <w:szCs w:val="20"/>
              </w:rPr>
              <w:t>.0</w:t>
            </w:r>
            <w:r w:rsidRPr="004E3096">
              <w:rPr>
                <w:rFonts w:ascii="Calibri" w:hAnsi="Calibri"/>
                <w:color w:val="000000"/>
                <w:sz w:val="20"/>
                <w:szCs w:val="20"/>
              </w:rPr>
              <w:t xml:space="preserve"> (42</w:t>
            </w:r>
            <w:r>
              <w:rPr>
                <w:rFonts w:ascii="Calibri" w:hAnsi="Calibri"/>
                <w:color w:val="000000"/>
                <w:sz w:val="20"/>
                <w:szCs w:val="20"/>
              </w:rPr>
              <w:t>.0</w:t>
            </w:r>
            <w:r w:rsidRPr="004E3096">
              <w:rPr>
                <w:rFonts w:ascii="Calibri" w:hAnsi="Calibri"/>
                <w:color w:val="000000"/>
                <w:sz w:val="20"/>
                <w:szCs w:val="20"/>
              </w:rPr>
              <w:t>, 49.9)</w:t>
            </w:r>
          </w:p>
        </w:tc>
        <w:tc>
          <w:tcPr>
            <w:tcW w:w="1701" w:type="dxa"/>
            <w:tcBorders>
              <w:left w:val="nil"/>
              <w:right w:val="nil"/>
            </w:tcBorders>
            <w:shd w:val="clear" w:color="auto" w:fill="auto"/>
            <w:noWrap/>
            <w:vAlign w:val="bottom"/>
          </w:tcPr>
          <w:p w14:paraId="2B0CE931"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42.8 (41.1, 44.5)</w:t>
            </w:r>
          </w:p>
        </w:tc>
        <w:tc>
          <w:tcPr>
            <w:tcW w:w="1559" w:type="dxa"/>
            <w:tcBorders>
              <w:left w:val="nil"/>
              <w:right w:val="nil"/>
            </w:tcBorders>
            <w:shd w:val="clear" w:color="auto" w:fill="auto"/>
            <w:noWrap/>
            <w:vAlign w:val="bottom"/>
          </w:tcPr>
          <w:p w14:paraId="295AB78C"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color w:val="000000"/>
                <w:sz w:val="20"/>
                <w:szCs w:val="20"/>
              </w:rPr>
              <w:t>41.1 (39.4, 42.9)</w:t>
            </w:r>
          </w:p>
        </w:tc>
      </w:tr>
      <w:tr w:rsidR="00340DD1" w:rsidRPr="004E3096" w14:paraId="6626C93F" w14:textId="77777777" w:rsidTr="00F4602C">
        <w:trPr>
          <w:trHeight w:val="300"/>
        </w:trPr>
        <w:tc>
          <w:tcPr>
            <w:tcW w:w="993" w:type="dxa"/>
            <w:vMerge/>
            <w:tcBorders>
              <w:left w:val="nil"/>
              <w:right w:val="nil"/>
            </w:tcBorders>
            <w:shd w:val="clear" w:color="auto" w:fill="auto"/>
            <w:noWrap/>
            <w:vAlign w:val="bottom"/>
          </w:tcPr>
          <w:p w14:paraId="748DBB29"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center"/>
          </w:tcPr>
          <w:p w14:paraId="7C5206D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50-64</w:t>
            </w:r>
          </w:p>
        </w:tc>
        <w:tc>
          <w:tcPr>
            <w:tcW w:w="1701" w:type="dxa"/>
            <w:tcBorders>
              <w:left w:val="nil"/>
              <w:right w:val="nil"/>
            </w:tcBorders>
            <w:shd w:val="clear" w:color="auto" w:fill="auto"/>
            <w:noWrap/>
            <w:vAlign w:val="bottom"/>
          </w:tcPr>
          <w:p w14:paraId="71DE7BB1"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bCs/>
                <w:color w:val="000000"/>
                <w:sz w:val="20"/>
                <w:szCs w:val="20"/>
                <w:lang w:eastAsia="en-AU"/>
              </w:rPr>
              <w:t>31.5 (29.4, 33.7)</w:t>
            </w:r>
          </w:p>
        </w:tc>
        <w:tc>
          <w:tcPr>
            <w:tcW w:w="1701" w:type="dxa"/>
            <w:tcBorders>
              <w:left w:val="nil"/>
              <w:right w:val="nil"/>
            </w:tcBorders>
            <w:shd w:val="clear" w:color="auto" w:fill="auto"/>
            <w:noWrap/>
            <w:vAlign w:val="bottom"/>
          </w:tcPr>
          <w:p w14:paraId="7F3C17AE"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35.8 (33.6, 38.0)</w:t>
            </w:r>
          </w:p>
        </w:tc>
        <w:tc>
          <w:tcPr>
            <w:tcW w:w="1560" w:type="dxa"/>
            <w:tcBorders>
              <w:left w:val="nil"/>
              <w:right w:val="nil"/>
            </w:tcBorders>
            <w:shd w:val="clear" w:color="auto" w:fill="auto"/>
            <w:noWrap/>
            <w:vAlign w:val="bottom"/>
          </w:tcPr>
          <w:p w14:paraId="3F655B15"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40.4 (38.0, 47.8)</w:t>
            </w:r>
          </w:p>
        </w:tc>
        <w:tc>
          <w:tcPr>
            <w:tcW w:w="1701" w:type="dxa"/>
            <w:tcBorders>
              <w:left w:val="nil"/>
              <w:right w:val="nil"/>
            </w:tcBorders>
            <w:shd w:val="clear" w:color="auto" w:fill="auto"/>
            <w:noWrap/>
            <w:vAlign w:val="bottom"/>
          </w:tcPr>
          <w:p w14:paraId="2E640B9F"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40.4 (38.4, 42.5)</w:t>
            </w:r>
          </w:p>
        </w:tc>
        <w:tc>
          <w:tcPr>
            <w:tcW w:w="1559" w:type="dxa"/>
            <w:tcBorders>
              <w:left w:val="nil"/>
              <w:right w:val="nil"/>
            </w:tcBorders>
            <w:shd w:val="clear" w:color="auto" w:fill="auto"/>
            <w:noWrap/>
            <w:vAlign w:val="bottom"/>
          </w:tcPr>
          <w:p w14:paraId="4F1EA82E"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41.4 (39.2, 43.6)</w:t>
            </w:r>
          </w:p>
        </w:tc>
      </w:tr>
      <w:tr w:rsidR="00340DD1" w:rsidRPr="004E3096" w14:paraId="33702ECE" w14:textId="77777777" w:rsidTr="00F4602C">
        <w:trPr>
          <w:trHeight w:val="300"/>
        </w:trPr>
        <w:tc>
          <w:tcPr>
            <w:tcW w:w="993" w:type="dxa"/>
            <w:vMerge/>
            <w:tcBorders>
              <w:left w:val="nil"/>
              <w:right w:val="nil"/>
            </w:tcBorders>
            <w:shd w:val="clear" w:color="auto" w:fill="auto"/>
            <w:noWrap/>
            <w:vAlign w:val="bottom"/>
          </w:tcPr>
          <w:p w14:paraId="79035C3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center"/>
          </w:tcPr>
          <w:p w14:paraId="10F66EA6"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65+</w:t>
            </w:r>
          </w:p>
        </w:tc>
        <w:tc>
          <w:tcPr>
            <w:tcW w:w="1701" w:type="dxa"/>
            <w:tcBorders>
              <w:left w:val="nil"/>
              <w:right w:val="nil"/>
            </w:tcBorders>
            <w:shd w:val="clear" w:color="auto" w:fill="auto"/>
            <w:noWrap/>
            <w:vAlign w:val="bottom"/>
          </w:tcPr>
          <w:p w14:paraId="58FF8BBA"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bCs/>
                <w:color w:val="000000"/>
                <w:sz w:val="20"/>
                <w:szCs w:val="20"/>
                <w:lang w:eastAsia="en-AU"/>
              </w:rPr>
              <w:t>30.9 (28.2, 33.7)</w:t>
            </w:r>
          </w:p>
        </w:tc>
        <w:tc>
          <w:tcPr>
            <w:tcW w:w="1701" w:type="dxa"/>
            <w:tcBorders>
              <w:left w:val="nil"/>
              <w:right w:val="nil"/>
            </w:tcBorders>
            <w:shd w:val="clear" w:color="auto" w:fill="auto"/>
            <w:noWrap/>
            <w:vAlign w:val="bottom"/>
          </w:tcPr>
          <w:p w14:paraId="5EA04BF7"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33.9 (31.1, 36.9)</w:t>
            </w:r>
          </w:p>
        </w:tc>
        <w:tc>
          <w:tcPr>
            <w:tcW w:w="1560" w:type="dxa"/>
            <w:tcBorders>
              <w:left w:val="nil"/>
              <w:right w:val="nil"/>
            </w:tcBorders>
            <w:shd w:val="clear" w:color="auto" w:fill="auto"/>
            <w:noWrap/>
            <w:vAlign w:val="bottom"/>
          </w:tcPr>
          <w:p w14:paraId="468F2410"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38.3 (35.4, 41.3)</w:t>
            </w:r>
          </w:p>
        </w:tc>
        <w:tc>
          <w:tcPr>
            <w:tcW w:w="1701" w:type="dxa"/>
            <w:tcBorders>
              <w:left w:val="nil"/>
              <w:right w:val="nil"/>
            </w:tcBorders>
            <w:shd w:val="clear" w:color="auto" w:fill="auto"/>
            <w:noWrap/>
            <w:vAlign w:val="bottom"/>
          </w:tcPr>
          <w:p w14:paraId="7C6751C6"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36.8 (34.2, 39.4)</w:t>
            </w:r>
          </w:p>
        </w:tc>
        <w:tc>
          <w:tcPr>
            <w:tcW w:w="1559" w:type="dxa"/>
            <w:tcBorders>
              <w:left w:val="nil"/>
              <w:right w:val="nil"/>
            </w:tcBorders>
            <w:shd w:val="clear" w:color="auto" w:fill="auto"/>
            <w:noWrap/>
            <w:vAlign w:val="bottom"/>
          </w:tcPr>
          <w:p w14:paraId="22B92293"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36.5 (33.9, 39.1)</w:t>
            </w:r>
          </w:p>
        </w:tc>
      </w:tr>
      <w:tr w:rsidR="00340DD1" w:rsidRPr="004E3096" w14:paraId="16F46E41" w14:textId="77777777" w:rsidTr="00F4602C">
        <w:trPr>
          <w:trHeight w:val="300"/>
        </w:trPr>
        <w:tc>
          <w:tcPr>
            <w:tcW w:w="993" w:type="dxa"/>
            <w:vMerge/>
            <w:tcBorders>
              <w:left w:val="nil"/>
              <w:right w:val="nil"/>
            </w:tcBorders>
            <w:shd w:val="clear" w:color="auto" w:fill="auto"/>
            <w:noWrap/>
            <w:vAlign w:val="bottom"/>
          </w:tcPr>
          <w:p w14:paraId="71C060A9"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bottom w:val="nil"/>
              <w:right w:val="nil"/>
            </w:tcBorders>
            <w:vAlign w:val="center"/>
          </w:tcPr>
          <w:p w14:paraId="7C492CB3"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
                <w:bCs/>
                <w:color w:val="000000"/>
                <w:sz w:val="20"/>
                <w:szCs w:val="20"/>
                <w:lang w:eastAsia="en-AU"/>
              </w:rPr>
              <w:t>Total</w:t>
            </w:r>
          </w:p>
        </w:tc>
        <w:tc>
          <w:tcPr>
            <w:tcW w:w="1701" w:type="dxa"/>
            <w:tcBorders>
              <w:left w:val="nil"/>
              <w:bottom w:val="nil"/>
              <w:right w:val="nil"/>
            </w:tcBorders>
            <w:shd w:val="clear" w:color="auto" w:fill="auto"/>
            <w:noWrap/>
            <w:vAlign w:val="bottom"/>
          </w:tcPr>
          <w:p w14:paraId="1E44D23B"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b/>
                <w:bCs/>
                <w:color w:val="000000"/>
                <w:sz w:val="20"/>
                <w:szCs w:val="20"/>
                <w:lang w:eastAsia="en-AU"/>
              </w:rPr>
              <w:t>35.8 (34.8, 36.8)</w:t>
            </w:r>
          </w:p>
        </w:tc>
        <w:tc>
          <w:tcPr>
            <w:tcW w:w="1701" w:type="dxa"/>
            <w:tcBorders>
              <w:left w:val="nil"/>
              <w:bottom w:val="nil"/>
              <w:right w:val="nil"/>
            </w:tcBorders>
            <w:shd w:val="clear" w:color="auto" w:fill="auto"/>
            <w:noWrap/>
            <w:vAlign w:val="bottom"/>
          </w:tcPr>
          <w:p w14:paraId="5141D702"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eastAsia="Times New Roman" w:hAnsi="Calibri" w:cs="Times New Roman"/>
                <w:b/>
                <w:bCs/>
                <w:color w:val="000000"/>
                <w:sz w:val="20"/>
                <w:szCs w:val="20"/>
                <w:lang w:eastAsia="en-AU"/>
              </w:rPr>
              <w:t>39.7 (38.6, 40.8)</w:t>
            </w:r>
          </w:p>
        </w:tc>
        <w:tc>
          <w:tcPr>
            <w:tcW w:w="1560" w:type="dxa"/>
            <w:tcBorders>
              <w:left w:val="nil"/>
              <w:bottom w:val="nil"/>
              <w:right w:val="nil"/>
            </w:tcBorders>
            <w:shd w:val="clear" w:color="auto" w:fill="auto"/>
            <w:noWrap/>
            <w:vAlign w:val="bottom"/>
          </w:tcPr>
          <w:p w14:paraId="65E23CB1"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b/>
                <w:color w:val="000000"/>
                <w:sz w:val="20"/>
                <w:szCs w:val="20"/>
              </w:rPr>
              <w:t>42.8 (41.6, 44</w:t>
            </w:r>
            <w:r>
              <w:rPr>
                <w:rFonts w:ascii="Calibri" w:hAnsi="Calibri"/>
                <w:b/>
                <w:color w:val="000000"/>
                <w:sz w:val="20"/>
                <w:szCs w:val="20"/>
              </w:rPr>
              <w:t>.0</w:t>
            </w:r>
            <w:r w:rsidRPr="004E3096">
              <w:rPr>
                <w:rFonts w:ascii="Calibri" w:hAnsi="Calibri"/>
                <w:b/>
                <w:color w:val="000000"/>
                <w:sz w:val="20"/>
                <w:szCs w:val="20"/>
              </w:rPr>
              <w:t>)</w:t>
            </w:r>
          </w:p>
        </w:tc>
        <w:tc>
          <w:tcPr>
            <w:tcW w:w="1701" w:type="dxa"/>
            <w:tcBorders>
              <w:left w:val="nil"/>
              <w:bottom w:val="nil"/>
              <w:right w:val="nil"/>
            </w:tcBorders>
            <w:shd w:val="clear" w:color="auto" w:fill="auto"/>
            <w:noWrap/>
            <w:vAlign w:val="bottom"/>
          </w:tcPr>
          <w:p w14:paraId="333F51C1"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b/>
                <w:color w:val="000000"/>
                <w:sz w:val="20"/>
                <w:szCs w:val="20"/>
              </w:rPr>
              <w:t>42.6 (41.6, 43.7)</w:t>
            </w:r>
          </w:p>
        </w:tc>
        <w:tc>
          <w:tcPr>
            <w:tcW w:w="1559" w:type="dxa"/>
            <w:tcBorders>
              <w:left w:val="nil"/>
              <w:bottom w:val="nil"/>
              <w:right w:val="nil"/>
            </w:tcBorders>
            <w:shd w:val="clear" w:color="auto" w:fill="auto"/>
            <w:noWrap/>
            <w:vAlign w:val="bottom"/>
          </w:tcPr>
          <w:p w14:paraId="1F3031D5" w14:textId="77777777" w:rsidR="00340DD1" w:rsidRPr="004E3096" w:rsidRDefault="00340DD1" w:rsidP="00F4602C">
            <w:pPr>
              <w:spacing w:after="0" w:line="240" w:lineRule="auto"/>
              <w:jc w:val="right"/>
              <w:rPr>
                <w:rFonts w:ascii="Calibri" w:hAnsi="Calibri"/>
                <w:color w:val="000000"/>
                <w:sz w:val="20"/>
                <w:szCs w:val="20"/>
              </w:rPr>
            </w:pPr>
            <w:r w:rsidRPr="004E3096">
              <w:rPr>
                <w:rFonts w:ascii="Calibri" w:hAnsi="Calibri"/>
                <w:b/>
                <w:color w:val="000000"/>
                <w:sz w:val="20"/>
                <w:szCs w:val="20"/>
              </w:rPr>
              <w:t>41.4 (40.3, 42.5)</w:t>
            </w:r>
          </w:p>
        </w:tc>
      </w:tr>
      <w:tr w:rsidR="00340DD1" w:rsidRPr="004E3096" w14:paraId="050FEE9F" w14:textId="77777777" w:rsidTr="00F4602C">
        <w:trPr>
          <w:trHeight w:val="300"/>
        </w:trPr>
        <w:tc>
          <w:tcPr>
            <w:tcW w:w="993" w:type="dxa"/>
            <w:vMerge w:val="restart"/>
            <w:tcBorders>
              <w:top w:val="single" w:sz="4" w:space="0" w:color="auto"/>
              <w:left w:val="nil"/>
              <w:right w:val="nil"/>
            </w:tcBorders>
            <w:shd w:val="clear" w:color="auto" w:fill="auto"/>
            <w:noWrap/>
            <w:vAlign w:val="center"/>
          </w:tcPr>
          <w:p w14:paraId="3A367E18"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Overall</w:t>
            </w:r>
          </w:p>
        </w:tc>
        <w:tc>
          <w:tcPr>
            <w:tcW w:w="708" w:type="dxa"/>
            <w:tcBorders>
              <w:top w:val="single" w:sz="4" w:space="0" w:color="auto"/>
              <w:left w:val="nil"/>
              <w:bottom w:val="nil"/>
              <w:right w:val="nil"/>
            </w:tcBorders>
            <w:vAlign w:val="bottom"/>
          </w:tcPr>
          <w:p w14:paraId="57902753"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14-17</w:t>
            </w:r>
          </w:p>
        </w:tc>
        <w:tc>
          <w:tcPr>
            <w:tcW w:w="1701" w:type="dxa"/>
            <w:tcBorders>
              <w:top w:val="single" w:sz="4" w:space="0" w:color="auto"/>
              <w:left w:val="nil"/>
              <w:bottom w:val="nil"/>
              <w:right w:val="nil"/>
            </w:tcBorders>
            <w:shd w:val="clear" w:color="auto" w:fill="auto"/>
            <w:noWrap/>
            <w:vAlign w:val="bottom"/>
          </w:tcPr>
          <w:p w14:paraId="5041755E"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30.3 (27.1, 33.7)</w:t>
            </w:r>
          </w:p>
        </w:tc>
        <w:tc>
          <w:tcPr>
            <w:tcW w:w="1701" w:type="dxa"/>
            <w:tcBorders>
              <w:top w:val="single" w:sz="4" w:space="0" w:color="auto"/>
              <w:left w:val="nil"/>
              <w:bottom w:val="nil"/>
              <w:right w:val="nil"/>
            </w:tcBorders>
            <w:shd w:val="clear" w:color="auto" w:fill="auto"/>
            <w:noWrap/>
            <w:vAlign w:val="bottom"/>
          </w:tcPr>
          <w:p w14:paraId="7A40654C"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30.2 (26.5, 34.2)</w:t>
            </w:r>
          </w:p>
        </w:tc>
        <w:tc>
          <w:tcPr>
            <w:tcW w:w="1560" w:type="dxa"/>
            <w:tcBorders>
              <w:top w:val="single" w:sz="4" w:space="0" w:color="auto"/>
              <w:left w:val="nil"/>
              <w:bottom w:val="nil"/>
              <w:right w:val="nil"/>
            </w:tcBorders>
            <w:shd w:val="clear" w:color="auto" w:fill="auto"/>
            <w:noWrap/>
            <w:vAlign w:val="bottom"/>
          </w:tcPr>
          <w:p w14:paraId="137AFFC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34.6 (30.3, 39.1)</w:t>
            </w:r>
          </w:p>
        </w:tc>
        <w:tc>
          <w:tcPr>
            <w:tcW w:w="1701" w:type="dxa"/>
            <w:tcBorders>
              <w:top w:val="single" w:sz="4" w:space="0" w:color="auto"/>
              <w:left w:val="nil"/>
              <w:bottom w:val="nil"/>
              <w:right w:val="nil"/>
            </w:tcBorders>
            <w:shd w:val="clear" w:color="auto" w:fill="auto"/>
            <w:noWrap/>
            <w:vAlign w:val="bottom"/>
          </w:tcPr>
          <w:p w14:paraId="70B285B9"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35.3 (30.8, 40.0)</w:t>
            </w:r>
          </w:p>
        </w:tc>
        <w:tc>
          <w:tcPr>
            <w:tcW w:w="1559" w:type="dxa"/>
            <w:tcBorders>
              <w:top w:val="single" w:sz="4" w:space="0" w:color="auto"/>
              <w:left w:val="nil"/>
              <w:bottom w:val="nil"/>
              <w:right w:val="nil"/>
            </w:tcBorders>
            <w:shd w:val="clear" w:color="auto" w:fill="auto"/>
            <w:noWrap/>
            <w:vAlign w:val="bottom"/>
          </w:tcPr>
          <w:p w14:paraId="0BC0F8A8"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31.2 (25.8, 37.3)</w:t>
            </w:r>
          </w:p>
        </w:tc>
      </w:tr>
      <w:tr w:rsidR="00340DD1" w:rsidRPr="004E3096" w14:paraId="2A0F40DF" w14:textId="77777777" w:rsidTr="00F4602C">
        <w:trPr>
          <w:trHeight w:val="300"/>
        </w:trPr>
        <w:tc>
          <w:tcPr>
            <w:tcW w:w="993" w:type="dxa"/>
            <w:vMerge/>
            <w:tcBorders>
              <w:left w:val="nil"/>
              <w:right w:val="nil"/>
            </w:tcBorders>
            <w:shd w:val="clear" w:color="auto" w:fill="auto"/>
            <w:noWrap/>
            <w:vAlign w:val="bottom"/>
          </w:tcPr>
          <w:p w14:paraId="4F41F5F8"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30860B61"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18-23</w:t>
            </w:r>
          </w:p>
        </w:tc>
        <w:tc>
          <w:tcPr>
            <w:tcW w:w="1701" w:type="dxa"/>
            <w:tcBorders>
              <w:top w:val="nil"/>
              <w:left w:val="nil"/>
              <w:bottom w:val="nil"/>
              <w:right w:val="nil"/>
            </w:tcBorders>
            <w:shd w:val="clear" w:color="auto" w:fill="auto"/>
            <w:noWrap/>
            <w:vAlign w:val="bottom"/>
          </w:tcPr>
          <w:p w14:paraId="216F4B60"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41.4 (38.9, 44.0)</w:t>
            </w:r>
          </w:p>
        </w:tc>
        <w:tc>
          <w:tcPr>
            <w:tcW w:w="1701" w:type="dxa"/>
            <w:tcBorders>
              <w:top w:val="nil"/>
              <w:left w:val="nil"/>
              <w:bottom w:val="nil"/>
              <w:right w:val="nil"/>
            </w:tcBorders>
            <w:shd w:val="clear" w:color="auto" w:fill="auto"/>
            <w:noWrap/>
            <w:vAlign w:val="bottom"/>
          </w:tcPr>
          <w:p w14:paraId="45AB7220"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47.4 (44.5, 50.3)</w:t>
            </w:r>
          </w:p>
        </w:tc>
        <w:tc>
          <w:tcPr>
            <w:tcW w:w="1560" w:type="dxa"/>
            <w:tcBorders>
              <w:top w:val="nil"/>
              <w:left w:val="nil"/>
              <w:bottom w:val="nil"/>
              <w:right w:val="nil"/>
            </w:tcBorders>
            <w:shd w:val="clear" w:color="auto" w:fill="auto"/>
            <w:noWrap/>
            <w:vAlign w:val="bottom"/>
          </w:tcPr>
          <w:p w14:paraId="5D45FDB4"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48.7 (45.3, 52.1)</w:t>
            </w:r>
          </w:p>
        </w:tc>
        <w:tc>
          <w:tcPr>
            <w:tcW w:w="1701" w:type="dxa"/>
            <w:tcBorders>
              <w:top w:val="nil"/>
              <w:left w:val="nil"/>
              <w:bottom w:val="nil"/>
              <w:right w:val="nil"/>
            </w:tcBorders>
            <w:shd w:val="clear" w:color="auto" w:fill="auto"/>
            <w:noWrap/>
            <w:vAlign w:val="bottom"/>
          </w:tcPr>
          <w:p w14:paraId="6122D88D"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48.2 (45.3, 51.1)</w:t>
            </w:r>
          </w:p>
        </w:tc>
        <w:tc>
          <w:tcPr>
            <w:tcW w:w="1559" w:type="dxa"/>
            <w:tcBorders>
              <w:top w:val="nil"/>
              <w:left w:val="nil"/>
              <w:bottom w:val="nil"/>
              <w:right w:val="nil"/>
            </w:tcBorders>
            <w:shd w:val="clear" w:color="auto" w:fill="auto"/>
            <w:noWrap/>
            <w:vAlign w:val="bottom"/>
          </w:tcPr>
          <w:p w14:paraId="10DA8439"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44.0 (40.8, 47.3)</w:t>
            </w:r>
          </w:p>
        </w:tc>
      </w:tr>
      <w:tr w:rsidR="00340DD1" w:rsidRPr="004E3096" w14:paraId="5AF7A002" w14:textId="77777777" w:rsidTr="00F4602C">
        <w:trPr>
          <w:trHeight w:val="300"/>
        </w:trPr>
        <w:tc>
          <w:tcPr>
            <w:tcW w:w="993" w:type="dxa"/>
            <w:vMerge/>
            <w:tcBorders>
              <w:left w:val="nil"/>
              <w:right w:val="nil"/>
            </w:tcBorders>
            <w:shd w:val="clear" w:color="auto" w:fill="auto"/>
            <w:noWrap/>
            <w:vAlign w:val="bottom"/>
          </w:tcPr>
          <w:p w14:paraId="26386D66"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5DC9B958"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24-29</w:t>
            </w:r>
          </w:p>
        </w:tc>
        <w:tc>
          <w:tcPr>
            <w:tcW w:w="1701" w:type="dxa"/>
            <w:tcBorders>
              <w:top w:val="nil"/>
              <w:left w:val="nil"/>
              <w:bottom w:val="nil"/>
              <w:right w:val="nil"/>
            </w:tcBorders>
            <w:shd w:val="clear" w:color="auto" w:fill="auto"/>
            <w:noWrap/>
            <w:vAlign w:val="bottom"/>
          </w:tcPr>
          <w:p w14:paraId="1ED8564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45.8 (43.4, 48.2)</w:t>
            </w:r>
          </w:p>
        </w:tc>
        <w:tc>
          <w:tcPr>
            <w:tcW w:w="1701" w:type="dxa"/>
            <w:tcBorders>
              <w:top w:val="nil"/>
              <w:left w:val="nil"/>
              <w:bottom w:val="nil"/>
              <w:right w:val="nil"/>
            </w:tcBorders>
            <w:shd w:val="clear" w:color="auto" w:fill="auto"/>
            <w:noWrap/>
            <w:vAlign w:val="bottom"/>
          </w:tcPr>
          <w:p w14:paraId="6C721464"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45.3 (42.6, 48.1)</w:t>
            </w:r>
          </w:p>
        </w:tc>
        <w:tc>
          <w:tcPr>
            <w:tcW w:w="1560" w:type="dxa"/>
            <w:tcBorders>
              <w:top w:val="nil"/>
              <w:left w:val="nil"/>
              <w:bottom w:val="nil"/>
              <w:right w:val="nil"/>
            </w:tcBorders>
            <w:shd w:val="clear" w:color="auto" w:fill="auto"/>
            <w:noWrap/>
            <w:vAlign w:val="bottom"/>
          </w:tcPr>
          <w:p w14:paraId="6F85282D"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48.0 (44.8, 51.2)</w:t>
            </w:r>
          </w:p>
        </w:tc>
        <w:tc>
          <w:tcPr>
            <w:tcW w:w="1701" w:type="dxa"/>
            <w:tcBorders>
              <w:top w:val="nil"/>
              <w:left w:val="nil"/>
              <w:bottom w:val="nil"/>
              <w:right w:val="nil"/>
            </w:tcBorders>
            <w:shd w:val="clear" w:color="auto" w:fill="auto"/>
            <w:noWrap/>
            <w:vAlign w:val="bottom"/>
          </w:tcPr>
          <w:p w14:paraId="62633D42"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51.0 (48.3, 53.6)</w:t>
            </w:r>
          </w:p>
        </w:tc>
        <w:tc>
          <w:tcPr>
            <w:tcW w:w="1559" w:type="dxa"/>
            <w:tcBorders>
              <w:top w:val="nil"/>
              <w:left w:val="nil"/>
              <w:bottom w:val="nil"/>
              <w:right w:val="nil"/>
            </w:tcBorders>
            <w:shd w:val="clear" w:color="auto" w:fill="auto"/>
            <w:noWrap/>
            <w:vAlign w:val="bottom"/>
          </w:tcPr>
          <w:p w14:paraId="1431F102"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49.0 (46.2, 51.9)</w:t>
            </w:r>
          </w:p>
        </w:tc>
      </w:tr>
      <w:tr w:rsidR="00340DD1" w:rsidRPr="004E3096" w14:paraId="3D8BEFA2" w14:textId="77777777" w:rsidTr="00F4602C">
        <w:trPr>
          <w:trHeight w:val="300"/>
        </w:trPr>
        <w:tc>
          <w:tcPr>
            <w:tcW w:w="993" w:type="dxa"/>
            <w:vMerge/>
            <w:tcBorders>
              <w:left w:val="nil"/>
              <w:right w:val="nil"/>
            </w:tcBorders>
            <w:shd w:val="clear" w:color="auto" w:fill="auto"/>
            <w:noWrap/>
            <w:vAlign w:val="bottom"/>
          </w:tcPr>
          <w:p w14:paraId="68C25519"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0247A143"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30-49</w:t>
            </w:r>
          </w:p>
        </w:tc>
        <w:tc>
          <w:tcPr>
            <w:tcW w:w="1701" w:type="dxa"/>
            <w:tcBorders>
              <w:top w:val="nil"/>
              <w:left w:val="nil"/>
              <w:bottom w:val="nil"/>
              <w:right w:val="nil"/>
            </w:tcBorders>
            <w:shd w:val="clear" w:color="auto" w:fill="auto"/>
            <w:noWrap/>
            <w:vAlign w:val="bottom"/>
          </w:tcPr>
          <w:p w14:paraId="1102408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38.1 (36.9, 39.2)</w:t>
            </w:r>
          </w:p>
        </w:tc>
        <w:tc>
          <w:tcPr>
            <w:tcW w:w="1701" w:type="dxa"/>
            <w:tcBorders>
              <w:top w:val="nil"/>
              <w:left w:val="nil"/>
              <w:bottom w:val="nil"/>
              <w:right w:val="nil"/>
            </w:tcBorders>
            <w:shd w:val="clear" w:color="auto" w:fill="auto"/>
            <w:noWrap/>
            <w:vAlign w:val="bottom"/>
          </w:tcPr>
          <w:p w14:paraId="1E71ABC6"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42.6 (41.2, 43.9)</w:t>
            </w:r>
          </w:p>
        </w:tc>
        <w:tc>
          <w:tcPr>
            <w:tcW w:w="1560" w:type="dxa"/>
            <w:tcBorders>
              <w:top w:val="nil"/>
              <w:left w:val="nil"/>
              <w:bottom w:val="nil"/>
              <w:right w:val="nil"/>
            </w:tcBorders>
            <w:shd w:val="clear" w:color="auto" w:fill="auto"/>
            <w:noWrap/>
            <w:vAlign w:val="bottom"/>
          </w:tcPr>
          <w:p w14:paraId="09D78EAB"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44.7 (43.2, 46.2)</w:t>
            </w:r>
          </w:p>
        </w:tc>
        <w:tc>
          <w:tcPr>
            <w:tcW w:w="1701" w:type="dxa"/>
            <w:tcBorders>
              <w:top w:val="nil"/>
              <w:left w:val="nil"/>
              <w:bottom w:val="nil"/>
              <w:right w:val="nil"/>
            </w:tcBorders>
            <w:shd w:val="clear" w:color="auto" w:fill="auto"/>
            <w:noWrap/>
            <w:vAlign w:val="bottom"/>
          </w:tcPr>
          <w:p w14:paraId="2D88F164"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43.8 (42.6, 45.1)</w:t>
            </w:r>
          </w:p>
        </w:tc>
        <w:tc>
          <w:tcPr>
            <w:tcW w:w="1559" w:type="dxa"/>
            <w:tcBorders>
              <w:top w:val="nil"/>
              <w:left w:val="nil"/>
              <w:bottom w:val="nil"/>
              <w:right w:val="nil"/>
            </w:tcBorders>
            <w:shd w:val="clear" w:color="auto" w:fill="auto"/>
            <w:noWrap/>
            <w:vAlign w:val="bottom"/>
          </w:tcPr>
          <w:p w14:paraId="79A156CD"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43.4 (42.0, 44.8)</w:t>
            </w:r>
          </w:p>
        </w:tc>
      </w:tr>
      <w:tr w:rsidR="00340DD1" w:rsidRPr="004E3096" w14:paraId="4FEC0285" w14:textId="77777777" w:rsidTr="00F4602C">
        <w:trPr>
          <w:trHeight w:val="300"/>
        </w:trPr>
        <w:tc>
          <w:tcPr>
            <w:tcW w:w="993" w:type="dxa"/>
            <w:vMerge/>
            <w:tcBorders>
              <w:left w:val="nil"/>
              <w:right w:val="nil"/>
            </w:tcBorders>
            <w:shd w:val="clear" w:color="auto" w:fill="auto"/>
            <w:noWrap/>
            <w:vAlign w:val="bottom"/>
          </w:tcPr>
          <w:p w14:paraId="3C74E8C0"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right w:val="nil"/>
            </w:tcBorders>
            <w:vAlign w:val="bottom"/>
          </w:tcPr>
          <w:p w14:paraId="6C11F1DA"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bCs/>
                <w:color w:val="000000"/>
                <w:sz w:val="20"/>
                <w:szCs w:val="20"/>
                <w:lang w:eastAsia="en-AU"/>
              </w:rPr>
              <w:t>50-64</w:t>
            </w:r>
          </w:p>
        </w:tc>
        <w:tc>
          <w:tcPr>
            <w:tcW w:w="1701" w:type="dxa"/>
            <w:tcBorders>
              <w:top w:val="nil"/>
              <w:left w:val="nil"/>
              <w:right w:val="nil"/>
            </w:tcBorders>
            <w:shd w:val="clear" w:color="auto" w:fill="auto"/>
            <w:noWrap/>
            <w:vAlign w:val="bottom"/>
          </w:tcPr>
          <w:p w14:paraId="07782BD0"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37.4 (35.8, 39.0)</w:t>
            </w:r>
          </w:p>
        </w:tc>
        <w:tc>
          <w:tcPr>
            <w:tcW w:w="1701" w:type="dxa"/>
            <w:tcBorders>
              <w:top w:val="nil"/>
              <w:left w:val="nil"/>
              <w:right w:val="nil"/>
            </w:tcBorders>
            <w:shd w:val="clear" w:color="auto" w:fill="auto"/>
            <w:noWrap/>
            <w:vAlign w:val="bottom"/>
          </w:tcPr>
          <w:p w14:paraId="28358888"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40.8 (39.1, 42.4)</w:t>
            </w:r>
          </w:p>
        </w:tc>
        <w:tc>
          <w:tcPr>
            <w:tcW w:w="1560" w:type="dxa"/>
            <w:tcBorders>
              <w:top w:val="nil"/>
              <w:left w:val="nil"/>
              <w:right w:val="nil"/>
            </w:tcBorders>
            <w:shd w:val="clear" w:color="auto" w:fill="auto"/>
            <w:noWrap/>
            <w:vAlign w:val="bottom"/>
          </w:tcPr>
          <w:p w14:paraId="28C3853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44.1 (42.4, 45.9)</w:t>
            </w:r>
          </w:p>
        </w:tc>
        <w:tc>
          <w:tcPr>
            <w:tcW w:w="1701" w:type="dxa"/>
            <w:tcBorders>
              <w:top w:val="nil"/>
              <w:left w:val="nil"/>
              <w:right w:val="nil"/>
            </w:tcBorders>
            <w:shd w:val="clear" w:color="auto" w:fill="auto"/>
            <w:noWrap/>
            <w:vAlign w:val="bottom"/>
          </w:tcPr>
          <w:p w14:paraId="6FD9CD6A"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42.6 (41.1, 44.1)</w:t>
            </w:r>
          </w:p>
        </w:tc>
        <w:tc>
          <w:tcPr>
            <w:tcW w:w="1559" w:type="dxa"/>
            <w:tcBorders>
              <w:top w:val="nil"/>
              <w:left w:val="nil"/>
              <w:right w:val="nil"/>
            </w:tcBorders>
            <w:shd w:val="clear" w:color="auto" w:fill="auto"/>
            <w:noWrap/>
            <w:vAlign w:val="bottom"/>
          </w:tcPr>
          <w:p w14:paraId="11AA5E30"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43.5 (41.9, 45.1)</w:t>
            </w:r>
          </w:p>
        </w:tc>
      </w:tr>
      <w:tr w:rsidR="00340DD1" w:rsidRPr="004E3096" w14:paraId="5368883B" w14:textId="77777777" w:rsidTr="00F4602C">
        <w:trPr>
          <w:trHeight w:val="300"/>
        </w:trPr>
        <w:tc>
          <w:tcPr>
            <w:tcW w:w="993" w:type="dxa"/>
            <w:vMerge/>
            <w:tcBorders>
              <w:left w:val="nil"/>
              <w:right w:val="nil"/>
            </w:tcBorders>
            <w:shd w:val="clear" w:color="auto" w:fill="auto"/>
            <w:noWrap/>
            <w:vAlign w:val="bottom"/>
          </w:tcPr>
          <w:p w14:paraId="2C29932A"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right w:val="nil"/>
            </w:tcBorders>
            <w:vAlign w:val="bottom"/>
          </w:tcPr>
          <w:p w14:paraId="51FF8CD8"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65+</w:t>
            </w:r>
          </w:p>
        </w:tc>
        <w:tc>
          <w:tcPr>
            <w:tcW w:w="1701" w:type="dxa"/>
            <w:tcBorders>
              <w:top w:val="nil"/>
              <w:left w:val="nil"/>
              <w:right w:val="nil"/>
            </w:tcBorders>
            <w:shd w:val="clear" w:color="auto" w:fill="auto"/>
            <w:noWrap/>
            <w:vAlign w:val="bottom"/>
          </w:tcPr>
          <w:p w14:paraId="53CB2B76" w14:textId="77777777" w:rsidR="00340DD1"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37.9 (36.0, 39.9)</w:t>
            </w:r>
          </w:p>
        </w:tc>
        <w:tc>
          <w:tcPr>
            <w:tcW w:w="1701" w:type="dxa"/>
            <w:tcBorders>
              <w:top w:val="nil"/>
              <w:left w:val="nil"/>
              <w:right w:val="nil"/>
            </w:tcBorders>
            <w:shd w:val="clear" w:color="auto" w:fill="auto"/>
            <w:noWrap/>
            <w:vAlign w:val="bottom"/>
          </w:tcPr>
          <w:p w14:paraId="344F2469" w14:textId="77777777" w:rsidR="00340DD1"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42.4 (40.4, 44.4)</w:t>
            </w:r>
          </w:p>
        </w:tc>
        <w:tc>
          <w:tcPr>
            <w:tcW w:w="1560" w:type="dxa"/>
            <w:tcBorders>
              <w:top w:val="nil"/>
              <w:left w:val="nil"/>
              <w:right w:val="nil"/>
            </w:tcBorders>
            <w:shd w:val="clear" w:color="auto" w:fill="auto"/>
            <w:noWrap/>
            <w:vAlign w:val="bottom"/>
          </w:tcPr>
          <w:p w14:paraId="5B34A21D" w14:textId="77777777" w:rsidR="00340DD1"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44.8 (42.7, 46.9)</w:t>
            </w:r>
          </w:p>
        </w:tc>
        <w:tc>
          <w:tcPr>
            <w:tcW w:w="1701" w:type="dxa"/>
            <w:tcBorders>
              <w:top w:val="nil"/>
              <w:left w:val="nil"/>
              <w:right w:val="nil"/>
            </w:tcBorders>
            <w:shd w:val="clear" w:color="auto" w:fill="auto"/>
            <w:noWrap/>
            <w:vAlign w:val="bottom"/>
          </w:tcPr>
          <w:p w14:paraId="0D3C27CD" w14:textId="77777777" w:rsidR="00340DD1"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41.3 (39.5, 43.1)</w:t>
            </w:r>
          </w:p>
        </w:tc>
        <w:tc>
          <w:tcPr>
            <w:tcW w:w="1559" w:type="dxa"/>
            <w:tcBorders>
              <w:top w:val="nil"/>
              <w:left w:val="nil"/>
              <w:right w:val="nil"/>
            </w:tcBorders>
            <w:shd w:val="clear" w:color="auto" w:fill="auto"/>
            <w:noWrap/>
            <w:vAlign w:val="bottom"/>
          </w:tcPr>
          <w:p w14:paraId="57CFA136" w14:textId="77777777" w:rsidR="00340DD1"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41.4 (39.6, 43.2)</w:t>
            </w:r>
          </w:p>
        </w:tc>
      </w:tr>
      <w:tr w:rsidR="00340DD1" w:rsidRPr="004E3096" w14:paraId="5543FDCC" w14:textId="77777777" w:rsidTr="00F4602C">
        <w:trPr>
          <w:trHeight w:val="300"/>
        </w:trPr>
        <w:tc>
          <w:tcPr>
            <w:tcW w:w="993" w:type="dxa"/>
            <w:vMerge/>
            <w:tcBorders>
              <w:left w:val="nil"/>
              <w:bottom w:val="single" w:sz="4" w:space="0" w:color="auto"/>
              <w:right w:val="nil"/>
            </w:tcBorders>
            <w:shd w:val="clear" w:color="auto" w:fill="auto"/>
            <w:noWrap/>
            <w:vAlign w:val="bottom"/>
          </w:tcPr>
          <w:p w14:paraId="6C3F23AF"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single" w:sz="4" w:space="0" w:color="auto"/>
              <w:right w:val="nil"/>
            </w:tcBorders>
            <w:vAlign w:val="bottom"/>
          </w:tcPr>
          <w:p w14:paraId="4D48F220"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Total</w:t>
            </w:r>
          </w:p>
        </w:tc>
        <w:tc>
          <w:tcPr>
            <w:tcW w:w="1701" w:type="dxa"/>
            <w:tcBorders>
              <w:top w:val="nil"/>
              <w:left w:val="nil"/>
              <w:bottom w:val="single" w:sz="4" w:space="0" w:color="auto"/>
              <w:right w:val="nil"/>
            </w:tcBorders>
            <w:shd w:val="clear" w:color="auto" w:fill="auto"/>
            <w:noWrap/>
            <w:vAlign w:val="bottom"/>
          </w:tcPr>
          <w:p w14:paraId="027D91B7"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38.7 (37.9, 39.4)</w:t>
            </w:r>
          </w:p>
        </w:tc>
        <w:tc>
          <w:tcPr>
            <w:tcW w:w="1701" w:type="dxa"/>
            <w:tcBorders>
              <w:top w:val="nil"/>
              <w:left w:val="nil"/>
              <w:bottom w:val="single" w:sz="4" w:space="0" w:color="auto"/>
              <w:right w:val="nil"/>
            </w:tcBorders>
            <w:shd w:val="clear" w:color="auto" w:fill="auto"/>
            <w:noWrap/>
            <w:vAlign w:val="bottom"/>
          </w:tcPr>
          <w:p w14:paraId="264BD606"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42.4 (41.5, 43.2)</w:t>
            </w:r>
          </w:p>
        </w:tc>
        <w:tc>
          <w:tcPr>
            <w:tcW w:w="1560" w:type="dxa"/>
            <w:tcBorders>
              <w:top w:val="nil"/>
              <w:left w:val="nil"/>
              <w:bottom w:val="single" w:sz="4" w:space="0" w:color="auto"/>
              <w:right w:val="nil"/>
            </w:tcBorders>
            <w:shd w:val="clear" w:color="auto" w:fill="auto"/>
            <w:noWrap/>
            <w:vAlign w:val="bottom"/>
          </w:tcPr>
          <w:p w14:paraId="465E7508"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44.9 (43.9, 45.8)</w:t>
            </w:r>
          </w:p>
        </w:tc>
        <w:tc>
          <w:tcPr>
            <w:tcW w:w="1701" w:type="dxa"/>
            <w:tcBorders>
              <w:top w:val="nil"/>
              <w:left w:val="nil"/>
              <w:bottom w:val="single" w:sz="4" w:space="0" w:color="auto"/>
              <w:right w:val="nil"/>
            </w:tcBorders>
            <w:shd w:val="clear" w:color="auto" w:fill="auto"/>
            <w:noWrap/>
            <w:vAlign w:val="bottom"/>
          </w:tcPr>
          <w:p w14:paraId="30BC7E03"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44.1 (43.3, 44.9)</w:t>
            </w:r>
          </w:p>
        </w:tc>
        <w:tc>
          <w:tcPr>
            <w:tcW w:w="1559" w:type="dxa"/>
            <w:tcBorders>
              <w:top w:val="nil"/>
              <w:left w:val="nil"/>
              <w:bottom w:val="single" w:sz="4" w:space="0" w:color="auto"/>
              <w:right w:val="nil"/>
            </w:tcBorders>
            <w:shd w:val="clear" w:color="auto" w:fill="auto"/>
            <w:noWrap/>
            <w:vAlign w:val="bottom"/>
          </w:tcPr>
          <w:p w14:paraId="4A3B0537"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43.4 (42.6, 44.3)</w:t>
            </w:r>
          </w:p>
        </w:tc>
      </w:tr>
      <w:tr w:rsidR="00340DD1" w:rsidRPr="004E3096" w14:paraId="56BB3524" w14:textId="77777777" w:rsidTr="00F4602C">
        <w:trPr>
          <w:trHeight w:val="300"/>
        </w:trPr>
        <w:tc>
          <w:tcPr>
            <w:tcW w:w="9923" w:type="dxa"/>
            <w:gridSpan w:val="7"/>
            <w:tcBorders>
              <w:top w:val="single" w:sz="4" w:space="0" w:color="auto"/>
              <w:left w:val="nil"/>
              <w:bottom w:val="single" w:sz="4" w:space="0" w:color="auto"/>
              <w:right w:val="nil"/>
            </w:tcBorders>
            <w:shd w:val="clear" w:color="auto" w:fill="auto"/>
            <w:noWrap/>
            <w:vAlign w:val="center"/>
          </w:tcPr>
          <w:p w14:paraId="2C6C6DC0" w14:textId="77777777" w:rsidR="00340DD1" w:rsidRPr="004E3096" w:rsidRDefault="00340DD1" w:rsidP="00F4602C">
            <w:pPr>
              <w:spacing w:after="0" w:line="240" w:lineRule="auto"/>
              <w:jc w:val="center"/>
              <w:rPr>
                <w:rFonts w:ascii="Calibri" w:eastAsia="Times New Roman" w:hAnsi="Calibri" w:cs="Times New Roman"/>
                <w:b/>
                <w:bCs/>
                <w:color w:val="000000"/>
                <w:sz w:val="20"/>
                <w:szCs w:val="20"/>
                <w:lang w:eastAsia="en-AU"/>
              </w:rPr>
            </w:pPr>
            <w:r>
              <w:rPr>
                <w:rFonts w:ascii="Calibri" w:eastAsia="Times New Roman" w:hAnsi="Calibri" w:cs="Times New Roman"/>
                <w:b/>
                <w:bCs/>
                <w:color w:val="000000"/>
                <w:sz w:val="20"/>
                <w:szCs w:val="20"/>
                <w:lang w:eastAsia="en-AU"/>
              </w:rPr>
              <w:t>Ceased d</w:t>
            </w:r>
            <w:r w:rsidRPr="004E3096">
              <w:rPr>
                <w:rFonts w:ascii="Calibri" w:eastAsia="Times New Roman" w:hAnsi="Calibri" w:cs="Times New Roman"/>
                <w:b/>
                <w:bCs/>
                <w:color w:val="000000"/>
                <w:sz w:val="20"/>
                <w:szCs w:val="20"/>
                <w:lang w:eastAsia="en-AU"/>
              </w:rPr>
              <w:t>rinking</w:t>
            </w:r>
          </w:p>
        </w:tc>
      </w:tr>
      <w:tr w:rsidR="00340DD1" w:rsidRPr="004E3096" w14:paraId="7AE066AD" w14:textId="77777777" w:rsidTr="00F4602C">
        <w:trPr>
          <w:trHeight w:val="300"/>
        </w:trPr>
        <w:tc>
          <w:tcPr>
            <w:tcW w:w="993" w:type="dxa"/>
            <w:tcBorders>
              <w:top w:val="single" w:sz="4" w:space="0" w:color="auto"/>
              <w:left w:val="nil"/>
              <w:bottom w:val="single" w:sz="4" w:space="0" w:color="auto"/>
              <w:right w:val="nil"/>
            </w:tcBorders>
            <w:shd w:val="clear" w:color="auto" w:fill="auto"/>
            <w:noWrap/>
            <w:vAlign w:val="bottom"/>
            <w:hideMark/>
          </w:tcPr>
          <w:p w14:paraId="66F29079" w14:textId="77777777" w:rsidR="00340DD1" w:rsidRPr="004E3096" w:rsidRDefault="00340DD1" w:rsidP="00F4602C">
            <w:pPr>
              <w:spacing w:after="0" w:line="240" w:lineRule="auto"/>
              <w:jc w:val="center"/>
              <w:rPr>
                <w:rFonts w:ascii="Calibri" w:eastAsia="Times New Roman" w:hAnsi="Calibri" w:cs="Times New Roman"/>
                <w:b/>
                <w:bCs/>
                <w:color w:val="000000"/>
                <w:sz w:val="20"/>
                <w:szCs w:val="20"/>
                <w:lang w:eastAsia="en-AU"/>
              </w:rPr>
            </w:pPr>
          </w:p>
        </w:tc>
        <w:tc>
          <w:tcPr>
            <w:tcW w:w="708" w:type="dxa"/>
            <w:tcBorders>
              <w:top w:val="single" w:sz="4" w:space="0" w:color="auto"/>
              <w:left w:val="nil"/>
              <w:bottom w:val="single" w:sz="4" w:space="0" w:color="auto"/>
              <w:right w:val="nil"/>
            </w:tcBorders>
          </w:tcPr>
          <w:p w14:paraId="029D6F77"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p>
        </w:tc>
        <w:tc>
          <w:tcPr>
            <w:tcW w:w="1701" w:type="dxa"/>
            <w:tcBorders>
              <w:top w:val="single" w:sz="4" w:space="0" w:color="auto"/>
              <w:left w:val="nil"/>
              <w:bottom w:val="single" w:sz="4" w:space="0" w:color="auto"/>
              <w:right w:val="nil"/>
            </w:tcBorders>
            <w:shd w:val="clear" w:color="auto" w:fill="auto"/>
            <w:noWrap/>
            <w:vAlign w:val="bottom"/>
            <w:hideMark/>
          </w:tcPr>
          <w:p w14:paraId="6CC9E538"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2001</w:t>
            </w:r>
          </w:p>
        </w:tc>
        <w:tc>
          <w:tcPr>
            <w:tcW w:w="1701" w:type="dxa"/>
            <w:tcBorders>
              <w:top w:val="single" w:sz="4" w:space="0" w:color="auto"/>
              <w:left w:val="nil"/>
              <w:bottom w:val="single" w:sz="4" w:space="0" w:color="auto"/>
              <w:right w:val="nil"/>
            </w:tcBorders>
            <w:shd w:val="clear" w:color="auto" w:fill="auto"/>
            <w:noWrap/>
            <w:vAlign w:val="bottom"/>
            <w:hideMark/>
          </w:tcPr>
          <w:p w14:paraId="186B9002"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2004</w:t>
            </w:r>
          </w:p>
        </w:tc>
        <w:tc>
          <w:tcPr>
            <w:tcW w:w="1560" w:type="dxa"/>
            <w:tcBorders>
              <w:top w:val="single" w:sz="4" w:space="0" w:color="auto"/>
              <w:left w:val="nil"/>
              <w:bottom w:val="single" w:sz="4" w:space="0" w:color="auto"/>
              <w:right w:val="nil"/>
            </w:tcBorders>
            <w:shd w:val="clear" w:color="auto" w:fill="auto"/>
            <w:noWrap/>
            <w:vAlign w:val="bottom"/>
            <w:hideMark/>
          </w:tcPr>
          <w:p w14:paraId="71804E1A"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2007</w:t>
            </w:r>
          </w:p>
        </w:tc>
        <w:tc>
          <w:tcPr>
            <w:tcW w:w="1701" w:type="dxa"/>
            <w:tcBorders>
              <w:top w:val="single" w:sz="4" w:space="0" w:color="auto"/>
              <w:left w:val="nil"/>
              <w:bottom w:val="single" w:sz="4" w:space="0" w:color="auto"/>
              <w:right w:val="nil"/>
            </w:tcBorders>
            <w:shd w:val="clear" w:color="auto" w:fill="auto"/>
            <w:noWrap/>
            <w:vAlign w:val="bottom"/>
            <w:hideMark/>
          </w:tcPr>
          <w:p w14:paraId="6241302F"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2010</w:t>
            </w:r>
          </w:p>
        </w:tc>
        <w:tc>
          <w:tcPr>
            <w:tcW w:w="1559" w:type="dxa"/>
            <w:tcBorders>
              <w:top w:val="single" w:sz="4" w:space="0" w:color="auto"/>
              <w:left w:val="nil"/>
              <w:bottom w:val="single" w:sz="4" w:space="0" w:color="auto"/>
              <w:right w:val="nil"/>
            </w:tcBorders>
            <w:shd w:val="clear" w:color="auto" w:fill="auto"/>
            <w:noWrap/>
            <w:vAlign w:val="bottom"/>
            <w:hideMark/>
          </w:tcPr>
          <w:p w14:paraId="79E254E9"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2013</w:t>
            </w:r>
          </w:p>
        </w:tc>
      </w:tr>
      <w:tr w:rsidR="00340DD1" w:rsidRPr="004E3096" w14:paraId="24386AD8" w14:textId="77777777" w:rsidTr="00F4602C">
        <w:trPr>
          <w:trHeight w:val="300"/>
        </w:trPr>
        <w:tc>
          <w:tcPr>
            <w:tcW w:w="993" w:type="dxa"/>
            <w:vMerge w:val="restart"/>
            <w:tcBorders>
              <w:top w:val="single" w:sz="4" w:space="0" w:color="auto"/>
              <w:left w:val="nil"/>
              <w:right w:val="nil"/>
            </w:tcBorders>
            <w:shd w:val="clear" w:color="auto" w:fill="auto"/>
            <w:noWrap/>
            <w:vAlign w:val="center"/>
          </w:tcPr>
          <w:p w14:paraId="0DCFFAC1"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Males</w:t>
            </w:r>
          </w:p>
        </w:tc>
        <w:tc>
          <w:tcPr>
            <w:tcW w:w="708" w:type="dxa"/>
            <w:tcBorders>
              <w:top w:val="single" w:sz="4" w:space="0" w:color="auto"/>
              <w:left w:val="nil"/>
              <w:right w:val="nil"/>
            </w:tcBorders>
            <w:vAlign w:val="bottom"/>
          </w:tcPr>
          <w:p w14:paraId="7ED373F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14-17</w:t>
            </w:r>
          </w:p>
        </w:tc>
        <w:tc>
          <w:tcPr>
            <w:tcW w:w="1701" w:type="dxa"/>
            <w:tcBorders>
              <w:top w:val="single" w:sz="4" w:space="0" w:color="auto"/>
              <w:left w:val="nil"/>
              <w:right w:val="nil"/>
            </w:tcBorders>
            <w:shd w:val="clear" w:color="auto" w:fill="auto"/>
            <w:noWrap/>
            <w:vAlign w:val="bottom"/>
          </w:tcPr>
          <w:p w14:paraId="11157B64"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9.9 (7</w:t>
            </w:r>
            <w:r>
              <w:rPr>
                <w:rFonts w:ascii="Calibri" w:hAnsi="Calibri"/>
                <w:color w:val="000000"/>
                <w:sz w:val="20"/>
                <w:szCs w:val="20"/>
              </w:rPr>
              <w:t>.0</w:t>
            </w:r>
            <w:r w:rsidRPr="004E3096">
              <w:rPr>
                <w:rFonts w:ascii="Calibri" w:hAnsi="Calibri"/>
                <w:color w:val="000000"/>
                <w:sz w:val="20"/>
                <w:szCs w:val="20"/>
              </w:rPr>
              <w:t>, 13.9)</w:t>
            </w:r>
          </w:p>
        </w:tc>
        <w:tc>
          <w:tcPr>
            <w:tcW w:w="1701" w:type="dxa"/>
            <w:tcBorders>
              <w:top w:val="single" w:sz="4" w:space="0" w:color="auto"/>
              <w:left w:val="nil"/>
              <w:right w:val="nil"/>
            </w:tcBorders>
            <w:shd w:val="clear" w:color="auto" w:fill="auto"/>
            <w:noWrap/>
            <w:vAlign w:val="bottom"/>
          </w:tcPr>
          <w:p w14:paraId="002B7416"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11.6 (7.8, 16.9)</w:t>
            </w:r>
          </w:p>
        </w:tc>
        <w:tc>
          <w:tcPr>
            <w:tcW w:w="1560" w:type="dxa"/>
            <w:tcBorders>
              <w:top w:val="single" w:sz="4" w:space="0" w:color="auto"/>
              <w:left w:val="nil"/>
              <w:right w:val="nil"/>
            </w:tcBorders>
            <w:shd w:val="clear" w:color="auto" w:fill="auto"/>
            <w:noWrap/>
            <w:vAlign w:val="bottom"/>
          </w:tcPr>
          <w:p w14:paraId="1E1131C8"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10.5 (7.1, 15.3)</w:t>
            </w:r>
          </w:p>
        </w:tc>
        <w:tc>
          <w:tcPr>
            <w:tcW w:w="1701" w:type="dxa"/>
            <w:tcBorders>
              <w:top w:val="single" w:sz="4" w:space="0" w:color="auto"/>
              <w:left w:val="nil"/>
              <w:right w:val="nil"/>
            </w:tcBorders>
            <w:shd w:val="clear" w:color="auto" w:fill="auto"/>
            <w:noWrap/>
            <w:vAlign w:val="bottom"/>
          </w:tcPr>
          <w:p w14:paraId="14AF8B92"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12.7 (8.9, 17.7)</w:t>
            </w:r>
          </w:p>
        </w:tc>
        <w:tc>
          <w:tcPr>
            <w:tcW w:w="1559" w:type="dxa"/>
            <w:tcBorders>
              <w:top w:val="single" w:sz="4" w:space="0" w:color="auto"/>
              <w:left w:val="nil"/>
              <w:right w:val="nil"/>
            </w:tcBorders>
            <w:shd w:val="clear" w:color="auto" w:fill="auto"/>
            <w:noWrap/>
            <w:vAlign w:val="bottom"/>
          </w:tcPr>
          <w:p w14:paraId="2D8A0D99"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11.7 (7.3, 18.3)</w:t>
            </w:r>
          </w:p>
        </w:tc>
      </w:tr>
      <w:tr w:rsidR="00340DD1" w:rsidRPr="004E3096" w14:paraId="32F82293" w14:textId="77777777" w:rsidTr="00F4602C">
        <w:trPr>
          <w:trHeight w:val="300"/>
        </w:trPr>
        <w:tc>
          <w:tcPr>
            <w:tcW w:w="993" w:type="dxa"/>
            <w:vMerge/>
            <w:tcBorders>
              <w:left w:val="nil"/>
              <w:right w:val="nil"/>
            </w:tcBorders>
            <w:shd w:val="clear" w:color="auto" w:fill="auto"/>
            <w:noWrap/>
            <w:vAlign w:val="bottom"/>
          </w:tcPr>
          <w:p w14:paraId="2367A627"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5A5DFD29"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18-23</w:t>
            </w:r>
          </w:p>
        </w:tc>
        <w:tc>
          <w:tcPr>
            <w:tcW w:w="1701" w:type="dxa"/>
            <w:tcBorders>
              <w:left w:val="nil"/>
              <w:right w:val="nil"/>
            </w:tcBorders>
            <w:shd w:val="clear" w:color="auto" w:fill="auto"/>
            <w:noWrap/>
            <w:vAlign w:val="bottom"/>
          </w:tcPr>
          <w:p w14:paraId="62C5E350"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4.3 (3.1, 6.1)</w:t>
            </w:r>
          </w:p>
        </w:tc>
        <w:tc>
          <w:tcPr>
            <w:tcW w:w="1701" w:type="dxa"/>
            <w:tcBorders>
              <w:left w:val="nil"/>
              <w:right w:val="nil"/>
            </w:tcBorders>
            <w:shd w:val="clear" w:color="auto" w:fill="auto"/>
            <w:noWrap/>
            <w:vAlign w:val="bottom"/>
          </w:tcPr>
          <w:p w14:paraId="5CAE5099"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4.7 (3</w:t>
            </w:r>
            <w:r>
              <w:rPr>
                <w:rFonts w:ascii="Calibri" w:hAnsi="Calibri"/>
                <w:color w:val="000000"/>
                <w:sz w:val="20"/>
                <w:szCs w:val="20"/>
              </w:rPr>
              <w:t>.0</w:t>
            </w:r>
            <w:r w:rsidRPr="004E3096">
              <w:rPr>
                <w:rFonts w:ascii="Calibri" w:hAnsi="Calibri"/>
                <w:color w:val="000000"/>
                <w:sz w:val="20"/>
                <w:szCs w:val="20"/>
              </w:rPr>
              <w:t>, 7.2)</w:t>
            </w:r>
          </w:p>
        </w:tc>
        <w:tc>
          <w:tcPr>
            <w:tcW w:w="1560" w:type="dxa"/>
            <w:tcBorders>
              <w:left w:val="nil"/>
              <w:right w:val="nil"/>
            </w:tcBorders>
            <w:shd w:val="clear" w:color="auto" w:fill="auto"/>
            <w:noWrap/>
            <w:vAlign w:val="bottom"/>
          </w:tcPr>
          <w:p w14:paraId="2656E3F0"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4.9 (2.8, 8.4)</w:t>
            </w:r>
          </w:p>
        </w:tc>
        <w:tc>
          <w:tcPr>
            <w:tcW w:w="1701" w:type="dxa"/>
            <w:tcBorders>
              <w:left w:val="nil"/>
              <w:right w:val="nil"/>
            </w:tcBorders>
            <w:shd w:val="clear" w:color="auto" w:fill="auto"/>
            <w:noWrap/>
            <w:vAlign w:val="bottom"/>
          </w:tcPr>
          <w:p w14:paraId="6E73264E"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6.6 (4.6, 9.3)</w:t>
            </w:r>
          </w:p>
        </w:tc>
        <w:tc>
          <w:tcPr>
            <w:tcW w:w="1559" w:type="dxa"/>
            <w:tcBorders>
              <w:left w:val="nil"/>
              <w:right w:val="nil"/>
            </w:tcBorders>
            <w:shd w:val="clear" w:color="auto" w:fill="auto"/>
            <w:noWrap/>
            <w:vAlign w:val="bottom"/>
          </w:tcPr>
          <w:p w14:paraId="52918069"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6.2 (4.3, 9</w:t>
            </w:r>
            <w:r>
              <w:rPr>
                <w:rFonts w:ascii="Calibri" w:hAnsi="Calibri"/>
                <w:color w:val="000000"/>
                <w:sz w:val="20"/>
                <w:szCs w:val="20"/>
              </w:rPr>
              <w:t>.0</w:t>
            </w:r>
            <w:r w:rsidRPr="004E3096">
              <w:rPr>
                <w:rFonts w:ascii="Calibri" w:hAnsi="Calibri"/>
                <w:color w:val="000000"/>
                <w:sz w:val="20"/>
                <w:szCs w:val="20"/>
              </w:rPr>
              <w:t>)</w:t>
            </w:r>
          </w:p>
        </w:tc>
      </w:tr>
      <w:tr w:rsidR="00340DD1" w:rsidRPr="004E3096" w14:paraId="3C9648DA" w14:textId="77777777" w:rsidTr="00F4602C">
        <w:trPr>
          <w:trHeight w:val="300"/>
        </w:trPr>
        <w:tc>
          <w:tcPr>
            <w:tcW w:w="993" w:type="dxa"/>
            <w:vMerge/>
            <w:tcBorders>
              <w:left w:val="nil"/>
              <w:right w:val="nil"/>
            </w:tcBorders>
            <w:shd w:val="clear" w:color="auto" w:fill="auto"/>
            <w:noWrap/>
            <w:vAlign w:val="bottom"/>
          </w:tcPr>
          <w:p w14:paraId="7453207D"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3412595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24-29</w:t>
            </w:r>
          </w:p>
        </w:tc>
        <w:tc>
          <w:tcPr>
            <w:tcW w:w="1701" w:type="dxa"/>
            <w:tcBorders>
              <w:left w:val="nil"/>
              <w:right w:val="nil"/>
            </w:tcBorders>
            <w:shd w:val="clear" w:color="auto" w:fill="auto"/>
            <w:noWrap/>
            <w:vAlign w:val="bottom"/>
          </w:tcPr>
          <w:p w14:paraId="3EFB2BA9"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3.4 (2.2, 5.1)</w:t>
            </w:r>
          </w:p>
        </w:tc>
        <w:tc>
          <w:tcPr>
            <w:tcW w:w="1701" w:type="dxa"/>
            <w:tcBorders>
              <w:left w:val="nil"/>
              <w:right w:val="nil"/>
            </w:tcBorders>
            <w:shd w:val="clear" w:color="auto" w:fill="auto"/>
            <w:noWrap/>
            <w:vAlign w:val="bottom"/>
          </w:tcPr>
          <w:p w14:paraId="44C6DB4B"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3</w:t>
            </w:r>
            <w:r>
              <w:rPr>
                <w:rFonts w:ascii="Calibri" w:hAnsi="Calibri"/>
                <w:color w:val="000000"/>
                <w:sz w:val="20"/>
                <w:szCs w:val="20"/>
              </w:rPr>
              <w:t>.0</w:t>
            </w:r>
            <w:r w:rsidRPr="004E3096">
              <w:rPr>
                <w:rFonts w:ascii="Calibri" w:hAnsi="Calibri"/>
                <w:color w:val="000000"/>
                <w:sz w:val="20"/>
                <w:szCs w:val="20"/>
              </w:rPr>
              <w:t xml:space="preserve"> (1.9, 4.6)</w:t>
            </w:r>
          </w:p>
        </w:tc>
        <w:tc>
          <w:tcPr>
            <w:tcW w:w="1560" w:type="dxa"/>
            <w:tcBorders>
              <w:left w:val="nil"/>
              <w:right w:val="nil"/>
            </w:tcBorders>
            <w:shd w:val="clear" w:color="auto" w:fill="auto"/>
            <w:noWrap/>
            <w:vAlign w:val="bottom"/>
          </w:tcPr>
          <w:p w14:paraId="1BD7B17A"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6.4 (4.4, 9.3)</w:t>
            </w:r>
          </w:p>
        </w:tc>
        <w:tc>
          <w:tcPr>
            <w:tcW w:w="1701" w:type="dxa"/>
            <w:tcBorders>
              <w:left w:val="nil"/>
              <w:right w:val="nil"/>
            </w:tcBorders>
            <w:shd w:val="clear" w:color="auto" w:fill="auto"/>
            <w:noWrap/>
            <w:vAlign w:val="bottom"/>
          </w:tcPr>
          <w:p w14:paraId="3CC05802"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6.7 (4.8, 9.3)</w:t>
            </w:r>
          </w:p>
        </w:tc>
        <w:tc>
          <w:tcPr>
            <w:tcW w:w="1559" w:type="dxa"/>
            <w:tcBorders>
              <w:left w:val="nil"/>
              <w:right w:val="nil"/>
            </w:tcBorders>
            <w:shd w:val="clear" w:color="auto" w:fill="auto"/>
            <w:noWrap/>
            <w:vAlign w:val="bottom"/>
          </w:tcPr>
          <w:p w14:paraId="39FD1187"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4.2 (2.8, 6.3)</w:t>
            </w:r>
          </w:p>
        </w:tc>
      </w:tr>
      <w:tr w:rsidR="00340DD1" w:rsidRPr="004E3096" w14:paraId="6EF50535" w14:textId="77777777" w:rsidTr="00F4602C">
        <w:trPr>
          <w:trHeight w:val="300"/>
        </w:trPr>
        <w:tc>
          <w:tcPr>
            <w:tcW w:w="993" w:type="dxa"/>
            <w:vMerge/>
            <w:tcBorders>
              <w:left w:val="nil"/>
              <w:right w:val="nil"/>
            </w:tcBorders>
            <w:shd w:val="clear" w:color="auto" w:fill="auto"/>
            <w:noWrap/>
            <w:vAlign w:val="bottom"/>
          </w:tcPr>
          <w:p w14:paraId="6C75A0B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77A49926"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30-49</w:t>
            </w:r>
          </w:p>
        </w:tc>
        <w:tc>
          <w:tcPr>
            <w:tcW w:w="1701" w:type="dxa"/>
            <w:tcBorders>
              <w:left w:val="nil"/>
              <w:right w:val="nil"/>
            </w:tcBorders>
            <w:shd w:val="clear" w:color="auto" w:fill="auto"/>
            <w:noWrap/>
            <w:vAlign w:val="bottom"/>
          </w:tcPr>
          <w:p w14:paraId="00943807"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2.7 (2.1, 3.4)</w:t>
            </w:r>
          </w:p>
        </w:tc>
        <w:tc>
          <w:tcPr>
            <w:tcW w:w="1701" w:type="dxa"/>
            <w:tcBorders>
              <w:left w:val="nil"/>
              <w:right w:val="nil"/>
            </w:tcBorders>
            <w:shd w:val="clear" w:color="auto" w:fill="auto"/>
            <w:noWrap/>
            <w:vAlign w:val="bottom"/>
          </w:tcPr>
          <w:p w14:paraId="51360356"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3.2 (2.6, 4</w:t>
            </w:r>
            <w:r>
              <w:rPr>
                <w:rFonts w:ascii="Calibri" w:hAnsi="Calibri"/>
                <w:color w:val="000000"/>
                <w:sz w:val="20"/>
                <w:szCs w:val="20"/>
              </w:rPr>
              <w:t>.0</w:t>
            </w:r>
            <w:r w:rsidRPr="004E3096">
              <w:rPr>
                <w:rFonts w:ascii="Calibri" w:hAnsi="Calibri"/>
                <w:color w:val="000000"/>
                <w:sz w:val="20"/>
                <w:szCs w:val="20"/>
              </w:rPr>
              <w:t>)</w:t>
            </w:r>
          </w:p>
        </w:tc>
        <w:tc>
          <w:tcPr>
            <w:tcW w:w="1560" w:type="dxa"/>
            <w:tcBorders>
              <w:left w:val="nil"/>
              <w:right w:val="nil"/>
            </w:tcBorders>
            <w:shd w:val="clear" w:color="auto" w:fill="auto"/>
            <w:noWrap/>
            <w:vAlign w:val="bottom"/>
          </w:tcPr>
          <w:p w14:paraId="202AED30"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3.7 (2.9, 4.6)</w:t>
            </w:r>
          </w:p>
        </w:tc>
        <w:tc>
          <w:tcPr>
            <w:tcW w:w="1701" w:type="dxa"/>
            <w:tcBorders>
              <w:left w:val="nil"/>
              <w:right w:val="nil"/>
            </w:tcBorders>
            <w:shd w:val="clear" w:color="auto" w:fill="auto"/>
            <w:noWrap/>
            <w:vAlign w:val="bottom"/>
          </w:tcPr>
          <w:p w14:paraId="29D9FB71"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3.7 (3.1, 4.5)</w:t>
            </w:r>
          </w:p>
        </w:tc>
        <w:tc>
          <w:tcPr>
            <w:tcW w:w="1559" w:type="dxa"/>
            <w:tcBorders>
              <w:left w:val="nil"/>
              <w:right w:val="nil"/>
            </w:tcBorders>
            <w:shd w:val="clear" w:color="auto" w:fill="auto"/>
            <w:noWrap/>
            <w:vAlign w:val="bottom"/>
          </w:tcPr>
          <w:p w14:paraId="2A8FEFF3"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sidRPr="004E3096">
              <w:rPr>
                <w:rFonts w:ascii="Calibri" w:hAnsi="Calibri"/>
                <w:color w:val="000000"/>
                <w:sz w:val="20"/>
                <w:szCs w:val="20"/>
              </w:rPr>
              <w:t>4.6 (3.8, 5.6)</w:t>
            </w:r>
          </w:p>
        </w:tc>
      </w:tr>
      <w:tr w:rsidR="00340DD1" w:rsidRPr="004E3096" w14:paraId="6977D4C3" w14:textId="77777777" w:rsidTr="00F4602C">
        <w:trPr>
          <w:trHeight w:val="300"/>
        </w:trPr>
        <w:tc>
          <w:tcPr>
            <w:tcW w:w="993" w:type="dxa"/>
            <w:vMerge/>
            <w:tcBorders>
              <w:left w:val="nil"/>
              <w:right w:val="nil"/>
            </w:tcBorders>
            <w:shd w:val="clear" w:color="auto" w:fill="auto"/>
            <w:noWrap/>
            <w:vAlign w:val="bottom"/>
          </w:tcPr>
          <w:p w14:paraId="48D5AA7B"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47F9FDA3"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50-64</w:t>
            </w:r>
          </w:p>
        </w:tc>
        <w:tc>
          <w:tcPr>
            <w:tcW w:w="1701" w:type="dxa"/>
            <w:tcBorders>
              <w:left w:val="nil"/>
              <w:right w:val="nil"/>
            </w:tcBorders>
            <w:shd w:val="clear" w:color="auto" w:fill="auto"/>
            <w:noWrap/>
            <w:vAlign w:val="bottom"/>
          </w:tcPr>
          <w:p w14:paraId="5C841E98"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2.8 (2.1, 3.7)</w:t>
            </w:r>
          </w:p>
        </w:tc>
        <w:tc>
          <w:tcPr>
            <w:tcW w:w="1701" w:type="dxa"/>
            <w:tcBorders>
              <w:left w:val="nil"/>
              <w:right w:val="nil"/>
            </w:tcBorders>
            <w:shd w:val="clear" w:color="auto" w:fill="auto"/>
            <w:noWrap/>
            <w:vAlign w:val="bottom"/>
          </w:tcPr>
          <w:p w14:paraId="539698E4"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3.1 (2.4, 4.0)</w:t>
            </w:r>
          </w:p>
        </w:tc>
        <w:tc>
          <w:tcPr>
            <w:tcW w:w="1560" w:type="dxa"/>
            <w:tcBorders>
              <w:left w:val="nil"/>
              <w:right w:val="nil"/>
            </w:tcBorders>
            <w:shd w:val="clear" w:color="auto" w:fill="auto"/>
            <w:noWrap/>
            <w:vAlign w:val="bottom"/>
          </w:tcPr>
          <w:p w14:paraId="53743D57"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2.8 (2.0, 3.8)</w:t>
            </w:r>
          </w:p>
        </w:tc>
        <w:tc>
          <w:tcPr>
            <w:tcW w:w="1701" w:type="dxa"/>
            <w:tcBorders>
              <w:left w:val="nil"/>
              <w:right w:val="nil"/>
            </w:tcBorders>
            <w:shd w:val="clear" w:color="auto" w:fill="auto"/>
            <w:noWrap/>
            <w:vAlign w:val="bottom"/>
          </w:tcPr>
          <w:p w14:paraId="2D621CA1"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2.5 (1.9, 3.2)</w:t>
            </w:r>
          </w:p>
        </w:tc>
        <w:tc>
          <w:tcPr>
            <w:tcW w:w="1559" w:type="dxa"/>
            <w:tcBorders>
              <w:left w:val="nil"/>
              <w:right w:val="nil"/>
            </w:tcBorders>
            <w:shd w:val="clear" w:color="auto" w:fill="auto"/>
            <w:noWrap/>
            <w:vAlign w:val="bottom"/>
          </w:tcPr>
          <w:p w14:paraId="27F12727" w14:textId="77777777" w:rsidR="00340DD1" w:rsidRPr="004E3096" w:rsidRDefault="00340DD1" w:rsidP="00F4602C">
            <w:pPr>
              <w:spacing w:after="0" w:line="240" w:lineRule="auto"/>
              <w:jc w:val="right"/>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3.0 (2.3, 3.8)</w:t>
            </w:r>
          </w:p>
        </w:tc>
      </w:tr>
      <w:tr w:rsidR="00340DD1" w:rsidRPr="004E3096" w14:paraId="00ADB4ED" w14:textId="77777777" w:rsidTr="00F4602C">
        <w:trPr>
          <w:trHeight w:val="300"/>
        </w:trPr>
        <w:tc>
          <w:tcPr>
            <w:tcW w:w="993" w:type="dxa"/>
            <w:vMerge/>
            <w:tcBorders>
              <w:left w:val="nil"/>
              <w:right w:val="nil"/>
            </w:tcBorders>
            <w:shd w:val="clear" w:color="auto" w:fill="auto"/>
            <w:noWrap/>
            <w:vAlign w:val="bottom"/>
          </w:tcPr>
          <w:p w14:paraId="352A35A0"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right w:val="nil"/>
            </w:tcBorders>
            <w:vAlign w:val="bottom"/>
          </w:tcPr>
          <w:p w14:paraId="2F580D79"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65+</w:t>
            </w:r>
          </w:p>
        </w:tc>
        <w:tc>
          <w:tcPr>
            <w:tcW w:w="1701" w:type="dxa"/>
            <w:tcBorders>
              <w:left w:val="nil"/>
              <w:right w:val="nil"/>
            </w:tcBorders>
            <w:shd w:val="clear" w:color="auto" w:fill="auto"/>
            <w:noWrap/>
            <w:vAlign w:val="bottom"/>
          </w:tcPr>
          <w:p w14:paraId="6009A655"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2.3 (1.6, 3.4)</w:t>
            </w:r>
          </w:p>
        </w:tc>
        <w:tc>
          <w:tcPr>
            <w:tcW w:w="1701" w:type="dxa"/>
            <w:tcBorders>
              <w:left w:val="nil"/>
              <w:right w:val="nil"/>
            </w:tcBorders>
            <w:shd w:val="clear" w:color="auto" w:fill="auto"/>
            <w:noWrap/>
            <w:vAlign w:val="bottom"/>
          </w:tcPr>
          <w:p w14:paraId="6D3F00BD"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2.4 (1.7, 3.3)</w:t>
            </w:r>
          </w:p>
        </w:tc>
        <w:tc>
          <w:tcPr>
            <w:tcW w:w="1560" w:type="dxa"/>
            <w:tcBorders>
              <w:left w:val="nil"/>
              <w:right w:val="nil"/>
            </w:tcBorders>
            <w:shd w:val="clear" w:color="auto" w:fill="auto"/>
            <w:noWrap/>
            <w:vAlign w:val="bottom"/>
          </w:tcPr>
          <w:p w14:paraId="250C4826"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3.4 (2.5, 4.8)</w:t>
            </w:r>
          </w:p>
        </w:tc>
        <w:tc>
          <w:tcPr>
            <w:tcW w:w="1701" w:type="dxa"/>
            <w:tcBorders>
              <w:left w:val="nil"/>
              <w:right w:val="nil"/>
            </w:tcBorders>
            <w:shd w:val="clear" w:color="auto" w:fill="auto"/>
            <w:noWrap/>
            <w:vAlign w:val="bottom"/>
          </w:tcPr>
          <w:p w14:paraId="6338AC73"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2.7 (2.0, 3.6)</w:t>
            </w:r>
          </w:p>
        </w:tc>
        <w:tc>
          <w:tcPr>
            <w:tcW w:w="1559" w:type="dxa"/>
            <w:tcBorders>
              <w:left w:val="nil"/>
              <w:right w:val="nil"/>
            </w:tcBorders>
            <w:shd w:val="clear" w:color="auto" w:fill="auto"/>
            <w:noWrap/>
            <w:vAlign w:val="bottom"/>
          </w:tcPr>
          <w:p w14:paraId="103C9F08"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2.1 (1.5, 2.9)</w:t>
            </w:r>
          </w:p>
        </w:tc>
      </w:tr>
      <w:tr w:rsidR="00340DD1" w:rsidRPr="004E3096" w14:paraId="76187E29" w14:textId="77777777" w:rsidTr="00F4602C">
        <w:trPr>
          <w:trHeight w:val="300"/>
        </w:trPr>
        <w:tc>
          <w:tcPr>
            <w:tcW w:w="993" w:type="dxa"/>
            <w:vMerge/>
            <w:tcBorders>
              <w:left w:val="nil"/>
              <w:bottom w:val="single" w:sz="4" w:space="0" w:color="auto"/>
              <w:right w:val="nil"/>
            </w:tcBorders>
            <w:shd w:val="clear" w:color="auto" w:fill="auto"/>
            <w:noWrap/>
            <w:vAlign w:val="bottom"/>
          </w:tcPr>
          <w:p w14:paraId="2302925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left w:val="nil"/>
              <w:bottom w:val="single" w:sz="4" w:space="0" w:color="auto"/>
              <w:right w:val="nil"/>
            </w:tcBorders>
            <w:vAlign w:val="bottom"/>
          </w:tcPr>
          <w:p w14:paraId="34B597FC"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Total</w:t>
            </w:r>
          </w:p>
        </w:tc>
        <w:tc>
          <w:tcPr>
            <w:tcW w:w="1701" w:type="dxa"/>
            <w:tcBorders>
              <w:left w:val="nil"/>
              <w:bottom w:val="single" w:sz="4" w:space="0" w:color="auto"/>
              <w:right w:val="nil"/>
            </w:tcBorders>
            <w:shd w:val="clear" w:color="auto" w:fill="auto"/>
            <w:noWrap/>
            <w:vAlign w:val="bottom"/>
          </w:tcPr>
          <w:p w14:paraId="3594653E"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3.3 (2.9, 3.8)</w:t>
            </w:r>
          </w:p>
        </w:tc>
        <w:tc>
          <w:tcPr>
            <w:tcW w:w="1701" w:type="dxa"/>
            <w:tcBorders>
              <w:left w:val="nil"/>
              <w:bottom w:val="single" w:sz="4" w:space="0" w:color="auto"/>
              <w:right w:val="nil"/>
            </w:tcBorders>
            <w:shd w:val="clear" w:color="auto" w:fill="auto"/>
            <w:noWrap/>
            <w:vAlign w:val="bottom"/>
          </w:tcPr>
          <w:p w14:paraId="18FCD0AF"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3.6 (3.2, 4.2)</w:t>
            </w:r>
          </w:p>
        </w:tc>
        <w:tc>
          <w:tcPr>
            <w:tcW w:w="1560" w:type="dxa"/>
            <w:tcBorders>
              <w:left w:val="nil"/>
              <w:bottom w:val="single" w:sz="4" w:space="0" w:color="auto"/>
              <w:right w:val="nil"/>
            </w:tcBorders>
            <w:shd w:val="clear" w:color="auto" w:fill="auto"/>
            <w:noWrap/>
            <w:vAlign w:val="bottom"/>
          </w:tcPr>
          <w:p w14:paraId="35DE7A94"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4.2 (3.6, 4.8)</w:t>
            </w:r>
          </w:p>
        </w:tc>
        <w:tc>
          <w:tcPr>
            <w:tcW w:w="1701" w:type="dxa"/>
            <w:tcBorders>
              <w:left w:val="nil"/>
              <w:bottom w:val="single" w:sz="4" w:space="0" w:color="auto"/>
              <w:right w:val="nil"/>
            </w:tcBorders>
            <w:shd w:val="clear" w:color="auto" w:fill="auto"/>
            <w:noWrap/>
            <w:vAlign w:val="bottom"/>
          </w:tcPr>
          <w:p w14:paraId="331151AA"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4.3 (3.8, 4.9)</w:t>
            </w:r>
          </w:p>
        </w:tc>
        <w:tc>
          <w:tcPr>
            <w:tcW w:w="1559" w:type="dxa"/>
            <w:tcBorders>
              <w:left w:val="nil"/>
              <w:bottom w:val="single" w:sz="4" w:space="0" w:color="auto"/>
              <w:right w:val="nil"/>
            </w:tcBorders>
            <w:shd w:val="clear" w:color="auto" w:fill="auto"/>
            <w:noWrap/>
            <w:vAlign w:val="bottom"/>
          </w:tcPr>
          <w:p w14:paraId="3A76AEB1"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4.2 (3.7, 4.7)</w:t>
            </w:r>
          </w:p>
        </w:tc>
      </w:tr>
      <w:tr w:rsidR="00340DD1" w:rsidRPr="004E3096" w14:paraId="02C0B1F2" w14:textId="77777777" w:rsidTr="00F4602C">
        <w:trPr>
          <w:trHeight w:val="300"/>
        </w:trPr>
        <w:tc>
          <w:tcPr>
            <w:tcW w:w="993" w:type="dxa"/>
            <w:vMerge w:val="restart"/>
            <w:tcBorders>
              <w:top w:val="single" w:sz="4" w:space="0" w:color="auto"/>
              <w:left w:val="nil"/>
              <w:right w:val="nil"/>
            </w:tcBorders>
            <w:shd w:val="clear" w:color="auto" w:fill="auto"/>
            <w:noWrap/>
            <w:vAlign w:val="center"/>
          </w:tcPr>
          <w:p w14:paraId="24ACDE23"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sidRPr="004E3096">
              <w:rPr>
                <w:rFonts w:ascii="Calibri" w:eastAsia="Times New Roman" w:hAnsi="Calibri" w:cs="Times New Roman"/>
                <w:bCs/>
                <w:color w:val="000000"/>
                <w:sz w:val="20"/>
                <w:szCs w:val="20"/>
                <w:lang w:eastAsia="en-AU"/>
              </w:rPr>
              <w:t>Females</w:t>
            </w:r>
          </w:p>
        </w:tc>
        <w:tc>
          <w:tcPr>
            <w:tcW w:w="708" w:type="dxa"/>
            <w:tcBorders>
              <w:top w:val="single" w:sz="4" w:space="0" w:color="auto"/>
              <w:left w:val="nil"/>
              <w:bottom w:val="nil"/>
              <w:right w:val="nil"/>
            </w:tcBorders>
            <w:vAlign w:val="bottom"/>
          </w:tcPr>
          <w:p w14:paraId="16D2A648"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14-17</w:t>
            </w:r>
          </w:p>
        </w:tc>
        <w:tc>
          <w:tcPr>
            <w:tcW w:w="1701" w:type="dxa"/>
            <w:tcBorders>
              <w:top w:val="single" w:sz="4" w:space="0" w:color="auto"/>
              <w:left w:val="nil"/>
              <w:bottom w:val="nil"/>
              <w:right w:val="nil"/>
            </w:tcBorders>
            <w:shd w:val="clear" w:color="auto" w:fill="auto"/>
            <w:noWrap/>
            <w:vAlign w:val="bottom"/>
          </w:tcPr>
          <w:p w14:paraId="2A41C929"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7.8 (5.5, 10.9)</w:t>
            </w:r>
          </w:p>
        </w:tc>
        <w:tc>
          <w:tcPr>
            <w:tcW w:w="1701" w:type="dxa"/>
            <w:tcBorders>
              <w:top w:val="single" w:sz="4" w:space="0" w:color="auto"/>
              <w:left w:val="nil"/>
              <w:bottom w:val="nil"/>
              <w:right w:val="nil"/>
            </w:tcBorders>
            <w:shd w:val="clear" w:color="auto" w:fill="auto"/>
            <w:noWrap/>
            <w:vAlign w:val="bottom"/>
          </w:tcPr>
          <w:p w14:paraId="38CEFBCB"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11.2 (8.2, 15.2)</w:t>
            </w:r>
          </w:p>
        </w:tc>
        <w:tc>
          <w:tcPr>
            <w:tcW w:w="1560" w:type="dxa"/>
            <w:tcBorders>
              <w:top w:val="single" w:sz="4" w:space="0" w:color="auto"/>
              <w:left w:val="nil"/>
              <w:bottom w:val="nil"/>
              <w:right w:val="nil"/>
            </w:tcBorders>
            <w:shd w:val="clear" w:color="auto" w:fill="auto"/>
            <w:noWrap/>
            <w:vAlign w:val="bottom"/>
          </w:tcPr>
          <w:p w14:paraId="779E62AD"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10.6 (7.2, 15.5)</w:t>
            </w:r>
          </w:p>
        </w:tc>
        <w:tc>
          <w:tcPr>
            <w:tcW w:w="1701" w:type="dxa"/>
            <w:tcBorders>
              <w:top w:val="single" w:sz="4" w:space="0" w:color="auto"/>
              <w:left w:val="nil"/>
              <w:bottom w:val="nil"/>
              <w:right w:val="nil"/>
            </w:tcBorders>
            <w:shd w:val="clear" w:color="auto" w:fill="auto"/>
            <w:noWrap/>
            <w:vAlign w:val="bottom"/>
          </w:tcPr>
          <w:p w14:paraId="123C6F1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12.5 (8.9, 17.3)</w:t>
            </w:r>
          </w:p>
        </w:tc>
        <w:tc>
          <w:tcPr>
            <w:tcW w:w="1559" w:type="dxa"/>
            <w:tcBorders>
              <w:top w:val="single" w:sz="4" w:space="0" w:color="auto"/>
              <w:left w:val="nil"/>
              <w:bottom w:val="nil"/>
              <w:right w:val="nil"/>
            </w:tcBorders>
            <w:shd w:val="clear" w:color="auto" w:fill="auto"/>
            <w:noWrap/>
            <w:vAlign w:val="bottom"/>
          </w:tcPr>
          <w:p w14:paraId="337DF8DB"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14.3 (9.2, 21.5)</w:t>
            </w:r>
          </w:p>
        </w:tc>
      </w:tr>
      <w:tr w:rsidR="00340DD1" w:rsidRPr="004E3096" w14:paraId="3CAECCF5" w14:textId="77777777" w:rsidTr="00F4602C">
        <w:trPr>
          <w:trHeight w:val="300"/>
        </w:trPr>
        <w:tc>
          <w:tcPr>
            <w:tcW w:w="993" w:type="dxa"/>
            <w:vMerge/>
            <w:tcBorders>
              <w:left w:val="nil"/>
              <w:right w:val="nil"/>
            </w:tcBorders>
            <w:shd w:val="clear" w:color="auto" w:fill="auto"/>
            <w:noWrap/>
            <w:vAlign w:val="bottom"/>
          </w:tcPr>
          <w:p w14:paraId="35772FD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3873E570"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18-23</w:t>
            </w:r>
          </w:p>
        </w:tc>
        <w:tc>
          <w:tcPr>
            <w:tcW w:w="1701" w:type="dxa"/>
            <w:tcBorders>
              <w:top w:val="nil"/>
              <w:left w:val="nil"/>
              <w:bottom w:val="nil"/>
              <w:right w:val="nil"/>
            </w:tcBorders>
            <w:shd w:val="clear" w:color="auto" w:fill="auto"/>
            <w:noWrap/>
            <w:vAlign w:val="bottom"/>
          </w:tcPr>
          <w:p w14:paraId="5135D45A"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5.7 (4.3, 7.5)</w:t>
            </w:r>
          </w:p>
        </w:tc>
        <w:tc>
          <w:tcPr>
            <w:tcW w:w="1701" w:type="dxa"/>
            <w:tcBorders>
              <w:top w:val="nil"/>
              <w:left w:val="nil"/>
              <w:bottom w:val="nil"/>
              <w:right w:val="nil"/>
            </w:tcBorders>
            <w:shd w:val="clear" w:color="auto" w:fill="auto"/>
            <w:noWrap/>
            <w:vAlign w:val="bottom"/>
          </w:tcPr>
          <w:p w14:paraId="1920524B"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9.2 (7.3, 11.6)</w:t>
            </w:r>
          </w:p>
        </w:tc>
        <w:tc>
          <w:tcPr>
            <w:tcW w:w="1560" w:type="dxa"/>
            <w:tcBorders>
              <w:top w:val="nil"/>
              <w:left w:val="nil"/>
              <w:bottom w:val="nil"/>
              <w:right w:val="nil"/>
            </w:tcBorders>
            <w:shd w:val="clear" w:color="auto" w:fill="auto"/>
            <w:noWrap/>
            <w:vAlign w:val="bottom"/>
          </w:tcPr>
          <w:p w14:paraId="0801D9AC"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7.1 (5.3, 9.4)</w:t>
            </w:r>
          </w:p>
        </w:tc>
        <w:tc>
          <w:tcPr>
            <w:tcW w:w="1701" w:type="dxa"/>
            <w:tcBorders>
              <w:top w:val="nil"/>
              <w:left w:val="nil"/>
              <w:bottom w:val="nil"/>
              <w:right w:val="nil"/>
            </w:tcBorders>
            <w:shd w:val="clear" w:color="auto" w:fill="auto"/>
            <w:noWrap/>
            <w:vAlign w:val="bottom"/>
          </w:tcPr>
          <w:p w14:paraId="4A084778"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8.5 (6.6, 10.9)</w:t>
            </w:r>
          </w:p>
        </w:tc>
        <w:tc>
          <w:tcPr>
            <w:tcW w:w="1559" w:type="dxa"/>
            <w:tcBorders>
              <w:top w:val="nil"/>
              <w:left w:val="nil"/>
              <w:bottom w:val="nil"/>
              <w:right w:val="nil"/>
            </w:tcBorders>
            <w:shd w:val="clear" w:color="auto" w:fill="auto"/>
            <w:noWrap/>
            <w:vAlign w:val="bottom"/>
          </w:tcPr>
          <w:p w14:paraId="3AAA91F9"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8</w:t>
            </w:r>
            <w:r>
              <w:rPr>
                <w:rFonts w:ascii="Calibri" w:hAnsi="Calibri"/>
                <w:color w:val="000000"/>
                <w:sz w:val="20"/>
                <w:szCs w:val="20"/>
              </w:rPr>
              <w:t>.0</w:t>
            </w:r>
            <w:r w:rsidRPr="004E3096">
              <w:rPr>
                <w:rFonts w:ascii="Calibri" w:hAnsi="Calibri"/>
                <w:color w:val="000000"/>
                <w:sz w:val="20"/>
                <w:szCs w:val="20"/>
              </w:rPr>
              <w:t xml:space="preserve"> (6</w:t>
            </w:r>
            <w:r>
              <w:rPr>
                <w:rFonts w:ascii="Calibri" w:hAnsi="Calibri"/>
                <w:color w:val="000000"/>
                <w:sz w:val="20"/>
                <w:szCs w:val="20"/>
              </w:rPr>
              <w:t>.0</w:t>
            </w:r>
            <w:r w:rsidRPr="004E3096">
              <w:rPr>
                <w:rFonts w:ascii="Calibri" w:hAnsi="Calibri"/>
                <w:color w:val="000000"/>
                <w:sz w:val="20"/>
                <w:szCs w:val="20"/>
              </w:rPr>
              <w:t>, 10.6)</w:t>
            </w:r>
          </w:p>
        </w:tc>
      </w:tr>
      <w:tr w:rsidR="00340DD1" w:rsidRPr="004E3096" w14:paraId="09006B20" w14:textId="77777777" w:rsidTr="00F4602C">
        <w:trPr>
          <w:trHeight w:val="300"/>
        </w:trPr>
        <w:tc>
          <w:tcPr>
            <w:tcW w:w="993" w:type="dxa"/>
            <w:vMerge/>
            <w:tcBorders>
              <w:left w:val="nil"/>
              <w:right w:val="nil"/>
            </w:tcBorders>
            <w:shd w:val="clear" w:color="auto" w:fill="auto"/>
            <w:noWrap/>
            <w:vAlign w:val="bottom"/>
          </w:tcPr>
          <w:p w14:paraId="18F9A222"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3BCD9EA3"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24-29</w:t>
            </w:r>
          </w:p>
        </w:tc>
        <w:tc>
          <w:tcPr>
            <w:tcW w:w="1701" w:type="dxa"/>
            <w:tcBorders>
              <w:top w:val="nil"/>
              <w:left w:val="nil"/>
              <w:bottom w:val="nil"/>
              <w:right w:val="nil"/>
            </w:tcBorders>
            <w:shd w:val="clear" w:color="auto" w:fill="auto"/>
            <w:noWrap/>
            <w:vAlign w:val="bottom"/>
          </w:tcPr>
          <w:p w14:paraId="5A4B941A"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7.8 (6.4, 9.6)</w:t>
            </w:r>
          </w:p>
        </w:tc>
        <w:tc>
          <w:tcPr>
            <w:tcW w:w="1701" w:type="dxa"/>
            <w:tcBorders>
              <w:top w:val="nil"/>
              <w:left w:val="nil"/>
              <w:bottom w:val="nil"/>
              <w:right w:val="nil"/>
            </w:tcBorders>
            <w:shd w:val="clear" w:color="auto" w:fill="auto"/>
            <w:noWrap/>
            <w:vAlign w:val="bottom"/>
          </w:tcPr>
          <w:p w14:paraId="207D8ED3"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10.5 (8.5, 12.9)</w:t>
            </w:r>
          </w:p>
        </w:tc>
        <w:tc>
          <w:tcPr>
            <w:tcW w:w="1560" w:type="dxa"/>
            <w:tcBorders>
              <w:top w:val="nil"/>
              <w:left w:val="nil"/>
              <w:bottom w:val="nil"/>
              <w:right w:val="nil"/>
            </w:tcBorders>
            <w:shd w:val="clear" w:color="auto" w:fill="auto"/>
            <w:noWrap/>
            <w:vAlign w:val="bottom"/>
          </w:tcPr>
          <w:p w14:paraId="0BDD0547"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11.8 (9.6, 14.5)</w:t>
            </w:r>
          </w:p>
        </w:tc>
        <w:tc>
          <w:tcPr>
            <w:tcW w:w="1701" w:type="dxa"/>
            <w:tcBorders>
              <w:top w:val="nil"/>
              <w:left w:val="nil"/>
              <w:bottom w:val="nil"/>
              <w:right w:val="nil"/>
            </w:tcBorders>
            <w:shd w:val="clear" w:color="auto" w:fill="auto"/>
            <w:noWrap/>
            <w:vAlign w:val="bottom"/>
          </w:tcPr>
          <w:p w14:paraId="3920395A"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12.6 (10.5, 15.1)</w:t>
            </w:r>
          </w:p>
        </w:tc>
        <w:tc>
          <w:tcPr>
            <w:tcW w:w="1559" w:type="dxa"/>
            <w:tcBorders>
              <w:top w:val="nil"/>
              <w:left w:val="nil"/>
              <w:bottom w:val="nil"/>
              <w:right w:val="nil"/>
            </w:tcBorders>
            <w:shd w:val="clear" w:color="auto" w:fill="auto"/>
            <w:noWrap/>
            <w:vAlign w:val="bottom"/>
          </w:tcPr>
          <w:p w14:paraId="24451341"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12.5 (10.2, 15.1)</w:t>
            </w:r>
          </w:p>
        </w:tc>
      </w:tr>
      <w:tr w:rsidR="00340DD1" w:rsidRPr="004E3096" w14:paraId="3F26D672" w14:textId="77777777" w:rsidTr="00F4602C">
        <w:trPr>
          <w:trHeight w:val="300"/>
        </w:trPr>
        <w:tc>
          <w:tcPr>
            <w:tcW w:w="993" w:type="dxa"/>
            <w:vMerge/>
            <w:tcBorders>
              <w:left w:val="nil"/>
              <w:right w:val="nil"/>
            </w:tcBorders>
            <w:shd w:val="clear" w:color="auto" w:fill="auto"/>
            <w:noWrap/>
            <w:vAlign w:val="bottom"/>
          </w:tcPr>
          <w:p w14:paraId="701A5B2D"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3E28C229"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sidRPr="004E3096">
              <w:rPr>
                <w:rFonts w:ascii="Calibri" w:eastAsia="Times New Roman" w:hAnsi="Calibri" w:cs="Times New Roman"/>
                <w:bCs/>
                <w:color w:val="000000"/>
                <w:sz w:val="20"/>
                <w:szCs w:val="20"/>
                <w:lang w:eastAsia="en-AU"/>
              </w:rPr>
              <w:t>30-49</w:t>
            </w:r>
          </w:p>
        </w:tc>
        <w:tc>
          <w:tcPr>
            <w:tcW w:w="1701" w:type="dxa"/>
            <w:tcBorders>
              <w:top w:val="nil"/>
              <w:left w:val="nil"/>
              <w:bottom w:val="nil"/>
              <w:right w:val="nil"/>
            </w:tcBorders>
            <w:shd w:val="clear" w:color="auto" w:fill="auto"/>
            <w:noWrap/>
            <w:vAlign w:val="bottom"/>
          </w:tcPr>
          <w:p w14:paraId="3CAD7FA1"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5.7 (5</w:t>
            </w:r>
            <w:r>
              <w:rPr>
                <w:rFonts w:ascii="Calibri" w:hAnsi="Calibri"/>
                <w:color w:val="000000"/>
                <w:sz w:val="20"/>
                <w:szCs w:val="20"/>
              </w:rPr>
              <w:t>.0</w:t>
            </w:r>
            <w:r w:rsidRPr="004E3096">
              <w:rPr>
                <w:rFonts w:ascii="Calibri" w:hAnsi="Calibri"/>
                <w:color w:val="000000"/>
                <w:sz w:val="20"/>
                <w:szCs w:val="20"/>
              </w:rPr>
              <w:t>, 6.5)</w:t>
            </w:r>
          </w:p>
        </w:tc>
        <w:tc>
          <w:tcPr>
            <w:tcW w:w="1701" w:type="dxa"/>
            <w:tcBorders>
              <w:top w:val="nil"/>
              <w:left w:val="nil"/>
              <w:bottom w:val="nil"/>
              <w:right w:val="nil"/>
            </w:tcBorders>
            <w:shd w:val="clear" w:color="auto" w:fill="auto"/>
            <w:noWrap/>
            <w:vAlign w:val="bottom"/>
          </w:tcPr>
          <w:p w14:paraId="67060A12"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6.9 (6.1, 7.8)</w:t>
            </w:r>
          </w:p>
        </w:tc>
        <w:tc>
          <w:tcPr>
            <w:tcW w:w="1560" w:type="dxa"/>
            <w:tcBorders>
              <w:top w:val="nil"/>
              <w:left w:val="nil"/>
              <w:bottom w:val="nil"/>
              <w:right w:val="nil"/>
            </w:tcBorders>
            <w:shd w:val="clear" w:color="auto" w:fill="auto"/>
            <w:noWrap/>
            <w:vAlign w:val="bottom"/>
          </w:tcPr>
          <w:p w14:paraId="6DBD326C"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6.5 (5.6, 7.4)</w:t>
            </w:r>
          </w:p>
        </w:tc>
        <w:tc>
          <w:tcPr>
            <w:tcW w:w="1701" w:type="dxa"/>
            <w:tcBorders>
              <w:top w:val="nil"/>
              <w:left w:val="nil"/>
              <w:bottom w:val="nil"/>
              <w:right w:val="nil"/>
            </w:tcBorders>
            <w:shd w:val="clear" w:color="auto" w:fill="auto"/>
            <w:noWrap/>
            <w:vAlign w:val="bottom"/>
          </w:tcPr>
          <w:p w14:paraId="0E4449EE"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7</w:t>
            </w:r>
            <w:r>
              <w:rPr>
                <w:rFonts w:ascii="Calibri" w:hAnsi="Calibri"/>
                <w:color w:val="000000"/>
                <w:sz w:val="20"/>
                <w:szCs w:val="20"/>
              </w:rPr>
              <w:t>.0</w:t>
            </w:r>
            <w:r w:rsidRPr="004E3096">
              <w:rPr>
                <w:rFonts w:ascii="Calibri" w:hAnsi="Calibri"/>
                <w:color w:val="000000"/>
                <w:sz w:val="20"/>
                <w:szCs w:val="20"/>
              </w:rPr>
              <w:t xml:space="preserve"> (6.2, 7.9)</w:t>
            </w:r>
          </w:p>
        </w:tc>
        <w:tc>
          <w:tcPr>
            <w:tcW w:w="1559" w:type="dxa"/>
            <w:tcBorders>
              <w:top w:val="nil"/>
              <w:left w:val="nil"/>
              <w:bottom w:val="nil"/>
              <w:right w:val="nil"/>
            </w:tcBorders>
            <w:shd w:val="clear" w:color="auto" w:fill="auto"/>
            <w:noWrap/>
            <w:vAlign w:val="bottom"/>
          </w:tcPr>
          <w:p w14:paraId="6CD4EA21"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sidRPr="004E3096">
              <w:rPr>
                <w:rFonts w:ascii="Calibri" w:hAnsi="Calibri"/>
                <w:color w:val="000000"/>
                <w:sz w:val="20"/>
                <w:szCs w:val="20"/>
              </w:rPr>
              <w:t>10.1 (9.1, 11.3)</w:t>
            </w:r>
          </w:p>
        </w:tc>
      </w:tr>
      <w:tr w:rsidR="00340DD1" w:rsidRPr="004E3096" w14:paraId="25ABAB5A" w14:textId="77777777" w:rsidTr="00F4602C">
        <w:trPr>
          <w:trHeight w:val="300"/>
        </w:trPr>
        <w:tc>
          <w:tcPr>
            <w:tcW w:w="993" w:type="dxa"/>
            <w:vMerge/>
            <w:tcBorders>
              <w:left w:val="nil"/>
              <w:right w:val="nil"/>
            </w:tcBorders>
            <w:shd w:val="clear" w:color="auto" w:fill="auto"/>
            <w:noWrap/>
            <w:vAlign w:val="bottom"/>
          </w:tcPr>
          <w:p w14:paraId="4FFDA0F7"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right w:val="nil"/>
            </w:tcBorders>
            <w:vAlign w:val="bottom"/>
          </w:tcPr>
          <w:p w14:paraId="5014FD7E" w14:textId="77777777" w:rsidR="00340DD1" w:rsidRPr="004E3096" w:rsidRDefault="00340DD1" w:rsidP="00F4602C">
            <w:pPr>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bCs/>
                <w:color w:val="000000"/>
                <w:sz w:val="20"/>
                <w:szCs w:val="20"/>
                <w:lang w:eastAsia="en-AU"/>
              </w:rPr>
              <w:t>50-64</w:t>
            </w:r>
          </w:p>
        </w:tc>
        <w:tc>
          <w:tcPr>
            <w:tcW w:w="1701" w:type="dxa"/>
            <w:tcBorders>
              <w:top w:val="nil"/>
              <w:left w:val="nil"/>
              <w:right w:val="nil"/>
            </w:tcBorders>
            <w:shd w:val="clear" w:color="auto" w:fill="auto"/>
            <w:noWrap/>
            <w:vAlign w:val="bottom"/>
          </w:tcPr>
          <w:p w14:paraId="504DBBD7"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3.1 (2.4, 4.0)</w:t>
            </w:r>
          </w:p>
        </w:tc>
        <w:tc>
          <w:tcPr>
            <w:tcW w:w="1701" w:type="dxa"/>
            <w:tcBorders>
              <w:top w:val="nil"/>
              <w:left w:val="nil"/>
              <w:right w:val="nil"/>
            </w:tcBorders>
            <w:shd w:val="clear" w:color="auto" w:fill="auto"/>
            <w:noWrap/>
            <w:vAlign w:val="bottom"/>
          </w:tcPr>
          <w:p w14:paraId="512C049E"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3.9 (3.0, 4.9)</w:t>
            </w:r>
          </w:p>
        </w:tc>
        <w:tc>
          <w:tcPr>
            <w:tcW w:w="1560" w:type="dxa"/>
            <w:tcBorders>
              <w:top w:val="nil"/>
              <w:left w:val="nil"/>
              <w:right w:val="nil"/>
            </w:tcBorders>
            <w:shd w:val="clear" w:color="auto" w:fill="auto"/>
            <w:noWrap/>
            <w:vAlign w:val="bottom"/>
          </w:tcPr>
          <w:p w14:paraId="20B9EF40"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4.5 (3.6, 5.6)</w:t>
            </w:r>
          </w:p>
        </w:tc>
        <w:tc>
          <w:tcPr>
            <w:tcW w:w="1701" w:type="dxa"/>
            <w:tcBorders>
              <w:top w:val="nil"/>
              <w:left w:val="nil"/>
              <w:right w:val="nil"/>
            </w:tcBorders>
            <w:shd w:val="clear" w:color="auto" w:fill="auto"/>
            <w:noWrap/>
            <w:vAlign w:val="bottom"/>
          </w:tcPr>
          <w:p w14:paraId="181C3987"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4.0 (3.3, 5.0)</w:t>
            </w:r>
          </w:p>
        </w:tc>
        <w:tc>
          <w:tcPr>
            <w:tcW w:w="1559" w:type="dxa"/>
            <w:tcBorders>
              <w:top w:val="nil"/>
              <w:left w:val="nil"/>
              <w:right w:val="nil"/>
            </w:tcBorders>
            <w:shd w:val="clear" w:color="auto" w:fill="auto"/>
            <w:noWrap/>
            <w:vAlign w:val="bottom"/>
          </w:tcPr>
          <w:p w14:paraId="0DD7AA44" w14:textId="77777777" w:rsidR="00340DD1" w:rsidRPr="004E3096" w:rsidRDefault="00340DD1" w:rsidP="00F4602C">
            <w:pPr>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3.7 (3.0, 4.6)</w:t>
            </w:r>
          </w:p>
        </w:tc>
      </w:tr>
      <w:tr w:rsidR="00340DD1" w:rsidRPr="004E3096" w14:paraId="5C42C738" w14:textId="77777777" w:rsidTr="00F4602C">
        <w:trPr>
          <w:trHeight w:val="300"/>
        </w:trPr>
        <w:tc>
          <w:tcPr>
            <w:tcW w:w="993" w:type="dxa"/>
            <w:vMerge/>
            <w:tcBorders>
              <w:left w:val="nil"/>
              <w:right w:val="nil"/>
            </w:tcBorders>
            <w:shd w:val="clear" w:color="auto" w:fill="auto"/>
            <w:noWrap/>
            <w:vAlign w:val="bottom"/>
          </w:tcPr>
          <w:p w14:paraId="45D95B76"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right w:val="nil"/>
            </w:tcBorders>
            <w:vAlign w:val="bottom"/>
          </w:tcPr>
          <w:p w14:paraId="3E968772"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65+</w:t>
            </w:r>
          </w:p>
        </w:tc>
        <w:tc>
          <w:tcPr>
            <w:tcW w:w="1701" w:type="dxa"/>
            <w:tcBorders>
              <w:top w:val="nil"/>
              <w:left w:val="nil"/>
              <w:right w:val="nil"/>
            </w:tcBorders>
            <w:shd w:val="clear" w:color="auto" w:fill="auto"/>
            <w:noWrap/>
            <w:vAlign w:val="bottom"/>
          </w:tcPr>
          <w:p w14:paraId="2FD7087E"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3.4 (2.4, 4.7)</w:t>
            </w:r>
          </w:p>
        </w:tc>
        <w:tc>
          <w:tcPr>
            <w:tcW w:w="1701" w:type="dxa"/>
            <w:tcBorders>
              <w:top w:val="nil"/>
              <w:left w:val="nil"/>
              <w:right w:val="nil"/>
            </w:tcBorders>
            <w:shd w:val="clear" w:color="auto" w:fill="auto"/>
            <w:noWrap/>
            <w:vAlign w:val="bottom"/>
          </w:tcPr>
          <w:p w14:paraId="676D88B6"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5.1 (3.9, 6.6)</w:t>
            </w:r>
          </w:p>
        </w:tc>
        <w:tc>
          <w:tcPr>
            <w:tcW w:w="1560" w:type="dxa"/>
            <w:tcBorders>
              <w:top w:val="nil"/>
              <w:left w:val="nil"/>
              <w:right w:val="nil"/>
            </w:tcBorders>
            <w:shd w:val="clear" w:color="auto" w:fill="auto"/>
            <w:noWrap/>
            <w:vAlign w:val="bottom"/>
          </w:tcPr>
          <w:p w14:paraId="70229E22"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4.3 (3.1, 6.0)</w:t>
            </w:r>
          </w:p>
        </w:tc>
        <w:tc>
          <w:tcPr>
            <w:tcW w:w="1701" w:type="dxa"/>
            <w:tcBorders>
              <w:top w:val="nil"/>
              <w:left w:val="nil"/>
              <w:right w:val="nil"/>
            </w:tcBorders>
            <w:shd w:val="clear" w:color="auto" w:fill="auto"/>
            <w:noWrap/>
            <w:vAlign w:val="bottom"/>
          </w:tcPr>
          <w:p w14:paraId="7B196D64"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3.4 (2.6, 4.5)</w:t>
            </w:r>
          </w:p>
        </w:tc>
        <w:tc>
          <w:tcPr>
            <w:tcW w:w="1559" w:type="dxa"/>
            <w:tcBorders>
              <w:top w:val="nil"/>
              <w:left w:val="nil"/>
              <w:right w:val="nil"/>
            </w:tcBorders>
            <w:shd w:val="clear" w:color="auto" w:fill="auto"/>
            <w:noWrap/>
            <w:vAlign w:val="bottom"/>
          </w:tcPr>
          <w:p w14:paraId="19869D07" w14:textId="77777777" w:rsidR="00340DD1" w:rsidRPr="004E3096"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4.1 (3.1, 5.3)</w:t>
            </w:r>
          </w:p>
        </w:tc>
      </w:tr>
      <w:tr w:rsidR="00340DD1" w:rsidRPr="004E3096" w14:paraId="0600ED5E" w14:textId="77777777" w:rsidTr="00F4602C">
        <w:trPr>
          <w:trHeight w:val="300"/>
        </w:trPr>
        <w:tc>
          <w:tcPr>
            <w:tcW w:w="993" w:type="dxa"/>
            <w:vMerge/>
            <w:tcBorders>
              <w:left w:val="nil"/>
              <w:bottom w:val="single" w:sz="4" w:space="0" w:color="auto"/>
              <w:right w:val="nil"/>
            </w:tcBorders>
            <w:shd w:val="clear" w:color="auto" w:fill="auto"/>
            <w:noWrap/>
            <w:vAlign w:val="bottom"/>
          </w:tcPr>
          <w:p w14:paraId="08E19999"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single" w:sz="4" w:space="0" w:color="auto"/>
              <w:right w:val="nil"/>
            </w:tcBorders>
            <w:vAlign w:val="bottom"/>
          </w:tcPr>
          <w:p w14:paraId="51CE256C"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Total</w:t>
            </w:r>
          </w:p>
        </w:tc>
        <w:tc>
          <w:tcPr>
            <w:tcW w:w="1701" w:type="dxa"/>
            <w:tcBorders>
              <w:top w:val="nil"/>
              <w:left w:val="nil"/>
              <w:bottom w:val="single" w:sz="4" w:space="0" w:color="auto"/>
              <w:right w:val="nil"/>
            </w:tcBorders>
            <w:shd w:val="clear" w:color="auto" w:fill="auto"/>
            <w:noWrap/>
            <w:vAlign w:val="bottom"/>
          </w:tcPr>
          <w:p w14:paraId="6C7E8BD4"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5.2 (4.8, 5.7)</w:t>
            </w:r>
          </w:p>
        </w:tc>
        <w:tc>
          <w:tcPr>
            <w:tcW w:w="1701" w:type="dxa"/>
            <w:tcBorders>
              <w:top w:val="nil"/>
              <w:left w:val="nil"/>
              <w:bottom w:val="single" w:sz="4" w:space="0" w:color="auto"/>
              <w:right w:val="nil"/>
            </w:tcBorders>
            <w:shd w:val="clear" w:color="auto" w:fill="auto"/>
            <w:noWrap/>
            <w:vAlign w:val="bottom"/>
          </w:tcPr>
          <w:p w14:paraId="4DC73DEC"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6.9 (6.3, 7.5)</w:t>
            </w:r>
          </w:p>
        </w:tc>
        <w:tc>
          <w:tcPr>
            <w:tcW w:w="1560" w:type="dxa"/>
            <w:tcBorders>
              <w:top w:val="nil"/>
              <w:left w:val="nil"/>
              <w:bottom w:val="single" w:sz="4" w:space="0" w:color="auto"/>
              <w:right w:val="nil"/>
            </w:tcBorders>
            <w:shd w:val="clear" w:color="auto" w:fill="auto"/>
            <w:noWrap/>
            <w:vAlign w:val="bottom"/>
          </w:tcPr>
          <w:p w14:paraId="6F9F74F4"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6.5 (6</w:t>
            </w:r>
            <w:r>
              <w:rPr>
                <w:rFonts w:ascii="Calibri" w:hAnsi="Calibri"/>
                <w:b/>
                <w:color w:val="000000"/>
                <w:sz w:val="20"/>
                <w:szCs w:val="20"/>
              </w:rPr>
              <w:t>.0</w:t>
            </w:r>
            <w:r w:rsidRPr="004E3096">
              <w:rPr>
                <w:rFonts w:ascii="Calibri" w:hAnsi="Calibri"/>
                <w:b/>
                <w:color w:val="000000"/>
                <w:sz w:val="20"/>
                <w:szCs w:val="20"/>
              </w:rPr>
              <w:t>, 7.2)</w:t>
            </w:r>
          </w:p>
        </w:tc>
        <w:tc>
          <w:tcPr>
            <w:tcW w:w="1701" w:type="dxa"/>
            <w:tcBorders>
              <w:top w:val="nil"/>
              <w:left w:val="nil"/>
              <w:bottom w:val="single" w:sz="4" w:space="0" w:color="auto"/>
              <w:right w:val="nil"/>
            </w:tcBorders>
            <w:shd w:val="clear" w:color="auto" w:fill="auto"/>
            <w:noWrap/>
            <w:vAlign w:val="bottom"/>
          </w:tcPr>
          <w:p w14:paraId="535695E6"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6.9 (6.3, 7.4)</w:t>
            </w:r>
          </w:p>
        </w:tc>
        <w:tc>
          <w:tcPr>
            <w:tcW w:w="1559" w:type="dxa"/>
            <w:tcBorders>
              <w:top w:val="nil"/>
              <w:left w:val="nil"/>
              <w:bottom w:val="single" w:sz="4" w:space="0" w:color="auto"/>
              <w:right w:val="nil"/>
            </w:tcBorders>
            <w:shd w:val="clear" w:color="auto" w:fill="auto"/>
            <w:noWrap/>
            <w:vAlign w:val="bottom"/>
          </w:tcPr>
          <w:p w14:paraId="3BC169B4" w14:textId="77777777" w:rsidR="00340DD1" w:rsidRPr="004E3096" w:rsidRDefault="00340DD1" w:rsidP="00F4602C">
            <w:pPr>
              <w:spacing w:after="0" w:line="240" w:lineRule="auto"/>
              <w:jc w:val="right"/>
              <w:rPr>
                <w:rFonts w:ascii="Calibri" w:eastAsia="Times New Roman" w:hAnsi="Calibri" w:cs="Times New Roman"/>
                <w:b/>
                <w:bCs/>
                <w:color w:val="000000"/>
                <w:sz w:val="20"/>
                <w:szCs w:val="20"/>
                <w:lang w:eastAsia="en-AU"/>
              </w:rPr>
            </w:pPr>
            <w:r w:rsidRPr="004E3096">
              <w:rPr>
                <w:rFonts w:ascii="Calibri" w:hAnsi="Calibri"/>
                <w:b/>
                <w:color w:val="000000"/>
                <w:sz w:val="20"/>
                <w:szCs w:val="20"/>
              </w:rPr>
              <w:t>7.9 (7.3, 8.5)</w:t>
            </w:r>
          </w:p>
        </w:tc>
      </w:tr>
      <w:tr w:rsidR="00340DD1" w:rsidRPr="004E3096" w14:paraId="2AFD80D9" w14:textId="77777777" w:rsidTr="00F4602C">
        <w:trPr>
          <w:trHeight w:val="300"/>
        </w:trPr>
        <w:tc>
          <w:tcPr>
            <w:tcW w:w="993" w:type="dxa"/>
            <w:vMerge w:val="restart"/>
            <w:tcBorders>
              <w:top w:val="single" w:sz="4" w:space="0" w:color="auto"/>
              <w:left w:val="nil"/>
              <w:right w:val="nil"/>
            </w:tcBorders>
            <w:shd w:val="clear" w:color="auto" w:fill="auto"/>
            <w:noWrap/>
            <w:vAlign w:val="center"/>
          </w:tcPr>
          <w:p w14:paraId="6C9EF3DB"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Overall</w:t>
            </w:r>
          </w:p>
        </w:tc>
        <w:tc>
          <w:tcPr>
            <w:tcW w:w="708" w:type="dxa"/>
            <w:tcBorders>
              <w:top w:val="single" w:sz="4" w:space="0" w:color="auto"/>
              <w:left w:val="nil"/>
              <w:bottom w:val="nil"/>
              <w:right w:val="nil"/>
            </w:tcBorders>
            <w:vAlign w:val="bottom"/>
          </w:tcPr>
          <w:p w14:paraId="28FE080E"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Cs/>
                <w:color w:val="000000"/>
                <w:sz w:val="20"/>
                <w:szCs w:val="20"/>
                <w:lang w:eastAsia="en-AU"/>
              </w:rPr>
              <w:t>14-17</w:t>
            </w:r>
          </w:p>
        </w:tc>
        <w:tc>
          <w:tcPr>
            <w:tcW w:w="1701" w:type="dxa"/>
            <w:tcBorders>
              <w:top w:val="single" w:sz="4" w:space="0" w:color="auto"/>
              <w:left w:val="nil"/>
              <w:bottom w:val="nil"/>
              <w:right w:val="nil"/>
            </w:tcBorders>
            <w:shd w:val="clear" w:color="auto" w:fill="auto"/>
            <w:noWrap/>
            <w:vAlign w:val="bottom"/>
          </w:tcPr>
          <w:p w14:paraId="3487BF5A"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8.8 (6.9, 11.3)</w:t>
            </w:r>
          </w:p>
        </w:tc>
        <w:tc>
          <w:tcPr>
            <w:tcW w:w="1701" w:type="dxa"/>
            <w:tcBorders>
              <w:top w:val="single" w:sz="4" w:space="0" w:color="auto"/>
              <w:left w:val="nil"/>
              <w:bottom w:val="nil"/>
              <w:right w:val="nil"/>
            </w:tcBorders>
            <w:shd w:val="clear" w:color="auto" w:fill="auto"/>
            <w:noWrap/>
            <w:vAlign w:val="bottom"/>
          </w:tcPr>
          <w:p w14:paraId="56C4B75C"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11.4 (8.9, 14.6)</w:t>
            </w:r>
          </w:p>
        </w:tc>
        <w:tc>
          <w:tcPr>
            <w:tcW w:w="1560" w:type="dxa"/>
            <w:tcBorders>
              <w:top w:val="single" w:sz="4" w:space="0" w:color="auto"/>
              <w:left w:val="nil"/>
              <w:bottom w:val="nil"/>
              <w:right w:val="nil"/>
            </w:tcBorders>
            <w:shd w:val="clear" w:color="auto" w:fill="auto"/>
            <w:noWrap/>
            <w:vAlign w:val="bottom"/>
          </w:tcPr>
          <w:p w14:paraId="53BB3231"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10.6 (8.0, 13.8)</w:t>
            </w:r>
          </w:p>
        </w:tc>
        <w:tc>
          <w:tcPr>
            <w:tcW w:w="1701" w:type="dxa"/>
            <w:tcBorders>
              <w:top w:val="single" w:sz="4" w:space="0" w:color="auto"/>
              <w:left w:val="nil"/>
              <w:bottom w:val="nil"/>
              <w:right w:val="nil"/>
            </w:tcBorders>
            <w:shd w:val="clear" w:color="auto" w:fill="auto"/>
            <w:noWrap/>
            <w:vAlign w:val="bottom"/>
          </w:tcPr>
          <w:p w14:paraId="4F815F9C"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12.6 (9.9, 15.9)</w:t>
            </w:r>
          </w:p>
        </w:tc>
        <w:tc>
          <w:tcPr>
            <w:tcW w:w="1559" w:type="dxa"/>
            <w:tcBorders>
              <w:top w:val="single" w:sz="4" w:space="0" w:color="auto"/>
              <w:left w:val="nil"/>
              <w:bottom w:val="nil"/>
              <w:right w:val="nil"/>
            </w:tcBorders>
            <w:shd w:val="clear" w:color="auto" w:fill="auto"/>
            <w:noWrap/>
            <w:vAlign w:val="bottom"/>
          </w:tcPr>
          <w:p w14:paraId="313DCD66"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13.0 (9.4, 17.6)</w:t>
            </w:r>
          </w:p>
        </w:tc>
      </w:tr>
      <w:tr w:rsidR="00340DD1" w:rsidRPr="004E3096" w14:paraId="05AFFA6E" w14:textId="77777777" w:rsidTr="00F4602C">
        <w:trPr>
          <w:trHeight w:val="300"/>
        </w:trPr>
        <w:tc>
          <w:tcPr>
            <w:tcW w:w="993" w:type="dxa"/>
            <w:vMerge/>
            <w:tcBorders>
              <w:left w:val="nil"/>
              <w:right w:val="nil"/>
            </w:tcBorders>
            <w:shd w:val="clear" w:color="auto" w:fill="auto"/>
            <w:noWrap/>
            <w:vAlign w:val="bottom"/>
          </w:tcPr>
          <w:p w14:paraId="5A44C08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1A9BB226"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Cs/>
                <w:color w:val="000000"/>
                <w:sz w:val="20"/>
                <w:szCs w:val="20"/>
                <w:lang w:eastAsia="en-AU"/>
              </w:rPr>
              <w:t>18-23</w:t>
            </w:r>
          </w:p>
        </w:tc>
        <w:tc>
          <w:tcPr>
            <w:tcW w:w="1701" w:type="dxa"/>
            <w:tcBorders>
              <w:top w:val="nil"/>
              <w:left w:val="nil"/>
              <w:bottom w:val="nil"/>
              <w:right w:val="nil"/>
            </w:tcBorders>
            <w:shd w:val="clear" w:color="auto" w:fill="auto"/>
            <w:noWrap/>
            <w:vAlign w:val="bottom"/>
          </w:tcPr>
          <w:p w14:paraId="620E15DF"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5.0 (4.0, 6.2)</w:t>
            </w:r>
          </w:p>
        </w:tc>
        <w:tc>
          <w:tcPr>
            <w:tcW w:w="1701" w:type="dxa"/>
            <w:tcBorders>
              <w:top w:val="nil"/>
              <w:left w:val="nil"/>
              <w:bottom w:val="nil"/>
              <w:right w:val="nil"/>
            </w:tcBorders>
            <w:shd w:val="clear" w:color="auto" w:fill="auto"/>
            <w:noWrap/>
            <w:vAlign w:val="bottom"/>
          </w:tcPr>
          <w:p w14:paraId="516A0372"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7.0 (5.7, 8.7)</w:t>
            </w:r>
          </w:p>
        </w:tc>
        <w:tc>
          <w:tcPr>
            <w:tcW w:w="1560" w:type="dxa"/>
            <w:tcBorders>
              <w:top w:val="nil"/>
              <w:left w:val="nil"/>
              <w:bottom w:val="nil"/>
              <w:right w:val="nil"/>
            </w:tcBorders>
            <w:shd w:val="clear" w:color="auto" w:fill="auto"/>
            <w:noWrap/>
            <w:vAlign w:val="bottom"/>
          </w:tcPr>
          <w:p w14:paraId="6B131AC8"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5.9 (4.4, 7.9)</w:t>
            </w:r>
          </w:p>
        </w:tc>
        <w:tc>
          <w:tcPr>
            <w:tcW w:w="1701" w:type="dxa"/>
            <w:tcBorders>
              <w:top w:val="nil"/>
              <w:left w:val="nil"/>
              <w:bottom w:val="nil"/>
              <w:right w:val="nil"/>
            </w:tcBorders>
            <w:shd w:val="clear" w:color="auto" w:fill="auto"/>
            <w:noWrap/>
            <w:vAlign w:val="bottom"/>
          </w:tcPr>
          <w:p w14:paraId="56F759D9"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7.5 (6.1, 9.3)</w:t>
            </w:r>
          </w:p>
        </w:tc>
        <w:tc>
          <w:tcPr>
            <w:tcW w:w="1559" w:type="dxa"/>
            <w:tcBorders>
              <w:top w:val="nil"/>
              <w:left w:val="nil"/>
              <w:bottom w:val="nil"/>
              <w:right w:val="nil"/>
            </w:tcBorders>
            <w:shd w:val="clear" w:color="auto" w:fill="auto"/>
            <w:noWrap/>
            <w:vAlign w:val="bottom"/>
          </w:tcPr>
          <w:p w14:paraId="6A3EC8F3"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7.1 (5.6, 8.9)</w:t>
            </w:r>
          </w:p>
        </w:tc>
      </w:tr>
      <w:tr w:rsidR="00340DD1" w:rsidRPr="004E3096" w14:paraId="56A506AD" w14:textId="77777777" w:rsidTr="00F4602C">
        <w:trPr>
          <w:trHeight w:val="300"/>
        </w:trPr>
        <w:tc>
          <w:tcPr>
            <w:tcW w:w="993" w:type="dxa"/>
            <w:vMerge/>
            <w:tcBorders>
              <w:left w:val="nil"/>
              <w:right w:val="nil"/>
            </w:tcBorders>
            <w:shd w:val="clear" w:color="auto" w:fill="auto"/>
            <w:noWrap/>
            <w:vAlign w:val="bottom"/>
          </w:tcPr>
          <w:p w14:paraId="4B2713DE"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3532178C"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Cs/>
                <w:color w:val="000000"/>
                <w:sz w:val="20"/>
                <w:szCs w:val="20"/>
                <w:lang w:eastAsia="en-AU"/>
              </w:rPr>
              <w:t>24-29</w:t>
            </w:r>
          </w:p>
        </w:tc>
        <w:tc>
          <w:tcPr>
            <w:tcW w:w="1701" w:type="dxa"/>
            <w:tcBorders>
              <w:top w:val="nil"/>
              <w:left w:val="nil"/>
              <w:bottom w:val="nil"/>
              <w:right w:val="nil"/>
            </w:tcBorders>
            <w:shd w:val="clear" w:color="auto" w:fill="auto"/>
            <w:noWrap/>
            <w:vAlign w:val="bottom"/>
          </w:tcPr>
          <w:p w14:paraId="5DBE1EEA"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5.5 (4.6, 6.7)</w:t>
            </w:r>
          </w:p>
        </w:tc>
        <w:tc>
          <w:tcPr>
            <w:tcW w:w="1701" w:type="dxa"/>
            <w:tcBorders>
              <w:top w:val="nil"/>
              <w:left w:val="nil"/>
              <w:bottom w:val="nil"/>
              <w:right w:val="nil"/>
            </w:tcBorders>
            <w:shd w:val="clear" w:color="auto" w:fill="auto"/>
            <w:noWrap/>
            <w:vAlign w:val="bottom"/>
          </w:tcPr>
          <w:p w14:paraId="61B4D4AB"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6.4 (5.3, 7.8)</w:t>
            </w:r>
          </w:p>
        </w:tc>
        <w:tc>
          <w:tcPr>
            <w:tcW w:w="1560" w:type="dxa"/>
            <w:tcBorders>
              <w:top w:val="nil"/>
              <w:left w:val="nil"/>
              <w:bottom w:val="nil"/>
              <w:right w:val="nil"/>
            </w:tcBorders>
            <w:shd w:val="clear" w:color="auto" w:fill="auto"/>
            <w:noWrap/>
            <w:vAlign w:val="bottom"/>
          </w:tcPr>
          <w:p w14:paraId="714F7FE8"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9.1 (7.5, 11.0)</w:t>
            </w:r>
          </w:p>
        </w:tc>
        <w:tc>
          <w:tcPr>
            <w:tcW w:w="1701" w:type="dxa"/>
            <w:tcBorders>
              <w:top w:val="nil"/>
              <w:left w:val="nil"/>
              <w:bottom w:val="nil"/>
              <w:right w:val="nil"/>
            </w:tcBorders>
            <w:shd w:val="clear" w:color="auto" w:fill="auto"/>
            <w:noWrap/>
            <w:vAlign w:val="bottom"/>
          </w:tcPr>
          <w:p w14:paraId="11EAD4AE"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9.7 (8.2, 11.4)</w:t>
            </w:r>
          </w:p>
        </w:tc>
        <w:tc>
          <w:tcPr>
            <w:tcW w:w="1559" w:type="dxa"/>
            <w:tcBorders>
              <w:top w:val="nil"/>
              <w:left w:val="nil"/>
              <w:bottom w:val="nil"/>
              <w:right w:val="nil"/>
            </w:tcBorders>
            <w:shd w:val="clear" w:color="auto" w:fill="auto"/>
            <w:noWrap/>
            <w:vAlign w:val="bottom"/>
          </w:tcPr>
          <w:p w14:paraId="78EDD22D"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8.3 (6.9, 9.9)</w:t>
            </w:r>
          </w:p>
        </w:tc>
      </w:tr>
      <w:tr w:rsidR="00340DD1" w:rsidRPr="004E3096" w14:paraId="6C1E0600" w14:textId="77777777" w:rsidTr="00F4602C">
        <w:trPr>
          <w:trHeight w:val="300"/>
        </w:trPr>
        <w:tc>
          <w:tcPr>
            <w:tcW w:w="993" w:type="dxa"/>
            <w:vMerge/>
            <w:tcBorders>
              <w:left w:val="nil"/>
              <w:right w:val="nil"/>
            </w:tcBorders>
            <w:shd w:val="clear" w:color="auto" w:fill="auto"/>
            <w:noWrap/>
            <w:vAlign w:val="bottom"/>
          </w:tcPr>
          <w:p w14:paraId="13FDFE48"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1210C50F"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Cs/>
                <w:color w:val="000000"/>
                <w:sz w:val="20"/>
                <w:szCs w:val="20"/>
                <w:lang w:eastAsia="en-AU"/>
              </w:rPr>
              <w:t>30-49</w:t>
            </w:r>
          </w:p>
        </w:tc>
        <w:tc>
          <w:tcPr>
            <w:tcW w:w="1701" w:type="dxa"/>
            <w:tcBorders>
              <w:top w:val="nil"/>
              <w:left w:val="nil"/>
              <w:bottom w:val="nil"/>
              <w:right w:val="nil"/>
            </w:tcBorders>
            <w:shd w:val="clear" w:color="auto" w:fill="auto"/>
            <w:noWrap/>
            <w:vAlign w:val="bottom"/>
          </w:tcPr>
          <w:p w14:paraId="28648D11"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4.1 (3.7, 4.6)</w:t>
            </w:r>
          </w:p>
        </w:tc>
        <w:tc>
          <w:tcPr>
            <w:tcW w:w="1701" w:type="dxa"/>
            <w:tcBorders>
              <w:top w:val="nil"/>
              <w:left w:val="nil"/>
              <w:bottom w:val="nil"/>
              <w:right w:val="nil"/>
            </w:tcBorders>
            <w:shd w:val="clear" w:color="auto" w:fill="auto"/>
            <w:noWrap/>
            <w:vAlign w:val="bottom"/>
          </w:tcPr>
          <w:p w14:paraId="34849CFE"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5.0 (4.5, 5.6)</w:t>
            </w:r>
          </w:p>
        </w:tc>
        <w:tc>
          <w:tcPr>
            <w:tcW w:w="1560" w:type="dxa"/>
            <w:tcBorders>
              <w:top w:val="nil"/>
              <w:left w:val="nil"/>
              <w:bottom w:val="nil"/>
              <w:right w:val="nil"/>
            </w:tcBorders>
            <w:shd w:val="clear" w:color="auto" w:fill="auto"/>
            <w:noWrap/>
            <w:vAlign w:val="bottom"/>
          </w:tcPr>
          <w:p w14:paraId="5E87919D"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5.0 (4.5, 5.7)</w:t>
            </w:r>
          </w:p>
        </w:tc>
        <w:tc>
          <w:tcPr>
            <w:tcW w:w="1701" w:type="dxa"/>
            <w:tcBorders>
              <w:top w:val="nil"/>
              <w:left w:val="nil"/>
              <w:bottom w:val="nil"/>
              <w:right w:val="nil"/>
            </w:tcBorders>
            <w:shd w:val="clear" w:color="auto" w:fill="auto"/>
            <w:noWrap/>
            <w:vAlign w:val="bottom"/>
          </w:tcPr>
          <w:p w14:paraId="11EA2FF8"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5.3 (4.8, 5.9)</w:t>
            </w:r>
          </w:p>
        </w:tc>
        <w:tc>
          <w:tcPr>
            <w:tcW w:w="1559" w:type="dxa"/>
            <w:tcBorders>
              <w:top w:val="nil"/>
              <w:left w:val="nil"/>
              <w:bottom w:val="nil"/>
              <w:right w:val="nil"/>
            </w:tcBorders>
            <w:shd w:val="clear" w:color="auto" w:fill="auto"/>
            <w:noWrap/>
            <w:vAlign w:val="bottom"/>
          </w:tcPr>
          <w:p w14:paraId="603F0134" w14:textId="77777777" w:rsidR="00340DD1" w:rsidRPr="00AC2CD1" w:rsidRDefault="00340DD1" w:rsidP="00F4602C">
            <w:pPr>
              <w:spacing w:after="0" w:line="240" w:lineRule="auto"/>
              <w:jc w:val="right"/>
              <w:rPr>
                <w:rFonts w:ascii="Calibri" w:hAnsi="Calibri"/>
                <w:color w:val="000000"/>
                <w:sz w:val="20"/>
                <w:szCs w:val="20"/>
              </w:rPr>
            </w:pPr>
            <w:r w:rsidRPr="00AC2CD1">
              <w:rPr>
                <w:rFonts w:ascii="Calibri" w:hAnsi="Calibri"/>
                <w:color w:val="000000"/>
                <w:sz w:val="20"/>
                <w:szCs w:val="20"/>
              </w:rPr>
              <w:t>7.3 (6.6, 8.0)</w:t>
            </w:r>
          </w:p>
        </w:tc>
      </w:tr>
      <w:tr w:rsidR="00340DD1" w:rsidRPr="004E3096" w14:paraId="65268DCF" w14:textId="77777777" w:rsidTr="00F4602C">
        <w:trPr>
          <w:trHeight w:val="300"/>
        </w:trPr>
        <w:tc>
          <w:tcPr>
            <w:tcW w:w="993" w:type="dxa"/>
            <w:vMerge/>
            <w:tcBorders>
              <w:left w:val="nil"/>
              <w:right w:val="nil"/>
            </w:tcBorders>
            <w:shd w:val="clear" w:color="auto" w:fill="auto"/>
            <w:noWrap/>
            <w:vAlign w:val="bottom"/>
          </w:tcPr>
          <w:p w14:paraId="56D90D3C"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5FDD8B8A"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Pr>
                <w:rFonts w:ascii="Calibri" w:eastAsia="Times New Roman" w:hAnsi="Calibri" w:cs="Times New Roman"/>
                <w:bCs/>
                <w:color w:val="000000"/>
                <w:sz w:val="20"/>
                <w:szCs w:val="20"/>
                <w:lang w:eastAsia="en-AU"/>
              </w:rPr>
              <w:t>50-64</w:t>
            </w:r>
          </w:p>
        </w:tc>
        <w:tc>
          <w:tcPr>
            <w:tcW w:w="1701" w:type="dxa"/>
            <w:tcBorders>
              <w:top w:val="nil"/>
              <w:left w:val="nil"/>
              <w:bottom w:val="nil"/>
              <w:right w:val="nil"/>
            </w:tcBorders>
            <w:shd w:val="clear" w:color="auto" w:fill="auto"/>
            <w:noWrap/>
            <w:vAlign w:val="bottom"/>
          </w:tcPr>
          <w:p w14:paraId="513F17AE"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2.9 (2.4, 3.5)</w:t>
            </w:r>
          </w:p>
        </w:tc>
        <w:tc>
          <w:tcPr>
            <w:tcW w:w="1701" w:type="dxa"/>
            <w:tcBorders>
              <w:top w:val="nil"/>
              <w:left w:val="nil"/>
              <w:bottom w:val="nil"/>
              <w:right w:val="nil"/>
            </w:tcBorders>
            <w:shd w:val="clear" w:color="auto" w:fill="auto"/>
            <w:noWrap/>
            <w:vAlign w:val="bottom"/>
          </w:tcPr>
          <w:p w14:paraId="7C7C5349"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3.5 (2.9, 4.1)</w:t>
            </w:r>
          </w:p>
        </w:tc>
        <w:tc>
          <w:tcPr>
            <w:tcW w:w="1560" w:type="dxa"/>
            <w:tcBorders>
              <w:top w:val="nil"/>
              <w:left w:val="nil"/>
              <w:bottom w:val="nil"/>
              <w:right w:val="nil"/>
            </w:tcBorders>
            <w:shd w:val="clear" w:color="auto" w:fill="auto"/>
            <w:noWrap/>
            <w:vAlign w:val="bottom"/>
          </w:tcPr>
          <w:p w14:paraId="489418FF"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3.6 (3.0, 4.3)</w:t>
            </w:r>
          </w:p>
        </w:tc>
        <w:tc>
          <w:tcPr>
            <w:tcW w:w="1701" w:type="dxa"/>
            <w:tcBorders>
              <w:top w:val="nil"/>
              <w:left w:val="nil"/>
              <w:bottom w:val="nil"/>
              <w:right w:val="nil"/>
            </w:tcBorders>
            <w:shd w:val="clear" w:color="auto" w:fill="auto"/>
            <w:noWrap/>
            <w:vAlign w:val="bottom"/>
          </w:tcPr>
          <w:p w14:paraId="748FC3AD"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3.2 (2.7, 3.8)</w:t>
            </w:r>
          </w:p>
        </w:tc>
        <w:tc>
          <w:tcPr>
            <w:tcW w:w="1559" w:type="dxa"/>
            <w:tcBorders>
              <w:top w:val="nil"/>
              <w:left w:val="nil"/>
              <w:bottom w:val="nil"/>
              <w:right w:val="nil"/>
            </w:tcBorders>
            <w:shd w:val="clear" w:color="auto" w:fill="auto"/>
            <w:noWrap/>
            <w:vAlign w:val="bottom"/>
          </w:tcPr>
          <w:p w14:paraId="4A52CA45"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3.3 (2.8, 3.9)</w:t>
            </w:r>
          </w:p>
        </w:tc>
      </w:tr>
      <w:tr w:rsidR="00340DD1" w:rsidRPr="004E3096" w14:paraId="493BDE14" w14:textId="77777777" w:rsidTr="00F4602C">
        <w:trPr>
          <w:trHeight w:val="300"/>
        </w:trPr>
        <w:tc>
          <w:tcPr>
            <w:tcW w:w="993" w:type="dxa"/>
            <w:vMerge/>
            <w:tcBorders>
              <w:left w:val="nil"/>
              <w:right w:val="nil"/>
            </w:tcBorders>
            <w:shd w:val="clear" w:color="auto" w:fill="auto"/>
            <w:noWrap/>
            <w:vAlign w:val="bottom"/>
          </w:tcPr>
          <w:p w14:paraId="131B28C0"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nil"/>
              <w:right w:val="nil"/>
            </w:tcBorders>
            <w:vAlign w:val="bottom"/>
          </w:tcPr>
          <w:p w14:paraId="13F70C78"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r>
              <w:rPr>
                <w:rFonts w:ascii="Calibri" w:eastAsia="Times New Roman" w:hAnsi="Calibri" w:cs="Times New Roman"/>
                <w:bCs/>
                <w:color w:val="000000"/>
                <w:sz w:val="20"/>
                <w:szCs w:val="20"/>
                <w:lang w:eastAsia="en-AU"/>
              </w:rPr>
              <w:t>65+</w:t>
            </w:r>
          </w:p>
        </w:tc>
        <w:tc>
          <w:tcPr>
            <w:tcW w:w="1701" w:type="dxa"/>
            <w:tcBorders>
              <w:top w:val="nil"/>
              <w:left w:val="nil"/>
              <w:bottom w:val="nil"/>
              <w:right w:val="nil"/>
            </w:tcBorders>
            <w:shd w:val="clear" w:color="auto" w:fill="auto"/>
            <w:noWrap/>
            <w:vAlign w:val="bottom"/>
          </w:tcPr>
          <w:p w14:paraId="07A60C59"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2.9 (2.2, 3.7)</w:t>
            </w:r>
          </w:p>
        </w:tc>
        <w:tc>
          <w:tcPr>
            <w:tcW w:w="1701" w:type="dxa"/>
            <w:tcBorders>
              <w:top w:val="nil"/>
              <w:left w:val="nil"/>
              <w:bottom w:val="nil"/>
              <w:right w:val="nil"/>
            </w:tcBorders>
            <w:shd w:val="clear" w:color="auto" w:fill="auto"/>
            <w:noWrap/>
            <w:vAlign w:val="bottom"/>
          </w:tcPr>
          <w:p w14:paraId="08346104"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3.6 (2.9, 4.5)</w:t>
            </w:r>
          </w:p>
        </w:tc>
        <w:tc>
          <w:tcPr>
            <w:tcW w:w="1560" w:type="dxa"/>
            <w:tcBorders>
              <w:top w:val="nil"/>
              <w:left w:val="nil"/>
              <w:bottom w:val="nil"/>
              <w:right w:val="nil"/>
            </w:tcBorders>
            <w:shd w:val="clear" w:color="auto" w:fill="auto"/>
            <w:noWrap/>
            <w:vAlign w:val="bottom"/>
          </w:tcPr>
          <w:p w14:paraId="5C7A9026"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3.8 (3.0, 4.8)</w:t>
            </w:r>
          </w:p>
        </w:tc>
        <w:tc>
          <w:tcPr>
            <w:tcW w:w="1701" w:type="dxa"/>
            <w:tcBorders>
              <w:top w:val="nil"/>
              <w:left w:val="nil"/>
              <w:bottom w:val="nil"/>
              <w:right w:val="nil"/>
            </w:tcBorders>
            <w:shd w:val="clear" w:color="auto" w:fill="auto"/>
            <w:noWrap/>
            <w:vAlign w:val="bottom"/>
          </w:tcPr>
          <w:p w14:paraId="64F8D666"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3.0 (2.5, 3.7)</w:t>
            </w:r>
          </w:p>
        </w:tc>
        <w:tc>
          <w:tcPr>
            <w:tcW w:w="1559" w:type="dxa"/>
            <w:tcBorders>
              <w:top w:val="nil"/>
              <w:left w:val="nil"/>
              <w:bottom w:val="nil"/>
              <w:right w:val="nil"/>
            </w:tcBorders>
            <w:shd w:val="clear" w:color="auto" w:fill="auto"/>
            <w:noWrap/>
            <w:vAlign w:val="bottom"/>
          </w:tcPr>
          <w:p w14:paraId="3945E3AB" w14:textId="77777777" w:rsidR="00340DD1" w:rsidRPr="00AC2CD1" w:rsidRDefault="00340DD1" w:rsidP="00F4602C">
            <w:pPr>
              <w:spacing w:after="0" w:line="240" w:lineRule="auto"/>
              <w:jc w:val="right"/>
              <w:rPr>
                <w:rFonts w:ascii="Calibri" w:hAnsi="Calibri"/>
                <w:color w:val="000000"/>
                <w:sz w:val="20"/>
                <w:szCs w:val="20"/>
              </w:rPr>
            </w:pPr>
            <w:r>
              <w:rPr>
                <w:rFonts w:ascii="Calibri" w:hAnsi="Calibri"/>
                <w:color w:val="000000"/>
                <w:sz w:val="20"/>
                <w:szCs w:val="20"/>
              </w:rPr>
              <w:t>3.0 (2.4, 3.7)</w:t>
            </w:r>
          </w:p>
        </w:tc>
      </w:tr>
      <w:tr w:rsidR="00340DD1" w:rsidRPr="004E3096" w14:paraId="276CFA49" w14:textId="77777777" w:rsidTr="00F4602C">
        <w:trPr>
          <w:trHeight w:val="300"/>
        </w:trPr>
        <w:tc>
          <w:tcPr>
            <w:tcW w:w="993" w:type="dxa"/>
            <w:vMerge/>
            <w:tcBorders>
              <w:left w:val="nil"/>
              <w:bottom w:val="single" w:sz="4" w:space="0" w:color="auto"/>
              <w:right w:val="nil"/>
            </w:tcBorders>
            <w:shd w:val="clear" w:color="auto" w:fill="auto"/>
            <w:noWrap/>
            <w:vAlign w:val="bottom"/>
          </w:tcPr>
          <w:p w14:paraId="18C37FA2" w14:textId="77777777" w:rsidR="00340DD1" w:rsidRPr="004E3096" w:rsidRDefault="00340DD1" w:rsidP="00F4602C">
            <w:pPr>
              <w:spacing w:after="0" w:line="240" w:lineRule="auto"/>
              <w:rPr>
                <w:rFonts w:ascii="Calibri" w:eastAsia="Times New Roman" w:hAnsi="Calibri" w:cs="Times New Roman"/>
                <w:bCs/>
                <w:color w:val="000000"/>
                <w:sz w:val="20"/>
                <w:szCs w:val="20"/>
                <w:lang w:eastAsia="en-AU"/>
              </w:rPr>
            </w:pPr>
          </w:p>
        </w:tc>
        <w:tc>
          <w:tcPr>
            <w:tcW w:w="708" w:type="dxa"/>
            <w:tcBorders>
              <w:top w:val="nil"/>
              <w:left w:val="nil"/>
              <w:bottom w:val="single" w:sz="4" w:space="0" w:color="auto"/>
              <w:right w:val="nil"/>
            </w:tcBorders>
            <w:vAlign w:val="bottom"/>
          </w:tcPr>
          <w:p w14:paraId="1F041F94" w14:textId="77777777" w:rsidR="00340DD1" w:rsidRPr="004E3096" w:rsidRDefault="00340DD1" w:rsidP="00F4602C">
            <w:pPr>
              <w:spacing w:after="0" w:line="240" w:lineRule="auto"/>
              <w:rPr>
                <w:rFonts w:ascii="Calibri" w:eastAsia="Times New Roman" w:hAnsi="Calibri" w:cs="Times New Roman"/>
                <w:b/>
                <w:bCs/>
                <w:color w:val="000000"/>
                <w:sz w:val="20"/>
                <w:szCs w:val="20"/>
                <w:lang w:eastAsia="en-AU"/>
              </w:rPr>
            </w:pPr>
            <w:r w:rsidRPr="004E3096">
              <w:rPr>
                <w:rFonts w:ascii="Calibri" w:eastAsia="Times New Roman" w:hAnsi="Calibri" w:cs="Times New Roman"/>
                <w:b/>
                <w:bCs/>
                <w:color w:val="000000"/>
                <w:sz w:val="20"/>
                <w:szCs w:val="20"/>
                <w:lang w:eastAsia="en-AU"/>
              </w:rPr>
              <w:t>Total</w:t>
            </w:r>
          </w:p>
        </w:tc>
        <w:tc>
          <w:tcPr>
            <w:tcW w:w="1701" w:type="dxa"/>
            <w:tcBorders>
              <w:top w:val="nil"/>
              <w:left w:val="nil"/>
              <w:bottom w:val="single" w:sz="4" w:space="0" w:color="auto"/>
              <w:right w:val="nil"/>
            </w:tcBorders>
            <w:shd w:val="clear" w:color="auto" w:fill="auto"/>
            <w:noWrap/>
            <w:vAlign w:val="bottom"/>
          </w:tcPr>
          <w:p w14:paraId="7C3C2D4E" w14:textId="77777777" w:rsidR="00340DD1" w:rsidRPr="004E3096" w:rsidRDefault="00340DD1" w:rsidP="00F4602C">
            <w:pPr>
              <w:spacing w:after="0" w:line="240" w:lineRule="auto"/>
              <w:jc w:val="right"/>
              <w:rPr>
                <w:rFonts w:ascii="Calibri" w:hAnsi="Calibri"/>
                <w:b/>
                <w:color w:val="000000"/>
                <w:sz w:val="20"/>
                <w:szCs w:val="20"/>
              </w:rPr>
            </w:pPr>
            <w:r>
              <w:rPr>
                <w:rFonts w:ascii="Calibri" w:hAnsi="Calibri"/>
                <w:b/>
                <w:color w:val="000000"/>
                <w:sz w:val="20"/>
                <w:szCs w:val="20"/>
              </w:rPr>
              <w:t>4.3 (4.0, 4.6)</w:t>
            </w:r>
          </w:p>
        </w:tc>
        <w:tc>
          <w:tcPr>
            <w:tcW w:w="1701" w:type="dxa"/>
            <w:tcBorders>
              <w:top w:val="nil"/>
              <w:left w:val="nil"/>
              <w:bottom w:val="single" w:sz="4" w:space="0" w:color="auto"/>
              <w:right w:val="nil"/>
            </w:tcBorders>
            <w:shd w:val="clear" w:color="auto" w:fill="auto"/>
            <w:noWrap/>
            <w:vAlign w:val="bottom"/>
          </w:tcPr>
          <w:p w14:paraId="2BA3008C" w14:textId="77777777" w:rsidR="00340DD1" w:rsidRPr="004E3096" w:rsidRDefault="00340DD1" w:rsidP="00F4602C">
            <w:pPr>
              <w:spacing w:after="0" w:line="240" w:lineRule="auto"/>
              <w:jc w:val="right"/>
              <w:rPr>
                <w:rFonts w:ascii="Calibri" w:hAnsi="Calibri"/>
                <w:b/>
                <w:color w:val="000000"/>
                <w:sz w:val="20"/>
                <w:szCs w:val="20"/>
              </w:rPr>
            </w:pPr>
            <w:r>
              <w:rPr>
                <w:rFonts w:ascii="Calibri" w:hAnsi="Calibri"/>
                <w:b/>
                <w:color w:val="000000"/>
                <w:sz w:val="20"/>
                <w:szCs w:val="20"/>
              </w:rPr>
              <w:t>5.2 (4.8, 5.6)</w:t>
            </w:r>
          </w:p>
        </w:tc>
        <w:tc>
          <w:tcPr>
            <w:tcW w:w="1560" w:type="dxa"/>
            <w:tcBorders>
              <w:top w:val="nil"/>
              <w:left w:val="nil"/>
              <w:bottom w:val="single" w:sz="4" w:space="0" w:color="auto"/>
              <w:right w:val="nil"/>
            </w:tcBorders>
            <w:shd w:val="clear" w:color="auto" w:fill="auto"/>
            <w:noWrap/>
            <w:vAlign w:val="bottom"/>
          </w:tcPr>
          <w:p w14:paraId="2758D467" w14:textId="77777777" w:rsidR="00340DD1" w:rsidRPr="004E3096" w:rsidRDefault="00340DD1" w:rsidP="00F4602C">
            <w:pPr>
              <w:spacing w:after="0" w:line="240" w:lineRule="auto"/>
              <w:jc w:val="right"/>
              <w:rPr>
                <w:rFonts w:ascii="Calibri" w:hAnsi="Calibri"/>
                <w:b/>
                <w:color w:val="000000"/>
                <w:sz w:val="20"/>
                <w:szCs w:val="20"/>
              </w:rPr>
            </w:pPr>
            <w:r>
              <w:rPr>
                <w:rFonts w:ascii="Calibri" w:hAnsi="Calibri"/>
                <w:b/>
                <w:color w:val="000000"/>
                <w:sz w:val="20"/>
                <w:szCs w:val="20"/>
              </w:rPr>
              <w:t>5.3 (4.9, 5.8)</w:t>
            </w:r>
          </w:p>
        </w:tc>
        <w:tc>
          <w:tcPr>
            <w:tcW w:w="1701" w:type="dxa"/>
            <w:tcBorders>
              <w:top w:val="nil"/>
              <w:left w:val="nil"/>
              <w:bottom w:val="single" w:sz="4" w:space="0" w:color="auto"/>
              <w:right w:val="nil"/>
            </w:tcBorders>
            <w:shd w:val="clear" w:color="auto" w:fill="auto"/>
            <w:noWrap/>
            <w:vAlign w:val="bottom"/>
          </w:tcPr>
          <w:p w14:paraId="15D92938" w14:textId="77777777" w:rsidR="00340DD1" w:rsidRPr="004E3096" w:rsidRDefault="00340DD1" w:rsidP="00F4602C">
            <w:pPr>
              <w:spacing w:after="0" w:line="240" w:lineRule="auto"/>
              <w:jc w:val="right"/>
              <w:rPr>
                <w:rFonts w:ascii="Calibri" w:hAnsi="Calibri"/>
                <w:b/>
                <w:color w:val="000000"/>
                <w:sz w:val="20"/>
                <w:szCs w:val="20"/>
              </w:rPr>
            </w:pPr>
            <w:r>
              <w:rPr>
                <w:rFonts w:ascii="Calibri" w:hAnsi="Calibri"/>
                <w:b/>
                <w:color w:val="000000"/>
                <w:sz w:val="20"/>
                <w:szCs w:val="20"/>
              </w:rPr>
              <w:t>5.6 (5.2, 6.0)</w:t>
            </w:r>
          </w:p>
        </w:tc>
        <w:tc>
          <w:tcPr>
            <w:tcW w:w="1559" w:type="dxa"/>
            <w:tcBorders>
              <w:top w:val="nil"/>
              <w:left w:val="nil"/>
              <w:bottom w:val="single" w:sz="4" w:space="0" w:color="auto"/>
              <w:right w:val="nil"/>
            </w:tcBorders>
            <w:shd w:val="clear" w:color="auto" w:fill="auto"/>
            <w:noWrap/>
            <w:vAlign w:val="bottom"/>
          </w:tcPr>
          <w:p w14:paraId="470F0CDB" w14:textId="77777777" w:rsidR="00340DD1" w:rsidRPr="004E3096" w:rsidRDefault="00340DD1" w:rsidP="00F4602C">
            <w:pPr>
              <w:spacing w:after="0" w:line="240" w:lineRule="auto"/>
              <w:jc w:val="right"/>
              <w:rPr>
                <w:rFonts w:ascii="Calibri" w:hAnsi="Calibri"/>
                <w:b/>
                <w:color w:val="000000"/>
                <w:sz w:val="20"/>
                <w:szCs w:val="20"/>
              </w:rPr>
            </w:pPr>
            <w:r>
              <w:rPr>
                <w:rFonts w:ascii="Calibri" w:hAnsi="Calibri"/>
                <w:b/>
                <w:color w:val="000000"/>
                <w:sz w:val="20"/>
                <w:szCs w:val="20"/>
              </w:rPr>
              <w:t>6.0 (5.6, 6.4)</w:t>
            </w:r>
          </w:p>
        </w:tc>
      </w:tr>
    </w:tbl>
    <w:p w14:paraId="2CE73459" w14:textId="77777777" w:rsidR="00E0400E" w:rsidRPr="00765A74" w:rsidRDefault="00E0400E" w:rsidP="00340DD1">
      <w:pPr>
        <w:pStyle w:val="EndNoteBibliography"/>
        <w:spacing w:after="200"/>
      </w:pPr>
    </w:p>
    <w:sectPr w:rsidR="00E0400E" w:rsidRPr="00765A74" w:rsidSect="00340DD1">
      <w:pgSz w:w="11906" w:h="16838"/>
      <w:pgMar w:top="1021" w:right="1440"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CCC83" w14:textId="77777777" w:rsidR="00727CCE" w:rsidRDefault="00727CCE">
      <w:pPr>
        <w:spacing w:after="0" w:line="240" w:lineRule="auto"/>
      </w:pPr>
      <w:r>
        <w:separator/>
      </w:r>
    </w:p>
  </w:endnote>
  <w:endnote w:type="continuationSeparator" w:id="0">
    <w:p w14:paraId="7B1AC005" w14:textId="77777777" w:rsidR="00727CCE" w:rsidRDefault="00727CCE">
      <w:pPr>
        <w:spacing w:after="0" w:line="240" w:lineRule="auto"/>
      </w:pPr>
      <w:r>
        <w:continuationSeparator/>
      </w:r>
    </w:p>
  </w:endnote>
  <w:endnote w:type="continuationNotice" w:id="1">
    <w:p w14:paraId="22C8807F" w14:textId="77777777" w:rsidR="00727CCE" w:rsidRDefault="00727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PhotinaMT">
    <w:altName w:val="Cambria"/>
    <w:panose1 w:val="00000000000000000000"/>
    <w:charset w:val="00"/>
    <w:family w:val="roman"/>
    <w:notTrueType/>
    <w:pitch w:val="default"/>
    <w:sig w:usb0="00000003" w:usb1="00000000" w:usb2="00000000" w:usb3="00000000" w:csb0="00000001" w:csb1="00000000"/>
  </w:font>
  <w:font w:name="LNJEE E+ Gulliver RM">
    <w:altName w:val="Gulliver R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59677"/>
      <w:docPartObj>
        <w:docPartGallery w:val="Page Numbers (Bottom of Page)"/>
        <w:docPartUnique/>
      </w:docPartObj>
    </w:sdtPr>
    <w:sdtEndPr>
      <w:rPr>
        <w:noProof/>
      </w:rPr>
    </w:sdtEndPr>
    <w:sdtContent>
      <w:p w14:paraId="750006C7" w14:textId="58E166B6" w:rsidR="00485D64" w:rsidRDefault="00485D64">
        <w:pPr>
          <w:pStyle w:val="Footer"/>
          <w:jc w:val="right"/>
        </w:pPr>
        <w:r>
          <w:fldChar w:fldCharType="begin"/>
        </w:r>
        <w:r>
          <w:instrText xml:space="preserve"> PAGE   \* MERGEFORMAT </w:instrText>
        </w:r>
        <w:r>
          <w:fldChar w:fldCharType="separate"/>
        </w:r>
        <w:r w:rsidR="004A69A1">
          <w:rPr>
            <w:noProof/>
          </w:rPr>
          <w:t>16</w:t>
        </w:r>
        <w:r>
          <w:rPr>
            <w:noProof/>
          </w:rPr>
          <w:fldChar w:fldCharType="end"/>
        </w:r>
      </w:p>
    </w:sdtContent>
  </w:sdt>
  <w:p w14:paraId="228346F3" w14:textId="77777777" w:rsidR="00485D64" w:rsidRDefault="00485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0BA49" w14:textId="77777777" w:rsidR="00727CCE" w:rsidRDefault="00727CCE">
      <w:pPr>
        <w:spacing w:after="0" w:line="240" w:lineRule="auto"/>
      </w:pPr>
      <w:r>
        <w:separator/>
      </w:r>
    </w:p>
  </w:footnote>
  <w:footnote w:type="continuationSeparator" w:id="0">
    <w:p w14:paraId="46CBA071" w14:textId="77777777" w:rsidR="00727CCE" w:rsidRDefault="00727CCE">
      <w:pPr>
        <w:spacing w:after="0" w:line="240" w:lineRule="auto"/>
      </w:pPr>
      <w:r>
        <w:continuationSeparator/>
      </w:r>
    </w:p>
  </w:footnote>
  <w:footnote w:type="continuationNotice" w:id="1">
    <w:p w14:paraId="2BF081A8" w14:textId="77777777" w:rsidR="00727CCE" w:rsidRDefault="00727C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82C"/>
    <w:multiLevelType w:val="hybridMultilevel"/>
    <w:tmpl w:val="E1681444"/>
    <w:lvl w:ilvl="0" w:tplc="280CD9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72F5B"/>
    <w:multiLevelType w:val="hybridMultilevel"/>
    <w:tmpl w:val="F8BE1E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AF2860"/>
    <w:multiLevelType w:val="hybridMultilevel"/>
    <w:tmpl w:val="41D02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2xfzds4tvz2wepe0dxxs93szza9ss9zfrz&quot;&gt;aa paper&lt;record-ids&gt;&lt;item&gt;1&lt;/item&gt;&lt;item&gt;2&lt;/item&gt;&lt;/record-ids&gt;&lt;/item&gt;&lt;/Libraries&gt;"/>
  </w:docVars>
  <w:rsids>
    <w:rsidRoot w:val="00B44366"/>
    <w:rsid w:val="00003392"/>
    <w:rsid w:val="00004014"/>
    <w:rsid w:val="00005FA7"/>
    <w:rsid w:val="00012948"/>
    <w:rsid w:val="00013F9C"/>
    <w:rsid w:val="000151FD"/>
    <w:rsid w:val="00020A0E"/>
    <w:rsid w:val="00020FF9"/>
    <w:rsid w:val="00021CF8"/>
    <w:rsid w:val="00022A44"/>
    <w:rsid w:val="00033835"/>
    <w:rsid w:val="00037491"/>
    <w:rsid w:val="00040F16"/>
    <w:rsid w:val="00044362"/>
    <w:rsid w:val="00044A2F"/>
    <w:rsid w:val="00052A77"/>
    <w:rsid w:val="00053223"/>
    <w:rsid w:val="000577E1"/>
    <w:rsid w:val="0006577D"/>
    <w:rsid w:val="0007318F"/>
    <w:rsid w:val="0007609F"/>
    <w:rsid w:val="00081BD7"/>
    <w:rsid w:val="00086EEA"/>
    <w:rsid w:val="00091D80"/>
    <w:rsid w:val="000934D6"/>
    <w:rsid w:val="000A0885"/>
    <w:rsid w:val="000A0C52"/>
    <w:rsid w:val="000A1F14"/>
    <w:rsid w:val="000A46D7"/>
    <w:rsid w:val="000B129B"/>
    <w:rsid w:val="000B2778"/>
    <w:rsid w:val="000B2E01"/>
    <w:rsid w:val="000B3C35"/>
    <w:rsid w:val="000B61B9"/>
    <w:rsid w:val="000B74EB"/>
    <w:rsid w:val="000D2035"/>
    <w:rsid w:val="000D21EF"/>
    <w:rsid w:val="000D3B1F"/>
    <w:rsid w:val="000D3CF9"/>
    <w:rsid w:val="000D4795"/>
    <w:rsid w:val="000E2815"/>
    <w:rsid w:val="000E74B8"/>
    <w:rsid w:val="000F0E45"/>
    <w:rsid w:val="000F118C"/>
    <w:rsid w:val="000F313C"/>
    <w:rsid w:val="000F7375"/>
    <w:rsid w:val="0010114F"/>
    <w:rsid w:val="00101AAB"/>
    <w:rsid w:val="00103069"/>
    <w:rsid w:val="0010365A"/>
    <w:rsid w:val="00111EE3"/>
    <w:rsid w:val="00125373"/>
    <w:rsid w:val="001265F4"/>
    <w:rsid w:val="001303B1"/>
    <w:rsid w:val="00132831"/>
    <w:rsid w:val="00134906"/>
    <w:rsid w:val="00135AE7"/>
    <w:rsid w:val="001428DD"/>
    <w:rsid w:val="001437C1"/>
    <w:rsid w:val="00151E7C"/>
    <w:rsid w:val="00161F05"/>
    <w:rsid w:val="001625E0"/>
    <w:rsid w:val="00171A4D"/>
    <w:rsid w:val="00172B92"/>
    <w:rsid w:val="00174B7D"/>
    <w:rsid w:val="001760BB"/>
    <w:rsid w:val="0017667F"/>
    <w:rsid w:val="00177561"/>
    <w:rsid w:val="001946EF"/>
    <w:rsid w:val="001A0167"/>
    <w:rsid w:val="001A5191"/>
    <w:rsid w:val="001A5626"/>
    <w:rsid w:val="001B11B8"/>
    <w:rsid w:val="001B3889"/>
    <w:rsid w:val="001B5A8C"/>
    <w:rsid w:val="001B6D40"/>
    <w:rsid w:val="001C061B"/>
    <w:rsid w:val="001C0F93"/>
    <w:rsid w:val="001C3FB3"/>
    <w:rsid w:val="001C4F29"/>
    <w:rsid w:val="001D0D5B"/>
    <w:rsid w:val="001D4E11"/>
    <w:rsid w:val="001D5621"/>
    <w:rsid w:val="001F171F"/>
    <w:rsid w:val="0020213E"/>
    <w:rsid w:val="00212878"/>
    <w:rsid w:val="00221DA5"/>
    <w:rsid w:val="002231E6"/>
    <w:rsid w:val="00225B7D"/>
    <w:rsid w:val="00230163"/>
    <w:rsid w:val="00236F58"/>
    <w:rsid w:val="00237A03"/>
    <w:rsid w:val="0024000C"/>
    <w:rsid w:val="00240734"/>
    <w:rsid w:val="00242C10"/>
    <w:rsid w:val="00244BBC"/>
    <w:rsid w:val="0025254E"/>
    <w:rsid w:val="002600F6"/>
    <w:rsid w:val="002679CD"/>
    <w:rsid w:val="002708BE"/>
    <w:rsid w:val="00272415"/>
    <w:rsid w:val="0027443A"/>
    <w:rsid w:val="002776FC"/>
    <w:rsid w:val="002856AC"/>
    <w:rsid w:val="00292EF7"/>
    <w:rsid w:val="00294442"/>
    <w:rsid w:val="00296C93"/>
    <w:rsid w:val="0029789E"/>
    <w:rsid w:val="002A0044"/>
    <w:rsid w:val="002A1C42"/>
    <w:rsid w:val="002A7DE2"/>
    <w:rsid w:val="002B29B4"/>
    <w:rsid w:val="002B4FD0"/>
    <w:rsid w:val="002C3592"/>
    <w:rsid w:val="002D4287"/>
    <w:rsid w:val="002D5640"/>
    <w:rsid w:val="002E2832"/>
    <w:rsid w:val="002E44A5"/>
    <w:rsid w:val="002E6530"/>
    <w:rsid w:val="002F76F7"/>
    <w:rsid w:val="00300C1E"/>
    <w:rsid w:val="0030435E"/>
    <w:rsid w:val="00307131"/>
    <w:rsid w:val="0030742C"/>
    <w:rsid w:val="0031278B"/>
    <w:rsid w:val="00314F97"/>
    <w:rsid w:val="00320838"/>
    <w:rsid w:val="00325445"/>
    <w:rsid w:val="0032773B"/>
    <w:rsid w:val="003279AB"/>
    <w:rsid w:val="00331550"/>
    <w:rsid w:val="003335DF"/>
    <w:rsid w:val="00340DD1"/>
    <w:rsid w:val="003423B1"/>
    <w:rsid w:val="00344905"/>
    <w:rsid w:val="00347DB9"/>
    <w:rsid w:val="00350737"/>
    <w:rsid w:val="00350A96"/>
    <w:rsid w:val="0035140C"/>
    <w:rsid w:val="00354E6D"/>
    <w:rsid w:val="00357CF5"/>
    <w:rsid w:val="0037021E"/>
    <w:rsid w:val="00370874"/>
    <w:rsid w:val="00370B34"/>
    <w:rsid w:val="00375878"/>
    <w:rsid w:val="00382504"/>
    <w:rsid w:val="0038330F"/>
    <w:rsid w:val="00393543"/>
    <w:rsid w:val="003949B5"/>
    <w:rsid w:val="00397BE1"/>
    <w:rsid w:val="003A0EE4"/>
    <w:rsid w:val="003A34E7"/>
    <w:rsid w:val="003A3E22"/>
    <w:rsid w:val="003A4E88"/>
    <w:rsid w:val="003A545E"/>
    <w:rsid w:val="003A5714"/>
    <w:rsid w:val="003A57DC"/>
    <w:rsid w:val="003B7AC8"/>
    <w:rsid w:val="003C03B0"/>
    <w:rsid w:val="003C0801"/>
    <w:rsid w:val="003C10F2"/>
    <w:rsid w:val="003C3DF5"/>
    <w:rsid w:val="003C6425"/>
    <w:rsid w:val="003D0E68"/>
    <w:rsid w:val="003D4D08"/>
    <w:rsid w:val="003E03A9"/>
    <w:rsid w:val="003F0A75"/>
    <w:rsid w:val="004017B4"/>
    <w:rsid w:val="004076A4"/>
    <w:rsid w:val="00407765"/>
    <w:rsid w:val="004213D5"/>
    <w:rsid w:val="00421D19"/>
    <w:rsid w:val="0042264A"/>
    <w:rsid w:val="00422C36"/>
    <w:rsid w:val="00424027"/>
    <w:rsid w:val="004253C7"/>
    <w:rsid w:val="0043190D"/>
    <w:rsid w:val="0043661E"/>
    <w:rsid w:val="00441F94"/>
    <w:rsid w:val="00447C25"/>
    <w:rsid w:val="004630BA"/>
    <w:rsid w:val="00464B2A"/>
    <w:rsid w:val="00466F6A"/>
    <w:rsid w:val="0047139A"/>
    <w:rsid w:val="00472C6E"/>
    <w:rsid w:val="00472E19"/>
    <w:rsid w:val="004817CD"/>
    <w:rsid w:val="00485D64"/>
    <w:rsid w:val="00487614"/>
    <w:rsid w:val="0049614F"/>
    <w:rsid w:val="004A23AF"/>
    <w:rsid w:val="004A5189"/>
    <w:rsid w:val="004A61DE"/>
    <w:rsid w:val="004A69A1"/>
    <w:rsid w:val="004B3788"/>
    <w:rsid w:val="004B4657"/>
    <w:rsid w:val="004B4878"/>
    <w:rsid w:val="004B5C3F"/>
    <w:rsid w:val="004B670F"/>
    <w:rsid w:val="004C1503"/>
    <w:rsid w:val="004C1D9F"/>
    <w:rsid w:val="004C2496"/>
    <w:rsid w:val="004D105A"/>
    <w:rsid w:val="004D5C94"/>
    <w:rsid w:val="004D6FFD"/>
    <w:rsid w:val="004E0F95"/>
    <w:rsid w:val="004E1F64"/>
    <w:rsid w:val="004E233B"/>
    <w:rsid w:val="004E29F0"/>
    <w:rsid w:val="004E3096"/>
    <w:rsid w:val="004F0C68"/>
    <w:rsid w:val="004F65B4"/>
    <w:rsid w:val="005007E9"/>
    <w:rsid w:val="00501F43"/>
    <w:rsid w:val="005026AF"/>
    <w:rsid w:val="00502F93"/>
    <w:rsid w:val="00512375"/>
    <w:rsid w:val="00517ED3"/>
    <w:rsid w:val="005257A8"/>
    <w:rsid w:val="00530518"/>
    <w:rsid w:val="005311A4"/>
    <w:rsid w:val="00531BCC"/>
    <w:rsid w:val="00536EF7"/>
    <w:rsid w:val="00541707"/>
    <w:rsid w:val="00543367"/>
    <w:rsid w:val="00544EEF"/>
    <w:rsid w:val="0056107F"/>
    <w:rsid w:val="005613A4"/>
    <w:rsid w:val="00561EB5"/>
    <w:rsid w:val="00561F97"/>
    <w:rsid w:val="00570A36"/>
    <w:rsid w:val="00583445"/>
    <w:rsid w:val="00586B94"/>
    <w:rsid w:val="0059023D"/>
    <w:rsid w:val="0059373D"/>
    <w:rsid w:val="00593B88"/>
    <w:rsid w:val="00596C59"/>
    <w:rsid w:val="005A076B"/>
    <w:rsid w:val="005A0EA8"/>
    <w:rsid w:val="005A1DFD"/>
    <w:rsid w:val="005A29B4"/>
    <w:rsid w:val="005C4CEE"/>
    <w:rsid w:val="005C7D2A"/>
    <w:rsid w:val="005D2FB0"/>
    <w:rsid w:val="005D407C"/>
    <w:rsid w:val="005D4E6C"/>
    <w:rsid w:val="005D5238"/>
    <w:rsid w:val="005E055D"/>
    <w:rsid w:val="005E096B"/>
    <w:rsid w:val="005E1076"/>
    <w:rsid w:val="005E2C30"/>
    <w:rsid w:val="005F3780"/>
    <w:rsid w:val="005F7D2C"/>
    <w:rsid w:val="0060229B"/>
    <w:rsid w:val="00604E34"/>
    <w:rsid w:val="006073E2"/>
    <w:rsid w:val="006074E6"/>
    <w:rsid w:val="00611844"/>
    <w:rsid w:val="00611EB2"/>
    <w:rsid w:val="006129E4"/>
    <w:rsid w:val="006226A7"/>
    <w:rsid w:val="0062330B"/>
    <w:rsid w:val="00631AD2"/>
    <w:rsid w:val="00634A30"/>
    <w:rsid w:val="00636AD0"/>
    <w:rsid w:val="00640C2C"/>
    <w:rsid w:val="00641D38"/>
    <w:rsid w:val="00643B87"/>
    <w:rsid w:val="0065161D"/>
    <w:rsid w:val="00652CD3"/>
    <w:rsid w:val="00654DE0"/>
    <w:rsid w:val="00671FCF"/>
    <w:rsid w:val="0068071D"/>
    <w:rsid w:val="006821CE"/>
    <w:rsid w:val="006879A5"/>
    <w:rsid w:val="006A0CCF"/>
    <w:rsid w:val="006A35F0"/>
    <w:rsid w:val="006A3E36"/>
    <w:rsid w:val="006C1F78"/>
    <w:rsid w:val="006C4C9A"/>
    <w:rsid w:val="006D2C78"/>
    <w:rsid w:val="006D574F"/>
    <w:rsid w:val="006D7138"/>
    <w:rsid w:val="006E244E"/>
    <w:rsid w:val="006E3AF1"/>
    <w:rsid w:val="006E6079"/>
    <w:rsid w:val="006F53D0"/>
    <w:rsid w:val="006F6AA6"/>
    <w:rsid w:val="00720550"/>
    <w:rsid w:val="00720C27"/>
    <w:rsid w:val="00720E79"/>
    <w:rsid w:val="00725086"/>
    <w:rsid w:val="00725176"/>
    <w:rsid w:val="00727CCE"/>
    <w:rsid w:val="00731DE5"/>
    <w:rsid w:val="00734EAC"/>
    <w:rsid w:val="007445B3"/>
    <w:rsid w:val="00746F35"/>
    <w:rsid w:val="00750373"/>
    <w:rsid w:val="00751F1C"/>
    <w:rsid w:val="00752342"/>
    <w:rsid w:val="0075459C"/>
    <w:rsid w:val="00761326"/>
    <w:rsid w:val="00765A74"/>
    <w:rsid w:val="007660EF"/>
    <w:rsid w:val="00776943"/>
    <w:rsid w:val="00776B23"/>
    <w:rsid w:val="00785BF6"/>
    <w:rsid w:val="0078606F"/>
    <w:rsid w:val="007914F0"/>
    <w:rsid w:val="00795FFD"/>
    <w:rsid w:val="00796601"/>
    <w:rsid w:val="007A32E9"/>
    <w:rsid w:val="007A6A69"/>
    <w:rsid w:val="007A710D"/>
    <w:rsid w:val="007B268B"/>
    <w:rsid w:val="007B5862"/>
    <w:rsid w:val="007B7468"/>
    <w:rsid w:val="007C0BB8"/>
    <w:rsid w:val="007C7194"/>
    <w:rsid w:val="007D6EEA"/>
    <w:rsid w:val="007E1584"/>
    <w:rsid w:val="007E593A"/>
    <w:rsid w:val="007F42A8"/>
    <w:rsid w:val="007F67EC"/>
    <w:rsid w:val="007F6CEE"/>
    <w:rsid w:val="00803F24"/>
    <w:rsid w:val="0080692C"/>
    <w:rsid w:val="00806D1C"/>
    <w:rsid w:val="00817E04"/>
    <w:rsid w:val="008232C3"/>
    <w:rsid w:val="008333FA"/>
    <w:rsid w:val="008455CC"/>
    <w:rsid w:val="00845F07"/>
    <w:rsid w:val="00847698"/>
    <w:rsid w:val="008552F8"/>
    <w:rsid w:val="00861512"/>
    <w:rsid w:val="0087017F"/>
    <w:rsid w:val="00872977"/>
    <w:rsid w:val="0087640F"/>
    <w:rsid w:val="00880C74"/>
    <w:rsid w:val="00886C77"/>
    <w:rsid w:val="00887C71"/>
    <w:rsid w:val="0089033B"/>
    <w:rsid w:val="008948B2"/>
    <w:rsid w:val="008A2398"/>
    <w:rsid w:val="008A4050"/>
    <w:rsid w:val="008A79BC"/>
    <w:rsid w:val="008A7F6B"/>
    <w:rsid w:val="008B03F9"/>
    <w:rsid w:val="008B1B6C"/>
    <w:rsid w:val="008B24F6"/>
    <w:rsid w:val="008B4073"/>
    <w:rsid w:val="008B4A30"/>
    <w:rsid w:val="008C17E4"/>
    <w:rsid w:val="008C5371"/>
    <w:rsid w:val="008C5D4B"/>
    <w:rsid w:val="008C6493"/>
    <w:rsid w:val="008C6BA0"/>
    <w:rsid w:val="008D07D7"/>
    <w:rsid w:val="008D272E"/>
    <w:rsid w:val="008E0A5B"/>
    <w:rsid w:val="008F283A"/>
    <w:rsid w:val="00900211"/>
    <w:rsid w:val="00900B5B"/>
    <w:rsid w:val="00903041"/>
    <w:rsid w:val="00905336"/>
    <w:rsid w:val="00905C7B"/>
    <w:rsid w:val="00911E0C"/>
    <w:rsid w:val="00914860"/>
    <w:rsid w:val="00914BD3"/>
    <w:rsid w:val="00915EF8"/>
    <w:rsid w:val="009171B8"/>
    <w:rsid w:val="00921689"/>
    <w:rsid w:val="00921CA3"/>
    <w:rsid w:val="009272A5"/>
    <w:rsid w:val="00937AEB"/>
    <w:rsid w:val="00945CC1"/>
    <w:rsid w:val="00946EF5"/>
    <w:rsid w:val="00952D89"/>
    <w:rsid w:val="009578A4"/>
    <w:rsid w:val="009626E4"/>
    <w:rsid w:val="009726D2"/>
    <w:rsid w:val="009806EA"/>
    <w:rsid w:val="00981F1A"/>
    <w:rsid w:val="009820F6"/>
    <w:rsid w:val="00985A4F"/>
    <w:rsid w:val="009900CD"/>
    <w:rsid w:val="00995FDD"/>
    <w:rsid w:val="00996673"/>
    <w:rsid w:val="009A0BE1"/>
    <w:rsid w:val="009A0C40"/>
    <w:rsid w:val="009A0D07"/>
    <w:rsid w:val="009A2A9F"/>
    <w:rsid w:val="009A667D"/>
    <w:rsid w:val="009B05B2"/>
    <w:rsid w:val="009B2FAA"/>
    <w:rsid w:val="009B4641"/>
    <w:rsid w:val="009C00FD"/>
    <w:rsid w:val="009C1BD0"/>
    <w:rsid w:val="009C3CCC"/>
    <w:rsid w:val="009D2D75"/>
    <w:rsid w:val="009D45AF"/>
    <w:rsid w:val="009D4CDB"/>
    <w:rsid w:val="009D6419"/>
    <w:rsid w:val="009E473F"/>
    <w:rsid w:val="009F2587"/>
    <w:rsid w:val="00A03A09"/>
    <w:rsid w:val="00A05394"/>
    <w:rsid w:val="00A102A1"/>
    <w:rsid w:val="00A172D1"/>
    <w:rsid w:val="00A203E0"/>
    <w:rsid w:val="00A20CE4"/>
    <w:rsid w:val="00A30F87"/>
    <w:rsid w:val="00A32DD6"/>
    <w:rsid w:val="00A33E3A"/>
    <w:rsid w:val="00A406BB"/>
    <w:rsid w:val="00A42638"/>
    <w:rsid w:val="00A46C07"/>
    <w:rsid w:val="00A57D05"/>
    <w:rsid w:val="00A61BED"/>
    <w:rsid w:val="00A66D37"/>
    <w:rsid w:val="00A67C20"/>
    <w:rsid w:val="00A720DC"/>
    <w:rsid w:val="00A7386A"/>
    <w:rsid w:val="00A8091F"/>
    <w:rsid w:val="00A83FB0"/>
    <w:rsid w:val="00A8707F"/>
    <w:rsid w:val="00AA3D49"/>
    <w:rsid w:val="00AA524D"/>
    <w:rsid w:val="00AA554F"/>
    <w:rsid w:val="00AC1546"/>
    <w:rsid w:val="00AC2CD1"/>
    <w:rsid w:val="00AC4458"/>
    <w:rsid w:val="00AC7DF6"/>
    <w:rsid w:val="00AD08B1"/>
    <w:rsid w:val="00AD61C3"/>
    <w:rsid w:val="00AE2845"/>
    <w:rsid w:val="00AE4F1A"/>
    <w:rsid w:val="00AF203A"/>
    <w:rsid w:val="00B01C3B"/>
    <w:rsid w:val="00B114C7"/>
    <w:rsid w:val="00B13C55"/>
    <w:rsid w:val="00B14FB9"/>
    <w:rsid w:val="00B16B03"/>
    <w:rsid w:val="00B227A9"/>
    <w:rsid w:val="00B23744"/>
    <w:rsid w:val="00B26230"/>
    <w:rsid w:val="00B276B0"/>
    <w:rsid w:val="00B33A90"/>
    <w:rsid w:val="00B43668"/>
    <w:rsid w:val="00B44366"/>
    <w:rsid w:val="00B51548"/>
    <w:rsid w:val="00B54F2B"/>
    <w:rsid w:val="00B5675B"/>
    <w:rsid w:val="00B61291"/>
    <w:rsid w:val="00B6449C"/>
    <w:rsid w:val="00B647B2"/>
    <w:rsid w:val="00B6611C"/>
    <w:rsid w:val="00B6670D"/>
    <w:rsid w:val="00B66EE3"/>
    <w:rsid w:val="00B82705"/>
    <w:rsid w:val="00B91BF9"/>
    <w:rsid w:val="00B926F9"/>
    <w:rsid w:val="00B93111"/>
    <w:rsid w:val="00B935E7"/>
    <w:rsid w:val="00B977EF"/>
    <w:rsid w:val="00BB564B"/>
    <w:rsid w:val="00BD19AD"/>
    <w:rsid w:val="00BD21A5"/>
    <w:rsid w:val="00BD5C7B"/>
    <w:rsid w:val="00BD6347"/>
    <w:rsid w:val="00BD71CC"/>
    <w:rsid w:val="00BE24C7"/>
    <w:rsid w:val="00BF2C78"/>
    <w:rsid w:val="00BF42A9"/>
    <w:rsid w:val="00BF49DA"/>
    <w:rsid w:val="00BF7222"/>
    <w:rsid w:val="00C0038A"/>
    <w:rsid w:val="00C00C95"/>
    <w:rsid w:val="00C00F9B"/>
    <w:rsid w:val="00C032B6"/>
    <w:rsid w:val="00C04B7A"/>
    <w:rsid w:val="00C10999"/>
    <w:rsid w:val="00C12675"/>
    <w:rsid w:val="00C16422"/>
    <w:rsid w:val="00C173EE"/>
    <w:rsid w:val="00C229EA"/>
    <w:rsid w:val="00C30665"/>
    <w:rsid w:val="00C30C79"/>
    <w:rsid w:val="00C35B04"/>
    <w:rsid w:val="00C37435"/>
    <w:rsid w:val="00C42081"/>
    <w:rsid w:val="00C43137"/>
    <w:rsid w:val="00C5634E"/>
    <w:rsid w:val="00C63FD0"/>
    <w:rsid w:val="00C74694"/>
    <w:rsid w:val="00C76FCA"/>
    <w:rsid w:val="00C870E2"/>
    <w:rsid w:val="00C9267E"/>
    <w:rsid w:val="00C95FF5"/>
    <w:rsid w:val="00C97187"/>
    <w:rsid w:val="00CA087D"/>
    <w:rsid w:val="00CB46E7"/>
    <w:rsid w:val="00CC789B"/>
    <w:rsid w:val="00CD4AD4"/>
    <w:rsid w:val="00CE2870"/>
    <w:rsid w:val="00CE3C2C"/>
    <w:rsid w:val="00CE6498"/>
    <w:rsid w:val="00CF4CFD"/>
    <w:rsid w:val="00CF7673"/>
    <w:rsid w:val="00D01B91"/>
    <w:rsid w:val="00D07C77"/>
    <w:rsid w:val="00D128E3"/>
    <w:rsid w:val="00D13E0B"/>
    <w:rsid w:val="00D1411A"/>
    <w:rsid w:val="00D15042"/>
    <w:rsid w:val="00D15AA2"/>
    <w:rsid w:val="00D22C3F"/>
    <w:rsid w:val="00D25EBB"/>
    <w:rsid w:val="00D32F24"/>
    <w:rsid w:val="00D41B10"/>
    <w:rsid w:val="00D45A75"/>
    <w:rsid w:val="00D53B99"/>
    <w:rsid w:val="00D60F42"/>
    <w:rsid w:val="00D6110E"/>
    <w:rsid w:val="00D62D0C"/>
    <w:rsid w:val="00D66967"/>
    <w:rsid w:val="00D71F89"/>
    <w:rsid w:val="00D77066"/>
    <w:rsid w:val="00D832E5"/>
    <w:rsid w:val="00D87A34"/>
    <w:rsid w:val="00DA1886"/>
    <w:rsid w:val="00DA37B7"/>
    <w:rsid w:val="00DA39E8"/>
    <w:rsid w:val="00DA7A8D"/>
    <w:rsid w:val="00DB051E"/>
    <w:rsid w:val="00DB5A48"/>
    <w:rsid w:val="00DC7310"/>
    <w:rsid w:val="00DD3699"/>
    <w:rsid w:val="00DD473C"/>
    <w:rsid w:val="00DD4B49"/>
    <w:rsid w:val="00DD53F4"/>
    <w:rsid w:val="00DD6ED8"/>
    <w:rsid w:val="00DE256F"/>
    <w:rsid w:val="00DE487C"/>
    <w:rsid w:val="00DF3BD2"/>
    <w:rsid w:val="00DF6282"/>
    <w:rsid w:val="00DF6D42"/>
    <w:rsid w:val="00DF774E"/>
    <w:rsid w:val="00E00026"/>
    <w:rsid w:val="00E01B48"/>
    <w:rsid w:val="00E0400E"/>
    <w:rsid w:val="00E06F2A"/>
    <w:rsid w:val="00E10BCE"/>
    <w:rsid w:val="00E12547"/>
    <w:rsid w:val="00E128B0"/>
    <w:rsid w:val="00E26D38"/>
    <w:rsid w:val="00E322B3"/>
    <w:rsid w:val="00E42FB8"/>
    <w:rsid w:val="00E44503"/>
    <w:rsid w:val="00E60FC4"/>
    <w:rsid w:val="00E64594"/>
    <w:rsid w:val="00E70167"/>
    <w:rsid w:val="00E711C6"/>
    <w:rsid w:val="00E75065"/>
    <w:rsid w:val="00E76CE8"/>
    <w:rsid w:val="00E774F1"/>
    <w:rsid w:val="00E81833"/>
    <w:rsid w:val="00EB158D"/>
    <w:rsid w:val="00EB3E94"/>
    <w:rsid w:val="00EB79E2"/>
    <w:rsid w:val="00EC25FB"/>
    <w:rsid w:val="00EC2C4A"/>
    <w:rsid w:val="00EC6699"/>
    <w:rsid w:val="00ED065A"/>
    <w:rsid w:val="00ED6140"/>
    <w:rsid w:val="00EE1901"/>
    <w:rsid w:val="00EE288F"/>
    <w:rsid w:val="00EE445B"/>
    <w:rsid w:val="00EE5F26"/>
    <w:rsid w:val="00EE63C6"/>
    <w:rsid w:val="00EE7FD1"/>
    <w:rsid w:val="00EF0B9A"/>
    <w:rsid w:val="00EF1251"/>
    <w:rsid w:val="00F012F9"/>
    <w:rsid w:val="00F1163D"/>
    <w:rsid w:val="00F15A6F"/>
    <w:rsid w:val="00F15C20"/>
    <w:rsid w:val="00F40997"/>
    <w:rsid w:val="00F421E9"/>
    <w:rsid w:val="00F43601"/>
    <w:rsid w:val="00F440FD"/>
    <w:rsid w:val="00F46772"/>
    <w:rsid w:val="00F47575"/>
    <w:rsid w:val="00F538EF"/>
    <w:rsid w:val="00F54D92"/>
    <w:rsid w:val="00F561EB"/>
    <w:rsid w:val="00F57738"/>
    <w:rsid w:val="00F61DF0"/>
    <w:rsid w:val="00F656B5"/>
    <w:rsid w:val="00F71356"/>
    <w:rsid w:val="00F71E84"/>
    <w:rsid w:val="00F7299C"/>
    <w:rsid w:val="00F81D62"/>
    <w:rsid w:val="00F907CA"/>
    <w:rsid w:val="00F95E68"/>
    <w:rsid w:val="00F96667"/>
    <w:rsid w:val="00FA09FA"/>
    <w:rsid w:val="00FB0FCE"/>
    <w:rsid w:val="00FB6683"/>
    <w:rsid w:val="00FC355F"/>
    <w:rsid w:val="00FD11B7"/>
    <w:rsid w:val="00FD4896"/>
    <w:rsid w:val="00FD5C0A"/>
    <w:rsid w:val="00FE17A4"/>
    <w:rsid w:val="00FE46AF"/>
    <w:rsid w:val="00FE570B"/>
    <w:rsid w:val="00FE694D"/>
    <w:rsid w:val="00FF2D0A"/>
    <w:rsid w:val="00FF49F4"/>
    <w:rsid w:val="00FF6646"/>
    <w:rsid w:val="00FF6D4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B5F4"/>
  <w15:docId w15:val="{4785D16E-1553-41AA-9574-2BB7C06F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8DD"/>
  </w:style>
  <w:style w:type="paragraph" w:styleId="Heading1">
    <w:name w:val="heading 1"/>
    <w:basedOn w:val="Normal"/>
    <w:link w:val="Heading1Char"/>
    <w:uiPriority w:val="9"/>
    <w:qFormat/>
    <w:rsid w:val="00065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272A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272A5"/>
    <w:rPr>
      <w:rFonts w:ascii="Calibri" w:hAnsi="Calibri" w:cs="Calibri"/>
      <w:noProof/>
      <w:lang w:val="en-US"/>
    </w:rPr>
  </w:style>
  <w:style w:type="paragraph" w:customStyle="1" w:styleId="EndNoteBibliography">
    <w:name w:val="EndNote Bibliography"/>
    <w:basedOn w:val="Normal"/>
    <w:link w:val="EndNoteBibliographyChar"/>
    <w:rsid w:val="009272A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272A5"/>
    <w:rPr>
      <w:rFonts w:ascii="Calibri" w:hAnsi="Calibri" w:cs="Calibri"/>
      <w:noProof/>
      <w:lang w:val="en-US"/>
    </w:rPr>
  </w:style>
  <w:style w:type="paragraph" w:styleId="NormalWeb">
    <w:name w:val="Normal (Web)"/>
    <w:basedOn w:val="Normal"/>
    <w:uiPriority w:val="99"/>
    <w:semiHidden/>
    <w:unhideWhenUsed/>
    <w:rsid w:val="00720C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20C27"/>
    <w:rPr>
      <w:color w:val="0000FF"/>
      <w:u w:val="single"/>
    </w:rPr>
  </w:style>
  <w:style w:type="character" w:styleId="HTMLCite">
    <w:name w:val="HTML Cite"/>
    <w:basedOn w:val="DefaultParagraphFont"/>
    <w:uiPriority w:val="99"/>
    <w:semiHidden/>
    <w:unhideWhenUsed/>
    <w:rsid w:val="00720C27"/>
    <w:rPr>
      <w:i/>
      <w:iCs/>
    </w:rPr>
  </w:style>
  <w:style w:type="character" w:customStyle="1" w:styleId="author">
    <w:name w:val="author"/>
    <w:basedOn w:val="DefaultParagraphFont"/>
    <w:rsid w:val="00720C27"/>
  </w:style>
  <w:style w:type="character" w:customStyle="1" w:styleId="articletitle">
    <w:name w:val="articletitle"/>
    <w:basedOn w:val="DefaultParagraphFont"/>
    <w:rsid w:val="00720C27"/>
  </w:style>
  <w:style w:type="character" w:styleId="Emphasis">
    <w:name w:val="Emphasis"/>
    <w:basedOn w:val="DefaultParagraphFont"/>
    <w:uiPriority w:val="20"/>
    <w:qFormat/>
    <w:rsid w:val="00FF2D0A"/>
    <w:rPr>
      <w:i/>
      <w:iCs/>
    </w:rPr>
  </w:style>
  <w:style w:type="character" w:customStyle="1" w:styleId="journaltitle">
    <w:name w:val="journaltitle"/>
    <w:basedOn w:val="DefaultParagraphFont"/>
    <w:rsid w:val="00FF2D0A"/>
  </w:style>
  <w:style w:type="character" w:customStyle="1" w:styleId="pubyear">
    <w:name w:val="pubyear"/>
    <w:basedOn w:val="DefaultParagraphFont"/>
    <w:rsid w:val="00FF2D0A"/>
  </w:style>
  <w:style w:type="character" w:styleId="FootnoteReference">
    <w:name w:val="footnote reference"/>
    <w:basedOn w:val="DefaultParagraphFont"/>
    <w:uiPriority w:val="99"/>
    <w:semiHidden/>
    <w:unhideWhenUsed/>
    <w:rsid w:val="00FB6683"/>
    <w:rPr>
      <w:vertAlign w:val="superscript"/>
    </w:rPr>
  </w:style>
  <w:style w:type="character" w:customStyle="1" w:styleId="Heading1Char">
    <w:name w:val="Heading 1 Char"/>
    <w:basedOn w:val="DefaultParagraphFont"/>
    <w:link w:val="Heading1"/>
    <w:uiPriority w:val="9"/>
    <w:rsid w:val="0006577D"/>
    <w:rPr>
      <w:rFonts w:ascii="Times New Roman" w:eastAsia="Times New Roman" w:hAnsi="Times New Roman" w:cs="Times New Roman"/>
      <w:b/>
      <w:bCs/>
      <w:kern w:val="36"/>
      <w:sz w:val="48"/>
      <w:szCs w:val="48"/>
      <w:lang w:eastAsia="en-AU"/>
    </w:rPr>
  </w:style>
  <w:style w:type="character" w:styleId="CommentReference">
    <w:name w:val="annotation reference"/>
    <w:basedOn w:val="DefaultParagraphFont"/>
    <w:uiPriority w:val="99"/>
    <w:semiHidden/>
    <w:unhideWhenUsed/>
    <w:rsid w:val="00314F97"/>
    <w:rPr>
      <w:sz w:val="16"/>
      <w:szCs w:val="16"/>
    </w:rPr>
  </w:style>
  <w:style w:type="paragraph" w:styleId="CommentText">
    <w:name w:val="annotation text"/>
    <w:basedOn w:val="Normal"/>
    <w:link w:val="CommentTextChar"/>
    <w:uiPriority w:val="99"/>
    <w:unhideWhenUsed/>
    <w:rsid w:val="00314F97"/>
    <w:pPr>
      <w:spacing w:line="240" w:lineRule="auto"/>
    </w:pPr>
    <w:rPr>
      <w:sz w:val="20"/>
      <w:szCs w:val="20"/>
    </w:rPr>
  </w:style>
  <w:style w:type="character" w:customStyle="1" w:styleId="CommentTextChar">
    <w:name w:val="Comment Text Char"/>
    <w:basedOn w:val="DefaultParagraphFont"/>
    <w:link w:val="CommentText"/>
    <w:uiPriority w:val="99"/>
    <w:rsid w:val="00314F97"/>
    <w:rPr>
      <w:sz w:val="20"/>
      <w:szCs w:val="20"/>
    </w:rPr>
  </w:style>
  <w:style w:type="paragraph" w:styleId="CommentSubject">
    <w:name w:val="annotation subject"/>
    <w:basedOn w:val="CommentText"/>
    <w:next w:val="CommentText"/>
    <w:link w:val="CommentSubjectChar"/>
    <w:uiPriority w:val="99"/>
    <w:semiHidden/>
    <w:unhideWhenUsed/>
    <w:rsid w:val="00314F97"/>
    <w:rPr>
      <w:b/>
      <w:bCs/>
    </w:rPr>
  </w:style>
  <w:style w:type="character" w:customStyle="1" w:styleId="CommentSubjectChar">
    <w:name w:val="Comment Subject Char"/>
    <w:basedOn w:val="CommentTextChar"/>
    <w:link w:val="CommentSubject"/>
    <w:uiPriority w:val="99"/>
    <w:semiHidden/>
    <w:rsid w:val="00314F97"/>
    <w:rPr>
      <w:b/>
      <w:bCs/>
      <w:sz w:val="20"/>
      <w:szCs w:val="20"/>
    </w:rPr>
  </w:style>
  <w:style w:type="paragraph" w:styleId="BalloonText">
    <w:name w:val="Balloon Text"/>
    <w:basedOn w:val="Normal"/>
    <w:link w:val="BalloonTextChar"/>
    <w:uiPriority w:val="99"/>
    <w:semiHidden/>
    <w:unhideWhenUsed/>
    <w:rsid w:val="00314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97"/>
    <w:rPr>
      <w:rFonts w:ascii="Segoe UI" w:hAnsi="Segoe UI" w:cs="Segoe UI"/>
      <w:sz w:val="18"/>
      <w:szCs w:val="18"/>
    </w:rPr>
  </w:style>
  <w:style w:type="paragraph" w:styleId="Revision">
    <w:name w:val="Revision"/>
    <w:hidden/>
    <w:uiPriority w:val="99"/>
    <w:semiHidden/>
    <w:rsid w:val="0068071D"/>
    <w:pPr>
      <w:spacing w:after="0" w:line="240" w:lineRule="auto"/>
    </w:pPr>
  </w:style>
  <w:style w:type="paragraph" w:styleId="Header">
    <w:name w:val="header"/>
    <w:basedOn w:val="Normal"/>
    <w:link w:val="HeaderChar"/>
    <w:uiPriority w:val="99"/>
    <w:unhideWhenUsed/>
    <w:rsid w:val="00680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71D"/>
  </w:style>
  <w:style w:type="paragraph" w:styleId="Footer">
    <w:name w:val="footer"/>
    <w:basedOn w:val="Normal"/>
    <w:link w:val="FooterChar"/>
    <w:uiPriority w:val="99"/>
    <w:unhideWhenUsed/>
    <w:rsid w:val="00680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71D"/>
  </w:style>
  <w:style w:type="character" w:styleId="FollowedHyperlink">
    <w:name w:val="FollowedHyperlink"/>
    <w:basedOn w:val="DefaultParagraphFont"/>
    <w:uiPriority w:val="99"/>
    <w:semiHidden/>
    <w:unhideWhenUsed/>
    <w:rsid w:val="001A0167"/>
    <w:rPr>
      <w:color w:val="954F72" w:themeColor="followedHyperlink"/>
      <w:u w:val="single"/>
    </w:rPr>
  </w:style>
  <w:style w:type="paragraph" w:styleId="NoSpacing">
    <w:name w:val="No Spacing"/>
    <w:aliases w:val="Normal1"/>
    <w:link w:val="NoSpacingChar"/>
    <w:uiPriority w:val="1"/>
    <w:qFormat/>
    <w:rsid w:val="00375878"/>
    <w:pPr>
      <w:spacing w:after="0" w:line="240" w:lineRule="auto"/>
    </w:pPr>
  </w:style>
  <w:style w:type="paragraph" w:styleId="ListParagraph">
    <w:name w:val="List Paragraph"/>
    <w:basedOn w:val="Normal"/>
    <w:uiPriority w:val="34"/>
    <w:qFormat/>
    <w:rsid w:val="004076A4"/>
    <w:pPr>
      <w:ind w:left="720"/>
      <w:contextualSpacing/>
    </w:pPr>
  </w:style>
  <w:style w:type="character" w:customStyle="1" w:styleId="NoSpacingChar">
    <w:name w:val="No Spacing Char"/>
    <w:aliases w:val="Normal1 Char"/>
    <w:basedOn w:val="DefaultParagraphFont"/>
    <w:link w:val="NoSpacing"/>
    <w:uiPriority w:val="1"/>
    <w:rsid w:val="003A0EE4"/>
  </w:style>
  <w:style w:type="character" w:customStyle="1" w:styleId="UnresolvedMention1">
    <w:name w:val="Unresolved Mention1"/>
    <w:basedOn w:val="DefaultParagraphFont"/>
    <w:uiPriority w:val="99"/>
    <w:semiHidden/>
    <w:unhideWhenUsed/>
    <w:rsid w:val="00AA3D49"/>
    <w:rPr>
      <w:color w:val="808080"/>
      <w:shd w:val="clear" w:color="auto" w:fill="E6E6E6"/>
    </w:rPr>
  </w:style>
  <w:style w:type="character" w:styleId="UnresolvedMention">
    <w:name w:val="Unresolved Mention"/>
    <w:basedOn w:val="DefaultParagraphFont"/>
    <w:uiPriority w:val="99"/>
    <w:semiHidden/>
    <w:unhideWhenUsed/>
    <w:rsid w:val="00BD5C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4877">
      <w:bodyDiv w:val="1"/>
      <w:marLeft w:val="0"/>
      <w:marRight w:val="0"/>
      <w:marTop w:val="0"/>
      <w:marBottom w:val="0"/>
      <w:divBdr>
        <w:top w:val="none" w:sz="0" w:space="0" w:color="auto"/>
        <w:left w:val="none" w:sz="0" w:space="0" w:color="auto"/>
        <w:bottom w:val="none" w:sz="0" w:space="0" w:color="auto"/>
        <w:right w:val="none" w:sz="0" w:space="0" w:color="auto"/>
      </w:divBdr>
    </w:div>
    <w:div w:id="228811126">
      <w:bodyDiv w:val="1"/>
      <w:marLeft w:val="0"/>
      <w:marRight w:val="0"/>
      <w:marTop w:val="0"/>
      <w:marBottom w:val="0"/>
      <w:divBdr>
        <w:top w:val="none" w:sz="0" w:space="0" w:color="auto"/>
        <w:left w:val="none" w:sz="0" w:space="0" w:color="auto"/>
        <w:bottom w:val="none" w:sz="0" w:space="0" w:color="auto"/>
        <w:right w:val="none" w:sz="0" w:space="0" w:color="auto"/>
      </w:divBdr>
    </w:div>
    <w:div w:id="396903782">
      <w:bodyDiv w:val="1"/>
      <w:marLeft w:val="0"/>
      <w:marRight w:val="0"/>
      <w:marTop w:val="0"/>
      <w:marBottom w:val="0"/>
      <w:divBdr>
        <w:top w:val="none" w:sz="0" w:space="0" w:color="auto"/>
        <w:left w:val="none" w:sz="0" w:space="0" w:color="auto"/>
        <w:bottom w:val="none" w:sz="0" w:space="0" w:color="auto"/>
        <w:right w:val="none" w:sz="0" w:space="0" w:color="auto"/>
      </w:divBdr>
    </w:div>
    <w:div w:id="465701555">
      <w:bodyDiv w:val="1"/>
      <w:marLeft w:val="0"/>
      <w:marRight w:val="0"/>
      <w:marTop w:val="0"/>
      <w:marBottom w:val="0"/>
      <w:divBdr>
        <w:top w:val="none" w:sz="0" w:space="0" w:color="auto"/>
        <w:left w:val="none" w:sz="0" w:space="0" w:color="auto"/>
        <w:bottom w:val="none" w:sz="0" w:space="0" w:color="auto"/>
        <w:right w:val="none" w:sz="0" w:space="0" w:color="auto"/>
      </w:divBdr>
      <w:divsChild>
        <w:div w:id="18045932">
          <w:marLeft w:val="0"/>
          <w:marRight w:val="0"/>
          <w:marTop w:val="0"/>
          <w:marBottom w:val="0"/>
          <w:divBdr>
            <w:top w:val="none" w:sz="0" w:space="0" w:color="auto"/>
            <w:left w:val="none" w:sz="0" w:space="0" w:color="auto"/>
            <w:bottom w:val="none" w:sz="0" w:space="0" w:color="auto"/>
            <w:right w:val="none" w:sz="0" w:space="0" w:color="auto"/>
          </w:divBdr>
        </w:div>
      </w:divsChild>
    </w:div>
    <w:div w:id="468402672">
      <w:bodyDiv w:val="1"/>
      <w:marLeft w:val="0"/>
      <w:marRight w:val="0"/>
      <w:marTop w:val="0"/>
      <w:marBottom w:val="0"/>
      <w:divBdr>
        <w:top w:val="none" w:sz="0" w:space="0" w:color="auto"/>
        <w:left w:val="none" w:sz="0" w:space="0" w:color="auto"/>
        <w:bottom w:val="none" w:sz="0" w:space="0" w:color="auto"/>
        <w:right w:val="none" w:sz="0" w:space="0" w:color="auto"/>
      </w:divBdr>
    </w:div>
    <w:div w:id="484661174">
      <w:bodyDiv w:val="1"/>
      <w:marLeft w:val="0"/>
      <w:marRight w:val="0"/>
      <w:marTop w:val="0"/>
      <w:marBottom w:val="0"/>
      <w:divBdr>
        <w:top w:val="none" w:sz="0" w:space="0" w:color="auto"/>
        <w:left w:val="none" w:sz="0" w:space="0" w:color="auto"/>
        <w:bottom w:val="none" w:sz="0" w:space="0" w:color="auto"/>
        <w:right w:val="none" w:sz="0" w:space="0" w:color="auto"/>
      </w:divBdr>
    </w:div>
    <w:div w:id="531697376">
      <w:bodyDiv w:val="1"/>
      <w:marLeft w:val="0"/>
      <w:marRight w:val="0"/>
      <w:marTop w:val="0"/>
      <w:marBottom w:val="0"/>
      <w:divBdr>
        <w:top w:val="none" w:sz="0" w:space="0" w:color="auto"/>
        <w:left w:val="none" w:sz="0" w:space="0" w:color="auto"/>
        <w:bottom w:val="none" w:sz="0" w:space="0" w:color="auto"/>
        <w:right w:val="none" w:sz="0" w:space="0" w:color="auto"/>
      </w:divBdr>
    </w:div>
    <w:div w:id="562984530">
      <w:bodyDiv w:val="1"/>
      <w:marLeft w:val="0"/>
      <w:marRight w:val="0"/>
      <w:marTop w:val="0"/>
      <w:marBottom w:val="0"/>
      <w:divBdr>
        <w:top w:val="none" w:sz="0" w:space="0" w:color="auto"/>
        <w:left w:val="none" w:sz="0" w:space="0" w:color="auto"/>
        <w:bottom w:val="none" w:sz="0" w:space="0" w:color="auto"/>
        <w:right w:val="none" w:sz="0" w:space="0" w:color="auto"/>
      </w:divBdr>
    </w:div>
    <w:div w:id="593130141">
      <w:bodyDiv w:val="1"/>
      <w:marLeft w:val="0"/>
      <w:marRight w:val="0"/>
      <w:marTop w:val="0"/>
      <w:marBottom w:val="0"/>
      <w:divBdr>
        <w:top w:val="none" w:sz="0" w:space="0" w:color="auto"/>
        <w:left w:val="none" w:sz="0" w:space="0" w:color="auto"/>
        <w:bottom w:val="none" w:sz="0" w:space="0" w:color="auto"/>
        <w:right w:val="none" w:sz="0" w:space="0" w:color="auto"/>
      </w:divBdr>
    </w:div>
    <w:div w:id="599527642">
      <w:bodyDiv w:val="1"/>
      <w:marLeft w:val="0"/>
      <w:marRight w:val="0"/>
      <w:marTop w:val="0"/>
      <w:marBottom w:val="0"/>
      <w:divBdr>
        <w:top w:val="none" w:sz="0" w:space="0" w:color="auto"/>
        <w:left w:val="none" w:sz="0" w:space="0" w:color="auto"/>
        <w:bottom w:val="none" w:sz="0" w:space="0" w:color="auto"/>
        <w:right w:val="none" w:sz="0" w:space="0" w:color="auto"/>
      </w:divBdr>
    </w:div>
    <w:div w:id="732507923">
      <w:bodyDiv w:val="1"/>
      <w:marLeft w:val="0"/>
      <w:marRight w:val="0"/>
      <w:marTop w:val="0"/>
      <w:marBottom w:val="0"/>
      <w:divBdr>
        <w:top w:val="none" w:sz="0" w:space="0" w:color="auto"/>
        <w:left w:val="none" w:sz="0" w:space="0" w:color="auto"/>
        <w:bottom w:val="none" w:sz="0" w:space="0" w:color="auto"/>
        <w:right w:val="none" w:sz="0" w:space="0" w:color="auto"/>
      </w:divBdr>
    </w:div>
    <w:div w:id="752361010">
      <w:bodyDiv w:val="1"/>
      <w:marLeft w:val="0"/>
      <w:marRight w:val="0"/>
      <w:marTop w:val="0"/>
      <w:marBottom w:val="0"/>
      <w:divBdr>
        <w:top w:val="none" w:sz="0" w:space="0" w:color="auto"/>
        <w:left w:val="none" w:sz="0" w:space="0" w:color="auto"/>
        <w:bottom w:val="none" w:sz="0" w:space="0" w:color="auto"/>
        <w:right w:val="none" w:sz="0" w:space="0" w:color="auto"/>
      </w:divBdr>
    </w:div>
    <w:div w:id="777406495">
      <w:bodyDiv w:val="1"/>
      <w:marLeft w:val="0"/>
      <w:marRight w:val="0"/>
      <w:marTop w:val="0"/>
      <w:marBottom w:val="0"/>
      <w:divBdr>
        <w:top w:val="none" w:sz="0" w:space="0" w:color="auto"/>
        <w:left w:val="none" w:sz="0" w:space="0" w:color="auto"/>
        <w:bottom w:val="none" w:sz="0" w:space="0" w:color="auto"/>
        <w:right w:val="none" w:sz="0" w:space="0" w:color="auto"/>
      </w:divBdr>
    </w:div>
    <w:div w:id="788160879">
      <w:bodyDiv w:val="1"/>
      <w:marLeft w:val="0"/>
      <w:marRight w:val="0"/>
      <w:marTop w:val="0"/>
      <w:marBottom w:val="0"/>
      <w:divBdr>
        <w:top w:val="none" w:sz="0" w:space="0" w:color="auto"/>
        <w:left w:val="none" w:sz="0" w:space="0" w:color="auto"/>
        <w:bottom w:val="none" w:sz="0" w:space="0" w:color="auto"/>
        <w:right w:val="none" w:sz="0" w:space="0" w:color="auto"/>
      </w:divBdr>
      <w:divsChild>
        <w:div w:id="317850248">
          <w:marLeft w:val="0"/>
          <w:marRight w:val="0"/>
          <w:marTop w:val="0"/>
          <w:marBottom w:val="0"/>
          <w:divBdr>
            <w:top w:val="none" w:sz="0" w:space="0" w:color="auto"/>
            <w:left w:val="none" w:sz="0" w:space="0" w:color="auto"/>
            <w:bottom w:val="none" w:sz="0" w:space="0" w:color="auto"/>
            <w:right w:val="none" w:sz="0" w:space="0" w:color="auto"/>
          </w:divBdr>
          <w:divsChild>
            <w:div w:id="1259630750">
              <w:marLeft w:val="0"/>
              <w:marRight w:val="0"/>
              <w:marTop w:val="0"/>
              <w:marBottom w:val="0"/>
              <w:divBdr>
                <w:top w:val="none" w:sz="0" w:space="0" w:color="auto"/>
                <w:left w:val="none" w:sz="0" w:space="0" w:color="auto"/>
                <w:bottom w:val="none" w:sz="0" w:space="0" w:color="auto"/>
                <w:right w:val="none" w:sz="0" w:space="0" w:color="auto"/>
              </w:divBdr>
              <w:divsChild>
                <w:div w:id="1423910240">
                  <w:marLeft w:val="0"/>
                  <w:marRight w:val="0"/>
                  <w:marTop w:val="0"/>
                  <w:marBottom w:val="0"/>
                  <w:divBdr>
                    <w:top w:val="none" w:sz="0" w:space="0" w:color="auto"/>
                    <w:left w:val="none" w:sz="0" w:space="0" w:color="auto"/>
                    <w:bottom w:val="none" w:sz="0" w:space="0" w:color="auto"/>
                    <w:right w:val="none" w:sz="0" w:space="0" w:color="auto"/>
                  </w:divBdr>
                </w:div>
                <w:div w:id="1859463530">
                  <w:marLeft w:val="0"/>
                  <w:marRight w:val="0"/>
                  <w:marTop w:val="0"/>
                  <w:marBottom w:val="0"/>
                  <w:divBdr>
                    <w:top w:val="none" w:sz="0" w:space="0" w:color="auto"/>
                    <w:left w:val="none" w:sz="0" w:space="0" w:color="auto"/>
                    <w:bottom w:val="none" w:sz="0" w:space="0" w:color="auto"/>
                    <w:right w:val="none" w:sz="0" w:space="0" w:color="auto"/>
                  </w:divBdr>
                </w:div>
              </w:divsChild>
            </w:div>
            <w:div w:id="1858545729">
              <w:marLeft w:val="0"/>
              <w:marRight w:val="0"/>
              <w:marTop w:val="0"/>
              <w:marBottom w:val="0"/>
              <w:divBdr>
                <w:top w:val="none" w:sz="0" w:space="0" w:color="auto"/>
                <w:left w:val="none" w:sz="0" w:space="0" w:color="auto"/>
                <w:bottom w:val="none" w:sz="0" w:space="0" w:color="auto"/>
                <w:right w:val="none" w:sz="0" w:space="0" w:color="auto"/>
              </w:divBdr>
              <w:divsChild>
                <w:div w:id="209463758">
                  <w:marLeft w:val="0"/>
                  <w:marRight w:val="0"/>
                  <w:marTop w:val="0"/>
                  <w:marBottom w:val="0"/>
                  <w:divBdr>
                    <w:top w:val="none" w:sz="0" w:space="0" w:color="auto"/>
                    <w:left w:val="none" w:sz="0" w:space="0" w:color="auto"/>
                    <w:bottom w:val="none" w:sz="0" w:space="0" w:color="auto"/>
                    <w:right w:val="none" w:sz="0" w:space="0" w:color="auto"/>
                  </w:divBdr>
                </w:div>
                <w:div w:id="1203665484">
                  <w:marLeft w:val="0"/>
                  <w:marRight w:val="0"/>
                  <w:marTop w:val="0"/>
                  <w:marBottom w:val="0"/>
                  <w:divBdr>
                    <w:top w:val="none" w:sz="0" w:space="0" w:color="auto"/>
                    <w:left w:val="none" w:sz="0" w:space="0" w:color="auto"/>
                    <w:bottom w:val="none" w:sz="0" w:space="0" w:color="auto"/>
                    <w:right w:val="none" w:sz="0" w:space="0" w:color="auto"/>
                  </w:divBdr>
                </w:div>
              </w:divsChild>
            </w:div>
            <w:div w:id="1290282314">
              <w:marLeft w:val="0"/>
              <w:marRight w:val="0"/>
              <w:marTop w:val="0"/>
              <w:marBottom w:val="0"/>
              <w:divBdr>
                <w:top w:val="none" w:sz="0" w:space="0" w:color="auto"/>
                <w:left w:val="none" w:sz="0" w:space="0" w:color="auto"/>
                <w:bottom w:val="none" w:sz="0" w:space="0" w:color="auto"/>
                <w:right w:val="none" w:sz="0" w:space="0" w:color="auto"/>
              </w:divBdr>
              <w:divsChild>
                <w:div w:id="1437794773">
                  <w:marLeft w:val="0"/>
                  <w:marRight w:val="0"/>
                  <w:marTop w:val="0"/>
                  <w:marBottom w:val="0"/>
                  <w:divBdr>
                    <w:top w:val="none" w:sz="0" w:space="0" w:color="auto"/>
                    <w:left w:val="none" w:sz="0" w:space="0" w:color="auto"/>
                    <w:bottom w:val="none" w:sz="0" w:space="0" w:color="auto"/>
                    <w:right w:val="none" w:sz="0" w:space="0" w:color="auto"/>
                  </w:divBdr>
                </w:div>
                <w:div w:id="11522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9200">
          <w:marLeft w:val="0"/>
          <w:marRight w:val="0"/>
          <w:marTop w:val="0"/>
          <w:marBottom w:val="0"/>
          <w:divBdr>
            <w:top w:val="none" w:sz="0" w:space="0" w:color="auto"/>
            <w:left w:val="none" w:sz="0" w:space="0" w:color="auto"/>
            <w:bottom w:val="none" w:sz="0" w:space="0" w:color="auto"/>
            <w:right w:val="none" w:sz="0" w:space="0" w:color="auto"/>
          </w:divBdr>
        </w:div>
        <w:div w:id="1265845142">
          <w:marLeft w:val="0"/>
          <w:marRight w:val="0"/>
          <w:marTop w:val="0"/>
          <w:marBottom w:val="0"/>
          <w:divBdr>
            <w:top w:val="none" w:sz="0" w:space="0" w:color="auto"/>
            <w:left w:val="none" w:sz="0" w:space="0" w:color="auto"/>
            <w:bottom w:val="none" w:sz="0" w:space="0" w:color="auto"/>
            <w:right w:val="none" w:sz="0" w:space="0" w:color="auto"/>
          </w:divBdr>
        </w:div>
        <w:div w:id="1755662168">
          <w:marLeft w:val="0"/>
          <w:marRight w:val="0"/>
          <w:marTop w:val="0"/>
          <w:marBottom w:val="0"/>
          <w:divBdr>
            <w:top w:val="none" w:sz="0" w:space="0" w:color="auto"/>
            <w:left w:val="none" w:sz="0" w:space="0" w:color="auto"/>
            <w:bottom w:val="none" w:sz="0" w:space="0" w:color="auto"/>
            <w:right w:val="none" w:sz="0" w:space="0" w:color="auto"/>
          </w:divBdr>
        </w:div>
        <w:div w:id="369885697">
          <w:marLeft w:val="0"/>
          <w:marRight w:val="0"/>
          <w:marTop w:val="0"/>
          <w:marBottom w:val="0"/>
          <w:divBdr>
            <w:top w:val="none" w:sz="0" w:space="0" w:color="auto"/>
            <w:left w:val="none" w:sz="0" w:space="0" w:color="auto"/>
            <w:bottom w:val="none" w:sz="0" w:space="0" w:color="auto"/>
            <w:right w:val="none" w:sz="0" w:space="0" w:color="auto"/>
          </w:divBdr>
        </w:div>
        <w:div w:id="1906060029">
          <w:marLeft w:val="0"/>
          <w:marRight w:val="0"/>
          <w:marTop w:val="0"/>
          <w:marBottom w:val="0"/>
          <w:divBdr>
            <w:top w:val="none" w:sz="0" w:space="0" w:color="auto"/>
            <w:left w:val="none" w:sz="0" w:space="0" w:color="auto"/>
            <w:bottom w:val="none" w:sz="0" w:space="0" w:color="auto"/>
            <w:right w:val="none" w:sz="0" w:space="0" w:color="auto"/>
          </w:divBdr>
        </w:div>
        <w:div w:id="913469596">
          <w:marLeft w:val="0"/>
          <w:marRight w:val="0"/>
          <w:marTop w:val="0"/>
          <w:marBottom w:val="0"/>
          <w:divBdr>
            <w:top w:val="none" w:sz="0" w:space="0" w:color="auto"/>
            <w:left w:val="none" w:sz="0" w:space="0" w:color="auto"/>
            <w:bottom w:val="none" w:sz="0" w:space="0" w:color="auto"/>
            <w:right w:val="none" w:sz="0" w:space="0" w:color="auto"/>
          </w:divBdr>
        </w:div>
      </w:divsChild>
    </w:div>
    <w:div w:id="791745950">
      <w:bodyDiv w:val="1"/>
      <w:marLeft w:val="0"/>
      <w:marRight w:val="0"/>
      <w:marTop w:val="0"/>
      <w:marBottom w:val="0"/>
      <w:divBdr>
        <w:top w:val="none" w:sz="0" w:space="0" w:color="auto"/>
        <w:left w:val="none" w:sz="0" w:space="0" w:color="auto"/>
        <w:bottom w:val="none" w:sz="0" w:space="0" w:color="auto"/>
        <w:right w:val="none" w:sz="0" w:space="0" w:color="auto"/>
      </w:divBdr>
    </w:div>
    <w:div w:id="821890872">
      <w:bodyDiv w:val="1"/>
      <w:marLeft w:val="0"/>
      <w:marRight w:val="0"/>
      <w:marTop w:val="0"/>
      <w:marBottom w:val="0"/>
      <w:divBdr>
        <w:top w:val="none" w:sz="0" w:space="0" w:color="auto"/>
        <w:left w:val="none" w:sz="0" w:space="0" w:color="auto"/>
        <w:bottom w:val="none" w:sz="0" w:space="0" w:color="auto"/>
        <w:right w:val="none" w:sz="0" w:space="0" w:color="auto"/>
      </w:divBdr>
    </w:div>
    <w:div w:id="1029066975">
      <w:bodyDiv w:val="1"/>
      <w:marLeft w:val="0"/>
      <w:marRight w:val="0"/>
      <w:marTop w:val="0"/>
      <w:marBottom w:val="0"/>
      <w:divBdr>
        <w:top w:val="none" w:sz="0" w:space="0" w:color="auto"/>
        <w:left w:val="none" w:sz="0" w:space="0" w:color="auto"/>
        <w:bottom w:val="none" w:sz="0" w:space="0" w:color="auto"/>
        <w:right w:val="none" w:sz="0" w:space="0" w:color="auto"/>
      </w:divBdr>
    </w:div>
    <w:div w:id="1054622953">
      <w:bodyDiv w:val="1"/>
      <w:marLeft w:val="0"/>
      <w:marRight w:val="0"/>
      <w:marTop w:val="0"/>
      <w:marBottom w:val="0"/>
      <w:divBdr>
        <w:top w:val="none" w:sz="0" w:space="0" w:color="auto"/>
        <w:left w:val="none" w:sz="0" w:space="0" w:color="auto"/>
        <w:bottom w:val="none" w:sz="0" w:space="0" w:color="auto"/>
        <w:right w:val="none" w:sz="0" w:space="0" w:color="auto"/>
      </w:divBdr>
    </w:div>
    <w:div w:id="1136802203">
      <w:bodyDiv w:val="1"/>
      <w:marLeft w:val="0"/>
      <w:marRight w:val="0"/>
      <w:marTop w:val="0"/>
      <w:marBottom w:val="0"/>
      <w:divBdr>
        <w:top w:val="none" w:sz="0" w:space="0" w:color="auto"/>
        <w:left w:val="none" w:sz="0" w:space="0" w:color="auto"/>
        <w:bottom w:val="none" w:sz="0" w:space="0" w:color="auto"/>
        <w:right w:val="none" w:sz="0" w:space="0" w:color="auto"/>
      </w:divBdr>
    </w:div>
    <w:div w:id="1365129162">
      <w:bodyDiv w:val="1"/>
      <w:marLeft w:val="0"/>
      <w:marRight w:val="0"/>
      <w:marTop w:val="0"/>
      <w:marBottom w:val="0"/>
      <w:divBdr>
        <w:top w:val="none" w:sz="0" w:space="0" w:color="auto"/>
        <w:left w:val="none" w:sz="0" w:space="0" w:color="auto"/>
        <w:bottom w:val="none" w:sz="0" w:space="0" w:color="auto"/>
        <w:right w:val="none" w:sz="0" w:space="0" w:color="auto"/>
      </w:divBdr>
      <w:divsChild>
        <w:div w:id="1801802167">
          <w:marLeft w:val="0"/>
          <w:marRight w:val="0"/>
          <w:marTop w:val="0"/>
          <w:marBottom w:val="0"/>
          <w:divBdr>
            <w:top w:val="none" w:sz="0" w:space="0" w:color="auto"/>
            <w:left w:val="none" w:sz="0" w:space="0" w:color="auto"/>
            <w:bottom w:val="none" w:sz="0" w:space="0" w:color="auto"/>
            <w:right w:val="none" w:sz="0" w:space="0" w:color="auto"/>
          </w:divBdr>
          <w:divsChild>
            <w:div w:id="1227036056">
              <w:marLeft w:val="0"/>
              <w:marRight w:val="0"/>
              <w:marTop w:val="0"/>
              <w:marBottom w:val="0"/>
              <w:divBdr>
                <w:top w:val="none" w:sz="0" w:space="0" w:color="auto"/>
                <w:left w:val="none" w:sz="0" w:space="0" w:color="auto"/>
                <w:bottom w:val="none" w:sz="0" w:space="0" w:color="auto"/>
                <w:right w:val="none" w:sz="0" w:space="0" w:color="auto"/>
              </w:divBdr>
              <w:divsChild>
                <w:div w:id="1335500529">
                  <w:marLeft w:val="0"/>
                  <w:marRight w:val="0"/>
                  <w:marTop w:val="0"/>
                  <w:marBottom w:val="0"/>
                  <w:divBdr>
                    <w:top w:val="none" w:sz="0" w:space="0" w:color="auto"/>
                    <w:left w:val="none" w:sz="0" w:space="0" w:color="auto"/>
                    <w:bottom w:val="none" w:sz="0" w:space="0" w:color="auto"/>
                    <w:right w:val="none" w:sz="0" w:space="0" w:color="auto"/>
                  </w:divBdr>
                </w:div>
                <w:div w:id="126823866">
                  <w:marLeft w:val="0"/>
                  <w:marRight w:val="0"/>
                  <w:marTop w:val="0"/>
                  <w:marBottom w:val="0"/>
                  <w:divBdr>
                    <w:top w:val="none" w:sz="0" w:space="0" w:color="auto"/>
                    <w:left w:val="none" w:sz="0" w:space="0" w:color="auto"/>
                    <w:bottom w:val="none" w:sz="0" w:space="0" w:color="auto"/>
                    <w:right w:val="none" w:sz="0" w:space="0" w:color="auto"/>
                  </w:divBdr>
                </w:div>
              </w:divsChild>
            </w:div>
            <w:div w:id="1517113537">
              <w:marLeft w:val="0"/>
              <w:marRight w:val="0"/>
              <w:marTop w:val="0"/>
              <w:marBottom w:val="0"/>
              <w:divBdr>
                <w:top w:val="none" w:sz="0" w:space="0" w:color="auto"/>
                <w:left w:val="none" w:sz="0" w:space="0" w:color="auto"/>
                <w:bottom w:val="none" w:sz="0" w:space="0" w:color="auto"/>
                <w:right w:val="none" w:sz="0" w:space="0" w:color="auto"/>
              </w:divBdr>
              <w:divsChild>
                <w:div w:id="114375897">
                  <w:marLeft w:val="0"/>
                  <w:marRight w:val="0"/>
                  <w:marTop w:val="0"/>
                  <w:marBottom w:val="0"/>
                  <w:divBdr>
                    <w:top w:val="none" w:sz="0" w:space="0" w:color="auto"/>
                    <w:left w:val="none" w:sz="0" w:space="0" w:color="auto"/>
                    <w:bottom w:val="none" w:sz="0" w:space="0" w:color="auto"/>
                    <w:right w:val="none" w:sz="0" w:space="0" w:color="auto"/>
                  </w:divBdr>
                </w:div>
                <w:div w:id="1816490204">
                  <w:marLeft w:val="0"/>
                  <w:marRight w:val="0"/>
                  <w:marTop w:val="0"/>
                  <w:marBottom w:val="0"/>
                  <w:divBdr>
                    <w:top w:val="none" w:sz="0" w:space="0" w:color="auto"/>
                    <w:left w:val="none" w:sz="0" w:space="0" w:color="auto"/>
                    <w:bottom w:val="none" w:sz="0" w:space="0" w:color="auto"/>
                    <w:right w:val="none" w:sz="0" w:space="0" w:color="auto"/>
                  </w:divBdr>
                </w:div>
              </w:divsChild>
            </w:div>
            <w:div w:id="1396732762">
              <w:marLeft w:val="0"/>
              <w:marRight w:val="0"/>
              <w:marTop w:val="0"/>
              <w:marBottom w:val="0"/>
              <w:divBdr>
                <w:top w:val="none" w:sz="0" w:space="0" w:color="auto"/>
                <w:left w:val="none" w:sz="0" w:space="0" w:color="auto"/>
                <w:bottom w:val="none" w:sz="0" w:space="0" w:color="auto"/>
                <w:right w:val="none" w:sz="0" w:space="0" w:color="auto"/>
              </w:divBdr>
              <w:divsChild>
                <w:div w:id="493491775">
                  <w:marLeft w:val="0"/>
                  <w:marRight w:val="0"/>
                  <w:marTop w:val="0"/>
                  <w:marBottom w:val="0"/>
                  <w:divBdr>
                    <w:top w:val="none" w:sz="0" w:space="0" w:color="auto"/>
                    <w:left w:val="none" w:sz="0" w:space="0" w:color="auto"/>
                    <w:bottom w:val="none" w:sz="0" w:space="0" w:color="auto"/>
                    <w:right w:val="none" w:sz="0" w:space="0" w:color="auto"/>
                  </w:divBdr>
                </w:div>
                <w:div w:id="1278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8677">
          <w:marLeft w:val="0"/>
          <w:marRight w:val="0"/>
          <w:marTop w:val="0"/>
          <w:marBottom w:val="0"/>
          <w:divBdr>
            <w:top w:val="none" w:sz="0" w:space="0" w:color="auto"/>
            <w:left w:val="none" w:sz="0" w:space="0" w:color="auto"/>
            <w:bottom w:val="none" w:sz="0" w:space="0" w:color="auto"/>
            <w:right w:val="none" w:sz="0" w:space="0" w:color="auto"/>
          </w:divBdr>
        </w:div>
        <w:div w:id="2045667566">
          <w:marLeft w:val="0"/>
          <w:marRight w:val="0"/>
          <w:marTop w:val="0"/>
          <w:marBottom w:val="0"/>
          <w:divBdr>
            <w:top w:val="none" w:sz="0" w:space="0" w:color="auto"/>
            <w:left w:val="none" w:sz="0" w:space="0" w:color="auto"/>
            <w:bottom w:val="none" w:sz="0" w:space="0" w:color="auto"/>
            <w:right w:val="none" w:sz="0" w:space="0" w:color="auto"/>
          </w:divBdr>
        </w:div>
        <w:div w:id="352458772">
          <w:marLeft w:val="0"/>
          <w:marRight w:val="0"/>
          <w:marTop w:val="0"/>
          <w:marBottom w:val="0"/>
          <w:divBdr>
            <w:top w:val="none" w:sz="0" w:space="0" w:color="auto"/>
            <w:left w:val="none" w:sz="0" w:space="0" w:color="auto"/>
            <w:bottom w:val="none" w:sz="0" w:space="0" w:color="auto"/>
            <w:right w:val="none" w:sz="0" w:space="0" w:color="auto"/>
          </w:divBdr>
        </w:div>
        <w:div w:id="1213346257">
          <w:marLeft w:val="0"/>
          <w:marRight w:val="0"/>
          <w:marTop w:val="0"/>
          <w:marBottom w:val="0"/>
          <w:divBdr>
            <w:top w:val="none" w:sz="0" w:space="0" w:color="auto"/>
            <w:left w:val="none" w:sz="0" w:space="0" w:color="auto"/>
            <w:bottom w:val="none" w:sz="0" w:space="0" w:color="auto"/>
            <w:right w:val="none" w:sz="0" w:space="0" w:color="auto"/>
          </w:divBdr>
        </w:div>
        <w:div w:id="664625636">
          <w:marLeft w:val="0"/>
          <w:marRight w:val="0"/>
          <w:marTop w:val="0"/>
          <w:marBottom w:val="0"/>
          <w:divBdr>
            <w:top w:val="none" w:sz="0" w:space="0" w:color="auto"/>
            <w:left w:val="none" w:sz="0" w:space="0" w:color="auto"/>
            <w:bottom w:val="none" w:sz="0" w:space="0" w:color="auto"/>
            <w:right w:val="none" w:sz="0" w:space="0" w:color="auto"/>
          </w:divBdr>
        </w:div>
        <w:div w:id="100271927">
          <w:marLeft w:val="0"/>
          <w:marRight w:val="0"/>
          <w:marTop w:val="0"/>
          <w:marBottom w:val="0"/>
          <w:divBdr>
            <w:top w:val="none" w:sz="0" w:space="0" w:color="auto"/>
            <w:left w:val="none" w:sz="0" w:space="0" w:color="auto"/>
            <w:bottom w:val="none" w:sz="0" w:space="0" w:color="auto"/>
            <w:right w:val="none" w:sz="0" w:space="0" w:color="auto"/>
          </w:divBdr>
        </w:div>
      </w:divsChild>
    </w:div>
    <w:div w:id="1409232505">
      <w:bodyDiv w:val="1"/>
      <w:marLeft w:val="0"/>
      <w:marRight w:val="0"/>
      <w:marTop w:val="0"/>
      <w:marBottom w:val="0"/>
      <w:divBdr>
        <w:top w:val="none" w:sz="0" w:space="0" w:color="auto"/>
        <w:left w:val="none" w:sz="0" w:space="0" w:color="auto"/>
        <w:bottom w:val="none" w:sz="0" w:space="0" w:color="auto"/>
        <w:right w:val="none" w:sz="0" w:space="0" w:color="auto"/>
      </w:divBdr>
    </w:div>
    <w:div w:id="1513571140">
      <w:bodyDiv w:val="1"/>
      <w:marLeft w:val="0"/>
      <w:marRight w:val="0"/>
      <w:marTop w:val="0"/>
      <w:marBottom w:val="0"/>
      <w:divBdr>
        <w:top w:val="none" w:sz="0" w:space="0" w:color="auto"/>
        <w:left w:val="none" w:sz="0" w:space="0" w:color="auto"/>
        <w:bottom w:val="none" w:sz="0" w:space="0" w:color="auto"/>
        <w:right w:val="none" w:sz="0" w:space="0" w:color="auto"/>
      </w:divBdr>
    </w:div>
    <w:div w:id="1714305190">
      <w:bodyDiv w:val="1"/>
      <w:marLeft w:val="0"/>
      <w:marRight w:val="0"/>
      <w:marTop w:val="0"/>
      <w:marBottom w:val="0"/>
      <w:divBdr>
        <w:top w:val="none" w:sz="0" w:space="0" w:color="auto"/>
        <w:left w:val="none" w:sz="0" w:space="0" w:color="auto"/>
        <w:bottom w:val="none" w:sz="0" w:space="0" w:color="auto"/>
        <w:right w:val="none" w:sz="0" w:space="0" w:color="auto"/>
      </w:divBdr>
    </w:div>
    <w:div w:id="1723822920">
      <w:bodyDiv w:val="1"/>
      <w:marLeft w:val="0"/>
      <w:marRight w:val="0"/>
      <w:marTop w:val="0"/>
      <w:marBottom w:val="0"/>
      <w:divBdr>
        <w:top w:val="none" w:sz="0" w:space="0" w:color="auto"/>
        <w:left w:val="none" w:sz="0" w:space="0" w:color="auto"/>
        <w:bottom w:val="none" w:sz="0" w:space="0" w:color="auto"/>
        <w:right w:val="none" w:sz="0" w:space="0" w:color="auto"/>
      </w:divBdr>
    </w:div>
    <w:div w:id="1736659292">
      <w:bodyDiv w:val="1"/>
      <w:marLeft w:val="0"/>
      <w:marRight w:val="0"/>
      <w:marTop w:val="0"/>
      <w:marBottom w:val="0"/>
      <w:divBdr>
        <w:top w:val="none" w:sz="0" w:space="0" w:color="auto"/>
        <w:left w:val="none" w:sz="0" w:space="0" w:color="auto"/>
        <w:bottom w:val="none" w:sz="0" w:space="0" w:color="auto"/>
        <w:right w:val="none" w:sz="0" w:space="0" w:color="auto"/>
      </w:divBdr>
    </w:div>
    <w:div w:id="1739549356">
      <w:bodyDiv w:val="1"/>
      <w:marLeft w:val="0"/>
      <w:marRight w:val="0"/>
      <w:marTop w:val="0"/>
      <w:marBottom w:val="0"/>
      <w:divBdr>
        <w:top w:val="none" w:sz="0" w:space="0" w:color="auto"/>
        <w:left w:val="none" w:sz="0" w:space="0" w:color="auto"/>
        <w:bottom w:val="none" w:sz="0" w:space="0" w:color="auto"/>
        <w:right w:val="none" w:sz="0" w:space="0" w:color="auto"/>
      </w:divBdr>
    </w:div>
    <w:div w:id="1812938736">
      <w:bodyDiv w:val="1"/>
      <w:marLeft w:val="0"/>
      <w:marRight w:val="0"/>
      <w:marTop w:val="0"/>
      <w:marBottom w:val="0"/>
      <w:divBdr>
        <w:top w:val="none" w:sz="0" w:space="0" w:color="auto"/>
        <w:left w:val="none" w:sz="0" w:space="0" w:color="auto"/>
        <w:bottom w:val="none" w:sz="0" w:space="0" w:color="auto"/>
        <w:right w:val="none" w:sz="0" w:space="0" w:color="auto"/>
      </w:divBdr>
    </w:div>
    <w:div w:id="1839728154">
      <w:bodyDiv w:val="1"/>
      <w:marLeft w:val="0"/>
      <w:marRight w:val="0"/>
      <w:marTop w:val="0"/>
      <w:marBottom w:val="0"/>
      <w:divBdr>
        <w:top w:val="none" w:sz="0" w:space="0" w:color="auto"/>
        <w:left w:val="none" w:sz="0" w:space="0" w:color="auto"/>
        <w:bottom w:val="none" w:sz="0" w:space="0" w:color="auto"/>
        <w:right w:val="none" w:sz="0" w:space="0" w:color="auto"/>
      </w:divBdr>
      <w:divsChild>
        <w:div w:id="1701972178">
          <w:marLeft w:val="0"/>
          <w:marRight w:val="0"/>
          <w:marTop w:val="0"/>
          <w:marBottom w:val="0"/>
          <w:divBdr>
            <w:top w:val="none" w:sz="0" w:space="0" w:color="auto"/>
            <w:left w:val="none" w:sz="0" w:space="0" w:color="auto"/>
            <w:bottom w:val="none" w:sz="0" w:space="0" w:color="auto"/>
            <w:right w:val="none" w:sz="0" w:space="0" w:color="auto"/>
          </w:divBdr>
          <w:divsChild>
            <w:div w:id="1881747904">
              <w:marLeft w:val="0"/>
              <w:marRight w:val="0"/>
              <w:marTop w:val="0"/>
              <w:marBottom w:val="0"/>
              <w:divBdr>
                <w:top w:val="none" w:sz="0" w:space="0" w:color="auto"/>
                <w:left w:val="none" w:sz="0" w:space="0" w:color="auto"/>
                <w:bottom w:val="none" w:sz="0" w:space="0" w:color="auto"/>
                <w:right w:val="none" w:sz="0" w:space="0" w:color="auto"/>
              </w:divBdr>
              <w:divsChild>
                <w:div w:id="1037049764">
                  <w:marLeft w:val="0"/>
                  <w:marRight w:val="0"/>
                  <w:marTop w:val="0"/>
                  <w:marBottom w:val="0"/>
                  <w:divBdr>
                    <w:top w:val="none" w:sz="0" w:space="0" w:color="auto"/>
                    <w:left w:val="none" w:sz="0" w:space="0" w:color="auto"/>
                    <w:bottom w:val="none" w:sz="0" w:space="0" w:color="auto"/>
                    <w:right w:val="none" w:sz="0" w:space="0" w:color="auto"/>
                  </w:divBdr>
                </w:div>
                <w:div w:id="1933732247">
                  <w:marLeft w:val="0"/>
                  <w:marRight w:val="0"/>
                  <w:marTop w:val="0"/>
                  <w:marBottom w:val="0"/>
                  <w:divBdr>
                    <w:top w:val="none" w:sz="0" w:space="0" w:color="auto"/>
                    <w:left w:val="none" w:sz="0" w:space="0" w:color="auto"/>
                    <w:bottom w:val="none" w:sz="0" w:space="0" w:color="auto"/>
                    <w:right w:val="none" w:sz="0" w:space="0" w:color="auto"/>
                  </w:divBdr>
                </w:div>
              </w:divsChild>
            </w:div>
            <w:div w:id="122819893">
              <w:marLeft w:val="0"/>
              <w:marRight w:val="0"/>
              <w:marTop w:val="0"/>
              <w:marBottom w:val="0"/>
              <w:divBdr>
                <w:top w:val="none" w:sz="0" w:space="0" w:color="auto"/>
                <w:left w:val="none" w:sz="0" w:space="0" w:color="auto"/>
                <w:bottom w:val="none" w:sz="0" w:space="0" w:color="auto"/>
                <w:right w:val="none" w:sz="0" w:space="0" w:color="auto"/>
              </w:divBdr>
              <w:divsChild>
                <w:div w:id="376204204">
                  <w:marLeft w:val="0"/>
                  <w:marRight w:val="0"/>
                  <w:marTop w:val="0"/>
                  <w:marBottom w:val="0"/>
                  <w:divBdr>
                    <w:top w:val="none" w:sz="0" w:space="0" w:color="auto"/>
                    <w:left w:val="none" w:sz="0" w:space="0" w:color="auto"/>
                    <w:bottom w:val="none" w:sz="0" w:space="0" w:color="auto"/>
                    <w:right w:val="none" w:sz="0" w:space="0" w:color="auto"/>
                  </w:divBdr>
                </w:div>
                <w:div w:id="1470586747">
                  <w:marLeft w:val="0"/>
                  <w:marRight w:val="0"/>
                  <w:marTop w:val="0"/>
                  <w:marBottom w:val="0"/>
                  <w:divBdr>
                    <w:top w:val="none" w:sz="0" w:space="0" w:color="auto"/>
                    <w:left w:val="none" w:sz="0" w:space="0" w:color="auto"/>
                    <w:bottom w:val="none" w:sz="0" w:space="0" w:color="auto"/>
                    <w:right w:val="none" w:sz="0" w:space="0" w:color="auto"/>
                  </w:divBdr>
                </w:div>
              </w:divsChild>
            </w:div>
            <w:div w:id="1672677856">
              <w:marLeft w:val="0"/>
              <w:marRight w:val="0"/>
              <w:marTop w:val="0"/>
              <w:marBottom w:val="0"/>
              <w:divBdr>
                <w:top w:val="none" w:sz="0" w:space="0" w:color="auto"/>
                <w:left w:val="none" w:sz="0" w:space="0" w:color="auto"/>
                <w:bottom w:val="none" w:sz="0" w:space="0" w:color="auto"/>
                <w:right w:val="none" w:sz="0" w:space="0" w:color="auto"/>
              </w:divBdr>
              <w:divsChild>
                <w:div w:id="461583262">
                  <w:marLeft w:val="0"/>
                  <w:marRight w:val="0"/>
                  <w:marTop w:val="0"/>
                  <w:marBottom w:val="0"/>
                  <w:divBdr>
                    <w:top w:val="none" w:sz="0" w:space="0" w:color="auto"/>
                    <w:left w:val="none" w:sz="0" w:space="0" w:color="auto"/>
                    <w:bottom w:val="none" w:sz="0" w:space="0" w:color="auto"/>
                    <w:right w:val="none" w:sz="0" w:space="0" w:color="auto"/>
                  </w:divBdr>
                </w:div>
                <w:div w:id="12350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8359">
          <w:marLeft w:val="0"/>
          <w:marRight w:val="0"/>
          <w:marTop w:val="0"/>
          <w:marBottom w:val="0"/>
          <w:divBdr>
            <w:top w:val="none" w:sz="0" w:space="0" w:color="auto"/>
            <w:left w:val="none" w:sz="0" w:space="0" w:color="auto"/>
            <w:bottom w:val="none" w:sz="0" w:space="0" w:color="auto"/>
            <w:right w:val="none" w:sz="0" w:space="0" w:color="auto"/>
          </w:divBdr>
        </w:div>
        <w:div w:id="480661409">
          <w:marLeft w:val="0"/>
          <w:marRight w:val="0"/>
          <w:marTop w:val="0"/>
          <w:marBottom w:val="0"/>
          <w:divBdr>
            <w:top w:val="none" w:sz="0" w:space="0" w:color="auto"/>
            <w:left w:val="none" w:sz="0" w:space="0" w:color="auto"/>
            <w:bottom w:val="none" w:sz="0" w:space="0" w:color="auto"/>
            <w:right w:val="none" w:sz="0" w:space="0" w:color="auto"/>
          </w:divBdr>
        </w:div>
        <w:div w:id="2118595964">
          <w:marLeft w:val="0"/>
          <w:marRight w:val="0"/>
          <w:marTop w:val="0"/>
          <w:marBottom w:val="0"/>
          <w:divBdr>
            <w:top w:val="none" w:sz="0" w:space="0" w:color="auto"/>
            <w:left w:val="none" w:sz="0" w:space="0" w:color="auto"/>
            <w:bottom w:val="none" w:sz="0" w:space="0" w:color="auto"/>
            <w:right w:val="none" w:sz="0" w:space="0" w:color="auto"/>
          </w:divBdr>
        </w:div>
        <w:div w:id="1826169423">
          <w:marLeft w:val="0"/>
          <w:marRight w:val="0"/>
          <w:marTop w:val="0"/>
          <w:marBottom w:val="0"/>
          <w:divBdr>
            <w:top w:val="none" w:sz="0" w:space="0" w:color="auto"/>
            <w:left w:val="none" w:sz="0" w:space="0" w:color="auto"/>
            <w:bottom w:val="none" w:sz="0" w:space="0" w:color="auto"/>
            <w:right w:val="none" w:sz="0" w:space="0" w:color="auto"/>
          </w:divBdr>
        </w:div>
        <w:div w:id="837958772">
          <w:marLeft w:val="0"/>
          <w:marRight w:val="0"/>
          <w:marTop w:val="0"/>
          <w:marBottom w:val="0"/>
          <w:divBdr>
            <w:top w:val="none" w:sz="0" w:space="0" w:color="auto"/>
            <w:left w:val="none" w:sz="0" w:space="0" w:color="auto"/>
            <w:bottom w:val="none" w:sz="0" w:space="0" w:color="auto"/>
            <w:right w:val="none" w:sz="0" w:space="0" w:color="auto"/>
          </w:divBdr>
        </w:div>
        <w:div w:id="1418475680">
          <w:marLeft w:val="0"/>
          <w:marRight w:val="0"/>
          <w:marTop w:val="0"/>
          <w:marBottom w:val="0"/>
          <w:divBdr>
            <w:top w:val="none" w:sz="0" w:space="0" w:color="auto"/>
            <w:left w:val="none" w:sz="0" w:space="0" w:color="auto"/>
            <w:bottom w:val="none" w:sz="0" w:space="0" w:color="auto"/>
            <w:right w:val="none" w:sz="0" w:space="0" w:color="auto"/>
          </w:divBdr>
        </w:div>
      </w:divsChild>
    </w:div>
    <w:div w:id="1860462998">
      <w:bodyDiv w:val="1"/>
      <w:marLeft w:val="0"/>
      <w:marRight w:val="0"/>
      <w:marTop w:val="0"/>
      <w:marBottom w:val="0"/>
      <w:divBdr>
        <w:top w:val="none" w:sz="0" w:space="0" w:color="auto"/>
        <w:left w:val="none" w:sz="0" w:space="0" w:color="auto"/>
        <w:bottom w:val="none" w:sz="0" w:space="0" w:color="auto"/>
        <w:right w:val="none" w:sz="0" w:space="0" w:color="auto"/>
      </w:divBdr>
      <w:divsChild>
        <w:div w:id="1017653877">
          <w:marLeft w:val="0"/>
          <w:marRight w:val="0"/>
          <w:marTop w:val="0"/>
          <w:marBottom w:val="0"/>
          <w:divBdr>
            <w:top w:val="none" w:sz="0" w:space="0" w:color="auto"/>
            <w:left w:val="none" w:sz="0" w:space="0" w:color="auto"/>
            <w:bottom w:val="none" w:sz="0" w:space="0" w:color="auto"/>
            <w:right w:val="none" w:sz="0" w:space="0" w:color="auto"/>
          </w:divBdr>
        </w:div>
      </w:divsChild>
    </w:div>
    <w:div w:id="20480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ennay@latrobe.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bs.gov.au/ausstats/abs@.nsf/mf/4307.0.55.001/" TargetMode="External"/><Relationship Id="rId4" Type="http://schemas.openxmlformats.org/officeDocument/2006/relationships/settings" Target="settings.xml"/><Relationship Id="rId9" Type="http://schemas.openxmlformats.org/officeDocument/2006/relationships/hyperlink" Target="http://www.abs.gov.au/websitedbs/censushome.nsf/home/sei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682CB-C3DD-40BA-817D-5742C6EC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11241</Words>
  <Characters>64079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75170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Pennay</dc:creator>
  <cp:lastModifiedBy>Amy Pennay</cp:lastModifiedBy>
  <cp:revision>2</cp:revision>
  <cp:lastPrinted>2018-07-09T04:15:00Z</cp:lastPrinted>
  <dcterms:created xsi:type="dcterms:W3CDTF">2018-10-30T20:37:00Z</dcterms:created>
  <dcterms:modified xsi:type="dcterms:W3CDTF">2018-10-30T20:37:00Z</dcterms:modified>
</cp:coreProperties>
</file>