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9B1EC" w14:textId="77777777" w:rsidR="00A62CBB" w:rsidRDefault="00A62CBB" w:rsidP="00A62CBB">
      <w:pPr>
        <w:pStyle w:val="Heading2"/>
        <w:rPr>
          <w:sz w:val="24"/>
          <w:szCs w:val="24"/>
          <w:lang w:val="en-GB"/>
        </w:rPr>
      </w:pPr>
    </w:p>
    <w:p w14:paraId="3C168208" w14:textId="045AFEEB" w:rsidR="00016465" w:rsidRPr="00201B92" w:rsidRDefault="00A62CBB" w:rsidP="00137222">
      <w:pPr>
        <w:pStyle w:val="Heading2"/>
        <w:jc w:val="center"/>
        <w:rPr>
          <w:sz w:val="24"/>
          <w:szCs w:val="24"/>
          <w:lang w:val="en-GB"/>
        </w:rPr>
      </w:pPr>
      <w:r>
        <w:rPr>
          <w:sz w:val="24"/>
          <w:szCs w:val="24"/>
          <w:lang w:val="en-GB"/>
        </w:rPr>
        <w:t>Regulating Wellbein</w:t>
      </w:r>
      <w:r w:rsidR="00A7526D" w:rsidRPr="00201B92">
        <w:rPr>
          <w:sz w:val="24"/>
          <w:szCs w:val="24"/>
          <w:lang w:val="en-GB"/>
        </w:rPr>
        <w:t xml:space="preserve">g </w:t>
      </w:r>
      <w:r w:rsidR="00137222" w:rsidRPr="00201B92">
        <w:rPr>
          <w:sz w:val="24"/>
          <w:szCs w:val="24"/>
          <w:lang w:val="en-GB"/>
        </w:rPr>
        <w:t xml:space="preserve">in </w:t>
      </w:r>
      <w:r w:rsidR="00A7526D" w:rsidRPr="00201B92">
        <w:rPr>
          <w:sz w:val="24"/>
          <w:szCs w:val="24"/>
          <w:lang w:val="en-GB"/>
        </w:rPr>
        <w:t>the Brave New Quantified Workplace</w:t>
      </w:r>
    </w:p>
    <w:p w14:paraId="3C89200D" w14:textId="295347FB" w:rsidR="00201B92" w:rsidRPr="00201B92" w:rsidRDefault="00201B92" w:rsidP="00201B92">
      <w:pPr>
        <w:rPr>
          <w:rFonts w:asciiTheme="majorHAnsi" w:eastAsia="Times New Roman" w:hAnsiTheme="majorHAnsi"/>
        </w:rPr>
      </w:pPr>
      <w:r w:rsidRPr="00201B92">
        <w:rPr>
          <w:rFonts w:asciiTheme="majorHAnsi" w:hAnsiTheme="majorHAnsi" w:cs="Times"/>
          <w:b/>
          <w:lang w:val="en-GB"/>
        </w:rPr>
        <w:t xml:space="preserve">Submitted as part of Special Issue: </w:t>
      </w:r>
      <w:r w:rsidRPr="00201B92">
        <w:rPr>
          <w:rFonts w:asciiTheme="majorHAnsi" w:eastAsia="Times New Roman" w:hAnsiTheme="majorHAnsi"/>
          <w:color w:val="000000"/>
        </w:rPr>
        <w:t xml:space="preserve">Regulation of Work: </w:t>
      </w:r>
      <w:proofErr w:type="spellStart"/>
      <w:r w:rsidRPr="00201B92">
        <w:rPr>
          <w:rFonts w:asciiTheme="majorHAnsi" w:eastAsia="Times New Roman" w:hAnsiTheme="majorHAnsi"/>
          <w:color w:val="000000"/>
        </w:rPr>
        <w:t>labour</w:t>
      </w:r>
      <w:proofErr w:type="spellEnd"/>
      <w:r w:rsidRPr="00201B92">
        <w:rPr>
          <w:rFonts w:asciiTheme="majorHAnsi" w:eastAsia="Times New Roman" w:hAnsiTheme="majorHAnsi"/>
          <w:color w:val="000000"/>
        </w:rPr>
        <w:t>, employment and the state</w:t>
      </w:r>
    </w:p>
    <w:p w14:paraId="735F989F" w14:textId="3674E1B8" w:rsidR="00CF633C" w:rsidRPr="00CF633C" w:rsidRDefault="00201B92" w:rsidP="005A53BA">
      <w:pPr>
        <w:widowControl w:val="0"/>
        <w:autoSpaceDE w:val="0"/>
        <w:autoSpaceDN w:val="0"/>
        <w:adjustRightInd w:val="0"/>
        <w:spacing w:after="240" w:line="280" w:lineRule="atLeast"/>
        <w:jc w:val="both"/>
        <w:rPr>
          <w:rFonts w:asciiTheme="majorHAnsi" w:hAnsiTheme="majorHAnsi" w:cs="Times"/>
          <w:b/>
          <w:lang w:val="en-GB"/>
        </w:rPr>
      </w:pPr>
      <w:r w:rsidRPr="00201B92">
        <w:rPr>
          <w:rFonts w:asciiTheme="majorHAnsi" w:hAnsiTheme="majorHAnsi" w:cs="Times"/>
          <w:b/>
          <w:lang w:val="en-GB"/>
        </w:rPr>
        <w:t xml:space="preserve"> </w:t>
      </w:r>
    </w:p>
    <w:p w14:paraId="4139396C" w14:textId="44A5D7C4" w:rsidR="00DA7131" w:rsidRPr="00201B92" w:rsidRDefault="00DA7131" w:rsidP="00201B92">
      <w:pPr>
        <w:widowControl w:val="0"/>
        <w:autoSpaceDE w:val="0"/>
        <w:autoSpaceDN w:val="0"/>
        <w:adjustRightInd w:val="0"/>
        <w:spacing w:after="240" w:line="280" w:lineRule="atLeast"/>
        <w:jc w:val="both"/>
        <w:rPr>
          <w:rFonts w:asciiTheme="majorHAnsi" w:hAnsiTheme="majorHAnsi" w:cs="Times"/>
          <w:b/>
          <w:lang w:val="en-GB"/>
        </w:rPr>
      </w:pPr>
      <w:r w:rsidRPr="00201B92">
        <w:rPr>
          <w:rFonts w:asciiTheme="majorHAnsi" w:hAnsiTheme="majorHAnsi" w:cs="Times"/>
          <w:b/>
          <w:lang w:val="en-GB"/>
        </w:rPr>
        <w:t xml:space="preserve">Abstract </w:t>
      </w:r>
    </w:p>
    <w:p w14:paraId="4C5B9DEB" w14:textId="19B38E14" w:rsidR="00DA7131" w:rsidRPr="00201B92" w:rsidRDefault="001E14B5" w:rsidP="00445D3E">
      <w:pPr>
        <w:widowControl w:val="0"/>
        <w:autoSpaceDE w:val="0"/>
        <w:autoSpaceDN w:val="0"/>
        <w:adjustRightInd w:val="0"/>
        <w:spacing w:after="240" w:line="260" w:lineRule="atLeast"/>
        <w:jc w:val="both"/>
        <w:rPr>
          <w:rFonts w:asciiTheme="majorHAnsi" w:eastAsia="MS Mincho" w:hAnsiTheme="majorHAnsi" w:cs="MS Mincho"/>
          <w:i/>
          <w:lang w:val="en-GB"/>
        </w:rPr>
      </w:pPr>
      <w:r w:rsidRPr="00201B92">
        <w:rPr>
          <w:rFonts w:asciiTheme="majorHAnsi" w:hAnsiTheme="majorHAnsi" w:cs="Times"/>
          <w:i/>
          <w:lang w:val="en-GB"/>
        </w:rPr>
        <w:t>Purpose</w:t>
      </w:r>
      <w:r w:rsidR="00355935" w:rsidRPr="00201B92">
        <w:rPr>
          <w:rFonts w:asciiTheme="majorHAnsi" w:hAnsiTheme="majorHAnsi" w:cs="Times"/>
          <w:i/>
          <w:lang w:val="en-GB"/>
        </w:rPr>
        <w:t xml:space="preserve">: </w:t>
      </w:r>
      <w:r w:rsidRPr="00201B92">
        <w:rPr>
          <w:rFonts w:asciiTheme="majorHAnsi" w:hAnsiTheme="majorHAnsi" w:cs="Times"/>
          <w:i/>
          <w:lang w:val="en-GB"/>
        </w:rPr>
        <w:t xml:space="preserve"> </w:t>
      </w:r>
      <w:r w:rsidR="00F950ED" w:rsidRPr="00201B92">
        <w:rPr>
          <w:rFonts w:asciiTheme="majorHAnsi" w:hAnsiTheme="majorHAnsi" w:cs="Times"/>
          <w:i/>
          <w:lang w:val="en-GB"/>
        </w:rPr>
        <w:t>T</w:t>
      </w:r>
      <w:r w:rsidR="00A1791D">
        <w:rPr>
          <w:rFonts w:asciiTheme="majorHAnsi" w:hAnsiTheme="majorHAnsi" w:cs="Times"/>
          <w:i/>
          <w:lang w:val="en-GB"/>
        </w:rPr>
        <w:t>he purpose of the paper is t</w:t>
      </w:r>
      <w:r w:rsidR="00F950ED" w:rsidRPr="00201B92">
        <w:rPr>
          <w:rFonts w:asciiTheme="majorHAnsi" w:hAnsiTheme="majorHAnsi" w:cs="Times"/>
          <w:i/>
          <w:lang w:val="en-GB"/>
        </w:rPr>
        <w:t xml:space="preserve">o </w:t>
      </w:r>
      <w:r w:rsidR="00A1791D">
        <w:rPr>
          <w:rFonts w:asciiTheme="majorHAnsi" w:hAnsiTheme="majorHAnsi" w:cs="Times"/>
          <w:i/>
          <w:lang w:val="en-GB"/>
        </w:rPr>
        <w:t xml:space="preserve">lay out the conceptual issues arising alongside the rise </w:t>
      </w:r>
      <w:r w:rsidR="00F950ED" w:rsidRPr="00201B92">
        <w:rPr>
          <w:rFonts w:asciiTheme="majorHAnsi" w:hAnsiTheme="majorHAnsi" w:cs="Times"/>
          <w:i/>
          <w:lang w:val="en-GB"/>
        </w:rPr>
        <w:t>of sensory technologies in workplaces</w:t>
      </w:r>
      <w:r w:rsidR="00A1791D">
        <w:rPr>
          <w:rFonts w:asciiTheme="majorHAnsi" w:hAnsiTheme="majorHAnsi" w:cs="Times"/>
          <w:i/>
          <w:lang w:val="en-GB"/>
        </w:rPr>
        <w:t xml:space="preserve"> designed to improve wellness and productivity</w:t>
      </w:r>
      <w:r w:rsidR="00F950ED" w:rsidRPr="00201B92">
        <w:rPr>
          <w:rFonts w:asciiTheme="majorHAnsi" w:hAnsiTheme="majorHAnsi" w:cs="Times"/>
          <w:i/>
          <w:lang w:val="en-GB"/>
        </w:rPr>
        <w:t>.</w:t>
      </w:r>
    </w:p>
    <w:p w14:paraId="4B5CB934" w14:textId="683E791C" w:rsidR="00DA7131" w:rsidRDefault="00355935" w:rsidP="00F01388">
      <w:pPr>
        <w:widowControl w:val="0"/>
        <w:autoSpaceDE w:val="0"/>
        <w:autoSpaceDN w:val="0"/>
        <w:adjustRightInd w:val="0"/>
        <w:spacing w:after="240" w:line="260" w:lineRule="atLeast"/>
        <w:jc w:val="both"/>
        <w:rPr>
          <w:rFonts w:asciiTheme="majorHAnsi" w:hAnsiTheme="majorHAnsi" w:cs="Times"/>
          <w:i/>
          <w:lang w:val="en-GB"/>
        </w:rPr>
      </w:pPr>
      <w:r w:rsidRPr="00201B92">
        <w:rPr>
          <w:rFonts w:asciiTheme="majorHAnsi" w:hAnsiTheme="majorHAnsi" w:cs="Times"/>
          <w:i/>
          <w:lang w:val="en-GB"/>
        </w:rPr>
        <w:t xml:space="preserve">Design/methodology/approach: </w:t>
      </w:r>
      <w:r w:rsidR="001E14B5" w:rsidRPr="00201B92">
        <w:rPr>
          <w:rFonts w:asciiTheme="majorHAnsi" w:hAnsiTheme="majorHAnsi" w:cs="Times"/>
          <w:i/>
          <w:lang w:val="en-GB"/>
        </w:rPr>
        <w:t xml:space="preserve"> </w:t>
      </w:r>
      <w:r w:rsidR="00F950ED" w:rsidRPr="00201B92">
        <w:rPr>
          <w:rFonts w:asciiTheme="majorHAnsi" w:hAnsiTheme="majorHAnsi" w:cs="Times"/>
          <w:i/>
          <w:lang w:val="en-GB"/>
        </w:rPr>
        <w:t xml:space="preserve">This is a text based </w:t>
      </w:r>
      <w:r w:rsidR="00F01388">
        <w:rPr>
          <w:rFonts w:asciiTheme="majorHAnsi" w:hAnsiTheme="majorHAnsi" w:cs="Times"/>
          <w:i/>
          <w:lang w:val="en-GB"/>
        </w:rPr>
        <w:t>conceptual</w:t>
      </w:r>
      <w:r w:rsidR="00F950ED" w:rsidRPr="00201B92">
        <w:rPr>
          <w:rFonts w:asciiTheme="majorHAnsi" w:hAnsiTheme="majorHAnsi" w:cs="Times"/>
          <w:i/>
          <w:lang w:val="en-GB"/>
        </w:rPr>
        <w:t xml:space="preserve"> paper.</w:t>
      </w:r>
      <w:r w:rsidR="00F01388">
        <w:rPr>
          <w:rFonts w:asciiTheme="majorHAnsi" w:hAnsiTheme="majorHAnsi" w:cs="Times"/>
          <w:i/>
          <w:lang w:val="en-GB"/>
        </w:rPr>
        <w:t xml:space="preserve"> Our approach is to </w:t>
      </w:r>
      <w:r w:rsidR="00C86D07">
        <w:rPr>
          <w:rFonts w:asciiTheme="majorHAnsi" w:hAnsiTheme="majorHAnsi" w:cs="Times"/>
          <w:i/>
          <w:lang w:val="en-GB"/>
        </w:rPr>
        <w:t>throw light on some of the emerging issues with the introduction of wearable self-tracking technologies in workplace</w:t>
      </w:r>
      <w:r w:rsidR="00A1791D">
        <w:rPr>
          <w:rFonts w:asciiTheme="majorHAnsi" w:hAnsiTheme="majorHAnsi" w:cs="Times"/>
          <w:i/>
          <w:lang w:val="en-GB"/>
        </w:rPr>
        <w:t>s.</w:t>
      </w:r>
      <w:r w:rsidR="00A62CBB">
        <w:rPr>
          <w:rFonts w:asciiTheme="majorHAnsi" w:hAnsiTheme="majorHAnsi" w:cs="Times"/>
          <w:i/>
          <w:lang w:val="en-GB"/>
        </w:rPr>
        <w:t xml:space="preserve"> </w:t>
      </w:r>
    </w:p>
    <w:p w14:paraId="3F39D8FB" w14:textId="4186695E" w:rsidR="00DA7131" w:rsidRPr="00201B92" w:rsidRDefault="001E14B5" w:rsidP="00C86D07">
      <w:pPr>
        <w:widowControl w:val="0"/>
        <w:autoSpaceDE w:val="0"/>
        <w:autoSpaceDN w:val="0"/>
        <w:adjustRightInd w:val="0"/>
        <w:spacing w:after="240" w:line="260" w:lineRule="atLeast"/>
        <w:jc w:val="both"/>
        <w:rPr>
          <w:rFonts w:asciiTheme="majorHAnsi" w:hAnsiTheme="majorHAnsi" w:cs="Times"/>
          <w:i/>
          <w:lang w:val="en-GB"/>
        </w:rPr>
      </w:pPr>
      <w:r w:rsidRPr="00201B92">
        <w:rPr>
          <w:rFonts w:asciiTheme="majorHAnsi" w:hAnsiTheme="majorHAnsi" w:cs="Times"/>
          <w:i/>
          <w:lang w:val="en-GB"/>
        </w:rPr>
        <w:t>Findings</w:t>
      </w:r>
      <w:r w:rsidR="00355935" w:rsidRPr="00201B92">
        <w:rPr>
          <w:rFonts w:asciiTheme="majorHAnsi" w:hAnsiTheme="majorHAnsi" w:cs="Times"/>
          <w:i/>
          <w:lang w:val="en-GB"/>
        </w:rPr>
        <w:t xml:space="preserve">: </w:t>
      </w:r>
      <w:r w:rsidRPr="00201B92">
        <w:rPr>
          <w:rFonts w:asciiTheme="majorHAnsi" w:hAnsiTheme="majorHAnsi" w:cs="Times"/>
          <w:i/>
          <w:lang w:val="en-GB"/>
        </w:rPr>
        <w:t xml:space="preserve"> </w:t>
      </w:r>
      <w:r w:rsidR="0023172E">
        <w:rPr>
          <w:rFonts w:asciiTheme="majorHAnsi" w:hAnsiTheme="majorHAnsi" w:cs="Times"/>
          <w:i/>
          <w:lang w:val="en-GB"/>
        </w:rPr>
        <w:t>The paper</w:t>
      </w:r>
      <w:r w:rsidR="00F950ED" w:rsidRPr="00201B92">
        <w:rPr>
          <w:rFonts w:asciiTheme="majorHAnsi" w:hAnsiTheme="majorHAnsi" w:cs="Times"/>
          <w:i/>
          <w:lang w:val="en-GB"/>
        </w:rPr>
        <w:t xml:space="preserve"> indicate</w:t>
      </w:r>
      <w:r w:rsidR="0023172E">
        <w:rPr>
          <w:rFonts w:asciiTheme="majorHAnsi" w:hAnsiTheme="majorHAnsi" w:cs="Times"/>
          <w:i/>
          <w:lang w:val="en-GB"/>
        </w:rPr>
        <w:t>s</w:t>
      </w:r>
      <w:r w:rsidR="00F950ED" w:rsidRPr="00201B92">
        <w:rPr>
          <w:rFonts w:asciiTheme="majorHAnsi" w:hAnsiTheme="majorHAnsi" w:cs="Times"/>
          <w:i/>
          <w:lang w:val="en-GB"/>
        </w:rPr>
        <w:t xml:space="preserve"> that </w:t>
      </w:r>
      <w:r w:rsidR="00C86D07">
        <w:rPr>
          <w:rFonts w:asciiTheme="majorHAnsi" w:hAnsiTheme="majorHAnsi" w:cs="Times"/>
          <w:i/>
          <w:lang w:val="en-GB"/>
        </w:rPr>
        <w:t xml:space="preserve">scholars </w:t>
      </w:r>
      <w:r w:rsidR="00F950ED" w:rsidRPr="00201B92">
        <w:rPr>
          <w:rFonts w:asciiTheme="majorHAnsi" w:hAnsiTheme="majorHAnsi" w:cs="Times"/>
          <w:i/>
          <w:lang w:val="en-GB"/>
        </w:rPr>
        <w:t>will need to put ethical issues at the heart of research on sensory tracking technologies in workplaces</w:t>
      </w:r>
      <w:r w:rsidR="00FD3FBC">
        <w:rPr>
          <w:rFonts w:asciiTheme="majorHAnsi" w:hAnsiTheme="majorHAnsi" w:cs="Times"/>
          <w:i/>
          <w:lang w:val="en-GB"/>
        </w:rPr>
        <w:t xml:space="preserve"> that</w:t>
      </w:r>
      <w:r w:rsidR="005609FF">
        <w:rPr>
          <w:rFonts w:asciiTheme="majorHAnsi" w:hAnsiTheme="majorHAnsi" w:cs="Times"/>
          <w:i/>
          <w:lang w:val="en-GB"/>
        </w:rPr>
        <w:t xml:space="preserve"> aim to</w:t>
      </w:r>
      <w:r w:rsidR="00FD3FBC">
        <w:rPr>
          <w:rFonts w:asciiTheme="majorHAnsi" w:hAnsiTheme="majorHAnsi" w:cs="Times"/>
          <w:i/>
          <w:lang w:val="en-GB"/>
        </w:rPr>
        <w:t xml:space="preserve"> regulate employee behaviour</w:t>
      </w:r>
      <w:r w:rsidR="005609FF">
        <w:rPr>
          <w:rFonts w:asciiTheme="majorHAnsi" w:hAnsiTheme="majorHAnsi" w:cs="Times"/>
          <w:i/>
          <w:lang w:val="en-GB"/>
        </w:rPr>
        <w:t xml:space="preserve"> via wellness initiatives</w:t>
      </w:r>
      <w:r w:rsidR="00F950ED" w:rsidRPr="00201B92">
        <w:rPr>
          <w:rFonts w:asciiTheme="majorHAnsi" w:hAnsiTheme="majorHAnsi" w:cs="Times"/>
          <w:i/>
          <w:lang w:val="en-GB"/>
        </w:rPr>
        <w:t>.</w:t>
      </w:r>
    </w:p>
    <w:p w14:paraId="5B24360B" w14:textId="07E988A1" w:rsidR="00DA7131" w:rsidRPr="00201B92" w:rsidRDefault="001E14B5" w:rsidP="00445D3E">
      <w:pPr>
        <w:widowControl w:val="0"/>
        <w:autoSpaceDE w:val="0"/>
        <w:autoSpaceDN w:val="0"/>
        <w:adjustRightInd w:val="0"/>
        <w:spacing w:after="240" w:line="260" w:lineRule="atLeast"/>
        <w:jc w:val="both"/>
        <w:rPr>
          <w:rFonts w:asciiTheme="majorHAnsi" w:eastAsia="MS Mincho" w:hAnsiTheme="majorHAnsi" w:cs="MS Mincho"/>
          <w:i/>
          <w:lang w:val="en-GB"/>
        </w:rPr>
      </w:pPr>
      <w:r w:rsidRPr="00201B92">
        <w:rPr>
          <w:rFonts w:asciiTheme="majorHAnsi" w:hAnsiTheme="majorHAnsi" w:cs="Times"/>
          <w:i/>
          <w:lang w:val="en-GB"/>
        </w:rPr>
        <w:t>Originality/value</w:t>
      </w:r>
      <w:r w:rsidR="00355935" w:rsidRPr="00201B92">
        <w:rPr>
          <w:rFonts w:asciiTheme="majorHAnsi" w:hAnsiTheme="majorHAnsi" w:cs="Times"/>
          <w:i/>
          <w:lang w:val="en-GB"/>
        </w:rPr>
        <w:t xml:space="preserve">: </w:t>
      </w:r>
      <w:r w:rsidRPr="00201B92">
        <w:rPr>
          <w:rFonts w:asciiTheme="majorHAnsi" w:hAnsiTheme="majorHAnsi" w:cs="Times"/>
          <w:i/>
          <w:lang w:val="en-GB"/>
        </w:rPr>
        <w:t xml:space="preserve"> </w:t>
      </w:r>
      <w:r w:rsidR="00F950ED" w:rsidRPr="00201B92">
        <w:rPr>
          <w:rFonts w:asciiTheme="majorHAnsi" w:hAnsiTheme="majorHAnsi" w:cs="Times"/>
          <w:i/>
          <w:lang w:val="en-GB"/>
        </w:rPr>
        <w:t>This is an orig</w:t>
      </w:r>
      <w:r w:rsidR="00A1791D">
        <w:rPr>
          <w:rFonts w:asciiTheme="majorHAnsi" w:hAnsiTheme="majorHAnsi" w:cs="Times"/>
          <w:i/>
          <w:lang w:val="en-GB"/>
        </w:rPr>
        <w:t xml:space="preserve">inal article. </w:t>
      </w:r>
      <w:r w:rsidR="00A62CBB">
        <w:rPr>
          <w:rFonts w:asciiTheme="majorHAnsi" w:hAnsiTheme="majorHAnsi" w:cs="Times"/>
          <w:i/>
          <w:lang w:val="en-GB"/>
        </w:rPr>
        <w:t xml:space="preserve">Since there is very little scholarly research in this area, it is important to begin to consider the implications of sensory technology in workplaces linked to wellness initiatives, given the probable impact it will have on work design and appraisal systems. </w:t>
      </w:r>
    </w:p>
    <w:p w14:paraId="2945EDE7" w14:textId="39DDC91F" w:rsidR="00DA7131" w:rsidRPr="00201B92" w:rsidRDefault="00DA7131" w:rsidP="00445D3E">
      <w:pPr>
        <w:widowControl w:val="0"/>
        <w:autoSpaceDE w:val="0"/>
        <w:autoSpaceDN w:val="0"/>
        <w:adjustRightInd w:val="0"/>
        <w:spacing w:after="240" w:line="260" w:lineRule="atLeast"/>
        <w:jc w:val="both"/>
        <w:rPr>
          <w:rFonts w:asciiTheme="majorHAnsi" w:hAnsiTheme="majorHAnsi" w:cs="Times"/>
          <w:i/>
          <w:lang w:val="en-GB"/>
        </w:rPr>
      </w:pPr>
      <w:r w:rsidRPr="00201B92">
        <w:rPr>
          <w:rFonts w:asciiTheme="majorHAnsi" w:hAnsiTheme="majorHAnsi" w:cs="Times"/>
          <w:i/>
          <w:lang w:val="en-GB"/>
        </w:rPr>
        <w:t>Keywords</w:t>
      </w:r>
      <w:r w:rsidR="00355935" w:rsidRPr="00201B92">
        <w:rPr>
          <w:rFonts w:asciiTheme="majorHAnsi" w:hAnsiTheme="majorHAnsi" w:cs="Times"/>
          <w:i/>
          <w:lang w:val="en-GB"/>
        </w:rPr>
        <w:t xml:space="preserve">: </w:t>
      </w:r>
      <w:r w:rsidRPr="00201B92">
        <w:rPr>
          <w:rFonts w:asciiTheme="majorHAnsi" w:hAnsiTheme="majorHAnsi" w:cs="Times"/>
          <w:i/>
          <w:lang w:val="en-GB"/>
        </w:rPr>
        <w:t xml:space="preserve"> </w:t>
      </w:r>
      <w:r w:rsidR="00F950ED" w:rsidRPr="00201B92">
        <w:rPr>
          <w:rFonts w:asciiTheme="majorHAnsi" w:hAnsiTheme="majorHAnsi" w:cs="Times"/>
          <w:i/>
          <w:lang w:val="en-GB"/>
        </w:rPr>
        <w:t>quantified self, wearable technologies, regulation, sensory technology</w:t>
      </w:r>
      <w:r w:rsidR="00A62CBB">
        <w:rPr>
          <w:rFonts w:asciiTheme="majorHAnsi" w:hAnsiTheme="majorHAnsi" w:cs="Times"/>
          <w:i/>
          <w:lang w:val="en-GB"/>
        </w:rPr>
        <w:t>, wellness</w:t>
      </w:r>
    </w:p>
    <w:p w14:paraId="7310A79E" w14:textId="0FB4FC4B" w:rsidR="00DA7131" w:rsidRPr="00201B92" w:rsidRDefault="00DA7131" w:rsidP="00445D3E">
      <w:pPr>
        <w:widowControl w:val="0"/>
        <w:autoSpaceDE w:val="0"/>
        <w:autoSpaceDN w:val="0"/>
        <w:adjustRightInd w:val="0"/>
        <w:spacing w:after="240" w:line="260" w:lineRule="atLeast"/>
        <w:jc w:val="both"/>
        <w:rPr>
          <w:rFonts w:asciiTheme="majorHAnsi" w:hAnsiTheme="majorHAnsi" w:cs="Times"/>
          <w:lang w:val="en-GB"/>
        </w:rPr>
      </w:pPr>
      <w:r w:rsidRPr="00201B92">
        <w:rPr>
          <w:rFonts w:asciiTheme="majorHAnsi" w:hAnsiTheme="majorHAnsi" w:cs="Times"/>
          <w:i/>
          <w:lang w:val="en-GB"/>
        </w:rPr>
        <w:t>Paper type</w:t>
      </w:r>
      <w:r w:rsidR="00355935" w:rsidRPr="00201B92">
        <w:rPr>
          <w:rFonts w:asciiTheme="majorHAnsi" w:hAnsiTheme="majorHAnsi" w:cs="Times"/>
          <w:i/>
          <w:lang w:val="en-GB"/>
        </w:rPr>
        <w:t>:</w:t>
      </w:r>
      <w:r w:rsidRPr="00201B92">
        <w:rPr>
          <w:rFonts w:asciiTheme="majorHAnsi" w:hAnsiTheme="majorHAnsi" w:cs="Times"/>
          <w:lang w:val="en-GB"/>
        </w:rPr>
        <w:t xml:space="preserve"> Conceptual paper </w:t>
      </w:r>
    </w:p>
    <w:p w14:paraId="61C06170" w14:textId="77777777" w:rsidR="00016465" w:rsidRPr="00201B92" w:rsidRDefault="009216F6" w:rsidP="00445D3E">
      <w:pPr>
        <w:pStyle w:val="Heading3"/>
        <w:jc w:val="both"/>
        <w:rPr>
          <w:sz w:val="24"/>
          <w:szCs w:val="24"/>
          <w:lang w:val="en-GB"/>
        </w:rPr>
      </w:pPr>
      <w:r w:rsidRPr="00201B92">
        <w:rPr>
          <w:sz w:val="24"/>
          <w:szCs w:val="24"/>
          <w:lang w:val="en-GB"/>
        </w:rPr>
        <w:t>Introduction</w:t>
      </w:r>
    </w:p>
    <w:p w14:paraId="1AB258AE" w14:textId="77777777" w:rsidR="008A6055" w:rsidRDefault="007912EF" w:rsidP="00A741F5">
      <w:pPr>
        <w:jc w:val="both"/>
        <w:rPr>
          <w:rFonts w:asciiTheme="majorHAnsi" w:hAnsiTheme="majorHAnsi"/>
          <w:lang w:val="en-GB"/>
        </w:rPr>
      </w:pPr>
      <w:r w:rsidRPr="00201B92">
        <w:rPr>
          <w:rFonts w:asciiTheme="majorHAnsi" w:hAnsiTheme="majorHAnsi"/>
          <w:lang w:val="en-GB"/>
        </w:rPr>
        <w:t>E</w:t>
      </w:r>
      <w:r w:rsidR="009216F6" w:rsidRPr="00201B92">
        <w:rPr>
          <w:rFonts w:asciiTheme="majorHAnsi" w:hAnsiTheme="majorHAnsi"/>
          <w:lang w:val="en-GB"/>
        </w:rPr>
        <w:t>nvision a case when every employee working for a company is wearing a small, attractively looking, comfortable and computationally powerful device that consists of a range of sensors capable of tracking movement, heart rate, proximity to other employees, body temperature and skin conductance. Simultaneously, every work-computer-based activity is also tracked in par with the wearable device. D</w:t>
      </w:r>
      <w:r w:rsidRPr="00201B92">
        <w:rPr>
          <w:rFonts w:asciiTheme="majorHAnsi" w:hAnsiTheme="majorHAnsi"/>
          <w:lang w:val="en-GB"/>
        </w:rPr>
        <w:t xml:space="preserve">ata from both </w:t>
      </w:r>
      <w:r w:rsidR="00355935" w:rsidRPr="00201B92">
        <w:rPr>
          <w:rFonts w:asciiTheme="majorHAnsi" w:hAnsiTheme="majorHAnsi"/>
          <w:lang w:val="en-GB"/>
        </w:rPr>
        <w:t>wearable</w:t>
      </w:r>
      <w:r w:rsidR="007369AA" w:rsidRPr="00201B92">
        <w:rPr>
          <w:rFonts w:asciiTheme="majorHAnsi" w:hAnsiTheme="majorHAnsi"/>
          <w:lang w:val="en-GB"/>
        </w:rPr>
        <w:t xml:space="preserve"> device</w:t>
      </w:r>
      <w:r w:rsidRPr="00201B92">
        <w:rPr>
          <w:rFonts w:asciiTheme="majorHAnsi" w:hAnsiTheme="majorHAnsi"/>
          <w:lang w:val="en-GB"/>
        </w:rPr>
        <w:t>s</w:t>
      </w:r>
      <w:r w:rsidR="007369AA" w:rsidRPr="00201B92">
        <w:rPr>
          <w:rFonts w:asciiTheme="majorHAnsi" w:hAnsiTheme="majorHAnsi"/>
          <w:lang w:val="en-GB"/>
        </w:rPr>
        <w:t xml:space="preserve"> and</w:t>
      </w:r>
      <w:r w:rsidR="009216F6" w:rsidRPr="00201B92">
        <w:rPr>
          <w:rFonts w:asciiTheme="majorHAnsi" w:hAnsiTheme="majorHAnsi"/>
          <w:lang w:val="en-GB"/>
        </w:rPr>
        <w:t xml:space="preserve"> </w:t>
      </w:r>
      <w:r w:rsidR="00355935" w:rsidRPr="00201B92">
        <w:rPr>
          <w:rFonts w:asciiTheme="majorHAnsi" w:hAnsiTheme="majorHAnsi"/>
          <w:lang w:val="en-GB"/>
        </w:rPr>
        <w:t xml:space="preserve">work </w:t>
      </w:r>
      <w:r w:rsidR="009216F6" w:rsidRPr="00201B92">
        <w:rPr>
          <w:rFonts w:asciiTheme="majorHAnsi" w:hAnsiTheme="majorHAnsi"/>
          <w:lang w:val="en-GB"/>
        </w:rPr>
        <w:t xml:space="preserve">computers is wirelessly uploaded to </w:t>
      </w:r>
      <w:r w:rsidR="00C86D07">
        <w:rPr>
          <w:rFonts w:asciiTheme="majorHAnsi" w:hAnsiTheme="majorHAnsi"/>
          <w:lang w:val="en-GB"/>
        </w:rPr>
        <w:t>a</w:t>
      </w:r>
      <w:r w:rsidR="009216F6" w:rsidRPr="00201B92">
        <w:rPr>
          <w:rFonts w:asciiTheme="majorHAnsi" w:hAnsiTheme="majorHAnsi"/>
          <w:lang w:val="en-GB"/>
        </w:rPr>
        <w:t xml:space="preserve"> central system. The system provides detailed personal analytics for each employee: levels and suggestions for physical activity, indicators of stress, productive and sedentary periods at work, </w:t>
      </w:r>
      <w:r w:rsidR="009216F6" w:rsidRPr="00201B92">
        <w:rPr>
          <w:rFonts w:asciiTheme="majorHAnsi" w:hAnsiTheme="majorHAnsi"/>
          <w:lang w:val="en-GB"/>
        </w:rPr>
        <w:lastRenderedPageBreak/>
        <w:t>work-ba</w:t>
      </w:r>
      <w:r w:rsidR="00A1791D">
        <w:rPr>
          <w:rFonts w:asciiTheme="majorHAnsi" w:hAnsiTheme="majorHAnsi"/>
          <w:lang w:val="en-GB"/>
        </w:rPr>
        <w:t>sed social interaction patterns</w:t>
      </w:r>
      <w:r w:rsidR="009216F6" w:rsidRPr="00201B92">
        <w:rPr>
          <w:rFonts w:asciiTheme="majorHAnsi" w:hAnsiTheme="majorHAnsi"/>
          <w:lang w:val="en-GB"/>
        </w:rPr>
        <w:t xml:space="preserve"> and general health diagnostic</w:t>
      </w:r>
      <w:r w:rsidR="00C86D07">
        <w:rPr>
          <w:rFonts w:asciiTheme="majorHAnsi" w:hAnsiTheme="majorHAnsi"/>
          <w:lang w:val="en-GB"/>
        </w:rPr>
        <w:t>s</w:t>
      </w:r>
      <w:r w:rsidR="009216F6" w:rsidRPr="00201B92">
        <w:rPr>
          <w:rFonts w:asciiTheme="majorHAnsi" w:hAnsiTheme="majorHAnsi"/>
          <w:lang w:val="en-GB"/>
        </w:rPr>
        <w:t xml:space="preserve">. All this data is </w:t>
      </w:r>
      <w:r w:rsidR="00355935" w:rsidRPr="00201B92">
        <w:rPr>
          <w:rFonts w:asciiTheme="majorHAnsi" w:hAnsiTheme="majorHAnsi"/>
          <w:lang w:val="en-GB"/>
        </w:rPr>
        <w:t xml:space="preserve">synchronised </w:t>
      </w:r>
      <w:r w:rsidR="009216F6" w:rsidRPr="00201B92">
        <w:rPr>
          <w:rFonts w:asciiTheme="majorHAnsi" w:hAnsiTheme="majorHAnsi"/>
          <w:lang w:val="en-GB"/>
        </w:rPr>
        <w:t>with individual calendars and planners, with e-mail system</w:t>
      </w:r>
      <w:r w:rsidR="00A7526D" w:rsidRPr="00201B92">
        <w:rPr>
          <w:rFonts w:asciiTheme="majorHAnsi" w:hAnsiTheme="majorHAnsi"/>
          <w:lang w:val="en-GB"/>
        </w:rPr>
        <w:t>s</w:t>
      </w:r>
      <w:r w:rsidR="009216F6" w:rsidRPr="00201B92">
        <w:rPr>
          <w:rFonts w:asciiTheme="majorHAnsi" w:hAnsiTheme="majorHAnsi"/>
          <w:lang w:val="en-GB"/>
        </w:rPr>
        <w:t xml:space="preserve"> and </w:t>
      </w:r>
      <w:r w:rsidR="00223A1A">
        <w:rPr>
          <w:rFonts w:asciiTheme="majorHAnsi" w:hAnsiTheme="majorHAnsi"/>
          <w:lang w:val="en-GB"/>
        </w:rPr>
        <w:t xml:space="preserve">individually tailored </w:t>
      </w:r>
      <w:r w:rsidR="009216F6" w:rsidRPr="00201B92">
        <w:rPr>
          <w:rFonts w:asciiTheme="majorHAnsi" w:hAnsiTheme="majorHAnsi"/>
          <w:lang w:val="en-GB"/>
        </w:rPr>
        <w:t xml:space="preserve">virtual encouragement </w:t>
      </w:r>
      <w:r w:rsidR="008A6055">
        <w:rPr>
          <w:rFonts w:asciiTheme="majorHAnsi" w:hAnsiTheme="majorHAnsi"/>
          <w:lang w:val="en-GB"/>
        </w:rPr>
        <w:t xml:space="preserve">and performance </w:t>
      </w:r>
      <w:r w:rsidR="009216F6" w:rsidRPr="00201B92">
        <w:rPr>
          <w:rFonts w:asciiTheme="majorHAnsi" w:hAnsiTheme="majorHAnsi"/>
          <w:lang w:val="en-GB"/>
        </w:rPr>
        <w:t>dashboard</w:t>
      </w:r>
      <w:r w:rsidR="00223A1A">
        <w:rPr>
          <w:rFonts w:asciiTheme="majorHAnsi" w:hAnsiTheme="majorHAnsi"/>
          <w:lang w:val="en-GB"/>
        </w:rPr>
        <w:t>s</w:t>
      </w:r>
      <w:r w:rsidR="008A6055">
        <w:rPr>
          <w:rFonts w:asciiTheme="majorHAnsi" w:hAnsiTheme="majorHAnsi"/>
          <w:lang w:val="en-GB"/>
        </w:rPr>
        <w:t xml:space="preserve">. </w:t>
      </w:r>
    </w:p>
    <w:p w14:paraId="036EEDC4" w14:textId="6B74B34B" w:rsidR="00787F39" w:rsidRDefault="009216F6" w:rsidP="00A741F5">
      <w:pPr>
        <w:jc w:val="both"/>
        <w:rPr>
          <w:rFonts w:asciiTheme="majorHAnsi" w:hAnsiTheme="majorHAnsi"/>
          <w:lang w:val="en-GB"/>
        </w:rPr>
      </w:pPr>
      <w:r w:rsidRPr="00201B92">
        <w:rPr>
          <w:rFonts w:asciiTheme="majorHAnsi" w:hAnsiTheme="majorHAnsi"/>
          <w:lang w:val="en-GB"/>
        </w:rPr>
        <w:t xml:space="preserve"> </w:t>
      </w:r>
    </w:p>
    <w:p w14:paraId="2C670152" w14:textId="155BEDF4" w:rsidR="00016465" w:rsidRPr="00201B92" w:rsidRDefault="002A00B3" w:rsidP="00CF633C">
      <w:pPr>
        <w:rPr>
          <w:rFonts w:asciiTheme="majorHAnsi" w:hAnsiTheme="majorHAnsi"/>
          <w:lang w:val="en-GB"/>
        </w:rPr>
      </w:pPr>
      <w:r>
        <w:rPr>
          <w:rFonts w:asciiTheme="majorHAnsi" w:hAnsiTheme="majorHAnsi"/>
          <w:lang w:val="en-GB"/>
        </w:rPr>
        <w:t>A c</w:t>
      </w:r>
      <w:r w:rsidR="00CE16A1" w:rsidRPr="00CF633C">
        <w:rPr>
          <w:rFonts w:asciiTheme="majorHAnsi" w:hAnsiTheme="majorHAnsi"/>
          <w:lang w:val="en-GB"/>
        </w:rPr>
        <w:t xml:space="preserve">omputer dashboard in </w:t>
      </w:r>
      <w:r>
        <w:rPr>
          <w:rFonts w:asciiTheme="majorHAnsi" w:hAnsiTheme="majorHAnsi"/>
          <w:lang w:val="en-GB"/>
        </w:rPr>
        <w:t xml:space="preserve">the </w:t>
      </w:r>
      <w:r w:rsidR="00CE16A1" w:rsidRPr="00CF633C">
        <w:rPr>
          <w:rFonts w:asciiTheme="majorHAnsi" w:hAnsiTheme="majorHAnsi"/>
          <w:lang w:val="en-GB"/>
        </w:rPr>
        <w:t xml:space="preserve">business context is defined as </w:t>
      </w:r>
      <w:r>
        <w:rPr>
          <w:rFonts w:asciiTheme="majorHAnsi" w:hAnsiTheme="majorHAnsi"/>
          <w:lang w:val="en-GB"/>
        </w:rPr>
        <w:t>‘</w:t>
      </w:r>
      <w:r w:rsidR="00CE16A1" w:rsidRPr="00CF633C">
        <w:rPr>
          <w:rFonts w:asciiTheme="majorHAnsi" w:hAnsiTheme="majorHAnsi"/>
          <w:lang w:val="en-GB"/>
        </w:rPr>
        <w:t>an easy to read, often single page, real-time user interface, showing a graphical presentation of the current status (snapshot) and historical trends of an organization's key performance indicators to enable instantaneous and informed d</w:t>
      </w:r>
      <w:r w:rsidRPr="002A00B3">
        <w:rPr>
          <w:rFonts w:asciiTheme="majorHAnsi" w:hAnsiTheme="majorHAnsi"/>
          <w:lang w:val="en-GB"/>
        </w:rPr>
        <w:t>ecisions to be made at a glance</w:t>
      </w:r>
      <w:r>
        <w:rPr>
          <w:rFonts w:asciiTheme="majorHAnsi" w:hAnsiTheme="majorHAnsi"/>
          <w:lang w:val="en-GB"/>
        </w:rPr>
        <w:t>’</w:t>
      </w:r>
      <w:r w:rsidR="00F009A2" w:rsidRPr="00F009A2">
        <w:rPr>
          <w:rFonts w:asciiTheme="majorHAnsi" w:hAnsiTheme="majorHAnsi"/>
          <w:lang w:val="en-GB"/>
        </w:rPr>
        <w:t xml:space="preserve"> (Alexander and </w:t>
      </w:r>
      <w:proofErr w:type="spellStart"/>
      <w:r w:rsidR="00CE16A1" w:rsidRPr="00CF633C">
        <w:rPr>
          <w:rFonts w:asciiTheme="majorHAnsi" w:hAnsiTheme="majorHAnsi"/>
          <w:lang w:val="en-GB"/>
        </w:rPr>
        <w:t>Walkenbach</w:t>
      </w:r>
      <w:proofErr w:type="spellEnd"/>
      <w:r w:rsidR="00CE16A1" w:rsidRPr="00CF633C">
        <w:rPr>
          <w:rFonts w:asciiTheme="majorHAnsi" w:hAnsiTheme="majorHAnsi"/>
          <w:lang w:val="en-GB"/>
        </w:rPr>
        <w:t>, 2</w:t>
      </w:r>
      <w:r w:rsidR="00F009A2">
        <w:rPr>
          <w:rFonts w:asciiTheme="majorHAnsi" w:hAnsiTheme="majorHAnsi"/>
          <w:lang w:val="en-GB"/>
        </w:rPr>
        <w:t>012:</w:t>
      </w:r>
      <w:r w:rsidRPr="002A00B3">
        <w:rPr>
          <w:rFonts w:asciiTheme="majorHAnsi" w:hAnsiTheme="majorHAnsi"/>
          <w:lang w:val="en-GB"/>
        </w:rPr>
        <w:t xml:space="preserve"> 5).</w:t>
      </w:r>
      <w:r w:rsidR="00F009A2">
        <w:rPr>
          <w:rFonts w:asciiTheme="majorHAnsi" w:hAnsiTheme="majorHAnsi"/>
          <w:lang w:val="en-GB"/>
        </w:rPr>
        <w:t xml:space="preserve"> This description looks at </w:t>
      </w:r>
      <w:r w:rsidR="00115A86">
        <w:rPr>
          <w:rFonts w:asciiTheme="majorHAnsi" w:hAnsiTheme="majorHAnsi"/>
          <w:lang w:val="en-GB"/>
        </w:rPr>
        <w:t>a</w:t>
      </w:r>
      <w:r w:rsidR="00F009A2">
        <w:rPr>
          <w:rFonts w:asciiTheme="majorHAnsi" w:hAnsiTheme="majorHAnsi"/>
          <w:lang w:val="en-GB"/>
        </w:rPr>
        <w:t xml:space="preserve"> company’s version, but a new entrant to this rapidly growing market is the personalised performance dashboard. </w:t>
      </w:r>
      <w:r w:rsidRPr="002A00B3">
        <w:rPr>
          <w:rFonts w:asciiTheme="majorHAnsi" w:hAnsiTheme="majorHAnsi"/>
          <w:lang w:val="en-GB"/>
        </w:rPr>
        <w:t>In the context of performance dashboards</w:t>
      </w:r>
      <w:r w:rsidR="00CE16A1" w:rsidRPr="00CF633C">
        <w:rPr>
          <w:rFonts w:asciiTheme="majorHAnsi" w:hAnsiTheme="majorHAnsi"/>
          <w:lang w:val="en-GB"/>
        </w:rPr>
        <w:t xml:space="preserve"> used by employees the principle is similar to </w:t>
      </w:r>
      <w:r w:rsidR="00F009A2">
        <w:rPr>
          <w:rFonts w:asciiTheme="majorHAnsi" w:hAnsiTheme="majorHAnsi"/>
          <w:lang w:val="en-GB"/>
        </w:rPr>
        <w:t xml:space="preserve">the </w:t>
      </w:r>
      <w:r w:rsidR="00F009A2" w:rsidRPr="00F009A2">
        <w:rPr>
          <w:rFonts w:asciiTheme="majorHAnsi" w:hAnsiTheme="majorHAnsi"/>
          <w:lang w:val="en-GB"/>
        </w:rPr>
        <w:t>definition by Alexander and</w:t>
      </w:r>
      <w:r w:rsidR="00CE16A1" w:rsidRPr="00CF633C">
        <w:rPr>
          <w:rFonts w:asciiTheme="majorHAnsi" w:hAnsiTheme="majorHAnsi"/>
          <w:lang w:val="en-GB"/>
        </w:rPr>
        <w:t xml:space="preserve"> </w:t>
      </w:r>
      <w:proofErr w:type="spellStart"/>
      <w:r w:rsidR="00CE16A1" w:rsidRPr="00CF633C">
        <w:rPr>
          <w:rFonts w:asciiTheme="majorHAnsi" w:hAnsiTheme="majorHAnsi"/>
          <w:lang w:val="en-GB"/>
        </w:rPr>
        <w:t>Walkenbach</w:t>
      </w:r>
      <w:proofErr w:type="spellEnd"/>
      <w:r w:rsidR="00CE16A1" w:rsidRPr="00CF633C">
        <w:rPr>
          <w:rFonts w:asciiTheme="majorHAnsi" w:hAnsiTheme="majorHAnsi"/>
          <w:lang w:val="en-GB"/>
        </w:rPr>
        <w:t xml:space="preserve"> (2012) but focuses more personally on the delivery of summary of individual performance indicators presented graphically in the time-series format (e.g. date, day of t</w:t>
      </w:r>
      <w:r w:rsidRPr="002A00B3">
        <w:rPr>
          <w:rFonts w:asciiTheme="majorHAnsi" w:hAnsiTheme="majorHAnsi"/>
          <w:lang w:val="en-GB"/>
        </w:rPr>
        <w:t>he week, daytime). Such examples of performance dashboard</w:t>
      </w:r>
      <w:r w:rsidR="00115A86">
        <w:rPr>
          <w:rFonts w:asciiTheme="majorHAnsi" w:hAnsiTheme="majorHAnsi"/>
          <w:lang w:val="en-GB"/>
        </w:rPr>
        <w:t>s</w:t>
      </w:r>
      <w:r w:rsidR="00CE16A1" w:rsidRPr="00CF633C">
        <w:rPr>
          <w:rFonts w:asciiTheme="majorHAnsi" w:hAnsiTheme="majorHAnsi"/>
          <w:lang w:val="en-GB"/>
        </w:rPr>
        <w:t xml:space="preserve"> in </w:t>
      </w:r>
      <w:r>
        <w:rPr>
          <w:rFonts w:asciiTheme="majorHAnsi" w:hAnsiTheme="majorHAnsi"/>
          <w:lang w:val="en-GB"/>
        </w:rPr>
        <w:t xml:space="preserve">the </w:t>
      </w:r>
      <w:r w:rsidR="00CE16A1" w:rsidRPr="00CF633C">
        <w:rPr>
          <w:rFonts w:asciiTheme="majorHAnsi" w:hAnsiTheme="majorHAnsi"/>
          <w:lang w:val="en-GB"/>
        </w:rPr>
        <w:t>financial business context could include data about t</w:t>
      </w:r>
      <w:r w:rsidR="00115A86" w:rsidRPr="00115A86">
        <w:rPr>
          <w:rFonts w:asciiTheme="majorHAnsi" w:hAnsiTheme="majorHAnsi"/>
          <w:lang w:val="en-GB"/>
        </w:rPr>
        <w:t>ime spent</w:t>
      </w:r>
      <w:r w:rsidR="00CE16A1" w:rsidRPr="00CF633C">
        <w:rPr>
          <w:rFonts w:asciiTheme="majorHAnsi" w:hAnsiTheme="majorHAnsi"/>
          <w:lang w:val="en-GB"/>
        </w:rPr>
        <w:t xml:space="preserve"> by employee</w:t>
      </w:r>
      <w:r w:rsidR="00115A86">
        <w:rPr>
          <w:rFonts w:asciiTheme="majorHAnsi" w:hAnsiTheme="majorHAnsi"/>
          <w:lang w:val="en-GB"/>
        </w:rPr>
        <w:t>s</w:t>
      </w:r>
      <w:r w:rsidR="00CE16A1" w:rsidRPr="00CF633C">
        <w:rPr>
          <w:rFonts w:asciiTheme="majorHAnsi" w:hAnsiTheme="majorHAnsi"/>
          <w:lang w:val="en-GB"/>
        </w:rPr>
        <w:t xml:space="preserve"> on the task </w:t>
      </w:r>
      <w:r w:rsidR="00115A86">
        <w:rPr>
          <w:rFonts w:asciiTheme="majorHAnsi" w:hAnsiTheme="majorHAnsi"/>
          <w:lang w:val="en-GB"/>
        </w:rPr>
        <w:t>and financial performance data,</w:t>
      </w:r>
      <w:r w:rsidRPr="002A00B3">
        <w:rPr>
          <w:rFonts w:asciiTheme="majorHAnsi" w:hAnsiTheme="majorHAnsi"/>
          <w:lang w:val="en-GB"/>
        </w:rPr>
        <w:t xml:space="preserve"> </w:t>
      </w:r>
      <w:r w:rsidR="00CE16A1" w:rsidRPr="00CF633C">
        <w:rPr>
          <w:rFonts w:asciiTheme="majorHAnsi" w:hAnsiTheme="majorHAnsi"/>
          <w:lang w:val="en-GB"/>
        </w:rPr>
        <w:t xml:space="preserve">if money is used as </w:t>
      </w:r>
      <w:r w:rsidRPr="002A00B3">
        <w:rPr>
          <w:rFonts w:asciiTheme="majorHAnsi" w:hAnsiTheme="majorHAnsi"/>
          <w:lang w:val="en-GB"/>
        </w:rPr>
        <w:t>an outcome productivity measure</w:t>
      </w:r>
      <w:r w:rsidR="00775A4E">
        <w:rPr>
          <w:rFonts w:asciiTheme="majorHAnsi" w:hAnsiTheme="majorHAnsi"/>
          <w:lang w:val="en-GB"/>
        </w:rPr>
        <w:t xml:space="preserve">. More intimate </w:t>
      </w:r>
      <w:r w:rsidR="00115A86">
        <w:rPr>
          <w:rFonts w:asciiTheme="majorHAnsi" w:hAnsiTheme="majorHAnsi"/>
          <w:lang w:val="en-GB"/>
        </w:rPr>
        <w:t>performance dashboard</w:t>
      </w:r>
      <w:r w:rsidR="00775A4E">
        <w:rPr>
          <w:rFonts w:asciiTheme="majorHAnsi" w:hAnsiTheme="majorHAnsi"/>
          <w:lang w:val="en-GB"/>
        </w:rPr>
        <w:t xml:space="preserve">s </w:t>
      </w:r>
      <w:r w:rsidR="00CE16A1" w:rsidRPr="00CF633C">
        <w:rPr>
          <w:rFonts w:asciiTheme="majorHAnsi" w:hAnsiTheme="majorHAnsi"/>
          <w:lang w:val="en-GB"/>
        </w:rPr>
        <w:t>incorporate contextual information obtained from tracking devices such as levels of physical activity, level of stress, or presence/absence scores.</w:t>
      </w:r>
      <w:r>
        <w:rPr>
          <w:rFonts w:asciiTheme="majorHAnsi" w:hAnsiTheme="majorHAnsi"/>
          <w:lang w:val="en-GB"/>
        </w:rPr>
        <w:t xml:space="preserve"> </w:t>
      </w:r>
      <w:r w:rsidR="00C86D07">
        <w:rPr>
          <w:rFonts w:asciiTheme="majorHAnsi" w:hAnsiTheme="majorHAnsi"/>
          <w:lang w:val="en-GB"/>
        </w:rPr>
        <w:t>Reports that can be automatically generated and uploaded then provide</w:t>
      </w:r>
      <w:r w:rsidR="009216F6" w:rsidRPr="00201B92">
        <w:rPr>
          <w:rFonts w:asciiTheme="majorHAnsi" w:hAnsiTheme="majorHAnsi"/>
          <w:lang w:val="en-GB"/>
        </w:rPr>
        <w:t xml:space="preserve"> employees </w:t>
      </w:r>
      <w:r w:rsidR="00C86D07">
        <w:rPr>
          <w:rFonts w:asciiTheme="majorHAnsi" w:hAnsiTheme="majorHAnsi"/>
          <w:lang w:val="en-GB"/>
        </w:rPr>
        <w:t xml:space="preserve">with </w:t>
      </w:r>
      <w:r w:rsidR="00775A4E">
        <w:rPr>
          <w:rFonts w:asciiTheme="majorHAnsi" w:hAnsiTheme="majorHAnsi"/>
          <w:lang w:val="en-GB"/>
        </w:rPr>
        <w:t xml:space="preserve">a mixture of physiological and quantified </w:t>
      </w:r>
      <w:r w:rsidR="00C86D07">
        <w:rPr>
          <w:rFonts w:asciiTheme="majorHAnsi" w:hAnsiTheme="majorHAnsi"/>
          <w:lang w:val="en-GB"/>
        </w:rPr>
        <w:t xml:space="preserve">performance feedback and </w:t>
      </w:r>
      <w:r w:rsidR="009216F6" w:rsidRPr="00201B92">
        <w:rPr>
          <w:rFonts w:asciiTheme="majorHAnsi" w:hAnsiTheme="majorHAnsi"/>
          <w:lang w:val="en-GB"/>
        </w:rPr>
        <w:t>direct</w:t>
      </w:r>
      <w:r w:rsidR="00C86D07">
        <w:rPr>
          <w:rFonts w:asciiTheme="majorHAnsi" w:hAnsiTheme="majorHAnsi"/>
          <w:lang w:val="en-GB"/>
        </w:rPr>
        <w:t xml:space="preserve"> albeit</w:t>
      </w:r>
      <w:r w:rsidR="009216F6" w:rsidRPr="00201B92">
        <w:rPr>
          <w:rFonts w:asciiTheme="majorHAnsi" w:hAnsiTheme="majorHAnsi"/>
          <w:lang w:val="en-GB"/>
        </w:rPr>
        <w:t xml:space="preserve"> polite suggestions, or ‘</w:t>
      </w:r>
      <w:r w:rsidR="00A7526D" w:rsidRPr="00201B92">
        <w:rPr>
          <w:rFonts w:asciiTheme="majorHAnsi" w:hAnsiTheme="majorHAnsi"/>
          <w:lang w:val="en-GB"/>
        </w:rPr>
        <w:t xml:space="preserve">nudges’ to regulate </w:t>
      </w:r>
      <w:r w:rsidR="00C86D07">
        <w:rPr>
          <w:rFonts w:asciiTheme="majorHAnsi" w:hAnsiTheme="majorHAnsi"/>
          <w:lang w:val="en-GB"/>
        </w:rPr>
        <w:t xml:space="preserve">subsequent </w:t>
      </w:r>
      <w:r w:rsidR="00A7526D" w:rsidRPr="00201B92">
        <w:rPr>
          <w:rFonts w:asciiTheme="majorHAnsi" w:hAnsiTheme="majorHAnsi"/>
          <w:lang w:val="en-GB"/>
        </w:rPr>
        <w:t>behaviour. So-called nudges</w:t>
      </w:r>
      <w:r w:rsidR="009216F6" w:rsidRPr="00201B92">
        <w:rPr>
          <w:rFonts w:asciiTheme="majorHAnsi" w:hAnsiTheme="majorHAnsi"/>
          <w:lang w:val="en-GB"/>
        </w:rPr>
        <w:t xml:space="preserve"> encourage employees about specific action</w:t>
      </w:r>
      <w:r w:rsidR="00A7526D" w:rsidRPr="00201B92">
        <w:rPr>
          <w:rFonts w:asciiTheme="majorHAnsi" w:hAnsiTheme="majorHAnsi"/>
          <w:lang w:val="en-GB"/>
        </w:rPr>
        <w:t>s that are seen to be able</w:t>
      </w:r>
      <w:r w:rsidR="009216F6" w:rsidRPr="00201B92">
        <w:rPr>
          <w:rFonts w:asciiTheme="majorHAnsi" w:hAnsiTheme="majorHAnsi"/>
          <w:lang w:val="en-GB"/>
        </w:rPr>
        <w:t xml:space="preserve"> to improve activity, productivity</w:t>
      </w:r>
      <w:r w:rsidR="00A7526D" w:rsidRPr="00201B92">
        <w:rPr>
          <w:rFonts w:asciiTheme="majorHAnsi" w:hAnsiTheme="majorHAnsi"/>
          <w:lang w:val="en-GB"/>
        </w:rPr>
        <w:t xml:space="preserve"> and overall well-being. As </w:t>
      </w:r>
      <w:r w:rsidR="009216F6" w:rsidRPr="00201B92">
        <w:rPr>
          <w:rFonts w:asciiTheme="majorHAnsi" w:hAnsiTheme="majorHAnsi"/>
          <w:lang w:val="en-GB"/>
        </w:rPr>
        <w:t xml:space="preserve">employees follow </w:t>
      </w:r>
      <w:r w:rsidR="00A741F5">
        <w:rPr>
          <w:rFonts w:asciiTheme="majorHAnsi" w:hAnsiTheme="majorHAnsi"/>
          <w:lang w:val="en-GB"/>
        </w:rPr>
        <w:t xml:space="preserve">suggestions, </w:t>
      </w:r>
      <w:r w:rsidR="009216F6" w:rsidRPr="00201B92">
        <w:rPr>
          <w:rFonts w:asciiTheme="majorHAnsi" w:hAnsiTheme="majorHAnsi"/>
          <w:lang w:val="en-GB"/>
        </w:rPr>
        <w:t>gradual</w:t>
      </w:r>
      <w:r w:rsidR="00A741F5">
        <w:rPr>
          <w:rFonts w:asciiTheme="majorHAnsi" w:hAnsiTheme="majorHAnsi"/>
          <w:lang w:val="en-GB"/>
        </w:rPr>
        <w:t xml:space="preserve">ly improving </w:t>
      </w:r>
      <w:r w:rsidR="009216F6" w:rsidRPr="00201B92">
        <w:rPr>
          <w:rFonts w:asciiTheme="majorHAnsi" w:hAnsiTheme="majorHAnsi"/>
          <w:lang w:val="en-GB"/>
        </w:rPr>
        <w:t>behaviour and performance, the system awards them with virtual p</w:t>
      </w:r>
      <w:r w:rsidR="00A1791D">
        <w:rPr>
          <w:rFonts w:asciiTheme="majorHAnsi" w:hAnsiTheme="majorHAnsi"/>
          <w:lang w:val="en-GB"/>
        </w:rPr>
        <w:t>oints that can later be cashed in</w:t>
      </w:r>
      <w:r w:rsidR="009216F6" w:rsidRPr="00201B92">
        <w:rPr>
          <w:rFonts w:asciiTheme="majorHAnsi" w:hAnsiTheme="majorHAnsi"/>
          <w:lang w:val="en-GB"/>
        </w:rPr>
        <w:t xml:space="preserve"> for material rewards. The power of social </w:t>
      </w:r>
      <w:r w:rsidR="00355935" w:rsidRPr="00201B92">
        <w:rPr>
          <w:rFonts w:asciiTheme="majorHAnsi" w:hAnsiTheme="majorHAnsi"/>
          <w:lang w:val="en-GB"/>
        </w:rPr>
        <w:t xml:space="preserve">facilitation and social motivation </w:t>
      </w:r>
      <w:r w:rsidR="009216F6" w:rsidRPr="00201B92">
        <w:rPr>
          <w:rFonts w:asciiTheme="majorHAnsi" w:hAnsiTheme="majorHAnsi"/>
          <w:lang w:val="en-GB"/>
        </w:rPr>
        <w:t>is enabled</w:t>
      </w:r>
      <w:r w:rsidR="00355935" w:rsidRPr="00201B92">
        <w:rPr>
          <w:rFonts w:asciiTheme="majorHAnsi" w:hAnsiTheme="majorHAnsi"/>
          <w:lang w:val="en-GB"/>
        </w:rPr>
        <w:t xml:space="preserve"> by</w:t>
      </w:r>
      <w:r w:rsidR="009216F6" w:rsidRPr="00201B92">
        <w:rPr>
          <w:rFonts w:asciiTheme="majorHAnsi" w:hAnsiTheme="majorHAnsi"/>
          <w:lang w:val="en-GB"/>
        </w:rPr>
        <w:t xml:space="preserve"> </w:t>
      </w:r>
      <w:r w:rsidR="00A7526D" w:rsidRPr="00201B92">
        <w:rPr>
          <w:rFonts w:asciiTheme="majorHAnsi" w:hAnsiTheme="majorHAnsi"/>
          <w:lang w:val="en-GB"/>
        </w:rPr>
        <w:t>showcasing</w:t>
      </w:r>
      <w:r w:rsidR="009216F6" w:rsidRPr="00201B92">
        <w:rPr>
          <w:rFonts w:asciiTheme="majorHAnsi" w:hAnsiTheme="majorHAnsi"/>
          <w:lang w:val="en-GB"/>
        </w:rPr>
        <w:t xml:space="preserve"> </w:t>
      </w:r>
      <w:r w:rsidR="00A7526D" w:rsidRPr="00201B92">
        <w:rPr>
          <w:rFonts w:asciiTheme="majorHAnsi" w:hAnsiTheme="majorHAnsi"/>
          <w:lang w:val="en-GB"/>
        </w:rPr>
        <w:t>high performing</w:t>
      </w:r>
      <w:r w:rsidR="009216F6" w:rsidRPr="00201B92">
        <w:rPr>
          <w:rFonts w:asciiTheme="majorHAnsi" w:hAnsiTheme="majorHAnsi"/>
          <w:lang w:val="en-GB"/>
        </w:rPr>
        <w:t xml:space="preserve"> employees</w:t>
      </w:r>
      <w:r w:rsidR="00A7526D" w:rsidRPr="00201B92">
        <w:rPr>
          <w:rFonts w:asciiTheme="majorHAnsi" w:hAnsiTheme="majorHAnsi"/>
          <w:lang w:val="en-GB"/>
        </w:rPr>
        <w:t>’</w:t>
      </w:r>
      <w:r w:rsidR="009216F6" w:rsidRPr="00201B92">
        <w:rPr>
          <w:rFonts w:asciiTheme="majorHAnsi" w:hAnsiTheme="majorHAnsi"/>
          <w:lang w:val="en-GB"/>
        </w:rPr>
        <w:t xml:space="preserve"> </w:t>
      </w:r>
      <w:r w:rsidR="007603E7" w:rsidRPr="00201B92">
        <w:rPr>
          <w:rFonts w:asciiTheme="majorHAnsi" w:hAnsiTheme="majorHAnsi"/>
          <w:lang w:val="en-GB"/>
        </w:rPr>
        <w:t>achievements</w:t>
      </w:r>
      <w:r w:rsidR="009216F6" w:rsidRPr="00201B92">
        <w:rPr>
          <w:rFonts w:asciiTheme="majorHAnsi" w:hAnsiTheme="majorHAnsi"/>
          <w:lang w:val="en-GB"/>
        </w:rPr>
        <w:t xml:space="preserve">, encouraging people to work together on goals, and displaying the </w:t>
      </w:r>
      <w:proofErr w:type="spellStart"/>
      <w:r w:rsidR="009216F6" w:rsidRPr="00201B92">
        <w:rPr>
          <w:rFonts w:asciiTheme="majorHAnsi" w:hAnsiTheme="majorHAnsi"/>
          <w:lang w:val="en-GB"/>
        </w:rPr>
        <w:t>leaderboards</w:t>
      </w:r>
      <w:proofErr w:type="spellEnd"/>
      <w:r w:rsidR="009216F6" w:rsidRPr="00201B92">
        <w:rPr>
          <w:rFonts w:asciiTheme="majorHAnsi" w:hAnsiTheme="majorHAnsi"/>
          <w:lang w:val="en-GB"/>
        </w:rPr>
        <w:t xml:space="preserve"> in various work areas. Each employee</w:t>
      </w:r>
      <w:r w:rsidR="00A741F5">
        <w:rPr>
          <w:rFonts w:asciiTheme="majorHAnsi" w:hAnsiTheme="majorHAnsi"/>
          <w:lang w:val="en-GB"/>
        </w:rPr>
        <w:t>’s</w:t>
      </w:r>
      <w:r w:rsidR="009216F6" w:rsidRPr="00201B92">
        <w:rPr>
          <w:rFonts w:asciiTheme="majorHAnsi" w:hAnsiTheme="majorHAnsi"/>
          <w:lang w:val="en-GB"/>
        </w:rPr>
        <w:t xml:space="preserve"> virtual profile in the system is the representation of their performance and as such </w:t>
      </w:r>
      <w:r w:rsidR="009A22F8">
        <w:rPr>
          <w:rFonts w:asciiTheme="majorHAnsi" w:hAnsiTheme="majorHAnsi"/>
          <w:lang w:val="en-GB"/>
        </w:rPr>
        <w:t>may play</w:t>
      </w:r>
      <w:r w:rsidR="009216F6" w:rsidRPr="00201B92">
        <w:rPr>
          <w:rFonts w:asciiTheme="majorHAnsi" w:hAnsiTheme="majorHAnsi"/>
          <w:lang w:val="en-GB"/>
        </w:rPr>
        <w:t xml:space="preserve"> a key role in appraisals and promotions. The system is</w:t>
      </w:r>
      <w:r w:rsidR="00A7526D" w:rsidRPr="00201B92">
        <w:rPr>
          <w:rFonts w:asciiTheme="majorHAnsi" w:hAnsiTheme="majorHAnsi"/>
          <w:lang w:val="en-GB"/>
        </w:rPr>
        <w:t xml:space="preserve"> mostly</w:t>
      </w:r>
      <w:r w:rsidR="009216F6" w:rsidRPr="00201B92">
        <w:rPr>
          <w:rFonts w:asciiTheme="majorHAnsi" w:hAnsiTheme="majorHAnsi"/>
          <w:lang w:val="en-GB"/>
        </w:rPr>
        <w:t xml:space="preserve"> invisible, yet omnipresent.</w:t>
      </w:r>
    </w:p>
    <w:p w14:paraId="3D0B57F3" w14:textId="77777777" w:rsidR="00F950ED" w:rsidRPr="00201B92" w:rsidRDefault="00F950ED" w:rsidP="00445D3E">
      <w:pPr>
        <w:jc w:val="both"/>
        <w:rPr>
          <w:rFonts w:asciiTheme="majorHAnsi" w:hAnsiTheme="majorHAnsi"/>
          <w:lang w:val="en-GB"/>
        </w:rPr>
      </w:pPr>
    </w:p>
    <w:p w14:paraId="06AA7565" w14:textId="1CB9A472" w:rsidR="00016465" w:rsidRPr="00201B92" w:rsidRDefault="009216F6" w:rsidP="00F509CB">
      <w:pPr>
        <w:jc w:val="both"/>
        <w:rPr>
          <w:rFonts w:asciiTheme="majorHAnsi" w:hAnsiTheme="majorHAnsi"/>
          <w:lang w:val="en-GB"/>
        </w:rPr>
      </w:pPr>
      <w:r w:rsidRPr="00201B92">
        <w:rPr>
          <w:rFonts w:asciiTheme="majorHAnsi" w:hAnsiTheme="majorHAnsi"/>
          <w:lang w:val="en-GB"/>
        </w:rPr>
        <w:t xml:space="preserve">Such </w:t>
      </w:r>
      <w:r w:rsidR="009A22F8">
        <w:rPr>
          <w:rFonts w:asciiTheme="majorHAnsi" w:hAnsiTheme="majorHAnsi"/>
          <w:lang w:val="en-GB"/>
        </w:rPr>
        <w:t xml:space="preserve">a </w:t>
      </w:r>
      <w:r w:rsidRPr="00201B92">
        <w:rPr>
          <w:rFonts w:asciiTheme="majorHAnsi" w:hAnsiTheme="majorHAnsi"/>
          <w:lang w:val="en-GB"/>
        </w:rPr>
        <w:t>vision may seem like an excerpt from a</w:t>
      </w:r>
      <w:r w:rsidR="00355935" w:rsidRPr="00201B92">
        <w:rPr>
          <w:rFonts w:asciiTheme="majorHAnsi" w:hAnsiTheme="majorHAnsi"/>
          <w:lang w:val="en-GB"/>
        </w:rPr>
        <w:t>n</w:t>
      </w:r>
      <w:r w:rsidRPr="00201B92">
        <w:rPr>
          <w:rFonts w:asciiTheme="majorHAnsi" w:hAnsiTheme="majorHAnsi"/>
          <w:lang w:val="en-GB"/>
        </w:rPr>
        <w:t xml:space="preserve"> Aldous Huxley novel but it is in fact very close to what may very soon become a reality. The </w:t>
      </w:r>
      <w:r w:rsidR="009A22F8">
        <w:rPr>
          <w:rFonts w:asciiTheme="majorHAnsi" w:hAnsiTheme="majorHAnsi"/>
          <w:lang w:val="en-GB"/>
        </w:rPr>
        <w:t xml:space="preserve">technological </w:t>
      </w:r>
      <w:r w:rsidRPr="00201B92">
        <w:rPr>
          <w:rFonts w:asciiTheme="majorHAnsi" w:hAnsiTheme="majorHAnsi"/>
          <w:lang w:val="en-GB"/>
        </w:rPr>
        <w:t>components are already in place</w:t>
      </w:r>
      <w:r w:rsidR="009A22F8">
        <w:rPr>
          <w:rFonts w:asciiTheme="majorHAnsi" w:hAnsiTheme="majorHAnsi"/>
          <w:lang w:val="en-GB"/>
        </w:rPr>
        <w:t>, complemented by an</w:t>
      </w:r>
      <w:r w:rsidRPr="00201B92">
        <w:rPr>
          <w:rFonts w:asciiTheme="majorHAnsi" w:hAnsiTheme="majorHAnsi"/>
          <w:lang w:val="en-GB"/>
        </w:rPr>
        <w:t xml:space="preserve"> emerging ‘wellness syndrome’</w:t>
      </w:r>
      <w:r w:rsidR="009A22F8">
        <w:rPr>
          <w:rFonts w:asciiTheme="majorHAnsi" w:hAnsiTheme="majorHAnsi"/>
          <w:lang w:val="en-GB"/>
        </w:rPr>
        <w:t xml:space="preserve"> (</w:t>
      </w:r>
      <w:proofErr w:type="spellStart"/>
      <w:r w:rsidR="009A22F8">
        <w:rPr>
          <w:rFonts w:asciiTheme="majorHAnsi" w:hAnsiTheme="majorHAnsi"/>
          <w:lang w:val="en-GB"/>
        </w:rPr>
        <w:t>Cederstrom</w:t>
      </w:r>
      <w:proofErr w:type="spellEnd"/>
      <w:r w:rsidR="009A22F8">
        <w:rPr>
          <w:rFonts w:asciiTheme="majorHAnsi" w:hAnsiTheme="majorHAnsi"/>
          <w:lang w:val="en-GB"/>
        </w:rPr>
        <w:t xml:space="preserve"> and Spicer, 2015) whereby </w:t>
      </w:r>
      <w:r w:rsidRPr="00201B92">
        <w:rPr>
          <w:rFonts w:asciiTheme="majorHAnsi" w:hAnsiTheme="majorHAnsi"/>
          <w:lang w:val="en-GB"/>
        </w:rPr>
        <w:t>well</w:t>
      </w:r>
      <w:r w:rsidR="00A7526D" w:rsidRPr="00201B92">
        <w:rPr>
          <w:rFonts w:asciiTheme="majorHAnsi" w:hAnsiTheme="majorHAnsi"/>
          <w:lang w:val="en-GB"/>
        </w:rPr>
        <w:t xml:space="preserve">ness at work </w:t>
      </w:r>
      <w:r w:rsidR="009A22F8">
        <w:rPr>
          <w:rFonts w:asciiTheme="majorHAnsi" w:hAnsiTheme="majorHAnsi"/>
          <w:lang w:val="en-GB"/>
        </w:rPr>
        <w:t xml:space="preserve">is increasingly </w:t>
      </w:r>
      <w:r w:rsidRPr="00201B92">
        <w:rPr>
          <w:rFonts w:asciiTheme="majorHAnsi" w:hAnsiTheme="majorHAnsi"/>
          <w:lang w:val="en-GB"/>
        </w:rPr>
        <w:t xml:space="preserve">recognised as vital for the </w:t>
      </w:r>
      <w:r w:rsidR="00A741F5">
        <w:rPr>
          <w:rFonts w:asciiTheme="majorHAnsi" w:hAnsiTheme="majorHAnsi"/>
          <w:lang w:val="en-GB"/>
        </w:rPr>
        <w:t xml:space="preserve">economic </w:t>
      </w:r>
      <w:r w:rsidRPr="00201B92">
        <w:rPr>
          <w:rFonts w:asciiTheme="majorHAnsi" w:hAnsiTheme="majorHAnsi"/>
          <w:lang w:val="en-GB"/>
        </w:rPr>
        <w:t>health of an organisation.</w:t>
      </w:r>
      <w:r w:rsidR="00F509CB">
        <w:rPr>
          <w:rFonts w:asciiTheme="majorHAnsi" w:hAnsiTheme="majorHAnsi"/>
          <w:lang w:val="en-GB"/>
        </w:rPr>
        <w:t xml:space="preserve"> As many as </w:t>
      </w:r>
      <w:r w:rsidR="00F509CB" w:rsidRPr="00F509CB">
        <w:rPr>
          <w:rFonts w:asciiTheme="majorHAnsi" w:hAnsiTheme="majorHAnsi"/>
          <w:lang w:val="en-GB"/>
        </w:rPr>
        <w:t>580,000 U.S. companies</w:t>
      </w:r>
      <w:r w:rsidR="00F509CB">
        <w:rPr>
          <w:rFonts w:asciiTheme="majorHAnsi" w:hAnsiTheme="majorHAnsi"/>
          <w:lang w:val="en-GB"/>
        </w:rPr>
        <w:t xml:space="preserve"> implemented wellness programmes in 2015</w:t>
      </w:r>
      <w:r w:rsidR="00431C57">
        <w:rPr>
          <w:rFonts w:asciiTheme="majorHAnsi" w:hAnsiTheme="majorHAnsi"/>
          <w:lang w:val="en-GB"/>
        </w:rPr>
        <w:t xml:space="preserve"> that inv</w:t>
      </w:r>
      <w:r w:rsidR="001B22DC">
        <w:rPr>
          <w:rFonts w:asciiTheme="majorHAnsi" w:hAnsiTheme="majorHAnsi"/>
          <w:lang w:val="en-GB"/>
        </w:rPr>
        <w:t>olve wearable fitness tracking devices</w:t>
      </w:r>
      <w:r w:rsidR="00F509CB">
        <w:rPr>
          <w:rFonts w:asciiTheme="majorHAnsi" w:hAnsiTheme="majorHAnsi"/>
          <w:lang w:val="en-GB"/>
        </w:rPr>
        <w:t xml:space="preserve"> (</w:t>
      </w:r>
      <w:proofErr w:type="spellStart"/>
      <w:r w:rsidR="00F509CB">
        <w:rPr>
          <w:rFonts w:asciiTheme="majorHAnsi" w:hAnsiTheme="majorHAnsi"/>
          <w:lang w:val="en-GB"/>
        </w:rPr>
        <w:t>Hamblen</w:t>
      </w:r>
      <w:proofErr w:type="spellEnd"/>
      <w:r w:rsidR="00F509CB">
        <w:rPr>
          <w:rFonts w:asciiTheme="majorHAnsi" w:hAnsiTheme="majorHAnsi"/>
          <w:lang w:val="en-GB"/>
        </w:rPr>
        <w:t xml:space="preserve">, 2015). </w:t>
      </w:r>
      <w:r w:rsidRPr="00201B92">
        <w:rPr>
          <w:rFonts w:asciiTheme="majorHAnsi" w:hAnsiTheme="majorHAnsi"/>
          <w:lang w:val="en-GB"/>
        </w:rPr>
        <w:t xml:space="preserve">This concurs with </w:t>
      </w:r>
      <w:r w:rsidR="002E25B5">
        <w:rPr>
          <w:rFonts w:asciiTheme="majorHAnsi" w:hAnsiTheme="majorHAnsi"/>
          <w:lang w:val="en-GB"/>
        </w:rPr>
        <w:t xml:space="preserve">a </w:t>
      </w:r>
      <w:r w:rsidRPr="00201B92">
        <w:rPr>
          <w:rFonts w:asciiTheme="majorHAnsi" w:hAnsiTheme="majorHAnsi"/>
          <w:lang w:val="en-GB"/>
        </w:rPr>
        <w:t>‘digital revolution’ where body-worn and personal technology such as smartphones and digital wearables are becoming a part of daily work system</w:t>
      </w:r>
      <w:r w:rsidR="002E25B5">
        <w:rPr>
          <w:rFonts w:asciiTheme="majorHAnsi" w:hAnsiTheme="majorHAnsi"/>
          <w:lang w:val="en-GB"/>
        </w:rPr>
        <w:t>s</w:t>
      </w:r>
      <w:r w:rsidR="00781AE0" w:rsidRPr="00201B92">
        <w:rPr>
          <w:rFonts w:asciiTheme="majorHAnsi" w:hAnsiTheme="majorHAnsi"/>
          <w:lang w:val="en-GB"/>
        </w:rPr>
        <w:t xml:space="preserve"> (Swan, 2012)</w:t>
      </w:r>
      <w:r w:rsidRPr="00201B92">
        <w:rPr>
          <w:rFonts w:asciiTheme="majorHAnsi" w:hAnsiTheme="majorHAnsi"/>
          <w:lang w:val="en-GB"/>
        </w:rPr>
        <w:t xml:space="preserve">. </w:t>
      </w:r>
      <w:r w:rsidR="007D5A5B">
        <w:rPr>
          <w:rFonts w:asciiTheme="majorHAnsi" w:hAnsiTheme="majorHAnsi"/>
          <w:lang w:val="en-GB"/>
        </w:rPr>
        <w:t xml:space="preserve">Furthermore, metrics, indices, </w:t>
      </w:r>
      <w:r w:rsidR="007D5A5B" w:rsidRPr="00201B92">
        <w:rPr>
          <w:rFonts w:asciiTheme="majorHAnsi" w:hAnsiTheme="majorHAnsi"/>
          <w:lang w:val="en-GB"/>
        </w:rPr>
        <w:t xml:space="preserve">intensified measuring </w:t>
      </w:r>
      <w:r w:rsidR="007D5A5B">
        <w:rPr>
          <w:rFonts w:asciiTheme="majorHAnsi" w:hAnsiTheme="majorHAnsi"/>
          <w:lang w:val="en-GB"/>
        </w:rPr>
        <w:t>methods</w:t>
      </w:r>
      <w:r w:rsidR="007D5A5B" w:rsidRPr="00201B92">
        <w:rPr>
          <w:rFonts w:asciiTheme="majorHAnsi" w:hAnsiTheme="majorHAnsi"/>
          <w:lang w:val="en-GB"/>
        </w:rPr>
        <w:t xml:space="preserve"> and performance indicators are all part of the trend toward quantification in behavioural regulation techniques </w:t>
      </w:r>
      <w:r w:rsidR="00097DAD">
        <w:rPr>
          <w:rFonts w:asciiTheme="majorHAnsi" w:hAnsiTheme="majorHAnsi"/>
          <w:lang w:val="en-GB"/>
        </w:rPr>
        <w:t>and</w:t>
      </w:r>
      <w:r w:rsidR="00AF4639">
        <w:rPr>
          <w:rFonts w:asciiTheme="majorHAnsi" w:hAnsiTheme="majorHAnsi"/>
          <w:lang w:val="en-GB"/>
        </w:rPr>
        <w:t xml:space="preserve"> worker discipline </w:t>
      </w:r>
      <w:r w:rsidR="007D5A5B" w:rsidRPr="00201B92">
        <w:rPr>
          <w:rFonts w:asciiTheme="majorHAnsi" w:hAnsiTheme="majorHAnsi"/>
          <w:lang w:val="en-GB"/>
        </w:rPr>
        <w:t xml:space="preserve">in the era of workplace computerisation. </w:t>
      </w:r>
      <w:r w:rsidRPr="00201B92">
        <w:rPr>
          <w:rFonts w:asciiTheme="majorHAnsi" w:hAnsiTheme="majorHAnsi"/>
          <w:lang w:val="en-GB"/>
        </w:rPr>
        <w:t xml:space="preserve">The </w:t>
      </w:r>
      <w:r w:rsidR="00A7526D" w:rsidRPr="00201B92">
        <w:rPr>
          <w:rFonts w:asciiTheme="majorHAnsi" w:hAnsiTheme="majorHAnsi"/>
          <w:lang w:val="en-GB"/>
        </w:rPr>
        <w:t xml:space="preserve">near ubiquity of </w:t>
      </w:r>
      <w:r w:rsidRPr="00201B92">
        <w:rPr>
          <w:rFonts w:asciiTheme="majorHAnsi" w:hAnsiTheme="majorHAnsi"/>
          <w:lang w:val="en-GB"/>
        </w:rPr>
        <w:t xml:space="preserve">smart digital </w:t>
      </w:r>
      <w:r w:rsidR="009A22F8">
        <w:rPr>
          <w:rFonts w:asciiTheme="majorHAnsi" w:hAnsiTheme="majorHAnsi"/>
          <w:lang w:val="en-GB"/>
        </w:rPr>
        <w:t xml:space="preserve">workplace </w:t>
      </w:r>
      <w:r w:rsidRPr="00201B92">
        <w:rPr>
          <w:rFonts w:asciiTheme="majorHAnsi" w:hAnsiTheme="majorHAnsi"/>
          <w:lang w:val="en-GB"/>
        </w:rPr>
        <w:t>devices makes it easy for organisations to provide targeted initiatives and incentives to help employees stay</w:t>
      </w:r>
      <w:r w:rsidR="009A22F8">
        <w:rPr>
          <w:rFonts w:asciiTheme="majorHAnsi" w:hAnsiTheme="majorHAnsi"/>
          <w:lang w:val="en-GB"/>
        </w:rPr>
        <w:t xml:space="preserve"> well, but it also </w:t>
      </w:r>
      <w:r w:rsidR="009A22F8">
        <w:rPr>
          <w:rFonts w:asciiTheme="majorHAnsi" w:hAnsiTheme="majorHAnsi"/>
          <w:lang w:val="en-GB"/>
        </w:rPr>
        <w:lastRenderedPageBreak/>
        <w:t xml:space="preserve">results in </w:t>
      </w:r>
      <w:r w:rsidRPr="00201B92">
        <w:rPr>
          <w:rFonts w:asciiTheme="majorHAnsi" w:hAnsiTheme="majorHAnsi"/>
          <w:lang w:val="en-GB"/>
        </w:rPr>
        <w:t>large quantities of detailed personal data</w:t>
      </w:r>
      <w:r w:rsidR="00A741F5">
        <w:rPr>
          <w:rFonts w:asciiTheme="majorHAnsi" w:hAnsiTheme="majorHAnsi"/>
          <w:lang w:val="en-GB"/>
        </w:rPr>
        <w:t xml:space="preserve"> being gathered about employees that was once impossible</w:t>
      </w:r>
      <w:r w:rsidRPr="00201B92">
        <w:rPr>
          <w:rFonts w:asciiTheme="majorHAnsi" w:hAnsiTheme="majorHAnsi"/>
          <w:lang w:val="en-GB"/>
        </w:rPr>
        <w:t>. Wearable devices can be used to record level</w:t>
      </w:r>
      <w:r w:rsidR="002E25B5">
        <w:rPr>
          <w:rFonts w:asciiTheme="majorHAnsi" w:hAnsiTheme="majorHAnsi"/>
          <w:lang w:val="en-GB"/>
        </w:rPr>
        <w:t>s</w:t>
      </w:r>
      <w:r w:rsidRPr="00201B92">
        <w:rPr>
          <w:rFonts w:asciiTheme="majorHAnsi" w:hAnsiTheme="majorHAnsi"/>
          <w:lang w:val="en-GB"/>
        </w:rPr>
        <w:t xml:space="preserve"> a</w:t>
      </w:r>
      <w:r w:rsidR="007369AA" w:rsidRPr="00201B92">
        <w:rPr>
          <w:rFonts w:asciiTheme="majorHAnsi" w:hAnsiTheme="majorHAnsi"/>
          <w:lang w:val="en-GB"/>
        </w:rPr>
        <w:t>nd type of physical activity, heart rate variability</w:t>
      </w:r>
      <w:r w:rsidR="009A22F8">
        <w:rPr>
          <w:rFonts w:asciiTheme="majorHAnsi" w:hAnsiTheme="majorHAnsi"/>
          <w:lang w:val="en-GB"/>
        </w:rPr>
        <w:t xml:space="preserve"> as well as</w:t>
      </w:r>
      <w:r w:rsidRPr="00201B92">
        <w:rPr>
          <w:rFonts w:asciiTheme="majorHAnsi" w:hAnsiTheme="majorHAnsi"/>
          <w:lang w:val="en-GB"/>
        </w:rPr>
        <w:t xml:space="preserve"> em</w:t>
      </w:r>
      <w:r w:rsidR="007369AA" w:rsidRPr="00201B92">
        <w:rPr>
          <w:rFonts w:asciiTheme="majorHAnsi" w:hAnsiTheme="majorHAnsi"/>
          <w:lang w:val="en-GB"/>
        </w:rPr>
        <w:t>otional and mood variances and stress levels</w:t>
      </w:r>
      <w:r w:rsidRPr="00201B92">
        <w:rPr>
          <w:rFonts w:asciiTheme="majorHAnsi" w:hAnsiTheme="majorHAnsi"/>
          <w:lang w:val="en-GB"/>
        </w:rPr>
        <w:t>. In this context the emergence of workplace wearable</w:t>
      </w:r>
      <w:r w:rsidR="007369AA" w:rsidRPr="00201B92">
        <w:rPr>
          <w:rFonts w:asciiTheme="majorHAnsi" w:hAnsiTheme="majorHAnsi"/>
          <w:lang w:val="en-GB"/>
        </w:rPr>
        <w:t xml:space="preserve"> devices and self-tracking technologies</w:t>
      </w:r>
      <w:r w:rsidRPr="00201B92">
        <w:rPr>
          <w:rFonts w:asciiTheme="majorHAnsi" w:hAnsiTheme="majorHAnsi"/>
          <w:lang w:val="en-GB"/>
        </w:rPr>
        <w:t xml:space="preserve"> (WST</w:t>
      </w:r>
      <w:r w:rsidR="002E25B5">
        <w:rPr>
          <w:rFonts w:asciiTheme="majorHAnsi" w:hAnsiTheme="majorHAnsi"/>
          <w:lang w:val="en-GB"/>
        </w:rPr>
        <w:t>T) in wellness initiatives</w:t>
      </w:r>
      <w:r w:rsidRPr="00201B92">
        <w:rPr>
          <w:rFonts w:asciiTheme="majorHAnsi" w:hAnsiTheme="majorHAnsi"/>
          <w:lang w:val="en-GB"/>
        </w:rPr>
        <w:t xml:space="preserve"> </w:t>
      </w:r>
      <w:r w:rsidR="007369AA" w:rsidRPr="00201B92">
        <w:rPr>
          <w:rFonts w:asciiTheme="majorHAnsi" w:hAnsiTheme="majorHAnsi"/>
          <w:lang w:val="en-GB"/>
        </w:rPr>
        <w:t xml:space="preserve">are widely perceived as </w:t>
      </w:r>
      <w:r w:rsidRPr="00201B92">
        <w:rPr>
          <w:rFonts w:asciiTheme="majorHAnsi" w:hAnsiTheme="majorHAnsi"/>
          <w:lang w:val="en-GB"/>
        </w:rPr>
        <w:t>cutting edge method</w:t>
      </w:r>
      <w:r w:rsidR="007369AA" w:rsidRPr="00201B92">
        <w:rPr>
          <w:rFonts w:asciiTheme="majorHAnsi" w:hAnsiTheme="majorHAnsi"/>
          <w:lang w:val="en-GB"/>
        </w:rPr>
        <w:t>s</w:t>
      </w:r>
      <w:r w:rsidRPr="00201B92">
        <w:rPr>
          <w:rFonts w:asciiTheme="majorHAnsi" w:hAnsiTheme="majorHAnsi"/>
          <w:lang w:val="en-GB"/>
        </w:rPr>
        <w:t xml:space="preserve"> to improve employees’ health and well-being</w:t>
      </w:r>
      <w:r w:rsidR="009A22F8">
        <w:rPr>
          <w:rFonts w:asciiTheme="majorHAnsi" w:hAnsiTheme="majorHAnsi"/>
          <w:lang w:val="en-GB"/>
        </w:rPr>
        <w:t xml:space="preserve"> and improve aggregate firm productivity</w:t>
      </w:r>
      <w:r w:rsidRPr="00201B92">
        <w:rPr>
          <w:rFonts w:asciiTheme="majorHAnsi" w:hAnsiTheme="majorHAnsi"/>
          <w:lang w:val="en-GB"/>
        </w:rPr>
        <w:t xml:space="preserve"> (Wilson, 2013b; </w:t>
      </w:r>
      <w:proofErr w:type="spellStart"/>
      <w:r w:rsidRPr="00201B92">
        <w:rPr>
          <w:rFonts w:asciiTheme="majorHAnsi" w:hAnsiTheme="majorHAnsi"/>
          <w:lang w:val="en-GB"/>
        </w:rPr>
        <w:t>Nield</w:t>
      </w:r>
      <w:proofErr w:type="spellEnd"/>
      <w:r w:rsidRPr="00201B92">
        <w:rPr>
          <w:rFonts w:asciiTheme="majorHAnsi" w:hAnsiTheme="majorHAnsi"/>
          <w:lang w:val="en-GB"/>
        </w:rPr>
        <w:t xml:space="preserve">, 2014). </w:t>
      </w:r>
    </w:p>
    <w:p w14:paraId="4523DFE7" w14:textId="77777777" w:rsidR="0080704C" w:rsidRPr="00201B92" w:rsidRDefault="0080704C" w:rsidP="00445D3E">
      <w:pPr>
        <w:jc w:val="both"/>
        <w:rPr>
          <w:rFonts w:asciiTheme="majorHAnsi" w:hAnsiTheme="majorHAnsi"/>
          <w:lang w:val="en-GB"/>
        </w:rPr>
      </w:pPr>
    </w:p>
    <w:p w14:paraId="5466458F" w14:textId="70C01CA7" w:rsidR="00016465" w:rsidRPr="00201B92" w:rsidRDefault="0080704C" w:rsidP="00A741F5">
      <w:pPr>
        <w:jc w:val="both"/>
        <w:rPr>
          <w:rFonts w:asciiTheme="majorHAnsi" w:hAnsiTheme="majorHAnsi"/>
          <w:lang w:val="en-GB"/>
        </w:rPr>
      </w:pPr>
      <w:r w:rsidRPr="00201B92">
        <w:rPr>
          <w:rFonts w:asciiTheme="majorHAnsi" w:hAnsiTheme="majorHAnsi"/>
          <w:lang w:val="en-GB"/>
        </w:rPr>
        <w:t>In order to begin to think about ho</w:t>
      </w:r>
      <w:r w:rsidR="009A22F8">
        <w:rPr>
          <w:rFonts w:asciiTheme="majorHAnsi" w:hAnsiTheme="majorHAnsi"/>
          <w:lang w:val="en-GB"/>
        </w:rPr>
        <w:t>w to begin to research</w:t>
      </w:r>
      <w:r w:rsidRPr="00201B92">
        <w:rPr>
          <w:rFonts w:asciiTheme="majorHAnsi" w:hAnsiTheme="majorHAnsi"/>
          <w:lang w:val="en-GB"/>
        </w:rPr>
        <w:t xml:space="preserve"> </w:t>
      </w:r>
      <w:r w:rsidR="009A22F8">
        <w:rPr>
          <w:rFonts w:asciiTheme="majorHAnsi" w:hAnsiTheme="majorHAnsi"/>
          <w:lang w:val="en-GB"/>
        </w:rPr>
        <w:t xml:space="preserve">the </w:t>
      </w:r>
      <w:r w:rsidR="00A741F5">
        <w:rPr>
          <w:rFonts w:asciiTheme="majorHAnsi" w:hAnsiTheme="majorHAnsi"/>
          <w:lang w:val="en-GB"/>
        </w:rPr>
        <w:t>phenomenon of WSTT in workplaces</w:t>
      </w:r>
      <w:r w:rsidR="009A22F8">
        <w:rPr>
          <w:rFonts w:asciiTheme="majorHAnsi" w:hAnsiTheme="majorHAnsi"/>
          <w:lang w:val="en-GB"/>
        </w:rPr>
        <w:t xml:space="preserve">, an area that has </w:t>
      </w:r>
      <w:r w:rsidR="00A741F5">
        <w:rPr>
          <w:rFonts w:asciiTheme="majorHAnsi" w:hAnsiTheme="majorHAnsi"/>
          <w:lang w:val="en-GB"/>
        </w:rPr>
        <w:t xml:space="preserve">significant </w:t>
      </w:r>
      <w:r w:rsidR="009A22F8">
        <w:rPr>
          <w:rFonts w:asciiTheme="majorHAnsi" w:hAnsiTheme="majorHAnsi"/>
          <w:lang w:val="en-GB"/>
        </w:rPr>
        <w:t>implications for job design and employment relations research</w:t>
      </w:r>
      <w:r w:rsidRPr="00201B92">
        <w:rPr>
          <w:rFonts w:asciiTheme="majorHAnsi" w:hAnsiTheme="majorHAnsi"/>
          <w:lang w:val="en-GB"/>
        </w:rPr>
        <w:t>, this article approaches a range of</w:t>
      </w:r>
      <w:r w:rsidR="009216F6" w:rsidRPr="00201B92">
        <w:rPr>
          <w:rFonts w:asciiTheme="majorHAnsi" w:hAnsiTheme="majorHAnsi"/>
          <w:lang w:val="en-GB"/>
        </w:rPr>
        <w:t xml:space="preserve"> ethical dilemma</w:t>
      </w:r>
      <w:r w:rsidR="00A7526D" w:rsidRPr="00201B92">
        <w:rPr>
          <w:rFonts w:asciiTheme="majorHAnsi" w:hAnsiTheme="majorHAnsi"/>
          <w:lang w:val="en-GB"/>
        </w:rPr>
        <w:t>s</w:t>
      </w:r>
      <w:r w:rsidR="002E25B5">
        <w:rPr>
          <w:rFonts w:asciiTheme="majorHAnsi" w:hAnsiTheme="majorHAnsi"/>
          <w:lang w:val="en-GB"/>
        </w:rPr>
        <w:t xml:space="preserve"> that arise</w:t>
      </w:r>
      <w:r w:rsidR="009216F6" w:rsidRPr="00201B92">
        <w:rPr>
          <w:rFonts w:asciiTheme="majorHAnsi" w:hAnsiTheme="majorHAnsi"/>
          <w:lang w:val="en-GB"/>
        </w:rPr>
        <w:t xml:space="preserve"> </w:t>
      </w:r>
      <w:r w:rsidR="009A22F8">
        <w:rPr>
          <w:rFonts w:asciiTheme="majorHAnsi" w:hAnsiTheme="majorHAnsi"/>
          <w:lang w:val="en-GB"/>
        </w:rPr>
        <w:t xml:space="preserve">as </w:t>
      </w:r>
      <w:r w:rsidR="00A7526D" w:rsidRPr="00201B92">
        <w:rPr>
          <w:rFonts w:asciiTheme="majorHAnsi" w:hAnsiTheme="majorHAnsi"/>
          <w:lang w:val="en-GB"/>
        </w:rPr>
        <w:t>workplace behaviour</w:t>
      </w:r>
      <w:r w:rsidR="009A22F8">
        <w:rPr>
          <w:rFonts w:asciiTheme="majorHAnsi" w:hAnsiTheme="majorHAnsi"/>
          <w:lang w:val="en-GB"/>
        </w:rPr>
        <w:t xml:space="preserve"> begins to become regulated</w:t>
      </w:r>
      <w:r w:rsidR="00A7526D" w:rsidRPr="00201B92">
        <w:rPr>
          <w:rFonts w:asciiTheme="majorHAnsi" w:hAnsiTheme="majorHAnsi"/>
          <w:lang w:val="en-GB"/>
        </w:rPr>
        <w:t xml:space="preserve"> through </w:t>
      </w:r>
      <w:r w:rsidR="009A22F8">
        <w:rPr>
          <w:rFonts w:asciiTheme="majorHAnsi" w:hAnsiTheme="majorHAnsi"/>
          <w:lang w:val="en-GB"/>
        </w:rPr>
        <w:t xml:space="preserve">data driven </w:t>
      </w:r>
      <w:r w:rsidR="009216F6" w:rsidRPr="00201B92">
        <w:rPr>
          <w:rFonts w:asciiTheme="majorHAnsi" w:hAnsiTheme="majorHAnsi"/>
          <w:lang w:val="en-GB"/>
        </w:rPr>
        <w:t xml:space="preserve">wellness initiatives. </w:t>
      </w:r>
      <w:r w:rsidR="0023172E">
        <w:rPr>
          <w:rFonts w:asciiTheme="majorHAnsi" w:hAnsiTheme="majorHAnsi"/>
          <w:lang w:val="en-GB"/>
        </w:rPr>
        <w:t>R</w:t>
      </w:r>
      <w:r w:rsidR="002E25B5">
        <w:rPr>
          <w:rFonts w:asciiTheme="majorHAnsi" w:hAnsiTheme="majorHAnsi"/>
          <w:lang w:val="en-GB"/>
        </w:rPr>
        <w:t>esearch must take the</w:t>
      </w:r>
      <w:r w:rsidR="007603E7">
        <w:rPr>
          <w:rFonts w:asciiTheme="majorHAnsi" w:hAnsiTheme="majorHAnsi"/>
          <w:lang w:val="en-GB"/>
        </w:rPr>
        <w:t xml:space="preserve"> issues</w:t>
      </w:r>
      <w:r w:rsidR="002E25B5">
        <w:rPr>
          <w:rFonts w:asciiTheme="majorHAnsi" w:hAnsiTheme="majorHAnsi"/>
          <w:lang w:val="en-GB"/>
        </w:rPr>
        <w:t xml:space="preserve"> we identify</w:t>
      </w:r>
      <w:r w:rsidR="007603E7">
        <w:rPr>
          <w:rFonts w:asciiTheme="majorHAnsi" w:hAnsiTheme="majorHAnsi"/>
          <w:lang w:val="en-GB"/>
        </w:rPr>
        <w:t xml:space="preserve"> into account as questions</w:t>
      </w:r>
      <w:r w:rsidR="009216F6" w:rsidRPr="00201B92">
        <w:rPr>
          <w:rFonts w:asciiTheme="majorHAnsi" w:hAnsiTheme="majorHAnsi"/>
          <w:lang w:val="en-GB"/>
        </w:rPr>
        <w:t xml:space="preserve"> toward </w:t>
      </w:r>
      <w:r w:rsidR="009A22F8">
        <w:rPr>
          <w:rFonts w:asciiTheme="majorHAnsi" w:hAnsiTheme="majorHAnsi"/>
          <w:lang w:val="en-GB"/>
        </w:rPr>
        <w:t>‘</w:t>
      </w:r>
      <w:r w:rsidR="009216F6" w:rsidRPr="00201B92">
        <w:rPr>
          <w:rFonts w:asciiTheme="majorHAnsi" w:hAnsiTheme="majorHAnsi"/>
          <w:lang w:val="en-GB"/>
        </w:rPr>
        <w:t>who and what counts</w:t>
      </w:r>
      <w:r w:rsidR="009A22F8">
        <w:rPr>
          <w:rFonts w:asciiTheme="majorHAnsi" w:hAnsiTheme="majorHAnsi"/>
          <w:lang w:val="en-GB"/>
        </w:rPr>
        <w:t>’</w:t>
      </w:r>
      <w:r w:rsidR="009216F6" w:rsidRPr="00201B92">
        <w:rPr>
          <w:rFonts w:asciiTheme="majorHAnsi" w:hAnsiTheme="majorHAnsi"/>
          <w:lang w:val="en-GB"/>
        </w:rPr>
        <w:t xml:space="preserve"> in the neoliberal workplace</w:t>
      </w:r>
      <w:r w:rsidR="007603E7">
        <w:rPr>
          <w:rFonts w:asciiTheme="majorHAnsi" w:hAnsiTheme="majorHAnsi"/>
          <w:lang w:val="en-GB"/>
        </w:rPr>
        <w:t xml:space="preserve"> </w:t>
      </w:r>
      <w:r w:rsidR="009A22F8">
        <w:rPr>
          <w:rFonts w:asciiTheme="majorHAnsi" w:hAnsiTheme="majorHAnsi"/>
          <w:lang w:val="en-GB"/>
        </w:rPr>
        <w:t>become increasingly relevant</w:t>
      </w:r>
      <w:r w:rsidR="009216F6" w:rsidRPr="00201B92">
        <w:rPr>
          <w:rFonts w:asciiTheme="majorHAnsi" w:hAnsiTheme="majorHAnsi"/>
          <w:lang w:val="en-GB"/>
        </w:rPr>
        <w:t xml:space="preserve"> (</w:t>
      </w:r>
      <w:r w:rsidR="00425722" w:rsidRPr="00201B92">
        <w:rPr>
          <w:rFonts w:asciiTheme="majorHAnsi" w:hAnsiTheme="majorHAnsi"/>
          <w:lang w:val="en-GB"/>
        </w:rPr>
        <w:t>author citation</w:t>
      </w:r>
      <w:r w:rsidR="009216F6" w:rsidRPr="00201B92">
        <w:rPr>
          <w:rFonts w:asciiTheme="majorHAnsi" w:hAnsiTheme="majorHAnsi"/>
          <w:lang w:val="en-GB"/>
        </w:rPr>
        <w:t>). WSTT are as yet largely unregulated and the impact of such projec</w:t>
      </w:r>
      <w:r w:rsidR="00A80AEB" w:rsidRPr="00201B92">
        <w:rPr>
          <w:rFonts w:asciiTheme="majorHAnsi" w:hAnsiTheme="majorHAnsi"/>
          <w:lang w:val="en-GB"/>
        </w:rPr>
        <w:t>ts on employees is largely unknown</w:t>
      </w:r>
      <w:r w:rsidR="00A741F5">
        <w:rPr>
          <w:rFonts w:asciiTheme="majorHAnsi" w:hAnsiTheme="majorHAnsi"/>
          <w:lang w:val="en-GB"/>
        </w:rPr>
        <w:t xml:space="preserve">. </w:t>
      </w:r>
      <w:proofErr w:type="gramStart"/>
      <w:r w:rsidR="00A741F5">
        <w:rPr>
          <w:rFonts w:asciiTheme="majorHAnsi" w:hAnsiTheme="majorHAnsi"/>
          <w:lang w:val="en-GB"/>
        </w:rPr>
        <w:t>T</w:t>
      </w:r>
      <w:r w:rsidR="00A80AEB" w:rsidRPr="00201B92">
        <w:rPr>
          <w:rFonts w:asciiTheme="majorHAnsi" w:hAnsiTheme="majorHAnsi"/>
          <w:lang w:val="en-GB"/>
        </w:rPr>
        <w:t>herefore</w:t>
      </w:r>
      <w:proofErr w:type="gramEnd"/>
      <w:r w:rsidR="00A80AEB" w:rsidRPr="00201B92">
        <w:rPr>
          <w:rFonts w:asciiTheme="majorHAnsi" w:hAnsiTheme="majorHAnsi"/>
          <w:lang w:val="en-GB"/>
        </w:rPr>
        <w:t xml:space="preserve"> it is</w:t>
      </w:r>
      <w:r w:rsidR="009216F6" w:rsidRPr="00201B92">
        <w:rPr>
          <w:rFonts w:asciiTheme="majorHAnsi" w:hAnsiTheme="majorHAnsi"/>
          <w:lang w:val="en-GB"/>
        </w:rPr>
        <w:t xml:space="preserve"> important to initiate an in-depth discussion</w:t>
      </w:r>
      <w:r w:rsidR="002E25B5">
        <w:rPr>
          <w:rFonts w:asciiTheme="majorHAnsi" w:hAnsiTheme="majorHAnsi"/>
          <w:lang w:val="en-GB"/>
        </w:rPr>
        <w:t xml:space="preserve"> about</w:t>
      </w:r>
      <w:r w:rsidR="009216F6" w:rsidRPr="00201B92">
        <w:rPr>
          <w:rFonts w:asciiTheme="majorHAnsi" w:hAnsiTheme="majorHAnsi"/>
          <w:lang w:val="en-GB"/>
        </w:rPr>
        <w:t xml:space="preserve"> the </w:t>
      </w:r>
      <w:r w:rsidR="002E25B5">
        <w:rPr>
          <w:rFonts w:asciiTheme="majorHAnsi" w:hAnsiTheme="majorHAnsi"/>
          <w:lang w:val="en-GB"/>
        </w:rPr>
        <w:t xml:space="preserve">possible role of WSTT in </w:t>
      </w:r>
      <w:r w:rsidR="009216F6" w:rsidRPr="00201B92">
        <w:rPr>
          <w:rFonts w:asciiTheme="majorHAnsi" w:hAnsiTheme="majorHAnsi"/>
          <w:lang w:val="en-GB"/>
        </w:rPr>
        <w:t>future workplaces.</w:t>
      </w:r>
    </w:p>
    <w:p w14:paraId="72875CAF" w14:textId="77777777" w:rsidR="00016465" w:rsidRPr="00CF633C" w:rsidRDefault="009216F6" w:rsidP="00445D3E">
      <w:pPr>
        <w:pStyle w:val="Heading3"/>
        <w:jc w:val="both"/>
        <w:rPr>
          <w:i/>
          <w:sz w:val="24"/>
          <w:szCs w:val="24"/>
          <w:lang w:val="en-GB"/>
        </w:rPr>
      </w:pPr>
      <w:r w:rsidRPr="00CF633C">
        <w:rPr>
          <w:i/>
          <w:sz w:val="24"/>
          <w:szCs w:val="24"/>
          <w:lang w:val="en-GB"/>
        </w:rPr>
        <w:t>The Quantified Wellness Syndrome</w:t>
      </w:r>
    </w:p>
    <w:p w14:paraId="57332E8D" w14:textId="33FF5E4E" w:rsidR="00441F68" w:rsidRDefault="00EC4142" w:rsidP="00A80AEB">
      <w:pPr>
        <w:rPr>
          <w:rFonts w:asciiTheme="majorHAnsi" w:hAnsiTheme="majorHAnsi"/>
          <w:lang w:val="en-GB"/>
        </w:rPr>
      </w:pPr>
      <w:r w:rsidRPr="00CF633C">
        <w:rPr>
          <w:rFonts w:asciiTheme="majorHAnsi" w:hAnsiTheme="majorHAnsi"/>
          <w:lang w:val="en-GB"/>
        </w:rPr>
        <w:t>A</w:t>
      </w:r>
      <w:r w:rsidR="00D71CB0" w:rsidRPr="00CF633C">
        <w:rPr>
          <w:rFonts w:asciiTheme="majorHAnsi" w:hAnsiTheme="majorHAnsi"/>
          <w:lang w:val="en-GB"/>
        </w:rPr>
        <w:t xml:space="preserve"> report in 2013 written by Jonathan Collins for Allied Business Intelligence (ABI) </w:t>
      </w:r>
      <w:r w:rsidR="00D71CB0" w:rsidRPr="00D71CB0">
        <w:rPr>
          <w:rFonts w:asciiTheme="majorHAnsi" w:hAnsiTheme="majorHAnsi"/>
          <w:lang w:val="en-GB"/>
        </w:rPr>
        <w:t xml:space="preserve">Research, </w:t>
      </w:r>
      <w:r w:rsidR="00D71CB0" w:rsidRPr="00CF633C">
        <w:rPr>
          <w:rFonts w:asciiTheme="majorHAnsi" w:hAnsiTheme="majorHAnsi"/>
          <w:lang w:val="en-GB"/>
        </w:rPr>
        <w:t>entitled ‘Wearable Wireless Devices in Enterprise Wellness Programs’</w:t>
      </w:r>
      <w:r w:rsidR="00D71CB0">
        <w:rPr>
          <w:rFonts w:asciiTheme="majorHAnsi" w:hAnsiTheme="majorHAnsi"/>
          <w:lang w:val="en-GB"/>
        </w:rPr>
        <w:t xml:space="preserve"> </w:t>
      </w:r>
      <w:r w:rsidR="00D71CB0" w:rsidRPr="00CF633C">
        <w:rPr>
          <w:rFonts w:asciiTheme="majorHAnsi" w:hAnsiTheme="majorHAnsi"/>
          <w:lang w:val="en-GB"/>
        </w:rPr>
        <w:t xml:space="preserve">predicts that </w:t>
      </w:r>
      <w:r w:rsidR="00137222" w:rsidRPr="00201B92">
        <w:rPr>
          <w:rFonts w:asciiTheme="majorHAnsi" w:hAnsiTheme="majorHAnsi"/>
          <w:lang w:val="en-GB"/>
        </w:rPr>
        <w:t xml:space="preserve">more than 13 million self-tracking devices will be incorporated into employee wellness programs between 2014 and 2019 </w:t>
      </w:r>
      <w:r w:rsidR="00441F68">
        <w:rPr>
          <w:rFonts w:asciiTheme="majorHAnsi" w:hAnsiTheme="majorHAnsi"/>
          <w:lang w:val="en-GB"/>
        </w:rPr>
        <w:t>(ABI, 2013). Author Collins indicates that:</w:t>
      </w:r>
    </w:p>
    <w:p w14:paraId="28248984" w14:textId="77777777" w:rsidR="00775A4E" w:rsidRDefault="00775A4E" w:rsidP="00A80AEB">
      <w:pPr>
        <w:rPr>
          <w:rFonts w:asciiTheme="majorHAnsi" w:hAnsiTheme="majorHAnsi"/>
          <w:lang w:val="en-GB"/>
        </w:rPr>
      </w:pPr>
    </w:p>
    <w:p w14:paraId="5CD2ABB5" w14:textId="540A3F20" w:rsidR="00441F68" w:rsidRPr="00CF633C" w:rsidRDefault="00441F68" w:rsidP="00CF633C">
      <w:pPr>
        <w:ind w:left="1134"/>
        <w:rPr>
          <w:rFonts w:asciiTheme="majorHAnsi" w:hAnsiTheme="majorHAnsi"/>
          <w:lang w:val="en-GB"/>
        </w:rPr>
      </w:pPr>
      <w:r w:rsidRPr="00CF633C">
        <w:rPr>
          <w:rFonts w:asciiTheme="majorHAnsi" w:hAnsiTheme="majorHAnsi"/>
          <w:lang w:val="en-GB"/>
        </w:rPr>
        <w:t>While some device vendors are hoping that strong consumer awareness will drive corporate wellness adoption for their products, they also need to understand and focus on the most influential parts</w:t>
      </w:r>
      <w:r w:rsidR="00775A4E" w:rsidRPr="00775A4E">
        <w:rPr>
          <w:rFonts w:asciiTheme="majorHAnsi" w:hAnsiTheme="majorHAnsi"/>
          <w:lang w:val="en-GB"/>
        </w:rPr>
        <w:t xml:space="preserve"> of the healthcare value chain</w:t>
      </w:r>
      <w:r w:rsidR="00775A4E">
        <w:rPr>
          <w:rFonts w:asciiTheme="majorHAnsi" w:hAnsiTheme="majorHAnsi"/>
          <w:lang w:val="en-GB"/>
        </w:rPr>
        <w:t>.</w:t>
      </w:r>
      <w:r w:rsidRPr="00CF633C">
        <w:rPr>
          <w:rFonts w:asciiTheme="majorHAnsi" w:hAnsiTheme="majorHAnsi"/>
          <w:lang w:val="en-GB"/>
        </w:rPr>
        <w:t xml:space="preserve"> </w:t>
      </w:r>
      <w:r>
        <w:rPr>
          <w:rFonts w:asciiTheme="majorHAnsi" w:hAnsiTheme="majorHAnsi"/>
          <w:lang w:val="en-GB"/>
        </w:rPr>
        <w:t>(</w:t>
      </w:r>
      <w:r w:rsidRPr="00CF633C">
        <w:rPr>
          <w:rFonts w:asciiTheme="majorHAnsi" w:hAnsiTheme="majorHAnsi"/>
          <w:i/>
          <w:lang w:val="en-GB"/>
        </w:rPr>
        <w:t>Ibid</w:t>
      </w:r>
      <w:r w:rsidR="00F009A2">
        <w:rPr>
          <w:rFonts w:asciiTheme="majorHAnsi" w:hAnsiTheme="majorHAnsi"/>
          <w:lang w:val="en-GB"/>
        </w:rPr>
        <w:t>.</w:t>
      </w:r>
      <w:r>
        <w:rPr>
          <w:rFonts w:asciiTheme="majorHAnsi" w:hAnsiTheme="majorHAnsi"/>
          <w:lang w:val="en-GB"/>
        </w:rPr>
        <w:t>)</w:t>
      </w:r>
    </w:p>
    <w:p w14:paraId="158650B3" w14:textId="77777777" w:rsidR="00441F68" w:rsidRDefault="00441F68" w:rsidP="00A80AEB">
      <w:pPr>
        <w:rPr>
          <w:rFonts w:asciiTheme="majorHAnsi" w:hAnsiTheme="majorHAnsi"/>
          <w:lang w:val="en-GB"/>
        </w:rPr>
      </w:pPr>
    </w:p>
    <w:p w14:paraId="03D1413F" w14:textId="5B9B9398" w:rsidR="00A80AEB" w:rsidRPr="00D71CB0" w:rsidRDefault="00137222" w:rsidP="00A80AEB">
      <w:pPr>
        <w:rPr>
          <w:rFonts w:asciiTheme="majorHAnsi" w:hAnsiTheme="majorHAnsi"/>
          <w:lang w:val="en-GB"/>
        </w:rPr>
      </w:pPr>
      <w:r w:rsidRPr="00201B92">
        <w:rPr>
          <w:rFonts w:asciiTheme="majorHAnsi" w:hAnsiTheme="majorHAnsi"/>
          <w:lang w:val="en-GB"/>
        </w:rPr>
        <w:t xml:space="preserve">This may signify a widespread shift </w:t>
      </w:r>
      <w:r w:rsidR="002E25B5">
        <w:rPr>
          <w:rFonts w:asciiTheme="majorHAnsi" w:hAnsiTheme="majorHAnsi"/>
          <w:lang w:val="en-GB"/>
        </w:rPr>
        <w:t>from</w:t>
      </w:r>
      <w:r w:rsidR="00775A4E">
        <w:rPr>
          <w:rFonts w:asciiTheme="majorHAnsi" w:hAnsiTheme="majorHAnsi"/>
          <w:lang w:val="en-GB"/>
        </w:rPr>
        <w:t xml:space="preserve"> management oversight of health which was not common in</w:t>
      </w:r>
      <w:r w:rsidR="002E25B5">
        <w:rPr>
          <w:rFonts w:asciiTheme="majorHAnsi" w:hAnsiTheme="majorHAnsi"/>
          <w:lang w:val="en-GB"/>
        </w:rPr>
        <w:t xml:space="preserve"> the traditional workplace</w:t>
      </w:r>
      <w:r w:rsidR="00775A4E">
        <w:rPr>
          <w:rFonts w:asciiTheme="majorHAnsi" w:hAnsiTheme="majorHAnsi"/>
          <w:lang w:val="en-GB"/>
        </w:rPr>
        <w:t xml:space="preserve"> but</w:t>
      </w:r>
      <w:r w:rsidRPr="00201B92">
        <w:rPr>
          <w:rFonts w:asciiTheme="majorHAnsi" w:hAnsiTheme="majorHAnsi"/>
          <w:lang w:val="en-GB"/>
        </w:rPr>
        <w:t xml:space="preserve"> where management could once physically see and speak to employ</w:t>
      </w:r>
      <w:r w:rsidR="002E25B5">
        <w:rPr>
          <w:rFonts w:asciiTheme="majorHAnsi" w:hAnsiTheme="majorHAnsi"/>
          <w:lang w:val="en-GB"/>
        </w:rPr>
        <w:t>ees</w:t>
      </w:r>
      <w:r w:rsidR="00775A4E">
        <w:rPr>
          <w:rFonts w:asciiTheme="majorHAnsi" w:hAnsiTheme="majorHAnsi"/>
          <w:lang w:val="en-GB"/>
        </w:rPr>
        <w:t>;</w:t>
      </w:r>
      <w:r w:rsidR="002E25B5">
        <w:rPr>
          <w:rFonts w:asciiTheme="majorHAnsi" w:hAnsiTheme="majorHAnsi"/>
          <w:lang w:val="en-GB"/>
        </w:rPr>
        <w:t xml:space="preserve"> to an increasingly quantified workplace</w:t>
      </w:r>
      <w:r w:rsidRPr="00201B92">
        <w:rPr>
          <w:rFonts w:asciiTheme="majorHAnsi" w:hAnsiTheme="majorHAnsi"/>
          <w:lang w:val="en-GB"/>
        </w:rPr>
        <w:t xml:space="preserve"> where digital data-driven communication</w:t>
      </w:r>
      <w:r w:rsidR="00775A4E">
        <w:rPr>
          <w:rFonts w:asciiTheme="majorHAnsi" w:hAnsiTheme="majorHAnsi"/>
          <w:lang w:val="en-GB"/>
        </w:rPr>
        <w:t xml:space="preserve"> and information about employees’ health and wellbeing</w:t>
      </w:r>
      <w:r w:rsidRPr="00201B92">
        <w:rPr>
          <w:rFonts w:asciiTheme="majorHAnsi" w:hAnsiTheme="majorHAnsi"/>
          <w:lang w:val="en-GB"/>
        </w:rPr>
        <w:t xml:space="preserve"> substitute</w:t>
      </w:r>
      <w:r w:rsidR="00775A4E">
        <w:rPr>
          <w:rFonts w:asciiTheme="majorHAnsi" w:hAnsiTheme="majorHAnsi"/>
          <w:lang w:val="en-GB"/>
        </w:rPr>
        <w:t>s</w:t>
      </w:r>
      <w:r w:rsidRPr="00201B92">
        <w:rPr>
          <w:rFonts w:asciiTheme="majorHAnsi" w:hAnsiTheme="majorHAnsi"/>
          <w:lang w:val="en-GB"/>
        </w:rPr>
        <w:t xml:space="preserve"> face-to-face contact. Wellbeing is</w:t>
      </w:r>
      <w:r w:rsidR="00A80AEB" w:rsidRPr="00201B92">
        <w:rPr>
          <w:rFonts w:asciiTheme="majorHAnsi" w:hAnsiTheme="majorHAnsi"/>
          <w:lang w:val="en-GB"/>
        </w:rPr>
        <w:t xml:space="preserve"> </w:t>
      </w:r>
      <w:r w:rsidRPr="00201B92">
        <w:rPr>
          <w:rFonts w:asciiTheme="majorHAnsi" w:hAnsiTheme="majorHAnsi"/>
          <w:lang w:val="en-GB"/>
        </w:rPr>
        <w:t xml:space="preserve">increasingly </w:t>
      </w:r>
      <w:r w:rsidR="00A80AEB" w:rsidRPr="00201B92">
        <w:rPr>
          <w:rFonts w:asciiTheme="majorHAnsi" w:hAnsiTheme="majorHAnsi"/>
          <w:lang w:val="en-GB"/>
        </w:rPr>
        <w:t>linked to productivity</w:t>
      </w:r>
      <w:r w:rsidRPr="00201B92">
        <w:rPr>
          <w:rFonts w:asciiTheme="majorHAnsi" w:hAnsiTheme="majorHAnsi"/>
          <w:lang w:val="en-GB"/>
        </w:rPr>
        <w:t xml:space="preserve"> and is increasingly seen as trackable</w:t>
      </w:r>
      <w:r w:rsidR="00775A4E">
        <w:rPr>
          <w:rFonts w:asciiTheme="majorHAnsi" w:hAnsiTheme="majorHAnsi"/>
          <w:lang w:val="en-GB"/>
        </w:rPr>
        <w:t>, which introduced a range of ethical questions we introduce below</w:t>
      </w:r>
      <w:r w:rsidRPr="00201B92">
        <w:rPr>
          <w:rFonts w:asciiTheme="majorHAnsi" w:hAnsiTheme="majorHAnsi"/>
          <w:lang w:val="en-GB"/>
        </w:rPr>
        <w:t xml:space="preserve">. </w:t>
      </w:r>
    </w:p>
    <w:p w14:paraId="0DC0C749" w14:textId="77777777" w:rsidR="00A80AEB" w:rsidRPr="00201B92" w:rsidRDefault="00A80AEB" w:rsidP="00445D3E">
      <w:pPr>
        <w:jc w:val="both"/>
        <w:rPr>
          <w:rFonts w:asciiTheme="majorHAnsi" w:hAnsiTheme="majorHAnsi"/>
          <w:lang w:val="en-GB"/>
        </w:rPr>
      </w:pPr>
    </w:p>
    <w:p w14:paraId="4DFB8854" w14:textId="7A7A085B" w:rsidR="00016465" w:rsidRPr="00201B92" w:rsidRDefault="00775A4E" w:rsidP="007D5A5B">
      <w:pPr>
        <w:jc w:val="both"/>
        <w:rPr>
          <w:rFonts w:asciiTheme="majorHAnsi" w:hAnsiTheme="majorHAnsi"/>
          <w:lang w:val="en-GB"/>
        </w:rPr>
      </w:pPr>
      <w:r>
        <w:rPr>
          <w:rFonts w:asciiTheme="majorHAnsi" w:hAnsiTheme="majorHAnsi"/>
          <w:lang w:val="en-GB"/>
        </w:rPr>
        <w:t>Why</w:t>
      </w:r>
      <w:r w:rsidR="007D5A5B">
        <w:rPr>
          <w:rFonts w:asciiTheme="majorHAnsi" w:hAnsiTheme="majorHAnsi"/>
          <w:lang w:val="en-GB"/>
        </w:rPr>
        <w:t xml:space="preserve"> has ‘wellness’ become popular for workplace initiatives</w:t>
      </w:r>
      <w:r>
        <w:rPr>
          <w:rFonts w:asciiTheme="majorHAnsi" w:hAnsiTheme="majorHAnsi"/>
          <w:lang w:val="en-GB"/>
        </w:rPr>
        <w:t xml:space="preserve"> anyway</w:t>
      </w:r>
      <w:r w:rsidR="007D5A5B">
        <w:rPr>
          <w:rFonts w:asciiTheme="majorHAnsi" w:hAnsiTheme="majorHAnsi"/>
          <w:lang w:val="en-GB"/>
        </w:rPr>
        <w:t xml:space="preserve">? </w:t>
      </w:r>
      <w:r w:rsidR="009216F6" w:rsidRPr="00201B92">
        <w:rPr>
          <w:rFonts w:asciiTheme="majorHAnsi" w:hAnsiTheme="majorHAnsi"/>
          <w:lang w:val="en-GB"/>
        </w:rPr>
        <w:t>In February 2015 the Office for National Statistics announced that output per hour in the UK was 17</w:t>
      </w:r>
      <w:r w:rsidR="00A741F5">
        <w:rPr>
          <w:rFonts w:asciiTheme="majorHAnsi" w:hAnsiTheme="majorHAnsi"/>
          <w:lang w:val="en-GB"/>
        </w:rPr>
        <w:t xml:space="preserve"> per cent</w:t>
      </w:r>
      <w:r w:rsidR="009216F6" w:rsidRPr="00201B92">
        <w:rPr>
          <w:rFonts w:asciiTheme="majorHAnsi" w:hAnsiTheme="majorHAnsi"/>
          <w:lang w:val="en-GB"/>
        </w:rPr>
        <w:t xml:space="preserve"> points below the average for the rest of the major G7 advanced economies in 2013 which is the widest </w:t>
      </w:r>
      <w:r w:rsidR="00E6589A" w:rsidRPr="00201B92">
        <w:rPr>
          <w:rFonts w:asciiTheme="majorHAnsi" w:hAnsiTheme="majorHAnsi"/>
          <w:lang w:val="en-GB"/>
        </w:rPr>
        <w:t>productivity gap since 1992 (ONS, 2015</w:t>
      </w:r>
      <w:r w:rsidR="009216F6" w:rsidRPr="00201B92">
        <w:rPr>
          <w:rFonts w:asciiTheme="majorHAnsi" w:hAnsiTheme="majorHAnsi"/>
          <w:lang w:val="en-GB"/>
        </w:rPr>
        <w:t>).</w:t>
      </w:r>
      <w:r w:rsidR="007D5A5B">
        <w:rPr>
          <w:rFonts w:asciiTheme="majorHAnsi" w:hAnsiTheme="majorHAnsi"/>
          <w:lang w:val="en-GB"/>
        </w:rPr>
        <w:t xml:space="preserve"> </w:t>
      </w:r>
      <w:r w:rsidR="007D5A5B" w:rsidRPr="00201B92">
        <w:rPr>
          <w:rFonts w:asciiTheme="majorHAnsi" w:hAnsiTheme="majorHAnsi"/>
          <w:lang w:val="en-GB"/>
        </w:rPr>
        <w:t>The number of days lost due to stress, depression, anxiety, and headaches rose between 2012 and 2013, whilst all other sick leave reasons such as heart and gastrointestina</w:t>
      </w:r>
      <w:r w:rsidR="007D5A5B">
        <w:rPr>
          <w:rFonts w:asciiTheme="majorHAnsi" w:hAnsiTheme="majorHAnsi"/>
          <w:lang w:val="en-GB"/>
        </w:rPr>
        <w:t xml:space="preserve">l problems dropped (ONS, </w:t>
      </w:r>
      <w:r w:rsidR="007D5A5B">
        <w:rPr>
          <w:rFonts w:asciiTheme="majorHAnsi" w:hAnsiTheme="majorHAnsi"/>
          <w:lang w:val="en-GB"/>
        </w:rPr>
        <w:lastRenderedPageBreak/>
        <w:t>2014).</w:t>
      </w:r>
      <w:r w:rsidR="009216F6" w:rsidRPr="00201B92">
        <w:rPr>
          <w:rFonts w:asciiTheme="majorHAnsi" w:hAnsiTheme="majorHAnsi"/>
          <w:lang w:val="en-GB"/>
        </w:rPr>
        <w:t xml:space="preserve"> </w:t>
      </w:r>
      <w:r w:rsidR="00431D5D" w:rsidRPr="00201B92">
        <w:rPr>
          <w:rFonts w:asciiTheme="majorHAnsi" w:hAnsiTheme="majorHAnsi"/>
          <w:lang w:val="en-GB"/>
        </w:rPr>
        <w:t xml:space="preserve">Latest </w:t>
      </w:r>
      <w:r w:rsidR="009216F6" w:rsidRPr="00201B92">
        <w:rPr>
          <w:rFonts w:asciiTheme="majorHAnsi" w:hAnsiTheme="majorHAnsi"/>
          <w:lang w:val="en-GB"/>
        </w:rPr>
        <w:t xml:space="preserve">Labour Force Survey </w:t>
      </w:r>
      <w:r w:rsidR="00431D5D" w:rsidRPr="00201B92">
        <w:rPr>
          <w:rFonts w:asciiTheme="majorHAnsi" w:hAnsiTheme="majorHAnsi"/>
          <w:lang w:val="en-GB"/>
        </w:rPr>
        <w:t xml:space="preserve">estimates show that ‘the total number of cases of work related stress, depression or anxiety in 2014/15 was 440,000 cases, a </w:t>
      </w:r>
      <w:r w:rsidR="00A91D00" w:rsidRPr="00201B92">
        <w:rPr>
          <w:rFonts w:asciiTheme="majorHAnsi" w:hAnsiTheme="majorHAnsi"/>
          <w:lang w:val="en-GB"/>
        </w:rPr>
        <w:t>prevalence</w:t>
      </w:r>
      <w:r w:rsidR="00431D5D" w:rsidRPr="00201B92">
        <w:rPr>
          <w:rFonts w:asciiTheme="majorHAnsi" w:hAnsiTheme="majorHAnsi"/>
          <w:lang w:val="en-GB"/>
        </w:rPr>
        <w:t xml:space="preserve"> rate of 1380 per 100,000 workers’. The number of new cases was 234,000</w:t>
      </w:r>
      <w:r w:rsidR="00DB2441" w:rsidRPr="00201B92">
        <w:rPr>
          <w:rFonts w:asciiTheme="majorHAnsi" w:hAnsiTheme="majorHAnsi"/>
          <w:lang w:val="en-GB"/>
        </w:rPr>
        <w:t xml:space="preserve"> which is an incident</w:t>
      </w:r>
      <w:r w:rsidR="00431D5D" w:rsidRPr="00201B92">
        <w:rPr>
          <w:rFonts w:asciiTheme="majorHAnsi" w:hAnsiTheme="majorHAnsi"/>
          <w:lang w:val="en-GB"/>
        </w:rPr>
        <w:t xml:space="preserve"> rate of 740 per 100,000 workers. The number of working days lost due to </w:t>
      </w:r>
      <w:r w:rsidR="00DB2441" w:rsidRPr="00201B92">
        <w:rPr>
          <w:rFonts w:asciiTheme="majorHAnsi" w:hAnsiTheme="majorHAnsi"/>
          <w:lang w:val="en-GB"/>
        </w:rPr>
        <w:t xml:space="preserve">the conditions listed above in </w:t>
      </w:r>
      <w:r w:rsidR="00431D5D" w:rsidRPr="00201B92">
        <w:rPr>
          <w:rFonts w:asciiTheme="majorHAnsi" w:hAnsiTheme="majorHAnsi"/>
          <w:lang w:val="en-GB"/>
        </w:rPr>
        <w:t xml:space="preserve">2014-15 was 9.9 million days, </w:t>
      </w:r>
      <w:r w:rsidR="00DB2441" w:rsidRPr="00201B92">
        <w:rPr>
          <w:rFonts w:asciiTheme="majorHAnsi" w:hAnsiTheme="majorHAnsi"/>
          <w:lang w:val="en-GB"/>
        </w:rPr>
        <w:t>an</w:t>
      </w:r>
      <w:r w:rsidR="00431D5D" w:rsidRPr="00201B92">
        <w:rPr>
          <w:rFonts w:asciiTheme="majorHAnsi" w:hAnsiTheme="majorHAnsi"/>
          <w:lang w:val="en-GB"/>
        </w:rPr>
        <w:t xml:space="preserve"> average of 23 days lost per case. In</w:t>
      </w:r>
      <w:r w:rsidR="00DB2441" w:rsidRPr="00201B92">
        <w:rPr>
          <w:rFonts w:asciiTheme="majorHAnsi" w:hAnsiTheme="majorHAnsi"/>
          <w:lang w:val="en-GB"/>
        </w:rPr>
        <w:t>deed, in</w:t>
      </w:r>
      <w:r w:rsidR="00431D5D" w:rsidRPr="00201B92">
        <w:rPr>
          <w:rFonts w:asciiTheme="majorHAnsi" w:hAnsiTheme="majorHAnsi"/>
          <w:lang w:val="en-GB"/>
        </w:rPr>
        <w:t xml:space="preserve"> 2014-15 stress </w:t>
      </w:r>
      <w:r w:rsidR="00DB2441" w:rsidRPr="00201B92">
        <w:rPr>
          <w:rFonts w:asciiTheme="majorHAnsi" w:hAnsiTheme="majorHAnsi"/>
          <w:lang w:val="en-GB"/>
        </w:rPr>
        <w:t>was the given reason for 35 per cent</w:t>
      </w:r>
      <w:r w:rsidR="00431D5D" w:rsidRPr="00201B92">
        <w:rPr>
          <w:rFonts w:asciiTheme="majorHAnsi" w:hAnsiTheme="majorHAnsi"/>
          <w:lang w:val="en-GB"/>
        </w:rPr>
        <w:t xml:space="preserve"> of all w</w:t>
      </w:r>
      <w:r w:rsidR="00DB2441" w:rsidRPr="00201B92">
        <w:rPr>
          <w:rFonts w:asciiTheme="majorHAnsi" w:hAnsiTheme="majorHAnsi"/>
          <w:lang w:val="en-GB"/>
        </w:rPr>
        <w:t>ork related ill health cases. 43 per cent</w:t>
      </w:r>
      <w:r w:rsidR="00431D5D" w:rsidRPr="00201B92">
        <w:rPr>
          <w:rFonts w:asciiTheme="majorHAnsi" w:hAnsiTheme="majorHAnsi"/>
          <w:lang w:val="en-GB"/>
        </w:rPr>
        <w:t xml:space="preserve"> of all working days lost due to ill health</w:t>
      </w:r>
      <w:r w:rsidR="00DB2441" w:rsidRPr="00201B92">
        <w:rPr>
          <w:rFonts w:asciiTheme="majorHAnsi" w:hAnsiTheme="majorHAnsi"/>
          <w:lang w:val="en-GB"/>
        </w:rPr>
        <w:t xml:space="preserve"> were due</w:t>
      </w:r>
      <w:r w:rsidR="002E25B5">
        <w:rPr>
          <w:rFonts w:asciiTheme="majorHAnsi" w:hAnsiTheme="majorHAnsi"/>
          <w:lang w:val="en-GB"/>
        </w:rPr>
        <w:t xml:space="preserve"> to stress likewise (HSE, 2015</w:t>
      </w:r>
      <w:r w:rsidR="007D5A5B">
        <w:rPr>
          <w:rFonts w:asciiTheme="majorHAnsi" w:hAnsiTheme="majorHAnsi"/>
          <w:lang w:val="en-GB"/>
        </w:rPr>
        <w:t>: 2</w:t>
      </w:r>
      <w:r w:rsidR="002E25B5">
        <w:rPr>
          <w:rFonts w:asciiTheme="majorHAnsi" w:hAnsiTheme="majorHAnsi"/>
          <w:lang w:val="en-GB"/>
        </w:rPr>
        <w:t>)</w:t>
      </w:r>
      <w:r w:rsidR="00DB2441" w:rsidRPr="00201B92">
        <w:rPr>
          <w:rFonts w:asciiTheme="majorHAnsi" w:hAnsiTheme="majorHAnsi"/>
          <w:lang w:val="en-GB"/>
        </w:rPr>
        <w:t xml:space="preserve">. </w:t>
      </w:r>
    </w:p>
    <w:p w14:paraId="026D3C0B" w14:textId="77777777" w:rsidR="00187CDD" w:rsidRPr="00201B92" w:rsidRDefault="00187CDD" w:rsidP="00445D3E">
      <w:pPr>
        <w:jc w:val="both"/>
        <w:rPr>
          <w:rFonts w:asciiTheme="majorHAnsi" w:hAnsiTheme="majorHAnsi"/>
          <w:lang w:val="en-GB"/>
        </w:rPr>
      </w:pPr>
    </w:p>
    <w:p w14:paraId="564E06D7" w14:textId="1EE29B5E" w:rsidR="00445D3E" w:rsidRDefault="007D5A5B" w:rsidP="007D5A5B">
      <w:pPr>
        <w:jc w:val="both"/>
        <w:rPr>
          <w:rFonts w:asciiTheme="majorHAnsi" w:hAnsiTheme="majorHAnsi"/>
          <w:lang w:val="en-GB"/>
        </w:rPr>
      </w:pPr>
      <w:r>
        <w:rPr>
          <w:rFonts w:asciiTheme="majorHAnsi" w:hAnsiTheme="majorHAnsi"/>
          <w:lang w:val="en-GB"/>
        </w:rPr>
        <w:t xml:space="preserve">So an organisational </w:t>
      </w:r>
      <w:r w:rsidRPr="00201B92">
        <w:rPr>
          <w:rFonts w:asciiTheme="majorHAnsi" w:hAnsiTheme="majorHAnsi"/>
          <w:lang w:val="en-GB"/>
        </w:rPr>
        <w:t>‘wellness syndrome’ (</w:t>
      </w:r>
      <w:proofErr w:type="spellStart"/>
      <w:r w:rsidRPr="00201B92">
        <w:rPr>
          <w:rFonts w:asciiTheme="majorHAnsi" w:hAnsiTheme="majorHAnsi"/>
          <w:lang w:val="en-GB"/>
        </w:rPr>
        <w:t>Cederström</w:t>
      </w:r>
      <w:proofErr w:type="spellEnd"/>
      <w:r w:rsidRPr="00201B92">
        <w:rPr>
          <w:rFonts w:asciiTheme="majorHAnsi" w:hAnsiTheme="majorHAnsi"/>
          <w:lang w:val="en-GB"/>
        </w:rPr>
        <w:t xml:space="preserve"> and Spicer, 2015) </w:t>
      </w:r>
      <w:r>
        <w:rPr>
          <w:rFonts w:asciiTheme="majorHAnsi" w:hAnsiTheme="majorHAnsi"/>
          <w:lang w:val="en-GB"/>
        </w:rPr>
        <w:t>is arguably</w:t>
      </w:r>
      <w:r w:rsidRPr="00201B92">
        <w:rPr>
          <w:rFonts w:asciiTheme="majorHAnsi" w:hAnsiTheme="majorHAnsi"/>
          <w:lang w:val="en-GB"/>
        </w:rPr>
        <w:t xml:space="preserve"> a powerful trend in response to</w:t>
      </w:r>
      <w:r>
        <w:rPr>
          <w:rFonts w:asciiTheme="majorHAnsi" w:hAnsiTheme="majorHAnsi"/>
          <w:lang w:val="en-GB"/>
        </w:rPr>
        <w:t xml:space="preserve"> these</w:t>
      </w:r>
      <w:r w:rsidRPr="00201B92">
        <w:rPr>
          <w:rFonts w:asciiTheme="majorHAnsi" w:hAnsiTheme="majorHAnsi"/>
          <w:lang w:val="en-GB"/>
        </w:rPr>
        <w:t xml:space="preserve"> falling health and productivity statistics</w:t>
      </w:r>
      <w:r>
        <w:rPr>
          <w:rFonts w:asciiTheme="majorHAnsi" w:hAnsiTheme="majorHAnsi"/>
          <w:lang w:val="en-GB"/>
        </w:rPr>
        <w:t xml:space="preserve">. However, quantified wellness workplace initiatives add to the ‘syndrome’ in a way that may distract from more fundamental causes of the rise in workplace stress such as </w:t>
      </w:r>
      <w:r w:rsidR="00441F68">
        <w:rPr>
          <w:rFonts w:asciiTheme="majorHAnsi" w:hAnsiTheme="majorHAnsi"/>
          <w:lang w:val="en-GB"/>
        </w:rPr>
        <w:t>increases</w:t>
      </w:r>
      <w:r w:rsidR="00A527A3">
        <w:rPr>
          <w:rFonts w:asciiTheme="majorHAnsi" w:hAnsiTheme="majorHAnsi"/>
          <w:lang w:val="en-GB"/>
        </w:rPr>
        <w:t xml:space="preserve"> </w:t>
      </w:r>
      <w:r>
        <w:rPr>
          <w:rFonts w:asciiTheme="majorHAnsi" w:hAnsiTheme="majorHAnsi"/>
          <w:lang w:val="en-GB"/>
        </w:rPr>
        <w:t xml:space="preserve">in </w:t>
      </w:r>
      <w:proofErr w:type="spellStart"/>
      <w:r>
        <w:rPr>
          <w:rFonts w:asciiTheme="majorHAnsi" w:hAnsiTheme="majorHAnsi"/>
          <w:lang w:val="en-GB"/>
        </w:rPr>
        <w:t>flexibilised</w:t>
      </w:r>
      <w:proofErr w:type="spellEnd"/>
      <w:r>
        <w:rPr>
          <w:rFonts w:asciiTheme="majorHAnsi" w:hAnsiTheme="majorHAnsi"/>
          <w:lang w:val="en-GB"/>
        </w:rPr>
        <w:t xml:space="preserve"> working conditions and threats of redundancies</w:t>
      </w:r>
      <w:r w:rsidRPr="00201B92">
        <w:rPr>
          <w:rFonts w:asciiTheme="majorHAnsi" w:hAnsiTheme="majorHAnsi"/>
          <w:lang w:val="en-GB"/>
        </w:rPr>
        <w:t>.</w:t>
      </w:r>
      <w:r>
        <w:rPr>
          <w:rFonts w:asciiTheme="majorHAnsi" w:hAnsiTheme="majorHAnsi"/>
          <w:lang w:val="en-GB"/>
        </w:rPr>
        <w:t xml:space="preserve"> The main reasons stated for workplace stress were </w:t>
      </w:r>
      <w:r w:rsidRPr="007D5A5B">
        <w:rPr>
          <w:rFonts w:asciiTheme="majorHAnsi" w:hAnsiTheme="majorHAnsi"/>
          <w:lang w:val="en-GB"/>
        </w:rPr>
        <w:t>workload pressures, tight deadlines, too much responsibility and low levels of managerial support (HSE, 2015: 2).</w:t>
      </w:r>
      <w:r>
        <w:rPr>
          <w:rFonts w:asciiTheme="majorHAnsi" w:hAnsiTheme="majorHAnsi"/>
          <w:lang w:val="en-GB"/>
        </w:rPr>
        <w:t xml:space="preserve"> But </w:t>
      </w:r>
      <w:r w:rsidR="00187CDD" w:rsidRPr="00201B92">
        <w:rPr>
          <w:rFonts w:asciiTheme="majorHAnsi" w:hAnsiTheme="majorHAnsi"/>
          <w:lang w:val="en-GB"/>
        </w:rPr>
        <w:t>WSTT-</w:t>
      </w:r>
      <w:r w:rsidR="009216F6" w:rsidRPr="00201B92">
        <w:rPr>
          <w:rFonts w:asciiTheme="majorHAnsi" w:hAnsiTheme="majorHAnsi"/>
          <w:lang w:val="en-GB"/>
        </w:rPr>
        <w:t>driven wellness programmes are pre</w:t>
      </w:r>
      <w:r w:rsidR="00AD71BA" w:rsidRPr="00201B92">
        <w:rPr>
          <w:rFonts w:asciiTheme="majorHAnsi" w:hAnsiTheme="majorHAnsi"/>
          <w:lang w:val="en-GB"/>
        </w:rPr>
        <w:t xml:space="preserve">dicted to increase productivity, happiness, </w:t>
      </w:r>
      <w:r w:rsidR="009216F6" w:rsidRPr="00201B92">
        <w:rPr>
          <w:rFonts w:asciiTheme="majorHAnsi" w:hAnsiTheme="majorHAnsi"/>
          <w:lang w:val="en-GB"/>
        </w:rPr>
        <w:t>l</w:t>
      </w:r>
      <w:r w:rsidR="00AD71BA" w:rsidRPr="00201B92">
        <w:rPr>
          <w:rFonts w:asciiTheme="majorHAnsi" w:hAnsiTheme="majorHAnsi"/>
          <w:lang w:val="en-GB"/>
        </w:rPr>
        <w:t xml:space="preserve">evel of physical activity </w:t>
      </w:r>
      <w:r>
        <w:rPr>
          <w:rFonts w:asciiTheme="majorHAnsi" w:hAnsiTheme="majorHAnsi"/>
          <w:lang w:val="en-GB"/>
        </w:rPr>
        <w:t>which</w:t>
      </w:r>
      <w:r w:rsidR="009216F6" w:rsidRPr="00201B92">
        <w:rPr>
          <w:rFonts w:asciiTheme="majorHAnsi" w:hAnsiTheme="majorHAnsi"/>
          <w:lang w:val="en-GB"/>
        </w:rPr>
        <w:t xml:space="preserve"> </w:t>
      </w:r>
      <w:r w:rsidR="00137222" w:rsidRPr="00201B92">
        <w:rPr>
          <w:rFonts w:asciiTheme="majorHAnsi" w:hAnsiTheme="majorHAnsi"/>
          <w:lang w:val="en-GB"/>
        </w:rPr>
        <w:t xml:space="preserve">should </w:t>
      </w:r>
      <w:r w:rsidR="009216F6" w:rsidRPr="00201B92">
        <w:rPr>
          <w:rFonts w:asciiTheme="majorHAnsi" w:hAnsiTheme="majorHAnsi"/>
          <w:lang w:val="en-GB"/>
        </w:rPr>
        <w:t>lead to reduction of company insurance costs and personal insurance costs (</w:t>
      </w:r>
      <w:proofErr w:type="spellStart"/>
      <w:r w:rsidR="009216F6" w:rsidRPr="00201B92">
        <w:rPr>
          <w:rFonts w:asciiTheme="majorHAnsi" w:hAnsiTheme="majorHAnsi"/>
          <w:lang w:val="en-GB"/>
        </w:rPr>
        <w:t>Hamblen</w:t>
      </w:r>
      <w:proofErr w:type="spellEnd"/>
      <w:r w:rsidR="009216F6" w:rsidRPr="00201B92">
        <w:rPr>
          <w:rFonts w:asciiTheme="majorHAnsi" w:hAnsiTheme="majorHAnsi"/>
          <w:lang w:val="en-GB"/>
        </w:rPr>
        <w:t xml:space="preserve">, </w:t>
      </w:r>
      <w:r>
        <w:rPr>
          <w:rFonts w:asciiTheme="majorHAnsi" w:hAnsiTheme="majorHAnsi"/>
          <w:lang w:val="en-GB"/>
        </w:rPr>
        <w:t xml:space="preserve">2015): </w:t>
      </w:r>
      <w:r w:rsidR="009216F6" w:rsidRPr="00201B92">
        <w:rPr>
          <w:rFonts w:asciiTheme="majorHAnsi" w:hAnsiTheme="majorHAnsi"/>
          <w:lang w:val="en-GB"/>
        </w:rPr>
        <w:t xml:space="preserve">particularly relevant where state-provided health services are not available. In 2013, BP America was amongst </w:t>
      </w:r>
      <w:r>
        <w:rPr>
          <w:rFonts w:asciiTheme="majorHAnsi" w:hAnsiTheme="majorHAnsi"/>
          <w:lang w:val="en-GB"/>
        </w:rPr>
        <w:t xml:space="preserve">the </w:t>
      </w:r>
      <w:r w:rsidR="009216F6" w:rsidRPr="00201B92">
        <w:rPr>
          <w:rFonts w:asciiTheme="majorHAnsi" w:hAnsiTheme="majorHAnsi"/>
          <w:lang w:val="en-GB"/>
        </w:rPr>
        <w:t>early adopters</w:t>
      </w:r>
      <w:r>
        <w:rPr>
          <w:rFonts w:asciiTheme="majorHAnsi" w:hAnsiTheme="majorHAnsi"/>
          <w:lang w:val="en-GB"/>
        </w:rPr>
        <w:t xml:space="preserve">, offering </w:t>
      </w:r>
      <w:r w:rsidR="009216F6" w:rsidRPr="00201B92">
        <w:rPr>
          <w:rFonts w:asciiTheme="majorHAnsi" w:hAnsiTheme="majorHAnsi"/>
          <w:lang w:val="en-GB"/>
        </w:rPr>
        <w:t xml:space="preserve">step-tracking armbands as part of a voluntary, company-wide initiative in health and well-being. BP’s health and welfare benefits consultant Chris </w:t>
      </w:r>
      <w:proofErr w:type="spellStart"/>
      <w:r w:rsidR="009216F6" w:rsidRPr="00201B92">
        <w:rPr>
          <w:rFonts w:asciiTheme="majorHAnsi" w:hAnsiTheme="majorHAnsi"/>
          <w:lang w:val="en-GB"/>
        </w:rPr>
        <w:t>Phalen</w:t>
      </w:r>
      <w:proofErr w:type="spellEnd"/>
      <w:r w:rsidR="009216F6" w:rsidRPr="00201B92">
        <w:rPr>
          <w:rFonts w:asciiTheme="majorHAnsi" w:hAnsiTheme="majorHAnsi"/>
          <w:lang w:val="en-GB"/>
        </w:rPr>
        <w:t xml:space="preserve"> indicated that more than 90% of employees participated in the initiative and noted that</w:t>
      </w:r>
      <w:r w:rsidR="00445D3E" w:rsidRPr="00201B92">
        <w:rPr>
          <w:rFonts w:asciiTheme="majorHAnsi" w:hAnsiTheme="majorHAnsi"/>
          <w:lang w:val="en-GB"/>
        </w:rPr>
        <w:t>:</w:t>
      </w:r>
    </w:p>
    <w:p w14:paraId="25B05283" w14:textId="77777777" w:rsidR="00CF633C" w:rsidRPr="00201B92" w:rsidRDefault="00CF633C" w:rsidP="007D5A5B">
      <w:pPr>
        <w:jc w:val="both"/>
        <w:rPr>
          <w:rFonts w:asciiTheme="majorHAnsi" w:hAnsiTheme="majorHAnsi"/>
          <w:lang w:val="en-GB"/>
        </w:rPr>
      </w:pPr>
    </w:p>
    <w:p w14:paraId="0581792A" w14:textId="11E73E3B" w:rsidR="00445D3E" w:rsidRPr="00201B92" w:rsidRDefault="007D5A5B" w:rsidP="00445D3E">
      <w:pPr>
        <w:ind w:left="720"/>
        <w:jc w:val="both"/>
        <w:rPr>
          <w:rFonts w:asciiTheme="majorHAnsi" w:hAnsiTheme="majorHAnsi"/>
          <w:lang w:val="en-GB"/>
        </w:rPr>
      </w:pPr>
      <w:r>
        <w:rPr>
          <w:rFonts w:asciiTheme="majorHAnsi" w:hAnsiTheme="majorHAnsi"/>
          <w:lang w:val="en-GB"/>
        </w:rPr>
        <w:t>…</w:t>
      </w:r>
      <w:r w:rsidR="009216F6" w:rsidRPr="00201B92">
        <w:rPr>
          <w:rFonts w:asciiTheme="majorHAnsi" w:hAnsiTheme="majorHAnsi"/>
          <w:lang w:val="en-GB"/>
        </w:rPr>
        <w:t xml:space="preserve">the program has improved morale, contributed to the corporate culture, improved the health of employees, and lowered insurance rates for both the company as well </w:t>
      </w:r>
      <w:r w:rsidR="00445D3E" w:rsidRPr="00201B92">
        <w:rPr>
          <w:rFonts w:asciiTheme="majorHAnsi" w:hAnsiTheme="majorHAnsi"/>
          <w:lang w:val="en-GB"/>
        </w:rPr>
        <w:t>as individuals</w:t>
      </w:r>
      <w:r w:rsidR="00425722" w:rsidRPr="00201B92">
        <w:rPr>
          <w:rFonts w:asciiTheme="majorHAnsi" w:hAnsiTheme="majorHAnsi"/>
          <w:lang w:val="en-GB"/>
        </w:rPr>
        <w:t>.</w:t>
      </w:r>
      <w:r w:rsidR="00AD71BA" w:rsidRPr="00201B92">
        <w:rPr>
          <w:rFonts w:asciiTheme="majorHAnsi" w:hAnsiTheme="majorHAnsi"/>
          <w:lang w:val="en-GB"/>
        </w:rPr>
        <w:t xml:space="preserve"> (</w:t>
      </w:r>
      <w:proofErr w:type="spellStart"/>
      <w:r w:rsidR="00AD71BA" w:rsidRPr="00201B92">
        <w:rPr>
          <w:rFonts w:asciiTheme="majorHAnsi" w:hAnsiTheme="majorHAnsi"/>
          <w:lang w:val="en-GB"/>
        </w:rPr>
        <w:t>Lindzon</w:t>
      </w:r>
      <w:proofErr w:type="spellEnd"/>
      <w:r w:rsidR="00AD71BA" w:rsidRPr="00201B92">
        <w:rPr>
          <w:rFonts w:asciiTheme="majorHAnsi" w:hAnsiTheme="majorHAnsi"/>
          <w:lang w:val="en-GB"/>
        </w:rPr>
        <w:t>, 2014</w:t>
      </w:r>
      <w:r w:rsidR="006A4592" w:rsidRPr="00201B92">
        <w:rPr>
          <w:rFonts w:asciiTheme="majorHAnsi" w:hAnsiTheme="majorHAnsi"/>
          <w:lang w:val="en-GB"/>
        </w:rPr>
        <w:t>)</w:t>
      </w:r>
    </w:p>
    <w:p w14:paraId="6B4E31E3" w14:textId="77777777" w:rsidR="00425722" w:rsidRPr="00201B92" w:rsidRDefault="00425722" w:rsidP="00445D3E">
      <w:pPr>
        <w:ind w:left="720"/>
        <w:jc w:val="both"/>
        <w:rPr>
          <w:rFonts w:asciiTheme="majorHAnsi" w:hAnsiTheme="majorHAnsi"/>
          <w:lang w:val="en-GB"/>
        </w:rPr>
      </w:pPr>
    </w:p>
    <w:p w14:paraId="45A9E7F1" w14:textId="3246F4D4" w:rsidR="00016465" w:rsidRPr="00201B92" w:rsidRDefault="009216F6" w:rsidP="00F509CB">
      <w:pPr>
        <w:jc w:val="both"/>
        <w:rPr>
          <w:rFonts w:asciiTheme="majorHAnsi" w:hAnsiTheme="majorHAnsi"/>
          <w:lang w:val="en-GB"/>
        </w:rPr>
      </w:pPr>
      <w:r w:rsidRPr="00201B92">
        <w:rPr>
          <w:rFonts w:asciiTheme="majorHAnsi" w:hAnsiTheme="majorHAnsi"/>
          <w:lang w:val="en-GB"/>
        </w:rPr>
        <w:t xml:space="preserve">BP is not alone in noticing the benefits of WSTT solutions. The state of Kentucky operates a </w:t>
      </w:r>
      <w:proofErr w:type="spellStart"/>
      <w:r w:rsidRPr="00201B92">
        <w:rPr>
          <w:rFonts w:asciiTheme="majorHAnsi" w:hAnsiTheme="majorHAnsi"/>
          <w:lang w:val="en-GB"/>
        </w:rPr>
        <w:t>LivingWell</w:t>
      </w:r>
      <w:proofErr w:type="spellEnd"/>
      <w:r w:rsidRPr="00201B92">
        <w:rPr>
          <w:rFonts w:asciiTheme="majorHAnsi" w:hAnsiTheme="majorHAnsi"/>
          <w:lang w:val="en-GB"/>
        </w:rPr>
        <w:t xml:space="preserve"> wellness program used by more than 137,000 employees who agree to undergo a health assessment or biometric screening, with the data kept confidential with a third party. Participants in </w:t>
      </w:r>
      <w:proofErr w:type="spellStart"/>
      <w:r w:rsidRPr="00201B92">
        <w:rPr>
          <w:rFonts w:asciiTheme="majorHAnsi" w:hAnsiTheme="majorHAnsi"/>
          <w:lang w:val="en-GB"/>
        </w:rPr>
        <w:t>LivingWell</w:t>
      </w:r>
      <w:proofErr w:type="spellEnd"/>
      <w:r w:rsidR="008E4F48" w:rsidRPr="00201B92">
        <w:rPr>
          <w:rFonts w:asciiTheme="majorHAnsi" w:hAnsiTheme="majorHAnsi"/>
          <w:lang w:val="en-GB"/>
        </w:rPr>
        <w:t xml:space="preserve"> earn points</w:t>
      </w:r>
      <w:r w:rsidRPr="00201B92">
        <w:rPr>
          <w:rFonts w:asciiTheme="majorHAnsi" w:hAnsiTheme="majorHAnsi"/>
          <w:lang w:val="en-GB"/>
        </w:rPr>
        <w:t xml:space="preserve"> which can </w:t>
      </w:r>
      <w:r w:rsidR="007D5A5B" w:rsidRPr="00201B92">
        <w:rPr>
          <w:rFonts w:asciiTheme="majorHAnsi" w:hAnsiTheme="majorHAnsi"/>
          <w:lang w:val="en-GB"/>
        </w:rPr>
        <w:t>then</w:t>
      </w:r>
      <w:r w:rsidRPr="00201B92">
        <w:rPr>
          <w:rFonts w:asciiTheme="majorHAnsi" w:hAnsiTheme="majorHAnsi"/>
          <w:lang w:val="en-GB"/>
        </w:rPr>
        <w:t xml:space="preserve"> be redeemed for prizes</w:t>
      </w:r>
      <w:r w:rsidR="00F509CB">
        <w:rPr>
          <w:rFonts w:asciiTheme="majorHAnsi" w:hAnsiTheme="majorHAnsi"/>
          <w:lang w:val="en-GB"/>
        </w:rPr>
        <w:t xml:space="preserve"> (</w:t>
      </w:r>
      <w:proofErr w:type="spellStart"/>
      <w:r w:rsidR="00F509CB">
        <w:rPr>
          <w:rFonts w:asciiTheme="majorHAnsi" w:hAnsiTheme="majorHAnsi"/>
          <w:lang w:val="en-GB"/>
        </w:rPr>
        <w:t>Hamblen</w:t>
      </w:r>
      <w:proofErr w:type="spellEnd"/>
      <w:r w:rsidR="00F509CB">
        <w:rPr>
          <w:rFonts w:asciiTheme="majorHAnsi" w:hAnsiTheme="majorHAnsi"/>
          <w:lang w:val="en-GB"/>
        </w:rPr>
        <w:t>, 2015)</w:t>
      </w:r>
      <w:r w:rsidRPr="00201B92">
        <w:rPr>
          <w:rFonts w:asciiTheme="majorHAnsi" w:hAnsiTheme="majorHAnsi"/>
          <w:lang w:val="en-GB"/>
        </w:rPr>
        <w:t>.</w:t>
      </w:r>
      <w:r w:rsidR="00F509CB">
        <w:rPr>
          <w:rFonts w:asciiTheme="majorHAnsi" w:hAnsiTheme="majorHAnsi"/>
          <w:lang w:val="en-GB"/>
        </w:rPr>
        <w:t xml:space="preserve"> Autodesk, another early adopter, started offering </w:t>
      </w:r>
      <w:proofErr w:type="spellStart"/>
      <w:r w:rsidR="00F509CB">
        <w:rPr>
          <w:rFonts w:asciiTheme="majorHAnsi" w:hAnsiTheme="majorHAnsi"/>
          <w:lang w:val="en-GB"/>
        </w:rPr>
        <w:t>FitBits</w:t>
      </w:r>
      <w:proofErr w:type="spellEnd"/>
      <w:r w:rsidR="00F509CB">
        <w:rPr>
          <w:rFonts w:asciiTheme="majorHAnsi" w:hAnsiTheme="majorHAnsi"/>
          <w:lang w:val="en-GB"/>
        </w:rPr>
        <w:t xml:space="preserve"> to employees in 2011. More than half the US workforce took up the offer at its inception, and their spokesperson indicated that ‘the </w:t>
      </w:r>
      <w:r w:rsidR="00F509CB" w:rsidRPr="00F509CB">
        <w:rPr>
          <w:rFonts w:asciiTheme="majorHAnsi" w:hAnsiTheme="majorHAnsi"/>
          <w:lang w:val="en-GB"/>
        </w:rPr>
        <w:t>move has had a real impact on the company’s employees as data prompted changes in their behavio</w:t>
      </w:r>
      <w:r w:rsidR="00CF633C">
        <w:rPr>
          <w:rFonts w:asciiTheme="majorHAnsi" w:hAnsiTheme="majorHAnsi"/>
          <w:lang w:val="en-GB"/>
        </w:rPr>
        <w:t>u</w:t>
      </w:r>
      <w:r w:rsidR="00F509CB" w:rsidRPr="00F509CB">
        <w:rPr>
          <w:rFonts w:asciiTheme="majorHAnsi" w:hAnsiTheme="majorHAnsi"/>
          <w:lang w:val="en-GB"/>
        </w:rPr>
        <w:t>r’ (</w:t>
      </w:r>
      <w:proofErr w:type="spellStart"/>
      <w:r w:rsidR="00F509CB" w:rsidRPr="00F509CB">
        <w:rPr>
          <w:rFonts w:asciiTheme="majorHAnsi" w:hAnsiTheme="majorHAnsi"/>
          <w:lang w:val="en-GB"/>
        </w:rPr>
        <w:t>Nield</w:t>
      </w:r>
      <w:proofErr w:type="spellEnd"/>
      <w:r w:rsidR="00F509CB" w:rsidRPr="00F509CB">
        <w:rPr>
          <w:rFonts w:asciiTheme="majorHAnsi" w:hAnsiTheme="majorHAnsi"/>
          <w:lang w:val="en-GB"/>
        </w:rPr>
        <w:t xml:space="preserve"> 2014).</w:t>
      </w:r>
    </w:p>
    <w:p w14:paraId="21E3C5AC" w14:textId="77777777" w:rsidR="001B02B6" w:rsidRPr="00201B92" w:rsidRDefault="001B02B6" w:rsidP="00445D3E">
      <w:pPr>
        <w:jc w:val="both"/>
        <w:rPr>
          <w:rFonts w:asciiTheme="majorHAnsi" w:hAnsiTheme="majorHAnsi"/>
          <w:lang w:val="en-GB"/>
        </w:rPr>
      </w:pPr>
    </w:p>
    <w:p w14:paraId="0B15B50B" w14:textId="6BC80C12" w:rsidR="00A80AEB" w:rsidRPr="00201B92" w:rsidRDefault="00A552B0" w:rsidP="00A552B0">
      <w:pPr>
        <w:rPr>
          <w:rFonts w:asciiTheme="majorHAnsi" w:eastAsia="Times New Roman" w:hAnsiTheme="majorHAnsi" w:cs="Times"/>
        </w:rPr>
      </w:pPr>
      <w:r w:rsidRPr="00201B92">
        <w:rPr>
          <w:rFonts w:asciiTheme="majorHAnsi" w:hAnsiTheme="majorHAnsi"/>
          <w:lang w:val="en-GB"/>
        </w:rPr>
        <w:t>When using WSTT, a single employee can create more than 30 gigabytes (GB) of data per week while using three devices as (</w:t>
      </w:r>
      <w:proofErr w:type="spellStart"/>
      <w:r w:rsidRPr="00201B92">
        <w:rPr>
          <w:rFonts w:asciiTheme="majorHAnsi" w:hAnsiTheme="majorHAnsi"/>
          <w:lang w:val="en-GB"/>
        </w:rPr>
        <w:t>Rackspace</w:t>
      </w:r>
      <w:proofErr w:type="spellEnd"/>
      <w:r w:rsidRPr="00201B92">
        <w:rPr>
          <w:rFonts w:asciiTheme="majorHAnsi" w:hAnsiTheme="majorHAnsi"/>
          <w:lang w:val="en-GB"/>
        </w:rPr>
        <w:t xml:space="preserve">, 2014).  Scaled across organisations, this is a significant amount of data that could be </w:t>
      </w:r>
      <w:proofErr w:type="spellStart"/>
      <w:r w:rsidRPr="00201B92">
        <w:rPr>
          <w:rFonts w:asciiTheme="majorHAnsi" w:hAnsiTheme="majorHAnsi"/>
          <w:lang w:val="en-GB"/>
        </w:rPr>
        <w:t>be</w:t>
      </w:r>
      <w:proofErr w:type="spellEnd"/>
      <w:r w:rsidRPr="00201B92">
        <w:rPr>
          <w:rFonts w:asciiTheme="majorHAnsi" w:hAnsiTheme="majorHAnsi"/>
          <w:lang w:val="en-GB"/>
        </w:rPr>
        <w:t xml:space="preserve"> stored and analysed. </w:t>
      </w:r>
      <w:r w:rsidR="009216F6" w:rsidRPr="00201B92">
        <w:rPr>
          <w:rFonts w:asciiTheme="majorHAnsi" w:hAnsiTheme="majorHAnsi"/>
          <w:lang w:val="en-GB"/>
        </w:rPr>
        <w:t xml:space="preserve">WSTT </w:t>
      </w:r>
      <w:r w:rsidR="00AD71BA" w:rsidRPr="00201B92">
        <w:rPr>
          <w:rFonts w:asciiTheme="majorHAnsi" w:hAnsiTheme="majorHAnsi"/>
          <w:lang w:val="en-GB"/>
        </w:rPr>
        <w:t>manifest in the form of</w:t>
      </w:r>
      <w:r w:rsidR="009216F6" w:rsidRPr="00201B92">
        <w:rPr>
          <w:rFonts w:asciiTheme="majorHAnsi" w:hAnsiTheme="majorHAnsi"/>
          <w:lang w:val="en-GB"/>
        </w:rPr>
        <w:t xml:space="preserve"> a range of body-worn devices including pins, rin</w:t>
      </w:r>
      <w:r w:rsidR="008E4F48" w:rsidRPr="00201B92">
        <w:rPr>
          <w:rFonts w:asciiTheme="majorHAnsi" w:hAnsiTheme="majorHAnsi"/>
          <w:lang w:val="en-GB"/>
        </w:rPr>
        <w:t>gs, badges and</w:t>
      </w:r>
      <w:r w:rsidR="00AD71BA" w:rsidRPr="00201B92">
        <w:rPr>
          <w:rFonts w:asciiTheme="majorHAnsi" w:hAnsiTheme="majorHAnsi"/>
          <w:lang w:val="en-GB"/>
        </w:rPr>
        <w:t xml:space="preserve"> smartwatches. </w:t>
      </w:r>
      <w:r w:rsidRPr="00201B92">
        <w:rPr>
          <w:rFonts w:asciiTheme="majorHAnsi" w:hAnsiTheme="majorHAnsi"/>
          <w:lang w:val="en-GB"/>
        </w:rPr>
        <w:t xml:space="preserve">The technologies used in workplaces measure track arousal and performance both mental and physical via accelerometers, Bluetooth, triangulation algorithms and infrared sensors, allowing self-monitoring beyond the enclosure of a </w:t>
      </w:r>
      <w:r w:rsidRPr="00201B92">
        <w:rPr>
          <w:rFonts w:asciiTheme="majorHAnsi" w:hAnsiTheme="majorHAnsi"/>
          <w:lang w:val="en-GB"/>
        </w:rPr>
        <w:lastRenderedPageBreak/>
        <w:t xml:space="preserve">specific workplace and beyond the standard hours logged allowed by human resources software tools such as Patriot Pay and Kronos. </w:t>
      </w:r>
      <w:r w:rsidR="00AD71BA" w:rsidRPr="00201B92">
        <w:rPr>
          <w:rFonts w:asciiTheme="majorHAnsi" w:hAnsiTheme="majorHAnsi"/>
          <w:lang w:val="en-GB"/>
        </w:rPr>
        <w:t xml:space="preserve">Technologies </w:t>
      </w:r>
      <w:r w:rsidR="009216F6" w:rsidRPr="00201B92">
        <w:rPr>
          <w:rFonts w:asciiTheme="majorHAnsi" w:hAnsiTheme="majorHAnsi"/>
          <w:lang w:val="en-GB"/>
        </w:rPr>
        <w:t>can also be simply a specific app utilising powerful sensors available on each smartphone.</w:t>
      </w:r>
      <w:r w:rsidR="00A515E0" w:rsidRPr="00201B92">
        <w:rPr>
          <w:rFonts w:asciiTheme="majorHAnsi" w:hAnsiTheme="majorHAnsi"/>
          <w:lang w:val="en-GB"/>
        </w:rPr>
        <w:t xml:space="preserve"> </w:t>
      </w:r>
    </w:p>
    <w:p w14:paraId="3A50C673" w14:textId="77777777" w:rsidR="00DB4797" w:rsidRPr="00201B92" w:rsidRDefault="00DB4797" w:rsidP="00445D3E">
      <w:pPr>
        <w:jc w:val="both"/>
        <w:rPr>
          <w:rFonts w:asciiTheme="majorHAnsi" w:hAnsiTheme="majorHAnsi"/>
          <w:lang w:val="en-GB"/>
        </w:rPr>
      </w:pPr>
    </w:p>
    <w:p w14:paraId="3905A495" w14:textId="46D275C8" w:rsidR="00016465" w:rsidRPr="00201B92" w:rsidRDefault="009216F6" w:rsidP="00A552B0">
      <w:pPr>
        <w:jc w:val="both"/>
        <w:rPr>
          <w:rFonts w:asciiTheme="majorHAnsi" w:hAnsiTheme="majorHAnsi"/>
          <w:lang w:val="en-GB"/>
        </w:rPr>
      </w:pPr>
      <w:r w:rsidRPr="00201B92">
        <w:rPr>
          <w:rFonts w:asciiTheme="majorHAnsi" w:hAnsiTheme="majorHAnsi"/>
          <w:lang w:val="en-GB"/>
        </w:rPr>
        <w:t>WSTT provid</w:t>
      </w:r>
      <w:r w:rsidR="007369AA" w:rsidRPr="00201B92">
        <w:rPr>
          <w:rFonts w:asciiTheme="majorHAnsi" w:hAnsiTheme="majorHAnsi"/>
          <w:lang w:val="en-GB"/>
        </w:rPr>
        <w:t>e personal analytics that allow</w:t>
      </w:r>
      <w:r w:rsidRPr="00201B92">
        <w:rPr>
          <w:rFonts w:asciiTheme="majorHAnsi" w:hAnsiTheme="majorHAnsi"/>
          <w:lang w:val="en-GB"/>
        </w:rPr>
        <w:t xml:space="preserve"> people to explore various aspects of ‘autonomic selves’ or selves that would not otherwise be knowable except through such intimate data generation techniques. Personalised data can provide workers with individual insights into how to manage time and identify productive periods of the day by looking at detailed activity reports. </w:t>
      </w:r>
      <w:r w:rsidR="00A552B0">
        <w:rPr>
          <w:rFonts w:asciiTheme="majorHAnsi" w:hAnsiTheme="majorHAnsi"/>
          <w:lang w:val="en-GB"/>
        </w:rPr>
        <w:t xml:space="preserve">So </w:t>
      </w:r>
      <w:r w:rsidRPr="00201B92">
        <w:rPr>
          <w:rFonts w:asciiTheme="majorHAnsi" w:hAnsiTheme="majorHAnsi"/>
          <w:lang w:val="en-GB"/>
        </w:rPr>
        <w:t>WSTT collects and displays data that is seen to help indiv</w:t>
      </w:r>
      <w:r w:rsidR="00DB4797" w:rsidRPr="00201B92">
        <w:rPr>
          <w:rFonts w:asciiTheme="majorHAnsi" w:hAnsiTheme="majorHAnsi"/>
          <w:lang w:val="en-GB"/>
        </w:rPr>
        <w:t>iduals improve work habits but ‘</w:t>
      </w:r>
      <w:r w:rsidRPr="00201B92">
        <w:rPr>
          <w:rFonts w:asciiTheme="majorHAnsi" w:hAnsiTheme="majorHAnsi"/>
          <w:lang w:val="en-GB"/>
        </w:rPr>
        <w:t>newer devices will soon be able to provide vital busine</w:t>
      </w:r>
      <w:r w:rsidR="00DB4797" w:rsidRPr="00201B92">
        <w:rPr>
          <w:rFonts w:asciiTheme="majorHAnsi" w:hAnsiTheme="majorHAnsi"/>
          <w:lang w:val="en-GB"/>
        </w:rPr>
        <w:t>ss information as well’</w:t>
      </w:r>
      <w:r w:rsidRPr="00201B92">
        <w:rPr>
          <w:rFonts w:asciiTheme="majorHAnsi" w:hAnsiTheme="majorHAnsi"/>
          <w:lang w:val="en-GB"/>
        </w:rPr>
        <w:t xml:space="preserve"> (</w:t>
      </w:r>
      <w:proofErr w:type="spellStart"/>
      <w:r w:rsidRPr="00201B92">
        <w:rPr>
          <w:rFonts w:asciiTheme="majorHAnsi" w:hAnsiTheme="majorHAnsi"/>
          <w:lang w:val="en-GB"/>
        </w:rPr>
        <w:t>Lindzon</w:t>
      </w:r>
      <w:proofErr w:type="spellEnd"/>
      <w:r w:rsidRPr="00201B92">
        <w:rPr>
          <w:rFonts w:asciiTheme="majorHAnsi" w:hAnsiTheme="majorHAnsi"/>
          <w:lang w:val="en-GB"/>
        </w:rPr>
        <w:t>, 201</w:t>
      </w:r>
      <w:r w:rsidR="00187CDD" w:rsidRPr="00201B92">
        <w:rPr>
          <w:rFonts w:asciiTheme="majorHAnsi" w:hAnsiTheme="majorHAnsi"/>
          <w:lang w:val="en-GB"/>
        </w:rPr>
        <w:t>4)</w:t>
      </w:r>
      <w:r w:rsidRPr="00201B92">
        <w:rPr>
          <w:rFonts w:asciiTheme="majorHAnsi" w:hAnsiTheme="majorHAnsi"/>
          <w:lang w:val="en-GB"/>
        </w:rPr>
        <w:t>. Data can also be used to make comparisons over corporate chang</w:t>
      </w:r>
      <w:r w:rsidR="008E4F48" w:rsidRPr="00201B92">
        <w:rPr>
          <w:rFonts w:asciiTheme="majorHAnsi" w:hAnsiTheme="majorHAnsi"/>
          <w:lang w:val="en-GB"/>
        </w:rPr>
        <w:t>es and employees’ activities or across</w:t>
      </w:r>
      <w:r w:rsidRPr="00201B92">
        <w:rPr>
          <w:rFonts w:asciiTheme="majorHAnsi" w:hAnsiTheme="majorHAnsi"/>
          <w:lang w:val="en-GB"/>
        </w:rPr>
        <w:t xml:space="preserve"> employees’ well-being. WSTT data could be used for intensified perfor</w:t>
      </w:r>
      <w:r w:rsidR="00A552B0">
        <w:rPr>
          <w:rFonts w:asciiTheme="majorHAnsi" w:hAnsiTheme="majorHAnsi"/>
          <w:lang w:val="en-GB"/>
        </w:rPr>
        <w:t>mance management and monitoring: a significant</w:t>
      </w:r>
      <w:r w:rsidRPr="00201B92">
        <w:rPr>
          <w:rFonts w:asciiTheme="majorHAnsi" w:hAnsiTheme="majorHAnsi"/>
          <w:lang w:val="en-GB"/>
        </w:rPr>
        <w:t xml:space="preserve"> step beyond other familiar workplace well-being initiatives like exercise class</w:t>
      </w:r>
      <w:r w:rsidR="00441F68">
        <w:rPr>
          <w:rFonts w:asciiTheme="majorHAnsi" w:hAnsiTheme="majorHAnsi"/>
          <w:lang w:val="en-GB"/>
        </w:rPr>
        <w:t>es</w:t>
      </w:r>
      <w:r w:rsidRPr="00201B92">
        <w:rPr>
          <w:rFonts w:asciiTheme="majorHAnsi" w:hAnsiTheme="majorHAnsi"/>
          <w:lang w:val="en-GB"/>
        </w:rPr>
        <w:t xml:space="preserve"> or yoga provision.</w:t>
      </w:r>
      <w:r w:rsidR="00A80AEB" w:rsidRPr="00201B92">
        <w:rPr>
          <w:rFonts w:asciiTheme="majorHAnsi" w:hAnsiTheme="majorHAnsi"/>
          <w:lang w:val="en-GB"/>
        </w:rPr>
        <w:t xml:space="preserve"> Tracking for workplace wellbeing could prove to be problematic if </w:t>
      </w:r>
      <w:r w:rsidR="00441F68">
        <w:rPr>
          <w:rFonts w:asciiTheme="majorHAnsi" w:hAnsiTheme="majorHAnsi"/>
          <w:lang w:val="en-GB"/>
        </w:rPr>
        <w:t>it</w:t>
      </w:r>
      <w:r w:rsidR="00A527A3">
        <w:rPr>
          <w:rFonts w:asciiTheme="majorHAnsi" w:hAnsiTheme="majorHAnsi"/>
          <w:lang w:val="en-GB"/>
        </w:rPr>
        <w:t xml:space="preserve"> </w:t>
      </w:r>
      <w:r w:rsidR="00A80AEB" w:rsidRPr="00201B92">
        <w:rPr>
          <w:rFonts w:asciiTheme="majorHAnsi" w:hAnsiTheme="majorHAnsi"/>
          <w:lang w:val="en-GB"/>
        </w:rPr>
        <w:t>does not capture other impacts of specific management approaches in the workplace</w:t>
      </w:r>
      <w:r w:rsidR="00950EA6">
        <w:rPr>
          <w:rFonts w:asciiTheme="majorHAnsi" w:hAnsiTheme="majorHAnsi"/>
          <w:lang w:val="en-GB"/>
        </w:rPr>
        <w:t>,</w:t>
      </w:r>
      <w:r w:rsidR="00A80AEB" w:rsidRPr="00201B92">
        <w:rPr>
          <w:rFonts w:asciiTheme="majorHAnsi" w:hAnsiTheme="majorHAnsi"/>
          <w:lang w:val="en-GB"/>
        </w:rPr>
        <w:t xml:space="preserve"> such as depression or anxiety</w:t>
      </w:r>
      <w:r w:rsidR="00950EA6">
        <w:rPr>
          <w:rFonts w:asciiTheme="majorHAnsi" w:hAnsiTheme="majorHAnsi"/>
          <w:lang w:val="en-GB"/>
        </w:rPr>
        <w:t xml:space="preserve"> and precarity (Moore and Robinson, 2015),</w:t>
      </w:r>
      <w:r w:rsidR="00A80AEB" w:rsidRPr="00201B92">
        <w:rPr>
          <w:rFonts w:asciiTheme="majorHAnsi" w:hAnsiTheme="majorHAnsi"/>
          <w:lang w:val="en-GB"/>
        </w:rPr>
        <w:t xml:space="preserve"> that </w:t>
      </w:r>
      <w:r w:rsidR="00441F68">
        <w:rPr>
          <w:rFonts w:asciiTheme="majorHAnsi" w:hAnsiTheme="majorHAnsi"/>
          <w:lang w:val="en-GB"/>
        </w:rPr>
        <w:t>have</w:t>
      </w:r>
      <w:r w:rsidR="00A527A3" w:rsidRPr="00201B92">
        <w:rPr>
          <w:rFonts w:asciiTheme="majorHAnsi" w:hAnsiTheme="majorHAnsi"/>
          <w:lang w:val="en-GB"/>
        </w:rPr>
        <w:t xml:space="preserve"> </w:t>
      </w:r>
      <w:r w:rsidR="00A80AEB" w:rsidRPr="00201B92">
        <w:rPr>
          <w:rFonts w:asciiTheme="majorHAnsi" w:hAnsiTheme="majorHAnsi"/>
          <w:lang w:val="en-GB"/>
        </w:rPr>
        <w:t xml:space="preserve">been depicted by a range of epidemiologists and work psychologists to emerge in environments with </w:t>
      </w:r>
      <w:r w:rsidR="00A552B0">
        <w:rPr>
          <w:rFonts w:asciiTheme="majorHAnsi" w:hAnsiTheme="majorHAnsi"/>
          <w:lang w:val="en-GB"/>
        </w:rPr>
        <w:t xml:space="preserve">what could be seen as </w:t>
      </w:r>
      <w:r w:rsidR="00A80AEB" w:rsidRPr="00201B92">
        <w:rPr>
          <w:rFonts w:asciiTheme="majorHAnsi" w:hAnsiTheme="majorHAnsi"/>
          <w:lang w:val="en-GB"/>
        </w:rPr>
        <w:t>overly invasive surveillance</w:t>
      </w:r>
      <w:r w:rsidR="00AF4639">
        <w:rPr>
          <w:rFonts w:asciiTheme="majorHAnsi" w:hAnsiTheme="majorHAnsi"/>
          <w:lang w:val="en-GB"/>
        </w:rPr>
        <w:t xml:space="preserve"> </w:t>
      </w:r>
      <w:r w:rsidR="0091268F">
        <w:rPr>
          <w:rFonts w:asciiTheme="majorHAnsi" w:hAnsiTheme="majorHAnsi"/>
          <w:lang w:val="en-GB"/>
        </w:rPr>
        <w:t xml:space="preserve">(see </w:t>
      </w:r>
      <w:r w:rsidR="00F009A2">
        <w:rPr>
          <w:rFonts w:asciiTheme="majorHAnsi" w:hAnsiTheme="majorHAnsi"/>
          <w:lang w:val="en-GB"/>
        </w:rPr>
        <w:t>Aiello, 1993</w:t>
      </w:r>
      <w:r w:rsidR="0091268F">
        <w:rPr>
          <w:rFonts w:asciiTheme="majorHAnsi" w:hAnsiTheme="majorHAnsi"/>
          <w:lang w:val="en-GB"/>
        </w:rPr>
        <w:t>).</w:t>
      </w:r>
    </w:p>
    <w:p w14:paraId="29EC0C55" w14:textId="77777777" w:rsidR="00187CDD" w:rsidRPr="00201B92" w:rsidRDefault="00187CDD" w:rsidP="00445D3E">
      <w:pPr>
        <w:jc w:val="both"/>
        <w:rPr>
          <w:rFonts w:asciiTheme="majorHAnsi" w:hAnsiTheme="majorHAnsi"/>
          <w:lang w:val="en-GB"/>
        </w:rPr>
      </w:pPr>
    </w:p>
    <w:p w14:paraId="2887B78E" w14:textId="6BD8BA23" w:rsidR="00016465" w:rsidRPr="00201B92" w:rsidRDefault="00A552B0" w:rsidP="00A552B0">
      <w:pPr>
        <w:jc w:val="both"/>
        <w:rPr>
          <w:rFonts w:asciiTheme="majorHAnsi" w:hAnsiTheme="majorHAnsi"/>
          <w:lang w:val="en-GB"/>
        </w:rPr>
      </w:pPr>
      <w:r>
        <w:rPr>
          <w:rFonts w:asciiTheme="majorHAnsi" w:hAnsiTheme="majorHAnsi"/>
          <w:lang w:val="en-GB"/>
        </w:rPr>
        <w:t xml:space="preserve">Indeed, </w:t>
      </w:r>
      <w:r w:rsidR="009216F6" w:rsidRPr="00201B92">
        <w:rPr>
          <w:rFonts w:asciiTheme="majorHAnsi" w:hAnsiTheme="majorHAnsi"/>
          <w:lang w:val="en-GB"/>
        </w:rPr>
        <w:t>WSTT can enable management to investigat</w:t>
      </w:r>
      <w:r w:rsidR="007603E7">
        <w:rPr>
          <w:rFonts w:asciiTheme="majorHAnsi" w:hAnsiTheme="majorHAnsi"/>
          <w:lang w:val="en-GB"/>
        </w:rPr>
        <w:t>e</w:t>
      </w:r>
      <w:r w:rsidR="009216F6" w:rsidRPr="00201B92">
        <w:rPr>
          <w:rFonts w:asciiTheme="majorHAnsi" w:hAnsiTheme="majorHAnsi"/>
          <w:lang w:val="en-GB"/>
        </w:rPr>
        <w:t xml:space="preserve"> aspects of workers’ bodies</w:t>
      </w:r>
      <w:r w:rsidR="007603E7">
        <w:rPr>
          <w:rFonts w:asciiTheme="majorHAnsi" w:hAnsiTheme="majorHAnsi"/>
          <w:lang w:val="en-GB"/>
        </w:rPr>
        <w:t xml:space="preserve"> which is a somewhat unnerving revelation</w:t>
      </w:r>
      <w:r w:rsidR="009216F6" w:rsidRPr="00201B92">
        <w:rPr>
          <w:rFonts w:asciiTheme="majorHAnsi" w:hAnsiTheme="majorHAnsi"/>
          <w:lang w:val="en-GB"/>
        </w:rPr>
        <w:t xml:space="preserve">. Research in the health sector has shown that self-monitoring solutions can facilitate positive behaviour change such as weight loss (Womble </w:t>
      </w:r>
      <w:r w:rsidR="009216F6" w:rsidRPr="00201B92">
        <w:rPr>
          <w:rFonts w:asciiTheme="majorHAnsi" w:hAnsiTheme="majorHAnsi"/>
          <w:i/>
          <w:lang w:val="en-GB"/>
        </w:rPr>
        <w:t>et al</w:t>
      </w:r>
      <w:r w:rsidR="007603E7">
        <w:rPr>
          <w:rFonts w:asciiTheme="majorHAnsi" w:hAnsiTheme="majorHAnsi"/>
          <w:lang w:val="en-GB"/>
        </w:rPr>
        <w:t>., 2004)</w:t>
      </w:r>
      <w:r w:rsidR="009216F6" w:rsidRPr="00201B92">
        <w:rPr>
          <w:rFonts w:asciiTheme="majorHAnsi" w:hAnsiTheme="majorHAnsi"/>
          <w:lang w:val="en-GB"/>
        </w:rPr>
        <w:t xml:space="preserve"> and </w:t>
      </w:r>
      <w:r w:rsidR="002E25B5">
        <w:rPr>
          <w:rFonts w:asciiTheme="majorHAnsi" w:hAnsiTheme="majorHAnsi"/>
          <w:lang w:val="en-GB"/>
        </w:rPr>
        <w:t xml:space="preserve">help people </w:t>
      </w:r>
      <w:r w:rsidR="009216F6" w:rsidRPr="00201B92">
        <w:rPr>
          <w:rFonts w:asciiTheme="majorHAnsi" w:hAnsiTheme="majorHAnsi"/>
          <w:lang w:val="en-GB"/>
        </w:rPr>
        <w:t>man</w:t>
      </w:r>
      <w:r w:rsidR="002E25B5">
        <w:rPr>
          <w:rFonts w:asciiTheme="majorHAnsi" w:hAnsiTheme="majorHAnsi"/>
          <w:lang w:val="en-GB"/>
        </w:rPr>
        <w:t>age</w:t>
      </w:r>
      <w:r w:rsidR="009216F6" w:rsidRPr="00201B92">
        <w:rPr>
          <w:rFonts w:asciiTheme="majorHAnsi" w:hAnsiTheme="majorHAnsi"/>
          <w:lang w:val="en-GB"/>
        </w:rPr>
        <w:t xml:space="preserve"> chronic illnesses such as diabetes (Williams </w:t>
      </w:r>
      <w:r w:rsidR="009216F6" w:rsidRPr="00201B92">
        <w:rPr>
          <w:rFonts w:asciiTheme="majorHAnsi" w:hAnsiTheme="majorHAnsi"/>
          <w:i/>
          <w:lang w:val="en-GB"/>
        </w:rPr>
        <w:t>et al</w:t>
      </w:r>
      <w:r w:rsidR="00445D3E" w:rsidRPr="00201B92">
        <w:rPr>
          <w:rFonts w:asciiTheme="majorHAnsi" w:hAnsiTheme="majorHAnsi"/>
          <w:lang w:val="en-GB"/>
        </w:rPr>
        <w:t>.,</w:t>
      </w:r>
      <w:r w:rsidR="009216F6" w:rsidRPr="00201B92">
        <w:rPr>
          <w:rFonts w:asciiTheme="majorHAnsi" w:hAnsiTheme="majorHAnsi"/>
          <w:lang w:val="en-GB"/>
        </w:rPr>
        <w:t xml:space="preserve"> </w:t>
      </w:r>
      <w:r w:rsidR="00445D3E" w:rsidRPr="00201B92">
        <w:rPr>
          <w:rFonts w:asciiTheme="majorHAnsi" w:hAnsiTheme="majorHAnsi"/>
          <w:lang w:val="en-GB"/>
        </w:rPr>
        <w:t>2007</w:t>
      </w:r>
      <w:r w:rsidR="009216F6" w:rsidRPr="00201B92">
        <w:rPr>
          <w:rFonts w:asciiTheme="majorHAnsi" w:hAnsiTheme="majorHAnsi"/>
          <w:lang w:val="en-GB"/>
        </w:rPr>
        <w:t>), asthma (</w:t>
      </w:r>
      <w:proofErr w:type="spellStart"/>
      <w:r w:rsidR="009216F6" w:rsidRPr="00201B92">
        <w:rPr>
          <w:rFonts w:asciiTheme="majorHAnsi" w:hAnsiTheme="majorHAnsi"/>
          <w:lang w:val="en-GB"/>
        </w:rPr>
        <w:t>Shegog</w:t>
      </w:r>
      <w:proofErr w:type="spellEnd"/>
      <w:r w:rsidR="009216F6" w:rsidRPr="00201B92">
        <w:rPr>
          <w:rFonts w:asciiTheme="majorHAnsi" w:hAnsiTheme="majorHAnsi"/>
          <w:lang w:val="en-GB"/>
        </w:rPr>
        <w:t xml:space="preserve"> </w:t>
      </w:r>
      <w:r w:rsidR="009216F6" w:rsidRPr="00201B92">
        <w:rPr>
          <w:rFonts w:asciiTheme="majorHAnsi" w:hAnsiTheme="majorHAnsi"/>
          <w:i/>
          <w:lang w:val="en-GB"/>
        </w:rPr>
        <w:t>et al</w:t>
      </w:r>
      <w:r w:rsidR="009216F6" w:rsidRPr="00201B92">
        <w:rPr>
          <w:rFonts w:asciiTheme="majorHAnsi" w:hAnsiTheme="majorHAnsi"/>
          <w:lang w:val="en-GB"/>
        </w:rPr>
        <w:t xml:space="preserve">., 2001) or depression (Christensen </w:t>
      </w:r>
      <w:r w:rsidR="009216F6" w:rsidRPr="00201B92">
        <w:rPr>
          <w:rFonts w:asciiTheme="majorHAnsi" w:hAnsiTheme="majorHAnsi"/>
          <w:i/>
          <w:lang w:val="en-GB"/>
        </w:rPr>
        <w:t>et al</w:t>
      </w:r>
      <w:r w:rsidR="009216F6" w:rsidRPr="00201B92">
        <w:rPr>
          <w:rFonts w:asciiTheme="majorHAnsi" w:hAnsiTheme="majorHAnsi"/>
          <w:lang w:val="en-GB"/>
        </w:rPr>
        <w:t xml:space="preserve">., 2004). However, it is important to stress that there is currently no evidence in the scientific literature on the impact of WSTT use on employees in workplaces. There is a strong optimism, if </w:t>
      </w:r>
      <w:r w:rsidR="008E4F48" w:rsidRPr="00201B92">
        <w:rPr>
          <w:rFonts w:asciiTheme="majorHAnsi" w:hAnsiTheme="majorHAnsi"/>
          <w:lang w:val="en-GB"/>
        </w:rPr>
        <w:t xml:space="preserve">not to say ‘hype’, around </w:t>
      </w:r>
      <w:r w:rsidR="007603E7">
        <w:rPr>
          <w:rFonts w:asciiTheme="majorHAnsi" w:hAnsiTheme="majorHAnsi"/>
          <w:lang w:val="en-GB"/>
        </w:rPr>
        <w:t xml:space="preserve">the use of sensory technologies to promote wellness </w:t>
      </w:r>
      <w:r>
        <w:rPr>
          <w:rFonts w:asciiTheme="majorHAnsi" w:hAnsiTheme="majorHAnsi"/>
          <w:lang w:val="en-GB"/>
        </w:rPr>
        <w:t>as outlined</w:t>
      </w:r>
      <w:r w:rsidR="009216F6" w:rsidRPr="00201B92">
        <w:rPr>
          <w:rFonts w:asciiTheme="majorHAnsi" w:hAnsiTheme="majorHAnsi"/>
          <w:lang w:val="en-GB"/>
        </w:rPr>
        <w:t xml:space="preserve">, but it is </w:t>
      </w:r>
      <w:r w:rsidR="002E25B5">
        <w:rPr>
          <w:rFonts w:asciiTheme="majorHAnsi" w:hAnsiTheme="majorHAnsi"/>
          <w:lang w:val="en-GB"/>
        </w:rPr>
        <w:t xml:space="preserve">mostly </w:t>
      </w:r>
      <w:r w:rsidR="009216F6" w:rsidRPr="00201B92">
        <w:rPr>
          <w:rFonts w:asciiTheme="majorHAnsi" w:hAnsiTheme="majorHAnsi"/>
          <w:lang w:val="en-GB"/>
        </w:rPr>
        <w:t>limited by the subjective nature</w:t>
      </w:r>
      <w:r w:rsidR="008E4F48" w:rsidRPr="00201B92">
        <w:rPr>
          <w:rFonts w:asciiTheme="majorHAnsi" w:hAnsiTheme="majorHAnsi"/>
          <w:lang w:val="en-GB"/>
        </w:rPr>
        <w:t xml:space="preserve"> of self-reports gathered by </w:t>
      </w:r>
      <w:r w:rsidR="009216F6" w:rsidRPr="00201B92">
        <w:rPr>
          <w:rFonts w:asciiTheme="majorHAnsi" w:hAnsiTheme="majorHAnsi"/>
          <w:lang w:val="en-GB"/>
        </w:rPr>
        <w:t>enthusiasts using such solutions, and methodologically limited white-papers produced by commercial companies on this topic.</w:t>
      </w:r>
      <w:r w:rsidR="00B03C02">
        <w:rPr>
          <w:rFonts w:asciiTheme="majorHAnsi" w:hAnsiTheme="majorHAnsi"/>
          <w:lang w:val="en-GB"/>
        </w:rPr>
        <w:t xml:space="preserve"> In order to begin research that prov</w:t>
      </w:r>
      <w:r w:rsidR="0007610B">
        <w:rPr>
          <w:rFonts w:asciiTheme="majorHAnsi" w:hAnsiTheme="majorHAnsi"/>
          <w:lang w:val="en-GB"/>
        </w:rPr>
        <w:t>ides firm evidence in this area, the</w:t>
      </w:r>
      <w:r w:rsidR="0078615C">
        <w:rPr>
          <w:rFonts w:asciiTheme="majorHAnsi" w:hAnsiTheme="majorHAnsi"/>
          <w:lang w:val="en-GB"/>
        </w:rPr>
        <w:t xml:space="preserve"> following issues must be taken into account</w:t>
      </w:r>
      <w:r>
        <w:rPr>
          <w:rFonts w:asciiTheme="majorHAnsi" w:hAnsiTheme="majorHAnsi"/>
          <w:lang w:val="en-GB"/>
        </w:rPr>
        <w:t xml:space="preserve"> as its dark side is unavoidable</w:t>
      </w:r>
      <w:r w:rsidR="0078615C">
        <w:rPr>
          <w:rFonts w:asciiTheme="majorHAnsi" w:hAnsiTheme="majorHAnsi"/>
          <w:lang w:val="en-GB"/>
        </w:rPr>
        <w:t xml:space="preserve">. </w:t>
      </w:r>
      <w:r w:rsidR="00B03C02">
        <w:rPr>
          <w:rFonts w:asciiTheme="majorHAnsi" w:hAnsiTheme="majorHAnsi"/>
          <w:lang w:val="en-GB"/>
        </w:rPr>
        <w:t xml:space="preserve"> </w:t>
      </w:r>
    </w:p>
    <w:p w14:paraId="79998ABD" w14:textId="0FF11EA8" w:rsidR="00016465" w:rsidRPr="00CF633C" w:rsidRDefault="00F950ED" w:rsidP="00445D3E">
      <w:pPr>
        <w:pStyle w:val="Heading3"/>
        <w:jc w:val="both"/>
        <w:rPr>
          <w:rFonts w:eastAsiaTheme="minorEastAsia" w:cs="Times New Roman"/>
          <w:bCs w:val="0"/>
          <w:i/>
          <w:sz w:val="24"/>
          <w:szCs w:val="24"/>
          <w:lang w:val="en-GB"/>
        </w:rPr>
      </w:pPr>
      <w:r w:rsidRPr="00CF633C">
        <w:rPr>
          <w:rFonts w:eastAsiaTheme="minorEastAsia" w:cs="Times New Roman"/>
          <w:bCs w:val="0"/>
          <w:i/>
          <w:sz w:val="24"/>
          <w:szCs w:val="24"/>
          <w:lang w:val="en-GB"/>
        </w:rPr>
        <w:t>Emerging ethical issues</w:t>
      </w:r>
    </w:p>
    <w:p w14:paraId="37E5419E" w14:textId="12FD578B" w:rsidR="00016465" w:rsidRPr="00201B92" w:rsidRDefault="009216F6" w:rsidP="00445D3E">
      <w:pPr>
        <w:jc w:val="both"/>
        <w:rPr>
          <w:rFonts w:asciiTheme="majorHAnsi" w:hAnsiTheme="majorHAnsi"/>
          <w:lang w:val="en-GB"/>
        </w:rPr>
      </w:pPr>
      <w:r w:rsidRPr="00CF633C">
        <w:rPr>
          <w:rFonts w:asciiTheme="majorHAnsi" w:hAnsiTheme="majorHAnsi"/>
          <w:i/>
          <w:lang w:val="en-GB"/>
        </w:rPr>
        <w:t>Rationalisation</w:t>
      </w:r>
      <w:r w:rsidR="00AF4639" w:rsidRPr="00CF633C">
        <w:rPr>
          <w:rFonts w:asciiTheme="majorHAnsi" w:hAnsiTheme="majorHAnsi"/>
          <w:i/>
          <w:lang w:val="en-GB"/>
        </w:rPr>
        <w:t>, work intensification</w:t>
      </w:r>
      <w:r w:rsidRPr="00CF633C">
        <w:rPr>
          <w:rFonts w:asciiTheme="majorHAnsi" w:hAnsiTheme="majorHAnsi"/>
          <w:i/>
          <w:lang w:val="en-GB"/>
        </w:rPr>
        <w:t xml:space="preserve"> and displacement of accountability.</w:t>
      </w:r>
      <w:r w:rsidR="00A515E0" w:rsidRPr="00201B92">
        <w:rPr>
          <w:rFonts w:asciiTheme="majorHAnsi" w:hAnsiTheme="majorHAnsi"/>
          <w:lang w:val="en-GB"/>
        </w:rPr>
        <w:t xml:space="preserve"> </w:t>
      </w:r>
      <w:r w:rsidR="0078615C">
        <w:rPr>
          <w:rFonts w:asciiTheme="majorHAnsi" w:hAnsiTheme="majorHAnsi"/>
          <w:lang w:val="en-GB"/>
        </w:rPr>
        <w:t>In workplaces where wellness initiatives are famously not prevalent such as Tesco and Amazon warehouses</w:t>
      </w:r>
      <w:r w:rsidR="00B03C02">
        <w:rPr>
          <w:rFonts w:asciiTheme="majorHAnsi" w:hAnsiTheme="majorHAnsi"/>
          <w:lang w:val="en-GB"/>
        </w:rPr>
        <w:t xml:space="preserve">, </w:t>
      </w:r>
      <w:r w:rsidR="00B03C02" w:rsidRPr="00201B92">
        <w:rPr>
          <w:rFonts w:asciiTheme="majorHAnsi" w:hAnsiTheme="majorHAnsi"/>
          <w:lang w:val="en-GB"/>
        </w:rPr>
        <w:t xml:space="preserve">Motorola armbands </w:t>
      </w:r>
      <w:r w:rsidR="00B03C02">
        <w:rPr>
          <w:rFonts w:asciiTheme="majorHAnsi" w:hAnsiTheme="majorHAnsi"/>
          <w:lang w:val="en-GB"/>
        </w:rPr>
        <w:t>for stock shifting</w:t>
      </w:r>
      <w:r w:rsidR="00B03C02" w:rsidRPr="00201B92">
        <w:rPr>
          <w:rFonts w:asciiTheme="majorHAnsi" w:hAnsiTheme="majorHAnsi"/>
          <w:lang w:val="en-GB"/>
        </w:rPr>
        <w:t xml:space="preserve"> are used in </w:t>
      </w:r>
      <w:r w:rsidR="00B03C02">
        <w:rPr>
          <w:rFonts w:asciiTheme="majorHAnsi" w:hAnsiTheme="majorHAnsi"/>
          <w:lang w:val="en-GB"/>
        </w:rPr>
        <w:t>to determine speed and efficiency.</w:t>
      </w:r>
      <w:r w:rsidR="00B03C02" w:rsidRPr="00201B92">
        <w:rPr>
          <w:rFonts w:asciiTheme="majorHAnsi" w:hAnsiTheme="majorHAnsi"/>
          <w:lang w:val="en-GB"/>
        </w:rPr>
        <w:t xml:space="preserve"> </w:t>
      </w:r>
      <w:r w:rsidR="00B03C02">
        <w:rPr>
          <w:rFonts w:asciiTheme="majorHAnsi" w:hAnsiTheme="majorHAnsi"/>
          <w:lang w:val="en-GB"/>
        </w:rPr>
        <w:t>WSTT</w:t>
      </w:r>
      <w:r w:rsidR="00A515E0" w:rsidRPr="00201B92">
        <w:rPr>
          <w:rFonts w:asciiTheme="majorHAnsi" w:hAnsiTheme="majorHAnsi"/>
          <w:lang w:val="en-GB"/>
        </w:rPr>
        <w:t xml:space="preserve"> </w:t>
      </w:r>
      <w:r w:rsidR="00B03C02">
        <w:rPr>
          <w:rFonts w:asciiTheme="majorHAnsi" w:hAnsiTheme="majorHAnsi"/>
          <w:lang w:val="en-GB"/>
        </w:rPr>
        <w:t>has le</w:t>
      </w:r>
      <w:r w:rsidRPr="00201B92">
        <w:rPr>
          <w:rFonts w:asciiTheme="majorHAnsi" w:hAnsiTheme="majorHAnsi"/>
          <w:lang w:val="en-GB"/>
        </w:rPr>
        <w:t xml:space="preserve">d to rationalisation of </w:t>
      </w:r>
      <w:r w:rsidR="00B03C02">
        <w:rPr>
          <w:rFonts w:asciiTheme="majorHAnsi" w:hAnsiTheme="majorHAnsi"/>
          <w:lang w:val="en-GB"/>
        </w:rPr>
        <w:t xml:space="preserve">workforces </w:t>
      </w:r>
      <w:r w:rsidR="00441F68">
        <w:rPr>
          <w:rFonts w:asciiTheme="majorHAnsi" w:hAnsiTheme="majorHAnsi"/>
          <w:lang w:val="en-GB"/>
        </w:rPr>
        <w:t>such as</w:t>
      </w:r>
      <w:r w:rsidR="00A527A3">
        <w:rPr>
          <w:rFonts w:asciiTheme="majorHAnsi" w:hAnsiTheme="majorHAnsi"/>
          <w:lang w:val="en-GB"/>
        </w:rPr>
        <w:t xml:space="preserve"> </w:t>
      </w:r>
      <w:r w:rsidR="00B03C02">
        <w:rPr>
          <w:rFonts w:asciiTheme="majorHAnsi" w:hAnsiTheme="majorHAnsi"/>
          <w:lang w:val="en-GB"/>
        </w:rPr>
        <w:t>in the case of</w:t>
      </w:r>
      <w:r w:rsidRPr="00201B92">
        <w:rPr>
          <w:rFonts w:asciiTheme="majorHAnsi" w:hAnsiTheme="majorHAnsi"/>
          <w:lang w:val="en-GB"/>
        </w:rPr>
        <w:t xml:space="preserve"> Tesco</w:t>
      </w:r>
      <w:r w:rsidR="00B03C02">
        <w:rPr>
          <w:rFonts w:asciiTheme="majorHAnsi" w:hAnsiTheme="majorHAnsi"/>
          <w:lang w:val="en-GB"/>
        </w:rPr>
        <w:t>,</w:t>
      </w:r>
      <w:r w:rsidRPr="00201B92">
        <w:rPr>
          <w:rFonts w:asciiTheme="majorHAnsi" w:hAnsiTheme="majorHAnsi"/>
          <w:lang w:val="en-GB"/>
        </w:rPr>
        <w:t xml:space="preserve"> where wearable badges tracking working speed in warehouses </w:t>
      </w:r>
      <w:r w:rsidR="00B03C02">
        <w:rPr>
          <w:rFonts w:asciiTheme="majorHAnsi" w:hAnsiTheme="majorHAnsi"/>
          <w:lang w:val="en-GB"/>
        </w:rPr>
        <w:t>were</w:t>
      </w:r>
      <w:r w:rsidR="003C17C5" w:rsidRPr="00201B92">
        <w:rPr>
          <w:rFonts w:asciiTheme="majorHAnsi" w:hAnsiTheme="majorHAnsi"/>
          <w:lang w:val="en-GB"/>
        </w:rPr>
        <w:t xml:space="preserve"> demonstrated to reduce the need for </w:t>
      </w:r>
      <w:r w:rsidRPr="00201B92">
        <w:rPr>
          <w:rFonts w:asciiTheme="majorHAnsi" w:hAnsiTheme="majorHAnsi"/>
          <w:lang w:val="en-GB"/>
        </w:rPr>
        <w:t>full time employees by 18% (Wilson, 2013</w:t>
      </w:r>
      <w:r w:rsidR="003C17C5" w:rsidRPr="00201B92">
        <w:rPr>
          <w:rFonts w:asciiTheme="majorHAnsi" w:hAnsiTheme="majorHAnsi"/>
          <w:lang w:val="en-GB"/>
        </w:rPr>
        <w:t>a</w:t>
      </w:r>
      <w:r w:rsidRPr="00201B92">
        <w:rPr>
          <w:rFonts w:asciiTheme="majorHAnsi" w:hAnsiTheme="majorHAnsi"/>
          <w:lang w:val="en-GB"/>
        </w:rPr>
        <w:t xml:space="preserve">). </w:t>
      </w:r>
      <w:r w:rsidR="00B03C02">
        <w:rPr>
          <w:rFonts w:asciiTheme="majorHAnsi" w:hAnsiTheme="majorHAnsi"/>
          <w:lang w:val="en-GB"/>
        </w:rPr>
        <w:t>Employee tracking in</w:t>
      </w:r>
      <w:r w:rsidRPr="00201B92">
        <w:rPr>
          <w:rFonts w:asciiTheme="majorHAnsi" w:hAnsiTheme="majorHAnsi"/>
          <w:lang w:val="en-GB"/>
        </w:rPr>
        <w:t xml:space="preserve"> Amazon warehouses </w:t>
      </w:r>
      <w:r w:rsidR="00B03C02">
        <w:rPr>
          <w:rFonts w:asciiTheme="majorHAnsi" w:hAnsiTheme="majorHAnsi"/>
          <w:lang w:val="en-GB"/>
        </w:rPr>
        <w:t>has resulted in reports of heightened stress and physical burnout</w:t>
      </w:r>
      <w:r w:rsidR="00BE0AD1">
        <w:rPr>
          <w:rFonts w:asciiTheme="majorHAnsi" w:hAnsiTheme="majorHAnsi"/>
          <w:lang w:val="en-GB"/>
        </w:rPr>
        <w:t xml:space="preserve">. </w:t>
      </w:r>
      <w:r w:rsidR="00BE0AD1">
        <w:rPr>
          <w:rFonts w:asciiTheme="majorHAnsi" w:hAnsiTheme="majorHAnsi"/>
          <w:lang w:val="en-GB"/>
        </w:rPr>
        <w:lastRenderedPageBreak/>
        <w:t xml:space="preserve">Indeed, </w:t>
      </w:r>
      <w:r w:rsidR="00441F68">
        <w:rPr>
          <w:rFonts w:asciiTheme="majorHAnsi" w:hAnsiTheme="majorHAnsi"/>
          <w:lang w:val="en-GB"/>
        </w:rPr>
        <w:t xml:space="preserve">employee health and safety </w:t>
      </w:r>
      <w:r w:rsidR="007255FF">
        <w:rPr>
          <w:rFonts w:asciiTheme="majorHAnsi" w:hAnsiTheme="majorHAnsi"/>
          <w:lang w:val="en-GB"/>
        </w:rPr>
        <w:t>usually comes secondary to lean logistics and speed of work in depot work (Mulholland and Stewart, 2013)</w:t>
      </w:r>
      <w:r w:rsidR="00B03C02">
        <w:rPr>
          <w:rFonts w:asciiTheme="majorHAnsi" w:hAnsiTheme="majorHAnsi"/>
          <w:lang w:val="en-GB"/>
        </w:rPr>
        <w:t>.</w:t>
      </w:r>
      <w:r w:rsidRPr="00201B92">
        <w:rPr>
          <w:rFonts w:asciiTheme="majorHAnsi" w:hAnsiTheme="majorHAnsi"/>
          <w:lang w:val="en-GB"/>
        </w:rPr>
        <w:t xml:space="preserve"> </w:t>
      </w:r>
      <w:r w:rsidR="0078615C">
        <w:rPr>
          <w:rFonts w:asciiTheme="majorHAnsi" w:hAnsiTheme="majorHAnsi"/>
          <w:lang w:val="en-GB"/>
        </w:rPr>
        <w:t xml:space="preserve">In offices, </w:t>
      </w:r>
      <w:proofErr w:type="spellStart"/>
      <w:r w:rsidR="0078615C" w:rsidRPr="00201B92">
        <w:rPr>
          <w:rFonts w:asciiTheme="majorHAnsi" w:hAnsiTheme="majorHAnsi"/>
          <w:lang w:val="en-GB"/>
        </w:rPr>
        <w:t>Sociometric</w:t>
      </w:r>
      <w:proofErr w:type="spellEnd"/>
      <w:r w:rsidR="0078615C" w:rsidRPr="00201B92">
        <w:rPr>
          <w:rFonts w:asciiTheme="majorHAnsi" w:hAnsiTheme="majorHAnsi"/>
          <w:lang w:val="en-GB"/>
        </w:rPr>
        <w:t xml:space="preserve"> Solutions</w:t>
      </w:r>
      <w:r w:rsidR="0078615C">
        <w:rPr>
          <w:rFonts w:asciiTheme="majorHAnsi" w:hAnsiTheme="majorHAnsi"/>
          <w:lang w:val="en-GB"/>
        </w:rPr>
        <w:t xml:space="preserve"> are being used to</w:t>
      </w:r>
      <w:r w:rsidR="0078615C" w:rsidRPr="00201B92">
        <w:rPr>
          <w:rFonts w:asciiTheme="majorHAnsi" w:hAnsiTheme="majorHAnsi"/>
          <w:lang w:val="en-GB"/>
        </w:rPr>
        <w:t xml:space="preserve"> capture employees’ physica</w:t>
      </w:r>
      <w:r w:rsidR="0078615C">
        <w:rPr>
          <w:rFonts w:asciiTheme="majorHAnsi" w:hAnsiTheme="majorHAnsi"/>
          <w:lang w:val="en-GB"/>
        </w:rPr>
        <w:t xml:space="preserve">l movements and interactions across desk spaces. </w:t>
      </w:r>
      <w:r w:rsidR="0078615C" w:rsidRPr="00201B92">
        <w:rPr>
          <w:rFonts w:asciiTheme="majorHAnsi" w:hAnsiTheme="majorHAnsi"/>
          <w:lang w:val="en-GB"/>
        </w:rPr>
        <w:t>RFID and Bluetooth systems</w:t>
      </w:r>
      <w:r w:rsidR="0078615C">
        <w:rPr>
          <w:rFonts w:asciiTheme="majorHAnsi" w:hAnsiTheme="majorHAnsi"/>
          <w:lang w:val="en-GB"/>
        </w:rPr>
        <w:t xml:space="preserve"> determine where communication occurs and data is used to link this to productivity. The</w:t>
      </w:r>
      <w:r w:rsidRPr="00201B92">
        <w:rPr>
          <w:rFonts w:asciiTheme="majorHAnsi" w:hAnsiTheme="majorHAnsi"/>
          <w:lang w:val="en-GB"/>
        </w:rPr>
        <w:t xml:space="preserve"> potential for displacing </w:t>
      </w:r>
      <w:r w:rsidR="0078615C">
        <w:rPr>
          <w:rFonts w:asciiTheme="majorHAnsi" w:hAnsiTheme="majorHAnsi"/>
          <w:lang w:val="en-GB"/>
        </w:rPr>
        <w:t xml:space="preserve">management </w:t>
      </w:r>
      <w:r w:rsidRPr="00201B92">
        <w:rPr>
          <w:rFonts w:asciiTheme="majorHAnsi" w:hAnsiTheme="majorHAnsi"/>
          <w:lang w:val="en-GB"/>
        </w:rPr>
        <w:t>accountability</w:t>
      </w:r>
      <w:r w:rsidR="0078615C">
        <w:rPr>
          <w:rFonts w:asciiTheme="majorHAnsi" w:hAnsiTheme="majorHAnsi"/>
          <w:lang w:val="en-GB"/>
        </w:rPr>
        <w:t xml:space="preserve"> for workers’ stress levels and the support for </w:t>
      </w:r>
      <w:proofErr w:type="spellStart"/>
      <w:r w:rsidR="0078615C">
        <w:rPr>
          <w:rFonts w:asciiTheme="majorHAnsi" w:hAnsiTheme="majorHAnsi"/>
          <w:lang w:val="en-GB"/>
        </w:rPr>
        <w:t>decisionmaking</w:t>
      </w:r>
      <w:proofErr w:type="spellEnd"/>
      <w:r w:rsidR="00A552B0">
        <w:rPr>
          <w:rFonts w:asciiTheme="majorHAnsi" w:hAnsiTheme="majorHAnsi"/>
          <w:lang w:val="en-GB"/>
        </w:rPr>
        <w:t xml:space="preserve"> on redundancy</w:t>
      </w:r>
      <w:r w:rsidR="0078615C">
        <w:rPr>
          <w:rFonts w:asciiTheme="majorHAnsi" w:hAnsiTheme="majorHAnsi"/>
          <w:lang w:val="en-GB"/>
        </w:rPr>
        <w:t xml:space="preserve"> on the basis of data is </w:t>
      </w:r>
      <w:r w:rsidR="00B03C02">
        <w:rPr>
          <w:rFonts w:asciiTheme="majorHAnsi" w:hAnsiTheme="majorHAnsi"/>
          <w:lang w:val="en-GB"/>
        </w:rPr>
        <w:t xml:space="preserve">very </w:t>
      </w:r>
      <w:r w:rsidRPr="00201B92">
        <w:rPr>
          <w:rFonts w:asciiTheme="majorHAnsi" w:hAnsiTheme="majorHAnsi"/>
          <w:lang w:val="en-GB"/>
        </w:rPr>
        <w:t xml:space="preserve">real in this context. </w:t>
      </w:r>
      <w:proofErr w:type="spellStart"/>
      <w:r w:rsidRPr="00201B92">
        <w:rPr>
          <w:rFonts w:asciiTheme="majorHAnsi" w:hAnsiTheme="majorHAnsi"/>
          <w:lang w:val="en-GB"/>
        </w:rPr>
        <w:t>Autom</w:t>
      </w:r>
      <w:r w:rsidR="00AF4639">
        <w:rPr>
          <w:rFonts w:asciiTheme="majorHAnsi" w:hAnsiTheme="majorHAnsi"/>
          <w:lang w:val="en-GB"/>
        </w:rPr>
        <w:t>i</w:t>
      </w:r>
      <w:r w:rsidRPr="00201B92">
        <w:rPr>
          <w:rFonts w:asciiTheme="majorHAnsi" w:hAnsiTheme="majorHAnsi"/>
          <w:lang w:val="en-GB"/>
        </w:rPr>
        <w:t>sation</w:t>
      </w:r>
      <w:proofErr w:type="spellEnd"/>
      <w:r w:rsidRPr="00201B92">
        <w:rPr>
          <w:rFonts w:asciiTheme="majorHAnsi" w:hAnsiTheme="majorHAnsi"/>
          <w:lang w:val="en-GB"/>
        </w:rPr>
        <w:t xml:space="preserve"> solutions are seen as efficient and reliable</w:t>
      </w:r>
      <w:r w:rsidR="00B03C02">
        <w:rPr>
          <w:rFonts w:asciiTheme="majorHAnsi" w:hAnsiTheme="majorHAnsi"/>
          <w:lang w:val="en-GB"/>
        </w:rPr>
        <w:t xml:space="preserve"> and neutralise production relations while</w:t>
      </w:r>
      <w:r w:rsidRPr="00201B92">
        <w:rPr>
          <w:rFonts w:asciiTheme="majorHAnsi" w:hAnsiTheme="majorHAnsi"/>
          <w:lang w:val="en-GB"/>
        </w:rPr>
        <w:t xml:space="preserve"> employees may not be fully aware of the extent of ways that management can use</w:t>
      </w:r>
      <w:r w:rsidR="00A552B0">
        <w:rPr>
          <w:rFonts w:asciiTheme="majorHAnsi" w:hAnsiTheme="majorHAnsi"/>
          <w:lang w:val="en-GB"/>
        </w:rPr>
        <w:t xml:space="preserve"> seemingly neutral</w:t>
      </w:r>
      <w:r w:rsidRPr="00201B92">
        <w:rPr>
          <w:rFonts w:asciiTheme="majorHAnsi" w:hAnsiTheme="majorHAnsi"/>
          <w:lang w:val="en-GB"/>
        </w:rPr>
        <w:t xml:space="preserve"> data gathered as part of WSTT initiatives. As Ben Bradley says in </w:t>
      </w:r>
      <w:r w:rsidR="000B3E62" w:rsidRPr="00201B92">
        <w:rPr>
          <w:rFonts w:asciiTheme="majorHAnsi" w:hAnsiTheme="majorHAnsi"/>
          <w:lang w:val="en-GB"/>
        </w:rPr>
        <w:t>‘</w:t>
      </w:r>
      <w:r w:rsidRPr="00201B92">
        <w:rPr>
          <w:rFonts w:asciiTheme="majorHAnsi" w:hAnsiTheme="majorHAnsi"/>
          <w:lang w:val="en-GB"/>
        </w:rPr>
        <w:t>I am Pilgrim</w:t>
      </w:r>
      <w:r w:rsidR="000B3E62" w:rsidRPr="00201B92">
        <w:rPr>
          <w:rFonts w:asciiTheme="majorHAnsi" w:hAnsiTheme="majorHAnsi"/>
          <w:lang w:val="en-GB"/>
        </w:rPr>
        <w:t>’</w:t>
      </w:r>
      <w:r w:rsidR="00920BF8" w:rsidRPr="00201B92">
        <w:rPr>
          <w:rFonts w:asciiTheme="majorHAnsi" w:hAnsiTheme="majorHAnsi"/>
          <w:lang w:val="en-GB"/>
        </w:rPr>
        <w:t>:</w:t>
      </w:r>
      <w:r w:rsidRPr="00201B92">
        <w:rPr>
          <w:rFonts w:asciiTheme="majorHAnsi" w:hAnsiTheme="majorHAnsi"/>
          <w:lang w:val="en-GB"/>
        </w:rPr>
        <w:t xml:space="preserve"> </w:t>
      </w:r>
      <w:r w:rsidR="00920BF8" w:rsidRPr="00201B92">
        <w:rPr>
          <w:rFonts w:asciiTheme="majorHAnsi" w:hAnsiTheme="majorHAnsi"/>
          <w:lang w:val="en-GB"/>
        </w:rPr>
        <w:t>“</w:t>
      </w:r>
      <w:r w:rsidRPr="00201B92">
        <w:rPr>
          <w:rFonts w:asciiTheme="majorHAnsi" w:hAnsiTheme="majorHAnsi"/>
          <w:lang w:val="en-GB"/>
        </w:rPr>
        <w:t>computers don’t lie</w:t>
      </w:r>
      <w:r w:rsidR="00920BF8" w:rsidRPr="00201B92">
        <w:rPr>
          <w:rFonts w:asciiTheme="majorHAnsi" w:hAnsiTheme="majorHAnsi"/>
          <w:lang w:val="en-GB"/>
        </w:rPr>
        <w:t>”</w:t>
      </w:r>
      <w:r w:rsidRPr="00201B92">
        <w:rPr>
          <w:rFonts w:asciiTheme="majorHAnsi" w:hAnsiTheme="majorHAnsi"/>
          <w:lang w:val="en-GB"/>
        </w:rPr>
        <w:t xml:space="preserve"> (Hayes, 2013).</w:t>
      </w:r>
    </w:p>
    <w:p w14:paraId="3C120A0B" w14:textId="77777777" w:rsidR="00A515E0" w:rsidRPr="00201B92" w:rsidRDefault="00A515E0" w:rsidP="00445D3E">
      <w:pPr>
        <w:jc w:val="both"/>
        <w:rPr>
          <w:rFonts w:asciiTheme="majorHAnsi" w:hAnsiTheme="majorHAnsi"/>
          <w:lang w:val="en-GB"/>
        </w:rPr>
      </w:pPr>
    </w:p>
    <w:p w14:paraId="71132762" w14:textId="56671EBB" w:rsidR="00016465" w:rsidRDefault="00A515E0" w:rsidP="00A552B0">
      <w:pPr>
        <w:jc w:val="both"/>
        <w:rPr>
          <w:rFonts w:asciiTheme="majorHAnsi" w:hAnsiTheme="majorHAnsi"/>
          <w:lang w:val="en-GB"/>
        </w:rPr>
      </w:pPr>
      <w:r w:rsidRPr="00CF633C">
        <w:rPr>
          <w:rFonts w:asciiTheme="majorHAnsi" w:hAnsiTheme="majorHAnsi"/>
          <w:i/>
          <w:lang w:val="en-GB"/>
        </w:rPr>
        <w:t xml:space="preserve">Elusive </w:t>
      </w:r>
      <w:r w:rsidR="009216F6" w:rsidRPr="00CF633C">
        <w:rPr>
          <w:rFonts w:asciiTheme="majorHAnsi" w:hAnsiTheme="majorHAnsi"/>
          <w:i/>
          <w:lang w:val="en-GB"/>
        </w:rPr>
        <w:t>digital productivity</w:t>
      </w:r>
      <w:r w:rsidR="00AF4639" w:rsidRPr="00CF633C">
        <w:rPr>
          <w:rFonts w:asciiTheme="majorHAnsi" w:hAnsiTheme="majorHAnsi"/>
          <w:i/>
          <w:lang w:val="en-GB"/>
        </w:rPr>
        <w:t xml:space="preserve"> and workplace discipline</w:t>
      </w:r>
      <w:r w:rsidR="009216F6" w:rsidRPr="00CF633C">
        <w:rPr>
          <w:rFonts w:asciiTheme="majorHAnsi" w:hAnsiTheme="majorHAnsi"/>
          <w:i/>
          <w:lang w:val="en-GB"/>
        </w:rPr>
        <w:t>.</w:t>
      </w:r>
      <w:r w:rsidR="009216F6" w:rsidRPr="00201B92">
        <w:rPr>
          <w:rFonts w:asciiTheme="majorHAnsi" w:hAnsiTheme="majorHAnsi"/>
          <w:lang w:val="en-GB"/>
        </w:rPr>
        <w:t xml:space="preserve"> Measuring productivity has always been a challenge in a dynamic working environment</w:t>
      </w:r>
      <w:r w:rsidR="004D5F0A" w:rsidRPr="00201B92">
        <w:rPr>
          <w:rFonts w:asciiTheme="majorHAnsi" w:hAnsiTheme="majorHAnsi"/>
          <w:lang w:val="en-GB"/>
        </w:rPr>
        <w:t xml:space="preserve"> (</w:t>
      </w:r>
      <w:proofErr w:type="spellStart"/>
      <w:r w:rsidR="004D5F0A" w:rsidRPr="00201B92">
        <w:rPr>
          <w:rFonts w:asciiTheme="majorHAnsi" w:hAnsiTheme="majorHAnsi"/>
          <w:lang w:val="en-GB"/>
        </w:rPr>
        <w:t>Karasek</w:t>
      </w:r>
      <w:proofErr w:type="spellEnd"/>
      <w:r w:rsidR="004D5F0A" w:rsidRPr="00201B92">
        <w:rPr>
          <w:rFonts w:asciiTheme="majorHAnsi" w:hAnsiTheme="majorHAnsi"/>
          <w:lang w:val="en-GB"/>
        </w:rPr>
        <w:t xml:space="preserve"> and Theorell, 1992)</w:t>
      </w:r>
      <w:r w:rsidR="00B03C02">
        <w:rPr>
          <w:rFonts w:asciiTheme="majorHAnsi" w:hAnsiTheme="majorHAnsi"/>
          <w:lang w:val="en-GB"/>
        </w:rPr>
        <w:t xml:space="preserve"> and linking it to health makes sense on paper</w:t>
      </w:r>
      <w:r w:rsidR="00097DAD">
        <w:rPr>
          <w:rFonts w:asciiTheme="majorHAnsi" w:hAnsiTheme="majorHAnsi"/>
          <w:lang w:val="en-GB"/>
        </w:rPr>
        <w:t>,</w:t>
      </w:r>
      <w:r w:rsidR="00B03C02">
        <w:rPr>
          <w:rFonts w:asciiTheme="majorHAnsi" w:hAnsiTheme="majorHAnsi"/>
          <w:lang w:val="en-GB"/>
        </w:rPr>
        <w:t xml:space="preserve"> but quantification of the same is a complex pursuit</w:t>
      </w:r>
      <w:r w:rsidR="009216F6" w:rsidRPr="00201B92">
        <w:rPr>
          <w:rFonts w:asciiTheme="majorHAnsi" w:hAnsiTheme="majorHAnsi"/>
          <w:lang w:val="en-GB"/>
        </w:rPr>
        <w:t>. Productivity and performance indicators are easier to evaluate in physical work settings such as factories or warehouses due to the automatic, procedural and to some exten</w:t>
      </w:r>
      <w:r w:rsidR="00B03C02">
        <w:rPr>
          <w:rFonts w:asciiTheme="majorHAnsi" w:hAnsiTheme="majorHAnsi"/>
          <w:lang w:val="en-GB"/>
        </w:rPr>
        <w:t>t</w:t>
      </w:r>
      <w:r w:rsidR="009216F6" w:rsidRPr="00201B92">
        <w:rPr>
          <w:rFonts w:asciiTheme="majorHAnsi" w:hAnsiTheme="majorHAnsi"/>
          <w:lang w:val="en-GB"/>
        </w:rPr>
        <w:t xml:space="preserve"> predictable nature of such physical work. Howe</w:t>
      </w:r>
      <w:r w:rsidR="00B03C02">
        <w:rPr>
          <w:rFonts w:asciiTheme="majorHAnsi" w:hAnsiTheme="majorHAnsi"/>
          <w:lang w:val="en-GB"/>
        </w:rPr>
        <w:t xml:space="preserve">ver, in knowledge based work, </w:t>
      </w:r>
      <w:r w:rsidR="009216F6" w:rsidRPr="00201B92">
        <w:rPr>
          <w:rFonts w:asciiTheme="majorHAnsi" w:hAnsiTheme="majorHAnsi"/>
          <w:lang w:val="en-GB"/>
        </w:rPr>
        <w:t xml:space="preserve">measuring productivity is a major challenge because the same performance results can be frequently achieved using different routes. In short, </w:t>
      </w:r>
      <w:r w:rsidRPr="00201B92">
        <w:rPr>
          <w:rFonts w:asciiTheme="majorHAnsi" w:hAnsiTheme="majorHAnsi"/>
          <w:lang w:val="en-GB"/>
        </w:rPr>
        <w:t xml:space="preserve">what is </w:t>
      </w:r>
      <w:r w:rsidR="009216F6" w:rsidRPr="00201B92">
        <w:rPr>
          <w:rFonts w:asciiTheme="majorHAnsi" w:hAnsiTheme="majorHAnsi"/>
          <w:lang w:val="en-GB"/>
        </w:rPr>
        <w:t xml:space="preserve">a good indicator of productivity in case of one employee may fail in </w:t>
      </w:r>
      <w:r w:rsidRPr="00201B92">
        <w:rPr>
          <w:rFonts w:asciiTheme="majorHAnsi" w:hAnsiTheme="majorHAnsi"/>
          <w:lang w:val="en-GB"/>
        </w:rPr>
        <w:t xml:space="preserve">the </w:t>
      </w:r>
      <w:r w:rsidR="009216F6" w:rsidRPr="00201B92">
        <w:rPr>
          <w:rFonts w:asciiTheme="majorHAnsi" w:hAnsiTheme="majorHAnsi"/>
          <w:lang w:val="en-GB"/>
        </w:rPr>
        <w:t xml:space="preserve">case of </w:t>
      </w:r>
      <w:r w:rsidRPr="00201B92">
        <w:rPr>
          <w:rFonts w:asciiTheme="majorHAnsi" w:hAnsiTheme="majorHAnsi"/>
          <w:lang w:val="en-GB"/>
        </w:rPr>
        <w:t>an</w:t>
      </w:r>
      <w:r w:rsidR="009216F6" w:rsidRPr="00201B92">
        <w:rPr>
          <w:rFonts w:asciiTheme="majorHAnsi" w:hAnsiTheme="majorHAnsi"/>
          <w:lang w:val="en-GB"/>
        </w:rPr>
        <w:t>other. Psychological factors such as motivation</w:t>
      </w:r>
      <w:r w:rsidR="000B3E62" w:rsidRPr="00201B92">
        <w:rPr>
          <w:rFonts w:asciiTheme="majorHAnsi" w:hAnsiTheme="majorHAnsi"/>
          <w:lang w:val="en-GB"/>
        </w:rPr>
        <w:t xml:space="preserve"> (</w:t>
      </w:r>
      <w:proofErr w:type="spellStart"/>
      <w:r w:rsidR="000B3E62" w:rsidRPr="00201B92">
        <w:rPr>
          <w:rFonts w:asciiTheme="majorHAnsi" w:hAnsiTheme="majorHAnsi"/>
          <w:lang w:val="en-GB"/>
        </w:rPr>
        <w:t>Shepperd</w:t>
      </w:r>
      <w:proofErr w:type="spellEnd"/>
      <w:r w:rsidR="000B3E62" w:rsidRPr="00201B92">
        <w:rPr>
          <w:rFonts w:asciiTheme="majorHAnsi" w:hAnsiTheme="majorHAnsi"/>
          <w:lang w:val="en-GB"/>
        </w:rPr>
        <w:t>, 1993)</w:t>
      </w:r>
      <w:r w:rsidR="009216F6" w:rsidRPr="00201B92">
        <w:rPr>
          <w:rFonts w:asciiTheme="majorHAnsi" w:hAnsiTheme="majorHAnsi"/>
          <w:lang w:val="en-GB"/>
        </w:rPr>
        <w:t>, cognitive style</w:t>
      </w:r>
      <w:r w:rsidR="000B3E62" w:rsidRPr="00201B92">
        <w:rPr>
          <w:rFonts w:asciiTheme="majorHAnsi" w:hAnsiTheme="majorHAnsi"/>
          <w:lang w:val="en-GB"/>
        </w:rPr>
        <w:t xml:space="preserve"> (Proudfoot </w:t>
      </w:r>
      <w:r w:rsidR="000B3E62" w:rsidRPr="00201B92">
        <w:rPr>
          <w:rFonts w:asciiTheme="majorHAnsi" w:hAnsiTheme="majorHAnsi"/>
          <w:i/>
          <w:lang w:val="en-GB"/>
        </w:rPr>
        <w:t xml:space="preserve">et al., </w:t>
      </w:r>
      <w:r w:rsidR="000B3E62" w:rsidRPr="00201B92">
        <w:rPr>
          <w:rFonts w:asciiTheme="majorHAnsi" w:hAnsiTheme="majorHAnsi"/>
          <w:lang w:val="en-GB"/>
        </w:rPr>
        <w:t>2009)</w:t>
      </w:r>
      <w:r w:rsidR="009216F6" w:rsidRPr="00201B92">
        <w:rPr>
          <w:rFonts w:asciiTheme="majorHAnsi" w:hAnsiTheme="majorHAnsi"/>
          <w:lang w:val="en-GB"/>
        </w:rPr>
        <w:t xml:space="preserve"> and personality profile</w:t>
      </w:r>
      <w:r w:rsidR="000B3E62" w:rsidRPr="00201B92">
        <w:rPr>
          <w:rFonts w:asciiTheme="majorHAnsi" w:hAnsiTheme="majorHAnsi"/>
          <w:lang w:val="en-GB"/>
        </w:rPr>
        <w:t xml:space="preserve"> (</w:t>
      </w:r>
      <w:proofErr w:type="spellStart"/>
      <w:r w:rsidR="000B3E62" w:rsidRPr="00201B92">
        <w:rPr>
          <w:rFonts w:asciiTheme="majorHAnsi" w:hAnsiTheme="majorHAnsi"/>
          <w:lang w:val="en-GB"/>
        </w:rPr>
        <w:t>Tett</w:t>
      </w:r>
      <w:proofErr w:type="spellEnd"/>
      <w:r w:rsidR="000B3E62" w:rsidRPr="00201B92">
        <w:rPr>
          <w:rFonts w:asciiTheme="majorHAnsi" w:hAnsiTheme="majorHAnsi"/>
          <w:lang w:val="en-GB"/>
        </w:rPr>
        <w:t xml:space="preserve"> and Burnett, 2003)</w:t>
      </w:r>
      <w:r w:rsidR="009216F6" w:rsidRPr="00201B92">
        <w:rPr>
          <w:rFonts w:asciiTheme="majorHAnsi" w:hAnsiTheme="majorHAnsi"/>
          <w:lang w:val="en-GB"/>
        </w:rPr>
        <w:t xml:space="preserve"> may strongly influenc</w:t>
      </w:r>
      <w:r w:rsidR="00A552B0">
        <w:rPr>
          <w:rFonts w:asciiTheme="majorHAnsi" w:hAnsiTheme="majorHAnsi"/>
          <w:lang w:val="en-GB"/>
        </w:rPr>
        <w:t>e not only performance outcomes</w:t>
      </w:r>
      <w:r w:rsidR="009216F6" w:rsidRPr="00201B92">
        <w:rPr>
          <w:rFonts w:asciiTheme="majorHAnsi" w:hAnsiTheme="majorHAnsi"/>
          <w:lang w:val="en-GB"/>
        </w:rPr>
        <w:t xml:space="preserve"> but also the patterns of engagement while performing specific tasks. In terms of productivity indica</w:t>
      </w:r>
      <w:r w:rsidR="00A552B0">
        <w:rPr>
          <w:rFonts w:asciiTheme="majorHAnsi" w:hAnsiTheme="majorHAnsi"/>
          <w:lang w:val="en-GB"/>
        </w:rPr>
        <w:t>tors, the power of WSTT is in ‘big d</w:t>
      </w:r>
      <w:r w:rsidR="009216F6" w:rsidRPr="00201B92">
        <w:rPr>
          <w:rFonts w:asciiTheme="majorHAnsi" w:hAnsiTheme="majorHAnsi"/>
          <w:lang w:val="en-GB"/>
        </w:rPr>
        <w:t>ata’. Almost everyone in office-based se</w:t>
      </w:r>
      <w:r w:rsidR="00A552B0">
        <w:rPr>
          <w:rFonts w:asciiTheme="majorHAnsi" w:hAnsiTheme="majorHAnsi"/>
          <w:lang w:val="en-GB"/>
        </w:rPr>
        <w:t xml:space="preserve">ttings use computers as </w:t>
      </w:r>
      <w:r w:rsidR="009216F6" w:rsidRPr="00201B92">
        <w:rPr>
          <w:rFonts w:asciiTheme="majorHAnsi" w:hAnsiTheme="majorHAnsi"/>
          <w:lang w:val="en-GB"/>
        </w:rPr>
        <w:t>work tools, an</w:t>
      </w:r>
      <w:r w:rsidR="00A552B0">
        <w:rPr>
          <w:rFonts w:asciiTheme="majorHAnsi" w:hAnsiTheme="majorHAnsi"/>
          <w:lang w:val="en-GB"/>
        </w:rPr>
        <w:t xml:space="preserve">d WSTT can be used to track most </w:t>
      </w:r>
      <w:r w:rsidR="009216F6" w:rsidRPr="00201B92">
        <w:rPr>
          <w:rFonts w:asciiTheme="majorHAnsi" w:hAnsiTheme="majorHAnsi"/>
          <w:lang w:val="en-GB"/>
        </w:rPr>
        <w:t>activity</w:t>
      </w:r>
      <w:r w:rsidR="00A552B0">
        <w:rPr>
          <w:rFonts w:asciiTheme="majorHAnsi" w:hAnsiTheme="majorHAnsi"/>
          <w:lang w:val="en-GB"/>
        </w:rPr>
        <w:t xml:space="preserve"> on monitors with </w:t>
      </w:r>
      <w:r w:rsidR="009216F6" w:rsidRPr="00201B92">
        <w:rPr>
          <w:rFonts w:asciiTheme="majorHAnsi" w:hAnsiTheme="majorHAnsi"/>
          <w:lang w:val="en-GB"/>
        </w:rPr>
        <w:t>detailed second-by-second frequenc</w:t>
      </w:r>
      <w:r w:rsidR="007369AA" w:rsidRPr="00201B92">
        <w:rPr>
          <w:rFonts w:asciiTheme="majorHAnsi" w:hAnsiTheme="majorHAnsi"/>
          <w:lang w:val="en-GB"/>
        </w:rPr>
        <w:t>y. WSTT makes an assumption</w:t>
      </w:r>
      <w:r w:rsidR="009216F6" w:rsidRPr="00201B92">
        <w:rPr>
          <w:rFonts w:asciiTheme="majorHAnsi" w:hAnsiTheme="majorHAnsi"/>
          <w:lang w:val="en-GB"/>
        </w:rPr>
        <w:t xml:space="preserve"> that the type of activity and the length of time spen</w:t>
      </w:r>
      <w:r w:rsidR="00A552B0">
        <w:rPr>
          <w:rFonts w:asciiTheme="majorHAnsi" w:hAnsiTheme="majorHAnsi"/>
          <w:lang w:val="en-GB"/>
        </w:rPr>
        <w:t>t</w:t>
      </w:r>
      <w:r w:rsidR="009216F6" w:rsidRPr="00201B92">
        <w:rPr>
          <w:rFonts w:asciiTheme="majorHAnsi" w:hAnsiTheme="majorHAnsi"/>
          <w:lang w:val="en-GB"/>
        </w:rPr>
        <w:t xml:space="preserve"> on </w:t>
      </w:r>
      <w:r w:rsidR="00A552B0">
        <w:rPr>
          <w:rFonts w:asciiTheme="majorHAnsi" w:hAnsiTheme="majorHAnsi"/>
          <w:lang w:val="en-GB"/>
        </w:rPr>
        <w:t xml:space="preserve">activities are </w:t>
      </w:r>
      <w:r w:rsidR="00CE2E03" w:rsidRPr="00201B92">
        <w:rPr>
          <w:rFonts w:asciiTheme="majorHAnsi" w:hAnsiTheme="majorHAnsi"/>
          <w:lang w:val="en-GB"/>
        </w:rPr>
        <w:t>plausible</w:t>
      </w:r>
      <w:r w:rsidR="009216F6" w:rsidRPr="00201B92">
        <w:rPr>
          <w:rFonts w:asciiTheme="majorHAnsi" w:hAnsiTheme="majorHAnsi"/>
          <w:lang w:val="en-GB"/>
        </w:rPr>
        <w:t xml:space="preserve"> indicators of productivity. Such notion</w:t>
      </w:r>
      <w:r w:rsidR="00CE2E03" w:rsidRPr="00201B92">
        <w:rPr>
          <w:rFonts w:asciiTheme="majorHAnsi" w:hAnsiTheme="majorHAnsi"/>
          <w:lang w:val="en-GB"/>
        </w:rPr>
        <w:t>s dehumanise</w:t>
      </w:r>
      <w:r w:rsidR="009216F6" w:rsidRPr="00201B92">
        <w:rPr>
          <w:rFonts w:asciiTheme="majorHAnsi" w:hAnsiTheme="majorHAnsi"/>
          <w:lang w:val="en-GB"/>
        </w:rPr>
        <w:t xml:space="preserve"> employee</w:t>
      </w:r>
      <w:r w:rsidR="00CE2E03" w:rsidRPr="00201B92">
        <w:rPr>
          <w:rFonts w:asciiTheme="majorHAnsi" w:hAnsiTheme="majorHAnsi"/>
          <w:lang w:val="en-GB"/>
        </w:rPr>
        <w:t>s</w:t>
      </w:r>
      <w:r w:rsidR="009216F6" w:rsidRPr="00201B92">
        <w:rPr>
          <w:rFonts w:asciiTheme="majorHAnsi" w:hAnsiTheme="majorHAnsi"/>
          <w:lang w:val="en-GB"/>
        </w:rPr>
        <w:t xml:space="preserve"> who </w:t>
      </w:r>
      <w:r w:rsidR="00CE2E03" w:rsidRPr="00201B92">
        <w:rPr>
          <w:rFonts w:asciiTheme="majorHAnsi" w:hAnsiTheme="majorHAnsi"/>
          <w:lang w:val="en-GB"/>
        </w:rPr>
        <w:t>are</w:t>
      </w:r>
      <w:r w:rsidR="009216F6" w:rsidRPr="00201B92">
        <w:rPr>
          <w:rFonts w:asciiTheme="majorHAnsi" w:hAnsiTheme="majorHAnsi"/>
          <w:lang w:val="en-GB"/>
        </w:rPr>
        <w:t xml:space="preserve"> reduced to a collection of activity timestamps and t</w:t>
      </w:r>
      <w:r w:rsidR="00CE2E03" w:rsidRPr="00201B92">
        <w:rPr>
          <w:rFonts w:asciiTheme="majorHAnsi" w:hAnsiTheme="majorHAnsi"/>
          <w:lang w:val="en-GB"/>
        </w:rPr>
        <w:t xml:space="preserve">his may potentially result in </w:t>
      </w:r>
      <w:r w:rsidR="009216F6" w:rsidRPr="00201B92">
        <w:rPr>
          <w:rFonts w:asciiTheme="majorHAnsi" w:hAnsiTheme="majorHAnsi"/>
          <w:lang w:val="en-GB"/>
        </w:rPr>
        <w:t>biased performance evaluation</w:t>
      </w:r>
      <w:r w:rsidR="00CE2E03" w:rsidRPr="00201B92">
        <w:rPr>
          <w:rFonts w:asciiTheme="majorHAnsi" w:hAnsiTheme="majorHAnsi"/>
          <w:lang w:val="en-GB"/>
        </w:rPr>
        <w:t>s</w:t>
      </w:r>
      <w:r w:rsidR="009216F6" w:rsidRPr="00201B92">
        <w:rPr>
          <w:rFonts w:asciiTheme="majorHAnsi" w:hAnsiTheme="majorHAnsi"/>
          <w:lang w:val="en-GB"/>
        </w:rPr>
        <w:t>.</w:t>
      </w:r>
      <w:r w:rsidR="00AF4639">
        <w:rPr>
          <w:rFonts w:asciiTheme="majorHAnsi" w:hAnsiTheme="majorHAnsi"/>
          <w:lang w:val="en-GB"/>
        </w:rPr>
        <w:t xml:space="preserve"> </w:t>
      </w:r>
      <w:r w:rsidR="0091268F">
        <w:rPr>
          <w:rFonts w:asciiTheme="majorHAnsi" w:hAnsiTheme="majorHAnsi"/>
          <w:lang w:val="en-GB"/>
        </w:rPr>
        <w:t>As a result, e</w:t>
      </w:r>
      <w:r w:rsidR="00AF4639">
        <w:rPr>
          <w:rFonts w:asciiTheme="majorHAnsi" w:hAnsiTheme="majorHAnsi"/>
          <w:lang w:val="en-GB"/>
        </w:rPr>
        <w:t xml:space="preserve">mployees may worry about the possibilities for workplace control on the basis of new surveillance methods </w:t>
      </w:r>
      <w:r w:rsidR="0091268F">
        <w:rPr>
          <w:rFonts w:asciiTheme="majorHAnsi" w:hAnsiTheme="majorHAnsi"/>
          <w:lang w:val="en-GB"/>
        </w:rPr>
        <w:t>(</w:t>
      </w:r>
      <w:proofErr w:type="spellStart"/>
      <w:r w:rsidR="0091268F">
        <w:rPr>
          <w:rFonts w:asciiTheme="majorHAnsi" w:hAnsiTheme="majorHAnsi"/>
          <w:lang w:val="en-GB"/>
        </w:rPr>
        <w:t>Rosenblat</w:t>
      </w:r>
      <w:proofErr w:type="spellEnd"/>
      <w:r w:rsidR="0091268F">
        <w:rPr>
          <w:rFonts w:asciiTheme="majorHAnsi" w:hAnsiTheme="majorHAnsi"/>
          <w:lang w:val="en-GB"/>
        </w:rPr>
        <w:t xml:space="preserve"> et al, 2014).</w:t>
      </w:r>
      <w:r w:rsidR="00AF4639">
        <w:rPr>
          <w:rFonts w:asciiTheme="majorHAnsi" w:hAnsiTheme="majorHAnsi"/>
          <w:lang w:val="en-GB"/>
        </w:rPr>
        <w:t xml:space="preserve">  </w:t>
      </w:r>
    </w:p>
    <w:p w14:paraId="11703253" w14:textId="6E2C2CBF" w:rsidR="00C44D10" w:rsidRPr="00CF633C" w:rsidRDefault="00C44D10" w:rsidP="00445D3E">
      <w:pPr>
        <w:jc w:val="both"/>
        <w:rPr>
          <w:rFonts w:asciiTheme="majorHAnsi" w:hAnsiTheme="majorHAnsi"/>
          <w:i/>
          <w:lang w:val="en-GB"/>
        </w:rPr>
      </w:pPr>
    </w:p>
    <w:p w14:paraId="14EDA318" w14:textId="374CF6AF" w:rsidR="003F63BD" w:rsidRDefault="009216F6" w:rsidP="00AF323C">
      <w:pPr>
        <w:rPr>
          <w:rFonts w:asciiTheme="majorHAnsi" w:hAnsiTheme="majorHAnsi"/>
          <w:lang w:val="en-GB"/>
        </w:rPr>
      </w:pPr>
      <w:r w:rsidRPr="00CF633C">
        <w:rPr>
          <w:rFonts w:asciiTheme="majorHAnsi" w:hAnsiTheme="majorHAnsi"/>
          <w:i/>
          <w:lang w:val="en-GB"/>
        </w:rPr>
        <w:t>Stigma and shame for opt-outs.</w:t>
      </w:r>
      <w:r w:rsidR="00431C57">
        <w:rPr>
          <w:rFonts w:asciiTheme="majorHAnsi" w:hAnsiTheme="majorHAnsi"/>
          <w:b/>
          <w:lang w:val="en-GB"/>
        </w:rPr>
        <w:t xml:space="preserve"> </w:t>
      </w:r>
      <w:r w:rsidR="00431C57">
        <w:rPr>
          <w:rFonts w:asciiTheme="majorHAnsi" w:hAnsiTheme="majorHAnsi"/>
          <w:lang w:val="en-GB"/>
        </w:rPr>
        <w:t>Given the negative workplace experiences and challenges to the employment relationship that could result from intensified WSTT monitoring and thus regulation</w:t>
      </w:r>
      <w:r w:rsidR="00AF323C">
        <w:rPr>
          <w:rFonts w:asciiTheme="majorHAnsi" w:hAnsiTheme="majorHAnsi"/>
          <w:lang w:val="en-GB"/>
        </w:rPr>
        <w:t xml:space="preserve">, </w:t>
      </w:r>
      <w:r w:rsidR="00431C57">
        <w:rPr>
          <w:rFonts w:asciiTheme="majorHAnsi" w:hAnsiTheme="majorHAnsi"/>
          <w:lang w:val="en-GB"/>
        </w:rPr>
        <w:t xml:space="preserve">described above, workers may not feel comfortable being involved in such initiatives. </w:t>
      </w:r>
      <w:r w:rsidRPr="00201B92">
        <w:rPr>
          <w:rFonts w:asciiTheme="majorHAnsi" w:hAnsiTheme="majorHAnsi"/>
          <w:lang w:val="en-GB"/>
        </w:rPr>
        <w:t xml:space="preserve">Companies do not usually </w:t>
      </w:r>
      <w:r w:rsidR="003D397E" w:rsidRPr="00201B92">
        <w:rPr>
          <w:rFonts w:asciiTheme="majorHAnsi" w:hAnsiTheme="majorHAnsi"/>
          <w:lang w:val="en-GB"/>
        </w:rPr>
        <w:t xml:space="preserve">explicitly </w:t>
      </w:r>
      <w:r w:rsidRPr="00201B92">
        <w:rPr>
          <w:rFonts w:asciiTheme="majorHAnsi" w:hAnsiTheme="majorHAnsi"/>
          <w:lang w:val="en-GB"/>
        </w:rPr>
        <w:t>require employees to use WSTT in professional settings where they are used for wellness initiatives</w:t>
      </w:r>
      <w:r w:rsidR="00431C57">
        <w:rPr>
          <w:rFonts w:asciiTheme="majorHAnsi" w:hAnsiTheme="majorHAnsi"/>
          <w:lang w:val="en-GB"/>
        </w:rPr>
        <w:t>.</w:t>
      </w:r>
      <w:r w:rsidR="00431C57" w:rsidRPr="00201B92">
        <w:rPr>
          <w:rFonts w:asciiTheme="majorHAnsi" w:hAnsiTheme="majorHAnsi"/>
          <w:lang w:val="en-GB"/>
        </w:rPr>
        <w:t xml:space="preserve"> </w:t>
      </w:r>
      <w:r w:rsidR="00431C57">
        <w:rPr>
          <w:rFonts w:asciiTheme="majorHAnsi" w:hAnsiTheme="majorHAnsi"/>
          <w:lang w:val="en-GB"/>
        </w:rPr>
        <w:t>A</w:t>
      </w:r>
      <w:r w:rsidRPr="00201B92">
        <w:rPr>
          <w:rFonts w:asciiTheme="majorHAnsi" w:hAnsiTheme="majorHAnsi"/>
          <w:lang w:val="en-GB"/>
        </w:rPr>
        <w:t xml:space="preserve">s incorporation becomes normalised, employees risk feeling excluded from </w:t>
      </w:r>
      <w:r w:rsidRPr="00775A4E">
        <w:rPr>
          <w:rFonts w:asciiTheme="majorHAnsi" w:hAnsiTheme="majorHAnsi"/>
          <w:lang w:val="en-GB"/>
        </w:rPr>
        <w:t>programmes if they choose to opt out</w:t>
      </w:r>
      <w:r w:rsidR="00431C57" w:rsidRPr="00CF633C">
        <w:rPr>
          <w:rFonts w:asciiTheme="majorHAnsi" w:hAnsiTheme="majorHAnsi"/>
          <w:lang w:val="en-GB"/>
        </w:rPr>
        <w:t>.</w:t>
      </w:r>
      <w:r w:rsidRPr="00201B92">
        <w:rPr>
          <w:rFonts w:asciiTheme="majorHAnsi" w:hAnsiTheme="majorHAnsi"/>
          <w:lang w:val="en-GB"/>
        </w:rPr>
        <w:t xml:space="preserve"> Opt-outs from wellness initiatives</w:t>
      </w:r>
      <w:r w:rsidR="00431C57">
        <w:rPr>
          <w:rFonts w:asciiTheme="majorHAnsi" w:hAnsiTheme="majorHAnsi"/>
          <w:lang w:val="en-GB"/>
        </w:rPr>
        <w:t xml:space="preserve"> risk being</w:t>
      </w:r>
      <w:r w:rsidRPr="00201B92">
        <w:rPr>
          <w:rFonts w:asciiTheme="majorHAnsi" w:hAnsiTheme="majorHAnsi"/>
          <w:lang w:val="en-GB"/>
        </w:rPr>
        <w:t xml:space="preserve"> seen as those who </w:t>
      </w:r>
      <w:r w:rsidR="00E97677">
        <w:rPr>
          <w:rFonts w:asciiTheme="majorHAnsi" w:hAnsiTheme="majorHAnsi"/>
          <w:lang w:val="en-GB"/>
        </w:rPr>
        <w:t>do not want to be well</w:t>
      </w:r>
      <w:r w:rsidR="00A552B0">
        <w:rPr>
          <w:rFonts w:asciiTheme="majorHAnsi" w:hAnsiTheme="majorHAnsi"/>
          <w:lang w:val="en-GB"/>
        </w:rPr>
        <w:t>!</w:t>
      </w:r>
      <w:r w:rsidRPr="00201B92">
        <w:rPr>
          <w:rFonts w:asciiTheme="majorHAnsi" w:hAnsiTheme="majorHAnsi"/>
          <w:lang w:val="en-GB"/>
        </w:rPr>
        <w:t xml:space="preserve"> Anyone living as anything but a ‘happy person’ may be in danger of becoming stigmatised. J</w:t>
      </w:r>
      <w:r w:rsidR="000B3E62" w:rsidRPr="00201B92">
        <w:rPr>
          <w:rFonts w:asciiTheme="majorHAnsi" w:hAnsiTheme="majorHAnsi"/>
          <w:lang w:val="en-GB"/>
        </w:rPr>
        <w:t xml:space="preserve">. </w:t>
      </w:r>
      <w:r w:rsidRPr="00201B92">
        <w:rPr>
          <w:rFonts w:asciiTheme="majorHAnsi" w:hAnsiTheme="majorHAnsi"/>
          <w:lang w:val="en-GB"/>
        </w:rPr>
        <w:t>P</w:t>
      </w:r>
      <w:r w:rsidR="000B3E62" w:rsidRPr="00201B92">
        <w:rPr>
          <w:rFonts w:asciiTheme="majorHAnsi" w:hAnsiTheme="majorHAnsi"/>
          <w:lang w:val="en-GB"/>
        </w:rPr>
        <w:t>.</w:t>
      </w:r>
      <w:r w:rsidRPr="00201B92">
        <w:rPr>
          <w:rFonts w:asciiTheme="majorHAnsi" w:hAnsiTheme="majorHAnsi"/>
          <w:lang w:val="en-GB"/>
        </w:rPr>
        <w:t xml:space="preserve"> </w:t>
      </w:r>
      <w:proofErr w:type="spellStart"/>
      <w:r w:rsidRPr="00201B92">
        <w:rPr>
          <w:rFonts w:asciiTheme="majorHAnsi" w:hAnsiTheme="majorHAnsi"/>
          <w:lang w:val="en-GB"/>
        </w:rPr>
        <w:t>Gownder</w:t>
      </w:r>
      <w:proofErr w:type="spellEnd"/>
      <w:r w:rsidRPr="00201B92">
        <w:rPr>
          <w:rFonts w:asciiTheme="majorHAnsi" w:hAnsiTheme="majorHAnsi"/>
          <w:lang w:val="en-GB"/>
        </w:rPr>
        <w:t>, an analyst at research firm Forrester</w:t>
      </w:r>
      <w:r w:rsidR="000B3E62" w:rsidRPr="00201B92">
        <w:rPr>
          <w:rFonts w:asciiTheme="majorHAnsi" w:hAnsiTheme="majorHAnsi"/>
          <w:lang w:val="en-GB"/>
        </w:rPr>
        <w:t>,</w:t>
      </w:r>
      <w:r w:rsidRPr="00201B92">
        <w:rPr>
          <w:rFonts w:asciiTheme="majorHAnsi" w:hAnsiTheme="majorHAnsi"/>
          <w:lang w:val="en-GB"/>
        </w:rPr>
        <w:t xml:space="preserve"> notes that there </w:t>
      </w:r>
      <w:r w:rsidR="00A552B0">
        <w:rPr>
          <w:rFonts w:asciiTheme="majorHAnsi" w:hAnsiTheme="majorHAnsi"/>
          <w:lang w:val="en-GB"/>
        </w:rPr>
        <w:t>will be</w:t>
      </w:r>
      <w:r w:rsidRPr="00201B92">
        <w:rPr>
          <w:rFonts w:asciiTheme="majorHAnsi" w:hAnsiTheme="majorHAnsi"/>
          <w:lang w:val="en-GB"/>
        </w:rPr>
        <w:t xml:space="preserve"> instances where people </w:t>
      </w:r>
      <w:r w:rsidR="00431C57">
        <w:rPr>
          <w:rFonts w:asciiTheme="majorHAnsi" w:hAnsiTheme="majorHAnsi"/>
          <w:lang w:val="en-GB"/>
        </w:rPr>
        <w:t>actually experience feelings of being</w:t>
      </w:r>
      <w:r w:rsidR="00431C57" w:rsidRPr="00201B92">
        <w:rPr>
          <w:rFonts w:asciiTheme="majorHAnsi" w:hAnsiTheme="majorHAnsi"/>
          <w:lang w:val="en-GB"/>
        </w:rPr>
        <w:t xml:space="preserve"> </w:t>
      </w:r>
      <w:r w:rsidRPr="00201B92">
        <w:rPr>
          <w:rFonts w:asciiTheme="majorHAnsi" w:hAnsiTheme="majorHAnsi"/>
          <w:lang w:val="en-GB"/>
        </w:rPr>
        <w:t xml:space="preserve">ostracized for not participating in </w:t>
      </w:r>
      <w:r w:rsidR="00431C57">
        <w:rPr>
          <w:rFonts w:asciiTheme="majorHAnsi" w:hAnsiTheme="majorHAnsi"/>
          <w:lang w:val="en-GB"/>
        </w:rPr>
        <w:t xml:space="preserve">WSTT integrated corporate </w:t>
      </w:r>
      <w:r w:rsidRPr="00201B92">
        <w:rPr>
          <w:rFonts w:asciiTheme="majorHAnsi" w:hAnsiTheme="majorHAnsi"/>
          <w:lang w:val="en-GB"/>
        </w:rPr>
        <w:t xml:space="preserve">wellness </w:t>
      </w:r>
      <w:r w:rsidR="00431C57">
        <w:rPr>
          <w:rFonts w:asciiTheme="majorHAnsi" w:hAnsiTheme="majorHAnsi"/>
          <w:lang w:val="en-GB"/>
        </w:rPr>
        <w:t>programmes</w:t>
      </w:r>
      <w:r w:rsidRPr="00201B92">
        <w:rPr>
          <w:rFonts w:asciiTheme="majorHAnsi" w:hAnsiTheme="majorHAnsi"/>
          <w:lang w:val="en-GB"/>
        </w:rPr>
        <w:t xml:space="preserve"> </w:t>
      </w:r>
      <w:r w:rsidRPr="00201B92">
        <w:rPr>
          <w:rFonts w:asciiTheme="majorHAnsi" w:hAnsiTheme="majorHAnsi"/>
          <w:lang w:val="en-GB"/>
        </w:rPr>
        <w:lastRenderedPageBreak/>
        <w:t>(</w:t>
      </w:r>
      <w:proofErr w:type="spellStart"/>
      <w:r w:rsidRPr="00201B92">
        <w:rPr>
          <w:rFonts w:asciiTheme="majorHAnsi" w:hAnsiTheme="majorHAnsi"/>
          <w:lang w:val="en-GB"/>
        </w:rPr>
        <w:t>Hamblen</w:t>
      </w:r>
      <w:proofErr w:type="spellEnd"/>
      <w:r w:rsidRPr="00201B92">
        <w:rPr>
          <w:rFonts w:asciiTheme="majorHAnsi" w:hAnsiTheme="majorHAnsi"/>
          <w:lang w:val="en-GB"/>
        </w:rPr>
        <w:t xml:space="preserve">, 2015). The </w:t>
      </w:r>
      <w:proofErr w:type="spellStart"/>
      <w:r w:rsidRPr="00201B92">
        <w:rPr>
          <w:rFonts w:asciiTheme="majorHAnsi" w:hAnsiTheme="majorHAnsi"/>
          <w:lang w:val="en-GB"/>
        </w:rPr>
        <w:t>standarisation</w:t>
      </w:r>
      <w:proofErr w:type="spellEnd"/>
      <w:r w:rsidRPr="00201B92">
        <w:rPr>
          <w:rFonts w:asciiTheme="majorHAnsi" w:hAnsiTheme="majorHAnsi"/>
          <w:lang w:val="en-GB"/>
        </w:rPr>
        <w:t xml:space="preserve"> of wellness individualises lived experiences and if people cannot achieve happiness</w:t>
      </w:r>
      <w:r w:rsidR="00431C57">
        <w:rPr>
          <w:rFonts w:asciiTheme="majorHAnsi" w:hAnsiTheme="majorHAnsi"/>
          <w:lang w:val="en-GB"/>
        </w:rPr>
        <w:t>,</w:t>
      </w:r>
      <w:r w:rsidRPr="00201B92">
        <w:rPr>
          <w:rFonts w:asciiTheme="majorHAnsi" w:hAnsiTheme="majorHAnsi"/>
          <w:lang w:val="en-GB"/>
        </w:rPr>
        <w:t xml:space="preserve"> then they may feel inadequate. The </w:t>
      </w:r>
      <w:r w:rsidR="00D13A27">
        <w:rPr>
          <w:rFonts w:asciiTheme="majorHAnsi" w:hAnsiTheme="majorHAnsi"/>
          <w:lang w:val="en-GB"/>
        </w:rPr>
        <w:t>disciplined, monitored employee</w:t>
      </w:r>
      <w:r w:rsidRPr="00201B92">
        <w:rPr>
          <w:rFonts w:asciiTheme="majorHAnsi" w:hAnsiTheme="majorHAnsi"/>
          <w:lang w:val="en-GB"/>
        </w:rPr>
        <w:t xml:space="preserve"> in</w:t>
      </w:r>
      <w:r w:rsidR="00E97677">
        <w:rPr>
          <w:rFonts w:asciiTheme="majorHAnsi" w:hAnsiTheme="majorHAnsi"/>
          <w:lang w:val="en-GB"/>
        </w:rPr>
        <w:t xml:space="preserve"> a neoliberal </w:t>
      </w:r>
      <w:proofErr w:type="spellStart"/>
      <w:r w:rsidR="00E97677">
        <w:rPr>
          <w:rFonts w:asciiTheme="majorHAnsi" w:hAnsiTheme="majorHAnsi"/>
          <w:lang w:val="en-GB"/>
        </w:rPr>
        <w:t>panopticon</w:t>
      </w:r>
      <w:proofErr w:type="spellEnd"/>
      <w:r w:rsidR="00E97677">
        <w:rPr>
          <w:rFonts w:asciiTheme="majorHAnsi" w:hAnsiTheme="majorHAnsi"/>
          <w:lang w:val="en-GB"/>
        </w:rPr>
        <w:t xml:space="preserve"> </w:t>
      </w:r>
      <w:r w:rsidR="00D13A27">
        <w:rPr>
          <w:rFonts w:asciiTheme="majorHAnsi" w:hAnsiTheme="majorHAnsi"/>
          <w:lang w:val="en-GB"/>
        </w:rPr>
        <w:t>is</w:t>
      </w:r>
      <w:r w:rsidR="00E97677">
        <w:rPr>
          <w:rFonts w:asciiTheme="majorHAnsi" w:hAnsiTheme="majorHAnsi"/>
          <w:lang w:val="en-GB"/>
        </w:rPr>
        <w:t xml:space="preserve"> seen to retain</w:t>
      </w:r>
      <w:r w:rsidRPr="00201B92">
        <w:rPr>
          <w:rFonts w:asciiTheme="majorHAnsi" w:hAnsiTheme="majorHAnsi"/>
          <w:lang w:val="en-GB"/>
        </w:rPr>
        <w:t xml:space="preserve"> </w:t>
      </w:r>
      <w:r w:rsidR="00D13A27">
        <w:rPr>
          <w:rFonts w:asciiTheme="majorHAnsi" w:hAnsiTheme="majorHAnsi"/>
          <w:lang w:val="en-GB"/>
        </w:rPr>
        <w:t xml:space="preserve">her </w:t>
      </w:r>
      <w:r w:rsidRPr="00201B92">
        <w:rPr>
          <w:rFonts w:asciiTheme="majorHAnsi" w:hAnsiTheme="majorHAnsi"/>
          <w:lang w:val="en-GB"/>
        </w:rPr>
        <w:t>autonomy but the reality is that the process</w:t>
      </w:r>
      <w:r w:rsidR="00E97677">
        <w:rPr>
          <w:rFonts w:asciiTheme="majorHAnsi" w:hAnsiTheme="majorHAnsi"/>
          <w:lang w:val="en-GB"/>
        </w:rPr>
        <w:t xml:space="preserve"> of perfecting the healthy self may never </w:t>
      </w:r>
      <w:r w:rsidR="00D13A27">
        <w:rPr>
          <w:rFonts w:asciiTheme="majorHAnsi" w:hAnsiTheme="majorHAnsi"/>
          <w:lang w:val="en-GB"/>
        </w:rPr>
        <w:t>in fact, finish</w:t>
      </w:r>
      <w:r w:rsidR="00E97677">
        <w:rPr>
          <w:rFonts w:asciiTheme="majorHAnsi" w:hAnsiTheme="majorHAnsi"/>
          <w:lang w:val="en-GB"/>
        </w:rPr>
        <w:t xml:space="preserve">. Complete </w:t>
      </w:r>
      <w:r w:rsidRPr="00201B92">
        <w:rPr>
          <w:rFonts w:asciiTheme="majorHAnsi" w:hAnsiTheme="majorHAnsi"/>
          <w:lang w:val="en-GB"/>
        </w:rPr>
        <w:t xml:space="preserve">happiness and well-being may never be achieved. In the film </w:t>
      </w:r>
      <w:r w:rsidR="000B3E62" w:rsidRPr="00201B92">
        <w:rPr>
          <w:rFonts w:asciiTheme="majorHAnsi" w:hAnsiTheme="majorHAnsi"/>
          <w:lang w:val="en-GB"/>
        </w:rPr>
        <w:t>‘</w:t>
      </w:r>
      <w:r w:rsidRPr="00201B92">
        <w:rPr>
          <w:rFonts w:asciiTheme="majorHAnsi" w:hAnsiTheme="majorHAnsi"/>
          <w:lang w:val="en-GB"/>
        </w:rPr>
        <w:t>Hector and The Search for Happiness</w:t>
      </w:r>
      <w:r w:rsidR="000B3E62" w:rsidRPr="00201B92">
        <w:rPr>
          <w:rFonts w:asciiTheme="majorHAnsi" w:hAnsiTheme="majorHAnsi"/>
          <w:lang w:val="en-GB"/>
        </w:rPr>
        <w:t>’</w:t>
      </w:r>
      <w:r w:rsidRPr="00201B92">
        <w:rPr>
          <w:rFonts w:asciiTheme="majorHAnsi" w:hAnsiTheme="majorHAnsi"/>
          <w:lang w:val="en-GB"/>
        </w:rPr>
        <w:t xml:space="preserve">, Hector, an unfulfilled psychiatrist, muses as part of his search for what makes people happy: </w:t>
      </w:r>
      <w:r w:rsidR="00E97677">
        <w:rPr>
          <w:rFonts w:asciiTheme="majorHAnsi" w:hAnsiTheme="majorHAnsi"/>
          <w:lang w:val="en-GB"/>
        </w:rPr>
        <w:t>‘</w:t>
      </w:r>
      <w:r w:rsidR="000B3E62" w:rsidRPr="00201B92">
        <w:rPr>
          <w:rFonts w:asciiTheme="majorHAnsi" w:hAnsiTheme="majorHAnsi"/>
          <w:lang w:val="en-GB"/>
        </w:rPr>
        <w:t>m</w:t>
      </w:r>
      <w:r w:rsidRPr="00201B92">
        <w:rPr>
          <w:rFonts w:asciiTheme="majorHAnsi" w:hAnsiTheme="majorHAnsi"/>
          <w:lang w:val="en-GB"/>
        </w:rPr>
        <w:t>any people only see happiness, only in their future</w:t>
      </w:r>
      <w:r w:rsidR="00E97677">
        <w:rPr>
          <w:rFonts w:asciiTheme="majorHAnsi" w:hAnsiTheme="majorHAnsi"/>
          <w:lang w:val="en-GB"/>
        </w:rPr>
        <w:t>’</w:t>
      </w:r>
      <w:r w:rsidRPr="00201B92">
        <w:rPr>
          <w:rFonts w:asciiTheme="majorHAnsi" w:hAnsiTheme="majorHAnsi"/>
          <w:lang w:val="en-GB"/>
        </w:rPr>
        <w:t>. It is incr</w:t>
      </w:r>
      <w:r w:rsidR="0023172E">
        <w:rPr>
          <w:rFonts w:asciiTheme="majorHAnsi" w:hAnsiTheme="majorHAnsi"/>
          <w:lang w:val="en-GB"/>
        </w:rPr>
        <w:t xml:space="preserve">easingly seen as our fault if </w:t>
      </w:r>
      <w:r w:rsidR="00C73309">
        <w:rPr>
          <w:rFonts w:asciiTheme="majorHAnsi" w:hAnsiTheme="majorHAnsi"/>
          <w:lang w:val="en-GB"/>
        </w:rPr>
        <w:t xml:space="preserve">we as </w:t>
      </w:r>
      <w:r w:rsidR="0023172E">
        <w:rPr>
          <w:rFonts w:asciiTheme="majorHAnsi" w:hAnsiTheme="majorHAnsi"/>
          <w:lang w:val="en-GB"/>
        </w:rPr>
        <w:t>workers</w:t>
      </w:r>
      <w:r w:rsidRPr="00201B92">
        <w:rPr>
          <w:rFonts w:asciiTheme="majorHAnsi" w:hAnsiTheme="majorHAnsi"/>
          <w:lang w:val="en-GB"/>
        </w:rPr>
        <w:t xml:space="preserve"> have not taken adv</w:t>
      </w:r>
      <w:r w:rsidR="00E97677">
        <w:rPr>
          <w:rFonts w:asciiTheme="majorHAnsi" w:hAnsiTheme="majorHAnsi"/>
          <w:lang w:val="en-GB"/>
        </w:rPr>
        <w:t xml:space="preserve">antage of </w:t>
      </w:r>
      <w:r w:rsidR="00C73309">
        <w:rPr>
          <w:rFonts w:asciiTheme="majorHAnsi" w:hAnsiTheme="majorHAnsi"/>
          <w:lang w:val="en-GB"/>
        </w:rPr>
        <w:t xml:space="preserve">available </w:t>
      </w:r>
      <w:r w:rsidR="00E97677">
        <w:rPr>
          <w:rFonts w:asciiTheme="majorHAnsi" w:hAnsiTheme="majorHAnsi"/>
          <w:lang w:val="en-GB"/>
        </w:rPr>
        <w:t xml:space="preserve">wellness </w:t>
      </w:r>
      <w:r w:rsidR="00C73309">
        <w:rPr>
          <w:rFonts w:asciiTheme="majorHAnsi" w:hAnsiTheme="majorHAnsi"/>
          <w:lang w:val="en-GB"/>
        </w:rPr>
        <w:t>offerings</w:t>
      </w:r>
      <w:r w:rsidR="00E97677">
        <w:rPr>
          <w:rFonts w:asciiTheme="majorHAnsi" w:hAnsiTheme="majorHAnsi"/>
          <w:lang w:val="en-GB"/>
        </w:rPr>
        <w:t xml:space="preserve">. Opting-out employees are </w:t>
      </w:r>
      <w:r w:rsidR="0023172E">
        <w:rPr>
          <w:rFonts w:asciiTheme="majorHAnsi" w:hAnsiTheme="majorHAnsi"/>
          <w:lang w:val="en-GB"/>
        </w:rPr>
        <w:t>seen as</w:t>
      </w:r>
      <w:r w:rsidRPr="00201B92">
        <w:rPr>
          <w:rFonts w:asciiTheme="majorHAnsi" w:hAnsiTheme="majorHAnsi"/>
          <w:lang w:val="en-GB"/>
        </w:rPr>
        <w:t xml:space="preserve"> abnormal. </w:t>
      </w:r>
      <w:r w:rsidR="00AF323C" w:rsidRPr="001342D2">
        <w:rPr>
          <w:rFonts w:asciiTheme="majorHAnsi" w:hAnsiTheme="majorHAnsi"/>
          <w:lang w:val="en-GB"/>
        </w:rPr>
        <w:t>In the film ‘The Bothersome Man’, Andreas becomes painfully aware that happiness is the only actuality he will be permitted to experience. Any attempt he makes to experience normal life where pain and imperfections may occur lead to confused responses from associates and his partner. This is a dystopian world where perfect productivity, supreme health and impeccable aesthetics are idealised.</w:t>
      </w:r>
      <w:r w:rsidR="00AF323C">
        <w:rPr>
          <w:rFonts w:asciiTheme="majorHAnsi" w:hAnsiTheme="majorHAnsi"/>
          <w:lang w:val="en-GB"/>
        </w:rPr>
        <w:t xml:space="preserve"> </w:t>
      </w:r>
      <w:r w:rsidR="00256BF7">
        <w:rPr>
          <w:rFonts w:asciiTheme="majorHAnsi" w:hAnsiTheme="majorHAnsi"/>
          <w:lang w:val="en-GB"/>
        </w:rPr>
        <w:t>Biometric surveillance facilitates a process of identity transformation under specific expectations (</w:t>
      </w:r>
      <w:proofErr w:type="spellStart"/>
      <w:r w:rsidR="00256BF7">
        <w:rPr>
          <w:rFonts w:asciiTheme="majorHAnsi" w:hAnsiTheme="majorHAnsi"/>
          <w:lang w:val="en-GB"/>
        </w:rPr>
        <w:t>Ajana</w:t>
      </w:r>
      <w:proofErr w:type="spellEnd"/>
      <w:r w:rsidR="00256BF7">
        <w:rPr>
          <w:rFonts w:asciiTheme="majorHAnsi" w:hAnsiTheme="majorHAnsi"/>
          <w:lang w:val="en-GB"/>
        </w:rPr>
        <w:t>, 2010)</w:t>
      </w:r>
      <w:r w:rsidR="00F46502">
        <w:rPr>
          <w:rFonts w:asciiTheme="majorHAnsi" w:hAnsiTheme="majorHAnsi"/>
          <w:lang w:val="en-GB"/>
        </w:rPr>
        <w:t xml:space="preserve"> and intensified reputation regulation as employers continue to profile employees with the use of new technologies (Pas</w:t>
      </w:r>
      <w:r w:rsidR="0024171C">
        <w:rPr>
          <w:rFonts w:asciiTheme="majorHAnsi" w:hAnsiTheme="majorHAnsi"/>
          <w:lang w:val="en-GB"/>
        </w:rPr>
        <w:t>qu</w:t>
      </w:r>
      <w:r w:rsidR="00F46502">
        <w:rPr>
          <w:rFonts w:asciiTheme="majorHAnsi" w:hAnsiTheme="majorHAnsi"/>
          <w:lang w:val="en-GB"/>
        </w:rPr>
        <w:t xml:space="preserve">ale, 2010; </w:t>
      </w:r>
      <w:proofErr w:type="spellStart"/>
      <w:r w:rsidR="00F46502">
        <w:rPr>
          <w:rFonts w:asciiTheme="majorHAnsi" w:hAnsiTheme="majorHAnsi"/>
          <w:lang w:val="en-GB"/>
        </w:rPr>
        <w:t>Gandini</w:t>
      </w:r>
      <w:proofErr w:type="spellEnd"/>
      <w:r w:rsidR="00F46502">
        <w:rPr>
          <w:rFonts w:asciiTheme="majorHAnsi" w:hAnsiTheme="majorHAnsi"/>
          <w:lang w:val="en-GB"/>
        </w:rPr>
        <w:t>, 2016)</w:t>
      </w:r>
      <w:r w:rsidR="00256BF7">
        <w:rPr>
          <w:rFonts w:asciiTheme="majorHAnsi" w:hAnsiTheme="majorHAnsi"/>
          <w:lang w:val="en-GB"/>
        </w:rPr>
        <w:t>.</w:t>
      </w:r>
    </w:p>
    <w:p w14:paraId="59C374DC" w14:textId="77777777" w:rsidR="003F63BD" w:rsidRDefault="003F63BD" w:rsidP="00AF323C">
      <w:pPr>
        <w:rPr>
          <w:rFonts w:asciiTheme="majorHAnsi" w:hAnsiTheme="majorHAnsi"/>
          <w:lang w:val="en-GB"/>
        </w:rPr>
      </w:pPr>
    </w:p>
    <w:p w14:paraId="2DE87610" w14:textId="6B1B2CA6" w:rsidR="00AF323C" w:rsidRDefault="00AF323C" w:rsidP="00AF323C">
      <w:pPr>
        <w:rPr>
          <w:rFonts w:eastAsia="Times New Roman"/>
        </w:rPr>
      </w:pPr>
      <w:r>
        <w:rPr>
          <w:rFonts w:asciiTheme="majorHAnsi" w:hAnsiTheme="majorHAnsi"/>
          <w:lang w:val="en-GB"/>
        </w:rPr>
        <w:t>Beyond the ‘wellness syndrome’</w:t>
      </w:r>
      <w:r w:rsidR="00256BF7">
        <w:rPr>
          <w:rFonts w:asciiTheme="majorHAnsi" w:hAnsiTheme="majorHAnsi"/>
          <w:lang w:val="en-GB"/>
        </w:rPr>
        <w:t xml:space="preserve"> and employee stigmatisa</w:t>
      </w:r>
      <w:r>
        <w:rPr>
          <w:rFonts w:asciiTheme="majorHAnsi" w:hAnsiTheme="majorHAnsi"/>
          <w:lang w:val="en-GB"/>
        </w:rPr>
        <w:t>t</w:t>
      </w:r>
      <w:r w:rsidR="00256BF7">
        <w:rPr>
          <w:rFonts w:asciiTheme="majorHAnsi" w:hAnsiTheme="majorHAnsi"/>
          <w:lang w:val="en-GB"/>
        </w:rPr>
        <w:t>i</w:t>
      </w:r>
      <w:r>
        <w:rPr>
          <w:rFonts w:asciiTheme="majorHAnsi" w:hAnsiTheme="majorHAnsi"/>
          <w:lang w:val="en-GB"/>
        </w:rPr>
        <w:t xml:space="preserve">on, we have to ask questions about whether ‘opting in’ or ‘out’ is </w:t>
      </w:r>
      <w:r w:rsidRPr="00CF633C">
        <w:rPr>
          <w:rFonts w:asciiTheme="majorHAnsi" w:hAnsiTheme="majorHAnsi"/>
          <w:i/>
          <w:lang w:val="en-GB"/>
        </w:rPr>
        <w:t xml:space="preserve">ever </w:t>
      </w:r>
      <w:r>
        <w:rPr>
          <w:rFonts w:asciiTheme="majorHAnsi" w:hAnsiTheme="majorHAnsi"/>
          <w:lang w:val="en-GB"/>
        </w:rPr>
        <w:t>possible in the employment relationship</w:t>
      </w:r>
      <w:r w:rsidR="00431C57">
        <w:rPr>
          <w:rFonts w:asciiTheme="majorHAnsi" w:hAnsiTheme="majorHAnsi"/>
          <w:lang w:val="en-GB"/>
        </w:rPr>
        <w:t xml:space="preserve">. The current authors have also been researching one company’s Quantified Workplace </w:t>
      </w:r>
      <w:r w:rsidR="006065B2">
        <w:rPr>
          <w:rFonts w:asciiTheme="majorHAnsi" w:hAnsiTheme="majorHAnsi"/>
          <w:lang w:val="en-GB"/>
        </w:rPr>
        <w:t>study as part of a BA/</w:t>
      </w:r>
      <w:proofErr w:type="spellStart"/>
      <w:r w:rsidR="006065B2">
        <w:rPr>
          <w:rFonts w:asciiTheme="majorHAnsi" w:hAnsiTheme="majorHAnsi"/>
          <w:lang w:val="en-GB"/>
        </w:rPr>
        <w:t>Leverhulme</w:t>
      </w:r>
      <w:proofErr w:type="spellEnd"/>
      <w:r w:rsidR="006065B2">
        <w:rPr>
          <w:rFonts w:asciiTheme="majorHAnsi" w:hAnsiTheme="majorHAnsi"/>
          <w:lang w:val="en-GB"/>
        </w:rPr>
        <w:t xml:space="preserve"> project entitled </w:t>
      </w:r>
      <w:r>
        <w:rPr>
          <w:rFonts w:asciiTheme="majorHAnsi" w:hAnsiTheme="majorHAnsi"/>
          <w:lang w:val="en-GB"/>
        </w:rPr>
        <w:t>‘</w:t>
      </w:r>
      <w:r w:rsidR="006065B2">
        <w:rPr>
          <w:rFonts w:asciiTheme="majorHAnsi" w:hAnsiTheme="majorHAnsi"/>
          <w:lang w:val="en-GB"/>
        </w:rPr>
        <w:t>Agility, Work and the Quantified Self</w:t>
      </w:r>
      <w:r>
        <w:rPr>
          <w:rFonts w:asciiTheme="majorHAnsi" w:hAnsiTheme="majorHAnsi"/>
          <w:lang w:val="en-GB"/>
        </w:rPr>
        <w:t>’</w:t>
      </w:r>
      <w:r w:rsidR="006065B2">
        <w:rPr>
          <w:rFonts w:asciiTheme="majorHAnsi" w:hAnsiTheme="majorHAnsi"/>
          <w:lang w:val="en-GB"/>
        </w:rPr>
        <w:t xml:space="preserve">, where employers provided </w:t>
      </w:r>
      <w:proofErr w:type="spellStart"/>
      <w:r w:rsidR="006065B2">
        <w:rPr>
          <w:rFonts w:asciiTheme="majorHAnsi" w:hAnsiTheme="majorHAnsi"/>
          <w:lang w:val="en-GB"/>
        </w:rPr>
        <w:t>FitBits</w:t>
      </w:r>
      <w:proofErr w:type="spellEnd"/>
      <w:r w:rsidR="006065B2">
        <w:rPr>
          <w:rFonts w:asciiTheme="majorHAnsi" w:hAnsiTheme="majorHAnsi"/>
          <w:lang w:val="en-GB"/>
        </w:rPr>
        <w:t xml:space="preserve">, </w:t>
      </w:r>
      <w:proofErr w:type="spellStart"/>
      <w:r w:rsidR="006065B2">
        <w:rPr>
          <w:rFonts w:asciiTheme="majorHAnsi" w:hAnsiTheme="majorHAnsi"/>
          <w:lang w:val="en-GB"/>
        </w:rPr>
        <w:t>RescueTime</w:t>
      </w:r>
      <w:proofErr w:type="spellEnd"/>
      <w:r w:rsidR="006065B2">
        <w:rPr>
          <w:rFonts w:asciiTheme="majorHAnsi" w:hAnsiTheme="majorHAnsi"/>
          <w:lang w:val="en-GB"/>
        </w:rPr>
        <w:t xml:space="preserve"> and gamified activities to employees as part of a wellness initiative. The</w:t>
      </w:r>
      <w:r w:rsidR="00256BF7">
        <w:rPr>
          <w:rFonts w:asciiTheme="majorHAnsi" w:hAnsiTheme="majorHAnsi"/>
          <w:lang w:val="en-GB"/>
        </w:rPr>
        <w:t xml:space="preserve"> national</w:t>
      </w:r>
      <w:r w:rsidR="006065B2">
        <w:rPr>
          <w:rFonts w:asciiTheme="majorHAnsi" w:hAnsiTheme="majorHAnsi"/>
          <w:lang w:val="en-GB"/>
        </w:rPr>
        <w:t xml:space="preserve"> Personal Data</w:t>
      </w:r>
      <w:r w:rsidR="00431C57">
        <w:rPr>
          <w:rFonts w:asciiTheme="majorHAnsi" w:hAnsiTheme="majorHAnsi"/>
          <w:lang w:val="en-GB"/>
        </w:rPr>
        <w:t xml:space="preserve"> Protection Agency</w:t>
      </w:r>
      <w:r w:rsidR="006065B2">
        <w:rPr>
          <w:rFonts w:asciiTheme="majorHAnsi" w:hAnsiTheme="majorHAnsi"/>
          <w:lang w:val="en-GB"/>
        </w:rPr>
        <w:t xml:space="preserve"> in the country in question, </w:t>
      </w:r>
      <w:r w:rsidR="003F63BD">
        <w:rPr>
          <w:rFonts w:asciiTheme="majorHAnsi" w:hAnsiTheme="majorHAnsi"/>
          <w:lang w:val="en-GB"/>
        </w:rPr>
        <w:t>put forward a series of queries to</w:t>
      </w:r>
      <w:r w:rsidR="006065B2">
        <w:rPr>
          <w:rFonts w:asciiTheme="majorHAnsi" w:hAnsiTheme="majorHAnsi"/>
          <w:lang w:val="en-GB"/>
        </w:rPr>
        <w:t xml:space="preserve"> the</w:t>
      </w:r>
      <w:r w:rsidR="003F63BD">
        <w:rPr>
          <w:rFonts w:asciiTheme="majorHAnsi" w:hAnsiTheme="majorHAnsi"/>
          <w:lang w:val="en-GB"/>
        </w:rPr>
        <w:t xml:space="preserve"> data analyst working on the</w:t>
      </w:r>
      <w:r w:rsidR="006065B2">
        <w:rPr>
          <w:rFonts w:asciiTheme="majorHAnsi" w:hAnsiTheme="majorHAnsi"/>
          <w:lang w:val="en-GB"/>
        </w:rPr>
        <w:t xml:space="preserve"> company’s study</w:t>
      </w:r>
      <w:r w:rsidR="003F63BD">
        <w:rPr>
          <w:rFonts w:asciiTheme="majorHAnsi" w:hAnsiTheme="majorHAnsi"/>
          <w:lang w:val="en-GB"/>
        </w:rPr>
        <w:t>. The Agency asked</w:t>
      </w:r>
      <w:r w:rsidR="006065B2">
        <w:rPr>
          <w:rFonts w:asciiTheme="majorHAnsi" w:hAnsiTheme="majorHAnsi"/>
          <w:lang w:val="en-GB"/>
        </w:rPr>
        <w:t xml:space="preserve"> in a quite incisive manner: ‘Is the relationship between an employee and employer, ever actually consensual?’.</w:t>
      </w:r>
      <w:r w:rsidR="00431C57">
        <w:rPr>
          <w:rFonts w:asciiTheme="majorHAnsi" w:hAnsiTheme="majorHAnsi"/>
          <w:lang w:val="en-GB"/>
        </w:rPr>
        <w:t xml:space="preserve"> </w:t>
      </w:r>
      <w:r w:rsidR="003F63BD">
        <w:rPr>
          <w:rFonts w:asciiTheme="majorHAnsi" w:hAnsiTheme="majorHAnsi"/>
          <w:lang w:val="en-GB"/>
        </w:rPr>
        <w:t xml:space="preserve">Employers have significant leeway to </w:t>
      </w:r>
      <w:r w:rsidR="00256BF7">
        <w:rPr>
          <w:rFonts w:asciiTheme="majorHAnsi" w:hAnsiTheme="majorHAnsi"/>
          <w:lang w:val="en-GB"/>
        </w:rPr>
        <w:t>gather information</w:t>
      </w:r>
      <w:r w:rsidR="003F63BD">
        <w:rPr>
          <w:rFonts w:asciiTheme="majorHAnsi" w:hAnsiTheme="majorHAnsi"/>
          <w:lang w:val="en-GB"/>
        </w:rPr>
        <w:t xml:space="preserve"> about employe</w:t>
      </w:r>
      <w:r w:rsidR="00256BF7">
        <w:rPr>
          <w:rFonts w:asciiTheme="majorHAnsi" w:hAnsiTheme="majorHAnsi"/>
          <w:lang w:val="en-GB"/>
        </w:rPr>
        <w:t>es, but</w:t>
      </w:r>
      <w:r w:rsidR="003F63BD">
        <w:rPr>
          <w:rFonts w:asciiTheme="majorHAnsi" w:hAnsiTheme="majorHAnsi"/>
          <w:lang w:val="en-GB"/>
        </w:rPr>
        <w:t xml:space="preserve"> new technologies available for human</w:t>
      </w:r>
      <w:r w:rsidR="00256BF7">
        <w:rPr>
          <w:rFonts w:asciiTheme="majorHAnsi" w:hAnsiTheme="majorHAnsi"/>
          <w:lang w:val="en-GB"/>
        </w:rPr>
        <w:t xml:space="preserve"> resource</w:t>
      </w:r>
      <w:r w:rsidR="003F63BD">
        <w:rPr>
          <w:rFonts w:asciiTheme="majorHAnsi" w:hAnsiTheme="majorHAnsi"/>
          <w:lang w:val="en-GB"/>
        </w:rPr>
        <w:t xml:space="preserve"> management have unprecedented possibilities</w:t>
      </w:r>
      <w:r w:rsidR="00256BF7">
        <w:rPr>
          <w:rFonts w:asciiTheme="majorHAnsi" w:hAnsiTheme="majorHAnsi"/>
          <w:lang w:val="en-GB"/>
        </w:rPr>
        <w:t xml:space="preserve"> for what employers can know about us, inviting questions on </w:t>
      </w:r>
      <w:r w:rsidR="003F63BD">
        <w:rPr>
          <w:rFonts w:asciiTheme="majorHAnsi" w:hAnsiTheme="majorHAnsi"/>
          <w:lang w:val="en-GB"/>
        </w:rPr>
        <w:t>regulation</w:t>
      </w:r>
      <w:r w:rsidR="00256BF7">
        <w:rPr>
          <w:rFonts w:asciiTheme="majorHAnsi" w:hAnsiTheme="majorHAnsi"/>
          <w:lang w:val="en-GB"/>
        </w:rPr>
        <w:t xml:space="preserve">, </w:t>
      </w:r>
      <w:r w:rsidR="003F63BD">
        <w:rPr>
          <w:rFonts w:asciiTheme="majorHAnsi" w:hAnsiTheme="majorHAnsi"/>
          <w:lang w:val="en-GB"/>
        </w:rPr>
        <w:t>privacy and data protection</w:t>
      </w:r>
      <w:r w:rsidR="00256BF7">
        <w:rPr>
          <w:rFonts w:asciiTheme="majorHAnsi" w:hAnsiTheme="majorHAnsi"/>
          <w:lang w:val="en-GB"/>
        </w:rPr>
        <w:t>. T</w:t>
      </w:r>
      <w:r w:rsidR="003F63BD">
        <w:rPr>
          <w:rFonts w:asciiTheme="majorHAnsi" w:hAnsiTheme="majorHAnsi"/>
          <w:lang w:val="en-GB"/>
        </w:rPr>
        <w:t xml:space="preserve">he legal questions surrounding, are covered in the next section. </w:t>
      </w:r>
    </w:p>
    <w:p w14:paraId="435565A1" w14:textId="67A12EC2" w:rsidR="003C1487" w:rsidRPr="00201B92" w:rsidRDefault="003C1487" w:rsidP="00445D3E">
      <w:pPr>
        <w:jc w:val="both"/>
        <w:rPr>
          <w:rFonts w:asciiTheme="majorHAnsi" w:hAnsiTheme="majorHAnsi"/>
          <w:b/>
          <w:lang w:val="en-GB"/>
        </w:rPr>
      </w:pPr>
    </w:p>
    <w:p w14:paraId="24C591EC" w14:textId="7DC59D30" w:rsidR="003D397E" w:rsidRPr="00201B92" w:rsidRDefault="009216F6" w:rsidP="00445D3E">
      <w:pPr>
        <w:jc w:val="both"/>
        <w:rPr>
          <w:rFonts w:asciiTheme="majorHAnsi" w:hAnsiTheme="majorHAnsi"/>
          <w:lang w:val="en-GB"/>
        </w:rPr>
      </w:pPr>
      <w:r w:rsidRPr="00CF633C">
        <w:rPr>
          <w:rFonts w:asciiTheme="majorHAnsi" w:hAnsiTheme="majorHAnsi"/>
          <w:i/>
          <w:lang w:val="en-GB"/>
        </w:rPr>
        <w:t xml:space="preserve">Lack of </w:t>
      </w:r>
      <w:r w:rsidR="00047A72" w:rsidRPr="00CF633C">
        <w:rPr>
          <w:rFonts w:asciiTheme="majorHAnsi" w:hAnsiTheme="majorHAnsi"/>
          <w:i/>
          <w:lang w:val="en-GB"/>
        </w:rPr>
        <w:t>legal responses</w:t>
      </w:r>
      <w:r w:rsidRPr="00CF633C">
        <w:rPr>
          <w:rFonts w:asciiTheme="majorHAnsi" w:hAnsiTheme="majorHAnsi"/>
          <w:i/>
          <w:lang w:val="en-GB"/>
        </w:rPr>
        <w:t>.</w:t>
      </w:r>
      <w:r w:rsidRPr="00201B92">
        <w:rPr>
          <w:rFonts w:asciiTheme="majorHAnsi" w:hAnsiTheme="majorHAnsi"/>
          <w:lang w:val="en-GB"/>
        </w:rPr>
        <w:t xml:space="preserve"> There have been very slow legal responses to personal privacy in corporate data collection, and corporate data reservoirs are largely unregulated (Cohen, 2015). </w:t>
      </w:r>
      <w:r w:rsidR="00A76827">
        <w:rPr>
          <w:rFonts w:asciiTheme="majorHAnsi" w:hAnsiTheme="majorHAnsi"/>
          <w:lang w:val="en-GB"/>
        </w:rPr>
        <w:t>Data collection of more invasive information about the health of workers is a new area of employer interest and ‘</w:t>
      </w:r>
      <w:r w:rsidR="00231B32" w:rsidRPr="00CF633C">
        <w:rPr>
          <w:rFonts w:asciiTheme="majorHAnsi" w:hAnsiTheme="majorHAnsi"/>
          <w:lang w:val="en-GB"/>
        </w:rPr>
        <w:t>as a rule, law has been loath to get too involved in intimate domains</w:t>
      </w:r>
      <w:r w:rsidR="00A76827">
        <w:rPr>
          <w:rFonts w:asciiTheme="majorHAnsi" w:hAnsiTheme="majorHAnsi"/>
          <w:lang w:val="en-GB"/>
        </w:rPr>
        <w:t>’</w:t>
      </w:r>
      <w:r w:rsidR="00A76827" w:rsidRPr="00CF633C">
        <w:rPr>
          <w:rFonts w:asciiTheme="majorHAnsi" w:hAnsiTheme="majorHAnsi"/>
          <w:lang w:val="en-GB"/>
        </w:rPr>
        <w:t xml:space="preserve"> (Levy, 2015: 679).</w:t>
      </w:r>
      <w:r w:rsidR="00231B32">
        <w:rPr>
          <w:rFonts w:ascii="Arial" w:hAnsi="Arial" w:cs="Arial"/>
        </w:rPr>
        <w:t xml:space="preserve"> </w:t>
      </w:r>
      <w:r w:rsidRPr="00201B92">
        <w:rPr>
          <w:rFonts w:asciiTheme="majorHAnsi" w:hAnsiTheme="majorHAnsi"/>
          <w:lang w:val="en-GB"/>
        </w:rPr>
        <w:t>In June 2015, the US Equal Employment Opportunity Commission (EEOC) issued a proposed rule amending aspects of the 1990 Americans with Disabilities Act (ADA) with regard to how corporations collect data relating to workplace wellness programmes</w:t>
      </w:r>
      <w:r w:rsidR="00047A72" w:rsidRPr="00201B92">
        <w:rPr>
          <w:rFonts w:asciiTheme="majorHAnsi" w:hAnsiTheme="majorHAnsi"/>
          <w:lang w:val="en-GB"/>
        </w:rPr>
        <w:t xml:space="preserve">. </w:t>
      </w:r>
      <w:r w:rsidRPr="00201B92">
        <w:rPr>
          <w:rFonts w:asciiTheme="majorHAnsi" w:hAnsiTheme="majorHAnsi"/>
          <w:lang w:val="en-GB"/>
        </w:rPr>
        <w:t>The question</w:t>
      </w:r>
      <w:r w:rsidR="00047A72" w:rsidRPr="00201B92">
        <w:rPr>
          <w:rFonts w:asciiTheme="majorHAnsi" w:hAnsiTheme="majorHAnsi"/>
          <w:lang w:val="en-GB"/>
        </w:rPr>
        <w:t>s</w:t>
      </w:r>
      <w:r w:rsidRPr="00201B92">
        <w:rPr>
          <w:rFonts w:asciiTheme="majorHAnsi" w:hAnsiTheme="majorHAnsi"/>
          <w:lang w:val="en-GB"/>
        </w:rPr>
        <w:t xml:space="preserve"> raised</w:t>
      </w:r>
      <w:r w:rsidR="00047A72" w:rsidRPr="00201B92">
        <w:rPr>
          <w:rFonts w:asciiTheme="majorHAnsi" w:hAnsiTheme="majorHAnsi"/>
          <w:lang w:val="en-GB"/>
        </w:rPr>
        <w:t xml:space="preserve"> in response to the proposal were around </w:t>
      </w:r>
      <w:r w:rsidRPr="00201B92">
        <w:rPr>
          <w:rFonts w:asciiTheme="majorHAnsi" w:hAnsiTheme="majorHAnsi"/>
          <w:lang w:val="en-GB"/>
        </w:rPr>
        <w:t xml:space="preserve">data </w:t>
      </w:r>
      <w:r w:rsidR="00047A72" w:rsidRPr="00201B92">
        <w:rPr>
          <w:rFonts w:asciiTheme="majorHAnsi" w:hAnsiTheme="majorHAnsi"/>
          <w:lang w:val="en-GB"/>
        </w:rPr>
        <w:t xml:space="preserve">that </w:t>
      </w:r>
      <w:r w:rsidRPr="00201B92">
        <w:rPr>
          <w:rFonts w:asciiTheme="majorHAnsi" w:hAnsiTheme="majorHAnsi"/>
          <w:lang w:val="en-GB"/>
        </w:rPr>
        <w:t xml:space="preserve">companies are gathering </w:t>
      </w:r>
      <w:r w:rsidR="00047A72" w:rsidRPr="00201B92">
        <w:rPr>
          <w:rFonts w:asciiTheme="majorHAnsi" w:hAnsiTheme="majorHAnsi"/>
          <w:lang w:val="en-GB"/>
        </w:rPr>
        <w:t>from employees’ wearable technologies relating to</w:t>
      </w:r>
      <w:r w:rsidRPr="00201B92">
        <w:rPr>
          <w:rFonts w:asciiTheme="majorHAnsi" w:hAnsiTheme="majorHAnsi"/>
          <w:lang w:val="en-GB"/>
        </w:rPr>
        <w:t xml:space="preserve"> what exactly qualifies as simple health data and what may violate privacy concerns around more intensive medical data. Employees’ steps may be defined as simple health information</w:t>
      </w:r>
      <w:r w:rsidR="00047A72" w:rsidRPr="00201B92">
        <w:rPr>
          <w:rFonts w:asciiTheme="majorHAnsi" w:hAnsiTheme="majorHAnsi"/>
          <w:lang w:val="en-GB"/>
        </w:rPr>
        <w:t>,</w:t>
      </w:r>
      <w:r w:rsidRPr="00201B92">
        <w:rPr>
          <w:rFonts w:asciiTheme="majorHAnsi" w:hAnsiTheme="majorHAnsi"/>
          <w:lang w:val="en-GB"/>
        </w:rPr>
        <w:t xml:space="preserve"> but data on heart rate, a medical measure, would </w:t>
      </w:r>
      <w:r w:rsidRPr="00201B92">
        <w:rPr>
          <w:rFonts w:asciiTheme="majorHAnsi" w:hAnsiTheme="majorHAnsi"/>
          <w:lang w:val="en-GB"/>
        </w:rPr>
        <w:lastRenderedPageBreak/>
        <w:t>be considered too invasive</w:t>
      </w:r>
      <w:r w:rsidR="00C73309">
        <w:rPr>
          <w:rFonts w:asciiTheme="majorHAnsi" w:hAnsiTheme="majorHAnsi"/>
          <w:lang w:val="en-GB"/>
        </w:rPr>
        <w:t xml:space="preserve"> according to this ruling</w:t>
      </w:r>
      <w:r w:rsidRPr="00201B92">
        <w:rPr>
          <w:rFonts w:asciiTheme="majorHAnsi" w:hAnsiTheme="majorHAnsi"/>
          <w:lang w:val="en-GB"/>
        </w:rPr>
        <w:t>. Public comments were invited at the EEOC’s proposals to curb the use of employer surveillance over wearable data in wellness programmes (</w:t>
      </w:r>
      <w:proofErr w:type="spellStart"/>
      <w:r w:rsidRPr="00201B92">
        <w:rPr>
          <w:rFonts w:asciiTheme="majorHAnsi" w:hAnsiTheme="majorHAnsi"/>
          <w:lang w:val="en-GB"/>
        </w:rPr>
        <w:t>Mingis</w:t>
      </w:r>
      <w:proofErr w:type="spellEnd"/>
      <w:r w:rsidRPr="00201B92">
        <w:rPr>
          <w:rFonts w:asciiTheme="majorHAnsi" w:hAnsiTheme="majorHAnsi"/>
          <w:lang w:val="en-GB"/>
        </w:rPr>
        <w:t xml:space="preserve">, 2015). </w:t>
      </w:r>
    </w:p>
    <w:p w14:paraId="0CEB995D" w14:textId="77777777" w:rsidR="003D397E" w:rsidRPr="00201B92" w:rsidRDefault="003D397E" w:rsidP="00445D3E">
      <w:pPr>
        <w:jc w:val="both"/>
        <w:rPr>
          <w:rFonts w:asciiTheme="majorHAnsi" w:hAnsiTheme="majorHAnsi"/>
          <w:lang w:val="en-GB"/>
        </w:rPr>
      </w:pPr>
    </w:p>
    <w:p w14:paraId="0B8B43B8" w14:textId="4A7BDD74" w:rsidR="00025955" w:rsidRPr="00201B92" w:rsidRDefault="009216F6" w:rsidP="00445D3E">
      <w:pPr>
        <w:jc w:val="both"/>
        <w:rPr>
          <w:rFonts w:asciiTheme="majorHAnsi" w:hAnsiTheme="majorHAnsi"/>
          <w:lang w:val="en-GB"/>
        </w:rPr>
      </w:pPr>
      <w:r w:rsidRPr="00201B92">
        <w:rPr>
          <w:rFonts w:asciiTheme="majorHAnsi" w:hAnsiTheme="majorHAnsi"/>
          <w:lang w:val="en-GB"/>
        </w:rPr>
        <w:t>EEOC spokes</w:t>
      </w:r>
      <w:r w:rsidR="00025955" w:rsidRPr="00201B92">
        <w:rPr>
          <w:rFonts w:asciiTheme="majorHAnsi" w:hAnsiTheme="majorHAnsi"/>
          <w:lang w:val="en-GB"/>
        </w:rPr>
        <w:t xml:space="preserve">man James Ryan indicated that: </w:t>
      </w:r>
    </w:p>
    <w:p w14:paraId="11AD692E" w14:textId="3FDB4F5F" w:rsidR="00016465" w:rsidRPr="00201B92" w:rsidRDefault="009216F6" w:rsidP="00137222">
      <w:pPr>
        <w:ind w:left="720"/>
        <w:jc w:val="both"/>
        <w:rPr>
          <w:rFonts w:asciiTheme="majorHAnsi" w:hAnsiTheme="majorHAnsi"/>
          <w:lang w:val="en-GB"/>
        </w:rPr>
      </w:pPr>
      <w:r w:rsidRPr="00201B92">
        <w:rPr>
          <w:rFonts w:asciiTheme="majorHAnsi" w:hAnsiTheme="majorHAnsi"/>
          <w:lang w:val="en-GB"/>
        </w:rPr>
        <w:t>If the information the employer is obtaining is considered ‘medical information’ (e.g., a person’s heart rate over a period of time), then the information would be subject to the ADA’s confidentiality requirements regardless of how the employer obtains this information. By contrast, information that would not be deemed medical information (e.g., how many steps a person takes per day, number of active minutes or calories burned) is not subject to the ADA’s restrictions</w:t>
      </w:r>
      <w:r w:rsidR="00025955" w:rsidRPr="00201B92">
        <w:rPr>
          <w:rFonts w:asciiTheme="majorHAnsi" w:hAnsiTheme="majorHAnsi"/>
          <w:lang w:val="en-GB"/>
        </w:rPr>
        <w:t xml:space="preserve"> on disclosure</w:t>
      </w:r>
      <w:r w:rsidR="00F950ED" w:rsidRPr="00201B92">
        <w:rPr>
          <w:rFonts w:asciiTheme="majorHAnsi" w:hAnsiTheme="majorHAnsi"/>
          <w:lang w:val="en-GB"/>
        </w:rPr>
        <w:t>.</w:t>
      </w:r>
      <w:r w:rsidR="00025955" w:rsidRPr="00201B92">
        <w:rPr>
          <w:rFonts w:asciiTheme="majorHAnsi" w:hAnsiTheme="majorHAnsi"/>
          <w:lang w:val="en-GB"/>
        </w:rPr>
        <w:t xml:space="preserve"> (</w:t>
      </w:r>
      <w:proofErr w:type="spellStart"/>
      <w:r w:rsidR="00025955" w:rsidRPr="00201B92">
        <w:rPr>
          <w:rFonts w:asciiTheme="majorHAnsi" w:hAnsiTheme="majorHAnsi"/>
          <w:lang w:val="en-GB"/>
        </w:rPr>
        <w:t>Hamblen</w:t>
      </w:r>
      <w:proofErr w:type="spellEnd"/>
      <w:r w:rsidR="00025955" w:rsidRPr="00201B92">
        <w:rPr>
          <w:rFonts w:asciiTheme="majorHAnsi" w:hAnsiTheme="majorHAnsi"/>
          <w:lang w:val="en-GB"/>
        </w:rPr>
        <w:t>, 2015</w:t>
      </w:r>
      <w:r w:rsidR="00F950ED" w:rsidRPr="00201B92">
        <w:rPr>
          <w:rFonts w:asciiTheme="majorHAnsi" w:hAnsiTheme="majorHAnsi"/>
          <w:lang w:val="en-GB"/>
        </w:rPr>
        <w:t xml:space="preserve">) </w:t>
      </w:r>
    </w:p>
    <w:p w14:paraId="45673FAE" w14:textId="77777777" w:rsidR="003D397E" w:rsidRPr="00201B92" w:rsidRDefault="003D397E" w:rsidP="00445D3E">
      <w:pPr>
        <w:jc w:val="both"/>
        <w:rPr>
          <w:rFonts w:asciiTheme="majorHAnsi" w:hAnsiTheme="majorHAnsi"/>
          <w:lang w:val="en-GB"/>
        </w:rPr>
      </w:pPr>
    </w:p>
    <w:p w14:paraId="7362CD05" w14:textId="77777777" w:rsidR="0007416E" w:rsidRPr="00201B92" w:rsidRDefault="009216F6" w:rsidP="00445D3E">
      <w:pPr>
        <w:jc w:val="both"/>
        <w:rPr>
          <w:rFonts w:asciiTheme="majorHAnsi" w:hAnsiTheme="majorHAnsi"/>
          <w:lang w:val="en-GB"/>
        </w:rPr>
      </w:pPr>
      <w:r w:rsidRPr="00201B92">
        <w:rPr>
          <w:rFonts w:asciiTheme="majorHAnsi" w:hAnsiTheme="majorHAnsi"/>
          <w:lang w:val="en-GB"/>
        </w:rPr>
        <w:t>Timothy Collins, an employment lawyer for Duane Morris LLP states that</w:t>
      </w:r>
      <w:r w:rsidR="0007416E" w:rsidRPr="00201B92">
        <w:rPr>
          <w:rFonts w:asciiTheme="majorHAnsi" w:hAnsiTheme="majorHAnsi"/>
          <w:lang w:val="en-GB"/>
        </w:rPr>
        <w:t>:</w:t>
      </w:r>
    </w:p>
    <w:p w14:paraId="2502C736" w14:textId="77777777" w:rsidR="003D397E" w:rsidRPr="00201B92" w:rsidRDefault="003D397E" w:rsidP="003D397E">
      <w:pPr>
        <w:ind w:left="720"/>
        <w:jc w:val="both"/>
        <w:rPr>
          <w:rFonts w:asciiTheme="majorHAnsi" w:hAnsiTheme="majorHAnsi"/>
          <w:lang w:val="en-GB"/>
        </w:rPr>
      </w:pPr>
    </w:p>
    <w:p w14:paraId="08161634" w14:textId="61C6F403" w:rsidR="0007416E" w:rsidRPr="00201B92" w:rsidRDefault="00336783" w:rsidP="00137222">
      <w:pPr>
        <w:ind w:left="720"/>
        <w:jc w:val="both"/>
        <w:rPr>
          <w:rFonts w:asciiTheme="majorHAnsi" w:hAnsiTheme="majorHAnsi"/>
          <w:lang w:val="en-GB"/>
        </w:rPr>
      </w:pPr>
      <w:r>
        <w:rPr>
          <w:rFonts w:asciiTheme="majorHAnsi" w:hAnsiTheme="majorHAnsi"/>
          <w:lang w:val="en-GB"/>
        </w:rPr>
        <w:t>…</w:t>
      </w:r>
      <w:r w:rsidR="009216F6" w:rsidRPr="00201B92">
        <w:rPr>
          <w:rFonts w:asciiTheme="majorHAnsi" w:hAnsiTheme="majorHAnsi"/>
          <w:lang w:val="en-GB"/>
        </w:rPr>
        <w:t>employers are up in arms about this proposed rule (…) wearables would be subject to the rule, especially if employers are handing them out for free and using them to gather data on the habits of workers</w:t>
      </w:r>
      <w:r w:rsidR="00047A72" w:rsidRPr="00201B92">
        <w:rPr>
          <w:rFonts w:asciiTheme="majorHAnsi" w:hAnsiTheme="majorHAnsi"/>
          <w:lang w:val="en-GB"/>
        </w:rPr>
        <w:t>.</w:t>
      </w:r>
      <w:r w:rsidR="0007416E" w:rsidRPr="00201B92">
        <w:rPr>
          <w:rFonts w:asciiTheme="majorHAnsi" w:hAnsiTheme="majorHAnsi"/>
          <w:lang w:val="en-GB"/>
        </w:rPr>
        <w:t xml:space="preserve"> </w:t>
      </w:r>
      <w:r w:rsidR="009216F6" w:rsidRPr="00201B92">
        <w:rPr>
          <w:rFonts w:asciiTheme="majorHAnsi" w:hAnsiTheme="majorHAnsi"/>
          <w:lang w:val="en-GB"/>
        </w:rPr>
        <w:t>(</w:t>
      </w:r>
      <w:proofErr w:type="spellStart"/>
      <w:r w:rsidR="009216F6" w:rsidRPr="00201B92">
        <w:rPr>
          <w:rFonts w:asciiTheme="majorHAnsi" w:hAnsiTheme="majorHAnsi"/>
          <w:lang w:val="en-GB"/>
        </w:rPr>
        <w:t>Mingis</w:t>
      </w:r>
      <w:proofErr w:type="spellEnd"/>
      <w:r w:rsidR="009216F6" w:rsidRPr="00201B92">
        <w:rPr>
          <w:rFonts w:asciiTheme="majorHAnsi" w:hAnsiTheme="majorHAnsi"/>
          <w:lang w:val="en-GB"/>
        </w:rPr>
        <w:t>, 2015</w:t>
      </w:r>
      <w:r w:rsidR="00047A72" w:rsidRPr="00201B92">
        <w:rPr>
          <w:rFonts w:asciiTheme="majorHAnsi" w:hAnsiTheme="majorHAnsi"/>
          <w:lang w:val="en-GB"/>
        </w:rPr>
        <w:t xml:space="preserve">) </w:t>
      </w:r>
    </w:p>
    <w:p w14:paraId="7CB7BB33" w14:textId="77777777" w:rsidR="00047A72" w:rsidRPr="00201B92" w:rsidRDefault="00047A72" w:rsidP="00047A72">
      <w:pPr>
        <w:ind w:left="720"/>
        <w:jc w:val="both"/>
        <w:rPr>
          <w:rFonts w:asciiTheme="majorHAnsi" w:hAnsiTheme="majorHAnsi"/>
          <w:lang w:val="en-GB"/>
        </w:rPr>
      </w:pPr>
    </w:p>
    <w:p w14:paraId="3763714A" w14:textId="04DF679F" w:rsidR="00025955" w:rsidRPr="00201B92" w:rsidRDefault="0005473E" w:rsidP="00445D3E">
      <w:pPr>
        <w:jc w:val="both"/>
        <w:rPr>
          <w:rFonts w:asciiTheme="majorHAnsi" w:hAnsiTheme="majorHAnsi"/>
          <w:lang w:val="en-GB"/>
        </w:rPr>
      </w:pPr>
      <w:r>
        <w:rPr>
          <w:rFonts w:asciiTheme="majorHAnsi" w:hAnsiTheme="majorHAnsi"/>
          <w:lang w:val="en-GB"/>
        </w:rPr>
        <w:t xml:space="preserve">Workers often use </w:t>
      </w:r>
      <w:r w:rsidR="009216F6" w:rsidRPr="00201B92">
        <w:rPr>
          <w:rFonts w:asciiTheme="majorHAnsi" w:hAnsiTheme="majorHAnsi"/>
          <w:lang w:val="en-GB"/>
        </w:rPr>
        <w:t xml:space="preserve">mobile devices on the consumer market </w:t>
      </w:r>
      <w:r w:rsidR="00950EA6">
        <w:rPr>
          <w:rFonts w:asciiTheme="majorHAnsi" w:hAnsiTheme="majorHAnsi"/>
          <w:lang w:val="en-GB"/>
        </w:rPr>
        <w:t xml:space="preserve">for work, which puts these items into the category </w:t>
      </w:r>
      <w:proofErr w:type="gramStart"/>
      <w:r w:rsidR="00950EA6">
        <w:rPr>
          <w:rFonts w:asciiTheme="majorHAnsi" w:hAnsiTheme="majorHAnsi"/>
          <w:lang w:val="en-GB"/>
        </w:rPr>
        <w:t>of</w:t>
      </w:r>
      <w:r w:rsidR="009216F6" w:rsidRPr="00201B92">
        <w:rPr>
          <w:rFonts w:asciiTheme="majorHAnsi" w:hAnsiTheme="majorHAnsi"/>
          <w:lang w:val="en-GB"/>
        </w:rPr>
        <w:t xml:space="preserve"> </w:t>
      </w:r>
      <w:r w:rsidRPr="00201B92">
        <w:rPr>
          <w:rFonts w:asciiTheme="majorHAnsi" w:hAnsiTheme="majorHAnsi"/>
          <w:lang w:val="en-GB"/>
        </w:rPr>
        <w:t xml:space="preserve"> </w:t>
      </w:r>
      <w:r w:rsidR="009216F6" w:rsidRPr="00201B92">
        <w:rPr>
          <w:rFonts w:asciiTheme="majorHAnsi" w:hAnsiTheme="majorHAnsi"/>
          <w:lang w:val="en-GB"/>
        </w:rPr>
        <w:t>BYOD</w:t>
      </w:r>
      <w:proofErr w:type="gramEnd"/>
      <w:r>
        <w:rPr>
          <w:rFonts w:asciiTheme="majorHAnsi" w:hAnsiTheme="majorHAnsi"/>
          <w:lang w:val="en-GB"/>
        </w:rPr>
        <w:t>, which stands for ‘bring your own device’</w:t>
      </w:r>
      <w:r w:rsidR="009216F6" w:rsidRPr="00201B92">
        <w:rPr>
          <w:rFonts w:asciiTheme="majorHAnsi" w:hAnsiTheme="majorHAnsi"/>
          <w:lang w:val="en-GB"/>
        </w:rPr>
        <w:t xml:space="preserve"> </w:t>
      </w:r>
      <w:r w:rsidR="00950EA6">
        <w:rPr>
          <w:rFonts w:asciiTheme="majorHAnsi" w:hAnsiTheme="majorHAnsi"/>
          <w:lang w:val="en-GB"/>
        </w:rPr>
        <w:t xml:space="preserve">. Often, such personally owned devices </w:t>
      </w:r>
      <w:r w:rsidR="009216F6" w:rsidRPr="00201B92">
        <w:rPr>
          <w:rFonts w:asciiTheme="majorHAnsi" w:hAnsiTheme="majorHAnsi"/>
          <w:lang w:val="en-GB"/>
        </w:rPr>
        <w:t>do not meet PCI Data Security Standard compliance requirements</w:t>
      </w:r>
      <w:r w:rsidR="00950EA6">
        <w:rPr>
          <w:rFonts w:asciiTheme="majorHAnsi" w:hAnsiTheme="majorHAnsi"/>
          <w:lang w:val="en-GB"/>
        </w:rPr>
        <w:t xml:space="preserve">. </w:t>
      </w:r>
      <w:r w:rsidR="009216F6" w:rsidRPr="00201B92">
        <w:rPr>
          <w:rFonts w:asciiTheme="majorHAnsi" w:hAnsiTheme="majorHAnsi"/>
          <w:lang w:val="en-GB"/>
        </w:rPr>
        <w:t xml:space="preserve"> Bob Russo, general manager of PCI SSC (Payment Card Industry Security Standards Council) states that:</w:t>
      </w:r>
    </w:p>
    <w:p w14:paraId="76A123A7" w14:textId="77777777" w:rsidR="003D397E" w:rsidRPr="00201B92" w:rsidRDefault="003D397E" w:rsidP="003D397E">
      <w:pPr>
        <w:ind w:left="720"/>
        <w:jc w:val="both"/>
        <w:rPr>
          <w:rFonts w:asciiTheme="majorHAnsi" w:hAnsiTheme="majorHAnsi"/>
          <w:lang w:val="en-GB"/>
        </w:rPr>
      </w:pPr>
    </w:p>
    <w:p w14:paraId="44A8C14F" w14:textId="763AD90E" w:rsidR="00016465" w:rsidRDefault="009216F6" w:rsidP="00137222">
      <w:pPr>
        <w:ind w:left="720"/>
        <w:jc w:val="both"/>
        <w:rPr>
          <w:rFonts w:asciiTheme="majorHAnsi" w:hAnsiTheme="majorHAnsi"/>
          <w:lang w:val="en-GB"/>
        </w:rPr>
      </w:pPr>
      <w:r w:rsidRPr="00201B92">
        <w:rPr>
          <w:rFonts w:asciiTheme="majorHAnsi" w:hAnsiTheme="majorHAnsi"/>
          <w:lang w:val="en-GB"/>
        </w:rPr>
        <w:t>Productivity trumps security (…); consider the salesperson in the field who has a better chance of closing business if they have immediate access to important data. Think he or she wouldn’t do it? The likely thought process would be, closing business is in the best interest of the firm, and a security breach will never happen to me</w:t>
      </w:r>
      <w:r w:rsidR="00047A72" w:rsidRPr="00201B92">
        <w:rPr>
          <w:rFonts w:asciiTheme="majorHAnsi" w:hAnsiTheme="majorHAnsi"/>
          <w:lang w:val="en-GB"/>
        </w:rPr>
        <w:t>.</w:t>
      </w:r>
      <w:r w:rsidR="00025955" w:rsidRPr="00201B92">
        <w:rPr>
          <w:rFonts w:asciiTheme="majorHAnsi" w:hAnsiTheme="majorHAnsi"/>
          <w:lang w:val="en-GB"/>
        </w:rPr>
        <w:t xml:space="preserve"> (</w:t>
      </w:r>
      <w:proofErr w:type="spellStart"/>
      <w:r w:rsidR="00025955" w:rsidRPr="00201B92">
        <w:rPr>
          <w:rFonts w:asciiTheme="majorHAnsi" w:hAnsiTheme="majorHAnsi"/>
          <w:lang w:val="en-GB"/>
        </w:rPr>
        <w:t>Armerding</w:t>
      </w:r>
      <w:proofErr w:type="spellEnd"/>
      <w:r w:rsidR="00025955" w:rsidRPr="00201B92">
        <w:rPr>
          <w:rFonts w:asciiTheme="majorHAnsi" w:hAnsiTheme="majorHAnsi"/>
          <w:lang w:val="en-GB"/>
        </w:rPr>
        <w:t>, 2013</w:t>
      </w:r>
      <w:r w:rsidR="00047A72" w:rsidRPr="00201B92">
        <w:rPr>
          <w:rFonts w:asciiTheme="majorHAnsi" w:hAnsiTheme="majorHAnsi"/>
          <w:lang w:val="en-GB"/>
        </w:rPr>
        <w:t xml:space="preserve">) </w:t>
      </w:r>
    </w:p>
    <w:p w14:paraId="77BF3322" w14:textId="77777777" w:rsidR="00C73309" w:rsidRPr="00201B92" w:rsidRDefault="00C73309" w:rsidP="00137222">
      <w:pPr>
        <w:ind w:left="720"/>
        <w:jc w:val="both"/>
        <w:rPr>
          <w:rFonts w:asciiTheme="majorHAnsi" w:hAnsiTheme="majorHAnsi"/>
          <w:lang w:val="en-GB"/>
        </w:rPr>
      </w:pPr>
    </w:p>
    <w:p w14:paraId="4A727A2B" w14:textId="22999678" w:rsidR="003D397E" w:rsidRPr="00201B92" w:rsidRDefault="0080704C" w:rsidP="00CF633C">
      <w:pPr>
        <w:pStyle w:val="Heading3"/>
        <w:jc w:val="both"/>
      </w:pPr>
      <w:r w:rsidRPr="00201B92">
        <w:rPr>
          <w:sz w:val="24"/>
          <w:szCs w:val="24"/>
          <w:lang w:val="en-GB"/>
        </w:rPr>
        <w:t>Conclusion</w:t>
      </w:r>
    </w:p>
    <w:p w14:paraId="71C270BE" w14:textId="1B4970F2" w:rsidR="00D2460F" w:rsidRDefault="00A37C13" w:rsidP="0080704C">
      <w:pPr>
        <w:rPr>
          <w:rFonts w:asciiTheme="majorHAnsi" w:hAnsiTheme="majorHAnsi"/>
          <w:lang w:val="en-GB"/>
        </w:rPr>
      </w:pPr>
      <w:r>
        <w:rPr>
          <w:rFonts w:asciiTheme="majorHAnsi" w:hAnsiTheme="majorHAnsi"/>
          <w:lang w:val="en-GB"/>
        </w:rPr>
        <w:t>The</w:t>
      </w:r>
      <w:r w:rsidR="0080704C" w:rsidRPr="00201B92">
        <w:rPr>
          <w:rFonts w:asciiTheme="majorHAnsi" w:hAnsiTheme="majorHAnsi"/>
          <w:lang w:val="en-GB"/>
        </w:rPr>
        <w:t xml:space="preserve"> ‘future normal’ involves more and more tracking devices (Ramirez, 2013) and this movement is accelerating rapidly</w:t>
      </w:r>
      <w:r w:rsidR="004B40D6" w:rsidRPr="00201B92">
        <w:rPr>
          <w:rFonts w:asciiTheme="majorHAnsi" w:hAnsiTheme="majorHAnsi"/>
          <w:lang w:val="en-GB"/>
        </w:rPr>
        <w:t xml:space="preserve"> in workplace behavio</w:t>
      </w:r>
      <w:r w:rsidR="00C73309">
        <w:rPr>
          <w:rFonts w:asciiTheme="majorHAnsi" w:hAnsiTheme="majorHAnsi"/>
          <w:lang w:val="en-GB"/>
        </w:rPr>
        <w:t>u</w:t>
      </w:r>
      <w:r w:rsidR="004B40D6" w:rsidRPr="00201B92">
        <w:rPr>
          <w:rFonts w:asciiTheme="majorHAnsi" w:hAnsiTheme="majorHAnsi"/>
          <w:lang w:val="en-GB"/>
        </w:rPr>
        <w:t>r regulation experiments</w:t>
      </w:r>
      <w:r w:rsidR="0080704C" w:rsidRPr="00201B92">
        <w:rPr>
          <w:rFonts w:asciiTheme="majorHAnsi" w:hAnsiTheme="majorHAnsi"/>
          <w:lang w:val="en-GB"/>
        </w:rPr>
        <w:t xml:space="preserve">. </w:t>
      </w:r>
      <w:r w:rsidR="00D00705" w:rsidRPr="00201B92">
        <w:rPr>
          <w:rFonts w:asciiTheme="majorHAnsi" w:hAnsiTheme="majorHAnsi"/>
          <w:lang w:val="en-GB"/>
        </w:rPr>
        <w:t>But who is responsible for creating the ‘ethical body’</w:t>
      </w:r>
      <w:r w:rsidR="00E97677">
        <w:rPr>
          <w:rFonts w:asciiTheme="majorHAnsi" w:hAnsiTheme="majorHAnsi"/>
          <w:lang w:val="en-GB"/>
        </w:rPr>
        <w:t xml:space="preserve"> in a world where data privacy is increasingly tenable</w:t>
      </w:r>
      <w:r w:rsidR="00D00705" w:rsidRPr="00201B92">
        <w:rPr>
          <w:rFonts w:asciiTheme="majorHAnsi" w:hAnsiTheme="majorHAnsi"/>
          <w:lang w:val="en-GB"/>
        </w:rPr>
        <w:t xml:space="preserve"> (Morrison, 2015)</w:t>
      </w:r>
      <w:r w:rsidR="00425722" w:rsidRPr="00201B92">
        <w:rPr>
          <w:rFonts w:asciiTheme="majorHAnsi" w:hAnsiTheme="majorHAnsi"/>
          <w:lang w:val="en-GB"/>
        </w:rPr>
        <w:t>? Time will tell.</w:t>
      </w:r>
      <w:r w:rsidR="003C1487" w:rsidRPr="00201B92">
        <w:rPr>
          <w:rFonts w:asciiTheme="majorHAnsi" w:hAnsiTheme="majorHAnsi"/>
          <w:lang w:val="en-GB"/>
        </w:rPr>
        <w:t xml:space="preserve"> </w:t>
      </w:r>
      <w:r w:rsidR="00425722" w:rsidRPr="00201B92">
        <w:rPr>
          <w:rFonts w:asciiTheme="majorHAnsi" w:hAnsiTheme="majorHAnsi"/>
          <w:lang w:val="en-GB"/>
        </w:rPr>
        <w:t>For now, however, t</w:t>
      </w:r>
      <w:r w:rsidR="0080704C" w:rsidRPr="00201B92">
        <w:rPr>
          <w:rFonts w:asciiTheme="majorHAnsi" w:hAnsiTheme="majorHAnsi"/>
          <w:lang w:val="en-GB"/>
        </w:rPr>
        <w:t xml:space="preserve">his article has introduced a range of issues that will need to be addressed as the trend </w:t>
      </w:r>
      <w:r w:rsidR="00425722" w:rsidRPr="00201B92">
        <w:rPr>
          <w:rFonts w:asciiTheme="majorHAnsi" w:hAnsiTheme="majorHAnsi"/>
          <w:lang w:val="en-GB"/>
        </w:rPr>
        <w:t xml:space="preserve">for WSTT in workplaces </w:t>
      </w:r>
      <w:r w:rsidR="0080704C" w:rsidRPr="00201B92">
        <w:rPr>
          <w:rFonts w:asciiTheme="majorHAnsi" w:hAnsiTheme="majorHAnsi"/>
          <w:lang w:val="en-GB"/>
        </w:rPr>
        <w:t>continues and</w:t>
      </w:r>
      <w:r w:rsidR="004B40D6" w:rsidRPr="00201B92">
        <w:rPr>
          <w:rFonts w:asciiTheme="majorHAnsi" w:hAnsiTheme="majorHAnsi"/>
          <w:lang w:val="en-GB"/>
        </w:rPr>
        <w:t xml:space="preserve"> academic</w:t>
      </w:r>
      <w:r w:rsidR="0080704C" w:rsidRPr="00201B92">
        <w:rPr>
          <w:rFonts w:asciiTheme="majorHAnsi" w:hAnsiTheme="majorHAnsi"/>
          <w:lang w:val="en-GB"/>
        </w:rPr>
        <w:t xml:space="preserve"> researchers will need to take these into account.</w:t>
      </w:r>
      <w:r w:rsidR="00D2460F">
        <w:rPr>
          <w:rFonts w:asciiTheme="majorHAnsi" w:hAnsiTheme="majorHAnsi"/>
          <w:lang w:val="en-GB"/>
        </w:rPr>
        <w:t xml:space="preserve"> </w:t>
      </w:r>
      <w:r w:rsidR="00DE4BDD">
        <w:rPr>
          <w:rFonts w:asciiTheme="majorHAnsi" w:hAnsiTheme="majorHAnsi"/>
          <w:lang w:val="en-GB"/>
        </w:rPr>
        <w:t xml:space="preserve">Whether these technologies are simply part of a lineage of worker control methods (Upchurch, 2016) or something specifically different because of their increasing accessibility to physiological data (Moore and </w:t>
      </w:r>
      <w:proofErr w:type="spellStart"/>
      <w:r w:rsidR="00DE4BDD">
        <w:rPr>
          <w:rFonts w:asciiTheme="majorHAnsi" w:hAnsiTheme="majorHAnsi"/>
          <w:lang w:val="en-GB"/>
        </w:rPr>
        <w:t>Piwek</w:t>
      </w:r>
      <w:proofErr w:type="spellEnd"/>
      <w:r w:rsidR="00DE4BDD">
        <w:rPr>
          <w:rFonts w:asciiTheme="majorHAnsi" w:hAnsiTheme="majorHAnsi"/>
          <w:lang w:val="en-GB"/>
        </w:rPr>
        <w:t>, 2015) is to be determined. Nonetheless, f</w:t>
      </w:r>
      <w:r w:rsidR="00D2460F">
        <w:rPr>
          <w:rFonts w:asciiTheme="majorHAnsi" w:hAnsiTheme="majorHAnsi"/>
          <w:lang w:val="en-GB"/>
        </w:rPr>
        <w:t xml:space="preserve">urther issues will include the exacerbation of </w:t>
      </w:r>
      <w:r w:rsidR="00462630">
        <w:rPr>
          <w:rFonts w:asciiTheme="majorHAnsi" w:hAnsiTheme="majorHAnsi"/>
          <w:lang w:val="en-GB"/>
        </w:rPr>
        <w:t xml:space="preserve">workplace </w:t>
      </w:r>
      <w:r w:rsidR="00D2460F">
        <w:rPr>
          <w:rFonts w:asciiTheme="majorHAnsi" w:hAnsiTheme="majorHAnsi"/>
          <w:lang w:val="en-GB"/>
        </w:rPr>
        <w:t xml:space="preserve">surveillance </w:t>
      </w:r>
      <w:r w:rsidR="00F46502">
        <w:rPr>
          <w:rFonts w:asciiTheme="majorHAnsi" w:hAnsiTheme="majorHAnsi"/>
          <w:lang w:val="en-GB"/>
        </w:rPr>
        <w:t>(</w:t>
      </w:r>
      <w:r w:rsidR="003F3FCB">
        <w:rPr>
          <w:rFonts w:asciiTheme="majorHAnsi" w:hAnsiTheme="majorHAnsi"/>
          <w:lang w:val="en-GB"/>
        </w:rPr>
        <w:t xml:space="preserve">Otis </w:t>
      </w:r>
      <w:r w:rsidR="003F3FCB">
        <w:rPr>
          <w:rFonts w:asciiTheme="majorHAnsi" w:hAnsiTheme="majorHAnsi"/>
          <w:lang w:val="en-GB"/>
        </w:rPr>
        <w:lastRenderedPageBreak/>
        <w:t xml:space="preserve">and Zhao, 2016: 151; </w:t>
      </w:r>
      <w:r w:rsidR="00462630">
        <w:rPr>
          <w:rFonts w:asciiTheme="majorHAnsi" w:hAnsiTheme="majorHAnsi"/>
          <w:lang w:val="en-GB"/>
        </w:rPr>
        <w:t>Ball, 2010)</w:t>
      </w:r>
      <w:r w:rsidR="00F46502">
        <w:rPr>
          <w:rFonts w:asciiTheme="majorHAnsi" w:hAnsiTheme="majorHAnsi"/>
          <w:lang w:val="en-GB"/>
        </w:rPr>
        <w:t xml:space="preserve"> </w:t>
      </w:r>
      <w:r w:rsidR="00D2460F">
        <w:rPr>
          <w:rFonts w:asciiTheme="majorHAnsi" w:hAnsiTheme="majorHAnsi"/>
          <w:lang w:val="en-GB"/>
        </w:rPr>
        <w:t xml:space="preserve">paired with new ‘freedoms’ to work wherever and </w:t>
      </w:r>
      <w:r w:rsidR="00840F02">
        <w:rPr>
          <w:rFonts w:asciiTheme="majorHAnsi" w:hAnsiTheme="majorHAnsi"/>
          <w:lang w:val="en-GB"/>
        </w:rPr>
        <w:t xml:space="preserve">whenever </w:t>
      </w:r>
      <w:r w:rsidR="00D2460F">
        <w:rPr>
          <w:rFonts w:asciiTheme="majorHAnsi" w:hAnsiTheme="majorHAnsi"/>
          <w:lang w:val="en-GB"/>
        </w:rPr>
        <w:t>you want</w:t>
      </w:r>
      <w:r w:rsidR="0080704C" w:rsidRPr="00201B92">
        <w:rPr>
          <w:rFonts w:asciiTheme="majorHAnsi" w:hAnsiTheme="majorHAnsi"/>
          <w:lang w:val="en-GB"/>
        </w:rPr>
        <w:t xml:space="preserve"> </w:t>
      </w:r>
      <w:r w:rsidR="00D2460F">
        <w:rPr>
          <w:rFonts w:asciiTheme="majorHAnsi" w:hAnsiTheme="majorHAnsi"/>
          <w:lang w:val="en-GB"/>
        </w:rPr>
        <w:t xml:space="preserve">such as those recently provided by </w:t>
      </w:r>
      <w:proofErr w:type="spellStart"/>
      <w:r w:rsidR="00D2460F">
        <w:rPr>
          <w:rFonts w:asciiTheme="majorHAnsi" w:hAnsiTheme="majorHAnsi"/>
          <w:lang w:val="en-GB"/>
        </w:rPr>
        <w:t>Netflicks</w:t>
      </w:r>
      <w:proofErr w:type="spellEnd"/>
      <w:r w:rsidR="00D2460F">
        <w:rPr>
          <w:rFonts w:asciiTheme="majorHAnsi" w:hAnsiTheme="majorHAnsi"/>
          <w:lang w:val="en-GB"/>
        </w:rPr>
        <w:t>, where workers have been given the go ahead to take a holiday at any point for any length of time, paired with unlimited paternity and maternity leave</w:t>
      </w:r>
      <w:r w:rsidR="00D2460F" w:rsidRPr="00751CEF">
        <w:rPr>
          <w:color w:val="000000" w:themeColor="text1"/>
        </w:rPr>
        <w:t xml:space="preserve"> </w:t>
      </w:r>
      <w:r w:rsidR="00D2460F" w:rsidRPr="00D2460F">
        <w:rPr>
          <w:rFonts w:asciiTheme="majorHAnsi" w:hAnsiTheme="majorHAnsi"/>
          <w:lang w:val="en-GB"/>
        </w:rPr>
        <w:t>(</w:t>
      </w:r>
      <w:proofErr w:type="spellStart"/>
      <w:r w:rsidR="00D2460F" w:rsidRPr="00D2460F">
        <w:rPr>
          <w:rFonts w:asciiTheme="majorHAnsi" w:hAnsiTheme="majorHAnsi"/>
          <w:lang w:val="en-GB"/>
        </w:rPr>
        <w:t>Olanoff</w:t>
      </w:r>
      <w:proofErr w:type="spellEnd"/>
      <w:r w:rsidR="00D2460F" w:rsidRPr="00D2460F">
        <w:rPr>
          <w:rFonts w:asciiTheme="majorHAnsi" w:hAnsiTheme="majorHAnsi"/>
          <w:lang w:val="en-GB"/>
        </w:rPr>
        <w:t>, 2015).</w:t>
      </w:r>
      <w:r w:rsidR="00D2460F">
        <w:rPr>
          <w:rFonts w:asciiTheme="majorHAnsi" w:hAnsiTheme="majorHAnsi"/>
          <w:lang w:val="en-GB"/>
        </w:rPr>
        <w:t xml:space="preserve"> Furthermore, a</w:t>
      </w:r>
      <w:r w:rsidR="0080704C" w:rsidRPr="00201B92">
        <w:rPr>
          <w:rFonts w:asciiTheme="majorHAnsi" w:hAnsiTheme="majorHAnsi"/>
          <w:lang w:val="en-GB"/>
        </w:rPr>
        <w:t>s employees generate increasing amounts of</w:t>
      </w:r>
      <w:r w:rsidR="00E97677">
        <w:rPr>
          <w:rFonts w:asciiTheme="majorHAnsi" w:hAnsiTheme="majorHAnsi"/>
          <w:lang w:val="en-GB"/>
        </w:rPr>
        <w:t xml:space="preserve"> health and productivity</w:t>
      </w:r>
      <w:r w:rsidR="0080704C" w:rsidRPr="00201B92">
        <w:rPr>
          <w:rFonts w:asciiTheme="majorHAnsi" w:hAnsiTheme="majorHAnsi"/>
          <w:lang w:val="en-GB"/>
        </w:rPr>
        <w:t xml:space="preserve"> data</w:t>
      </w:r>
      <w:r w:rsidR="00462630">
        <w:rPr>
          <w:rFonts w:asciiTheme="majorHAnsi" w:hAnsiTheme="majorHAnsi"/>
          <w:lang w:val="en-GB"/>
        </w:rPr>
        <w:t xml:space="preserve"> in most cases without any extra pay for the activities that generate data (Till, 2014)</w:t>
      </w:r>
      <w:r w:rsidR="0080704C" w:rsidRPr="00201B92">
        <w:rPr>
          <w:rFonts w:asciiTheme="majorHAnsi" w:hAnsiTheme="majorHAnsi"/>
          <w:lang w:val="en-GB"/>
        </w:rPr>
        <w:t xml:space="preserve">, companies providing the means to do </w:t>
      </w:r>
      <w:r w:rsidR="004B40D6" w:rsidRPr="00201B92">
        <w:rPr>
          <w:rFonts w:asciiTheme="majorHAnsi" w:hAnsiTheme="majorHAnsi"/>
          <w:lang w:val="en-GB"/>
        </w:rPr>
        <w:t xml:space="preserve">so </w:t>
      </w:r>
      <w:r w:rsidR="0080704C" w:rsidRPr="00201B92">
        <w:rPr>
          <w:rFonts w:asciiTheme="majorHAnsi" w:hAnsiTheme="majorHAnsi"/>
          <w:lang w:val="en-GB"/>
        </w:rPr>
        <w:t xml:space="preserve">may be increasingly </w:t>
      </w:r>
      <w:r w:rsidR="00D2460F">
        <w:rPr>
          <w:rFonts w:asciiTheme="majorHAnsi" w:hAnsiTheme="majorHAnsi"/>
          <w:lang w:val="en-GB"/>
        </w:rPr>
        <w:t>investigated</w:t>
      </w:r>
      <w:r w:rsidR="00840F02">
        <w:rPr>
          <w:rFonts w:asciiTheme="majorHAnsi" w:hAnsiTheme="majorHAnsi"/>
          <w:lang w:val="en-GB"/>
        </w:rPr>
        <w:t xml:space="preserve"> </w:t>
      </w:r>
      <w:r w:rsidR="0080704C" w:rsidRPr="00201B92">
        <w:rPr>
          <w:rFonts w:asciiTheme="majorHAnsi" w:hAnsiTheme="majorHAnsi"/>
          <w:lang w:val="en-GB"/>
        </w:rPr>
        <w:t>to avoid data protection violations and what may be considered ethically questionable activities.</w:t>
      </w:r>
      <w:r w:rsidR="00E97677">
        <w:rPr>
          <w:rFonts w:asciiTheme="majorHAnsi" w:hAnsiTheme="majorHAnsi"/>
          <w:lang w:val="en-GB"/>
        </w:rPr>
        <w:t xml:space="preserve"> </w:t>
      </w:r>
      <w:r w:rsidR="00D2460F">
        <w:rPr>
          <w:rFonts w:asciiTheme="majorHAnsi" w:hAnsiTheme="majorHAnsi"/>
          <w:lang w:val="en-GB"/>
        </w:rPr>
        <w:t>But if that happens,</w:t>
      </w:r>
      <w:r w:rsidR="00E97677">
        <w:rPr>
          <w:rFonts w:asciiTheme="majorHAnsi" w:hAnsiTheme="majorHAnsi"/>
          <w:lang w:val="en-GB"/>
        </w:rPr>
        <w:t xml:space="preserve"> questions </w:t>
      </w:r>
      <w:r w:rsidR="00425722" w:rsidRPr="00201B92">
        <w:rPr>
          <w:rFonts w:asciiTheme="majorHAnsi" w:hAnsiTheme="majorHAnsi"/>
          <w:lang w:val="en-GB"/>
        </w:rPr>
        <w:t>will emerge around the extent to which</w:t>
      </w:r>
      <w:r w:rsidR="0080704C" w:rsidRPr="00201B92">
        <w:rPr>
          <w:rFonts w:asciiTheme="majorHAnsi" w:hAnsiTheme="majorHAnsi"/>
          <w:lang w:val="en-GB"/>
        </w:rPr>
        <w:t xml:space="preserve"> legal </w:t>
      </w:r>
      <w:r w:rsidR="004B40D6" w:rsidRPr="00201B92">
        <w:rPr>
          <w:rFonts w:asciiTheme="majorHAnsi" w:hAnsiTheme="majorHAnsi"/>
          <w:lang w:val="en-GB"/>
        </w:rPr>
        <w:t>regulation could</w:t>
      </w:r>
      <w:r w:rsidR="0080704C" w:rsidRPr="00201B92">
        <w:rPr>
          <w:rFonts w:asciiTheme="majorHAnsi" w:hAnsiTheme="majorHAnsi"/>
          <w:lang w:val="en-GB"/>
        </w:rPr>
        <w:t xml:space="preserve"> lead </w:t>
      </w:r>
      <w:r w:rsidR="004B40D6" w:rsidRPr="00201B92">
        <w:rPr>
          <w:rFonts w:asciiTheme="majorHAnsi" w:hAnsiTheme="majorHAnsi"/>
          <w:lang w:val="en-GB"/>
        </w:rPr>
        <w:t>to obstacles to innovation of work design</w:t>
      </w:r>
      <w:r w:rsidR="00462630">
        <w:rPr>
          <w:rFonts w:asciiTheme="majorHAnsi" w:hAnsiTheme="majorHAnsi"/>
          <w:lang w:val="en-GB"/>
        </w:rPr>
        <w:t xml:space="preserve">. </w:t>
      </w:r>
    </w:p>
    <w:p w14:paraId="0D3781B0" w14:textId="77777777" w:rsidR="00D2460F" w:rsidRDefault="00D2460F" w:rsidP="0080704C">
      <w:pPr>
        <w:rPr>
          <w:rFonts w:asciiTheme="majorHAnsi" w:hAnsiTheme="majorHAnsi"/>
          <w:lang w:val="en-GB"/>
        </w:rPr>
      </w:pPr>
    </w:p>
    <w:p w14:paraId="2501F1AF" w14:textId="6B7EB9E5" w:rsidR="0080704C" w:rsidRPr="00D2460F" w:rsidRDefault="0080704C" w:rsidP="0080704C">
      <w:pPr>
        <w:rPr>
          <w:rFonts w:asciiTheme="majorHAnsi" w:hAnsiTheme="majorHAnsi"/>
          <w:lang w:val="en-GB"/>
        </w:rPr>
      </w:pPr>
      <w:r w:rsidRPr="00201B92">
        <w:rPr>
          <w:rFonts w:asciiTheme="majorHAnsi" w:hAnsiTheme="majorHAnsi"/>
          <w:lang w:val="en-GB"/>
        </w:rPr>
        <w:t xml:space="preserve">At a micro-level, </w:t>
      </w:r>
      <w:r w:rsidR="004B40D6" w:rsidRPr="00201B92">
        <w:rPr>
          <w:rFonts w:asciiTheme="majorHAnsi" w:hAnsiTheme="majorHAnsi"/>
          <w:lang w:val="en-GB"/>
        </w:rPr>
        <w:t xml:space="preserve">there are specific </w:t>
      </w:r>
      <w:r w:rsidRPr="00201B92">
        <w:rPr>
          <w:rFonts w:asciiTheme="majorHAnsi" w:hAnsiTheme="majorHAnsi"/>
          <w:lang w:val="en-GB"/>
        </w:rPr>
        <w:t>features of contemporary everyday life that have led to a drive toward personalised health care, self</w:t>
      </w:r>
      <w:r w:rsidR="004B40D6" w:rsidRPr="00201B92">
        <w:rPr>
          <w:rFonts w:asciiTheme="majorHAnsi" w:hAnsiTheme="majorHAnsi"/>
          <w:lang w:val="en-GB"/>
        </w:rPr>
        <w:t xml:space="preserve">-management and self-monitoring including the reduction </w:t>
      </w:r>
      <w:r w:rsidR="00425722" w:rsidRPr="00201B92">
        <w:rPr>
          <w:rFonts w:asciiTheme="majorHAnsi" w:hAnsiTheme="majorHAnsi"/>
          <w:lang w:val="en-GB"/>
        </w:rPr>
        <w:t>of public money for health care</w:t>
      </w:r>
      <w:r w:rsidR="00F46502">
        <w:rPr>
          <w:rFonts w:asciiTheme="majorHAnsi" w:hAnsiTheme="majorHAnsi"/>
          <w:lang w:val="en-GB"/>
        </w:rPr>
        <w:t>. This</w:t>
      </w:r>
      <w:r w:rsidR="004B40D6" w:rsidRPr="00201B92">
        <w:rPr>
          <w:rFonts w:asciiTheme="majorHAnsi" w:hAnsiTheme="majorHAnsi"/>
          <w:lang w:val="en-GB"/>
        </w:rPr>
        <w:t xml:space="preserve"> </w:t>
      </w:r>
      <w:r w:rsidR="00462630">
        <w:rPr>
          <w:rFonts w:asciiTheme="majorHAnsi" w:hAnsiTheme="majorHAnsi"/>
          <w:lang w:val="en-GB"/>
        </w:rPr>
        <w:t xml:space="preserve">is </w:t>
      </w:r>
      <w:r w:rsidR="004B40D6" w:rsidRPr="00201B92">
        <w:rPr>
          <w:rFonts w:asciiTheme="majorHAnsi" w:hAnsiTheme="majorHAnsi"/>
          <w:lang w:val="en-GB"/>
        </w:rPr>
        <w:t xml:space="preserve">badly timed as people are finding work increasingly stressful and are feeling forced to take time off in response. </w:t>
      </w:r>
      <w:r w:rsidR="00D00705" w:rsidRPr="00201B92">
        <w:rPr>
          <w:rFonts w:asciiTheme="majorHAnsi" w:hAnsiTheme="majorHAnsi"/>
          <w:lang w:val="en-GB"/>
        </w:rPr>
        <w:t xml:space="preserve">People may feel that their opportunities for making intentional choices around self-disclosure and privacy in ever-shifting boundaries of workplaces are becoming increasingly rare as ‘fine print’ and conditions for workplace behavioural initiatives become ever more opaque. </w:t>
      </w:r>
      <w:r w:rsidRPr="00201B92">
        <w:rPr>
          <w:rFonts w:asciiTheme="majorHAnsi" w:hAnsiTheme="majorHAnsi"/>
          <w:lang w:val="en-GB"/>
        </w:rPr>
        <w:t xml:space="preserve">Research is needed that operates at the interface between </w:t>
      </w:r>
      <w:r w:rsidRPr="00950EA6">
        <w:rPr>
          <w:rFonts w:asciiTheme="majorHAnsi" w:hAnsiTheme="majorHAnsi"/>
          <w:lang w:val="en-GB"/>
        </w:rPr>
        <w:t xml:space="preserve">social and </w:t>
      </w:r>
      <w:r w:rsidR="00950EA6" w:rsidRPr="00CF633C">
        <w:rPr>
          <w:rFonts w:asciiTheme="majorHAnsi" w:hAnsiTheme="majorHAnsi"/>
          <w:lang w:val="en-GB"/>
        </w:rPr>
        <w:t xml:space="preserve">natural </w:t>
      </w:r>
      <w:r w:rsidRPr="00950EA6">
        <w:rPr>
          <w:rFonts w:asciiTheme="majorHAnsi" w:hAnsiTheme="majorHAnsi"/>
          <w:lang w:val="en-GB"/>
        </w:rPr>
        <w:t>scientific disciplines</w:t>
      </w:r>
      <w:r w:rsidR="00425722" w:rsidRPr="00201B92">
        <w:rPr>
          <w:rFonts w:asciiTheme="majorHAnsi" w:hAnsiTheme="majorHAnsi"/>
          <w:lang w:val="en-GB"/>
        </w:rPr>
        <w:t xml:space="preserve"> and can navigate a range of theoretical approaches</w:t>
      </w:r>
      <w:r w:rsidRPr="00201B92">
        <w:rPr>
          <w:rFonts w:asciiTheme="majorHAnsi" w:hAnsiTheme="majorHAnsi"/>
          <w:lang w:val="en-GB"/>
        </w:rPr>
        <w:t xml:space="preserve">, looking critically at the consequences and </w:t>
      </w:r>
      <w:r w:rsidR="00D00705" w:rsidRPr="00201B92">
        <w:rPr>
          <w:rFonts w:asciiTheme="majorHAnsi" w:hAnsiTheme="majorHAnsi"/>
          <w:lang w:val="en-GB"/>
        </w:rPr>
        <w:t xml:space="preserve">the </w:t>
      </w:r>
      <w:r w:rsidRPr="00201B92">
        <w:rPr>
          <w:rFonts w:asciiTheme="majorHAnsi" w:hAnsiTheme="majorHAnsi"/>
          <w:lang w:val="en-GB"/>
        </w:rPr>
        <w:t xml:space="preserve">dark side </w:t>
      </w:r>
      <w:r w:rsidR="00D00705" w:rsidRPr="00201B92">
        <w:rPr>
          <w:rFonts w:asciiTheme="majorHAnsi" w:hAnsiTheme="majorHAnsi"/>
          <w:lang w:val="en-GB"/>
        </w:rPr>
        <w:t>of the use of WSTT in workplaces for behavio</w:t>
      </w:r>
      <w:r w:rsidR="00D2460F">
        <w:rPr>
          <w:rFonts w:asciiTheme="majorHAnsi" w:hAnsiTheme="majorHAnsi"/>
          <w:lang w:val="en-GB"/>
        </w:rPr>
        <w:t>u</w:t>
      </w:r>
      <w:r w:rsidR="00D00705" w:rsidRPr="00201B92">
        <w:rPr>
          <w:rFonts w:asciiTheme="majorHAnsi" w:hAnsiTheme="majorHAnsi"/>
          <w:lang w:val="en-GB"/>
        </w:rPr>
        <w:t xml:space="preserve">r </w:t>
      </w:r>
      <w:r w:rsidR="00514642">
        <w:rPr>
          <w:rFonts w:asciiTheme="majorHAnsi" w:hAnsiTheme="majorHAnsi"/>
          <w:lang w:val="en-GB"/>
        </w:rPr>
        <w:t>regulation within the ‘brave new’ quantified workplace.</w:t>
      </w:r>
      <w:r w:rsidR="00D00705" w:rsidRPr="00201B92">
        <w:rPr>
          <w:rFonts w:asciiTheme="majorHAnsi" w:eastAsia="Times New Roman" w:hAnsiTheme="majorHAnsi" w:cs="Times"/>
        </w:rPr>
        <w:t xml:space="preserve"> </w:t>
      </w:r>
      <w:r w:rsidRPr="00201B92">
        <w:rPr>
          <w:rFonts w:asciiTheme="majorHAnsi" w:eastAsia="Times New Roman" w:hAnsiTheme="majorHAnsi" w:cs="Times"/>
        </w:rPr>
        <w:t xml:space="preserve"> </w:t>
      </w:r>
    </w:p>
    <w:p w14:paraId="08B1091A" w14:textId="77777777" w:rsidR="0080704C" w:rsidRPr="00201B92" w:rsidRDefault="0080704C" w:rsidP="0080704C">
      <w:pPr>
        <w:rPr>
          <w:rFonts w:asciiTheme="majorHAnsi" w:hAnsiTheme="majorHAnsi"/>
        </w:rPr>
      </w:pPr>
    </w:p>
    <w:p w14:paraId="68F8C3A5" w14:textId="77777777" w:rsidR="00047A72" w:rsidRPr="00201B92" w:rsidRDefault="00047A72" w:rsidP="00445D3E">
      <w:pPr>
        <w:jc w:val="both"/>
        <w:rPr>
          <w:rFonts w:asciiTheme="majorHAnsi" w:hAnsiTheme="majorHAnsi"/>
          <w:b/>
          <w:lang w:val="en-GB"/>
        </w:rPr>
      </w:pPr>
    </w:p>
    <w:p w14:paraId="2A72F0F4" w14:textId="169290BE" w:rsidR="00781AE0" w:rsidRPr="00201B92" w:rsidRDefault="00781AE0" w:rsidP="00445D3E">
      <w:pPr>
        <w:jc w:val="both"/>
        <w:rPr>
          <w:rFonts w:asciiTheme="majorHAnsi" w:hAnsiTheme="majorHAnsi"/>
          <w:b/>
          <w:lang w:val="en-GB"/>
        </w:rPr>
      </w:pPr>
      <w:r w:rsidRPr="00201B92">
        <w:rPr>
          <w:rFonts w:asciiTheme="majorHAnsi" w:hAnsiTheme="majorHAnsi"/>
          <w:b/>
          <w:lang w:val="en-GB"/>
        </w:rPr>
        <w:t>References</w:t>
      </w:r>
    </w:p>
    <w:p w14:paraId="7A8F2C93" w14:textId="77777777" w:rsidR="00047A72" w:rsidRPr="00201B92" w:rsidRDefault="00047A72" w:rsidP="00097DAD">
      <w:pPr>
        <w:rPr>
          <w:rFonts w:asciiTheme="majorHAnsi" w:hAnsiTheme="majorHAnsi"/>
        </w:rPr>
      </w:pPr>
    </w:p>
    <w:p w14:paraId="7967FE2A" w14:textId="3E849977" w:rsidR="00F009A2" w:rsidRPr="00CF633C" w:rsidRDefault="00D71CB0" w:rsidP="00CF633C">
      <w:pPr>
        <w:pStyle w:val="Heading1"/>
        <w:spacing w:line="240" w:lineRule="auto"/>
        <w:ind w:left="425" w:hanging="425"/>
        <w:contextualSpacing/>
        <w:rPr>
          <w:rFonts w:cs="Times New Roman"/>
          <w:bCs w:val="0"/>
          <w:sz w:val="24"/>
          <w:szCs w:val="24"/>
        </w:rPr>
      </w:pPr>
      <w:r w:rsidRPr="00441F68">
        <w:rPr>
          <w:rFonts w:eastAsiaTheme="minorEastAsia" w:cs="Times New Roman"/>
          <w:b w:val="0"/>
          <w:bCs w:val="0"/>
          <w:kern w:val="0"/>
          <w:sz w:val="24"/>
          <w:szCs w:val="24"/>
        </w:rPr>
        <w:t>ABI (Allied Business Research</w:t>
      </w:r>
      <w:r w:rsidR="00441F68" w:rsidRPr="00441F68">
        <w:rPr>
          <w:rFonts w:eastAsiaTheme="minorEastAsia" w:cs="Times New Roman"/>
          <w:b w:val="0"/>
          <w:bCs w:val="0"/>
          <w:kern w:val="0"/>
          <w:sz w:val="24"/>
          <w:szCs w:val="24"/>
        </w:rPr>
        <w:t xml:space="preserve">) (2013), </w:t>
      </w:r>
      <w:r w:rsidR="00441F68">
        <w:rPr>
          <w:rFonts w:eastAsiaTheme="minorEastAsia" w:cs="Times New Roman"/>
          <w:b w:val="0"/>
          <w:bCs w:val="0"/>
          <w:kern w:val="0"/>
          <w:sz w:val="24"/>
          <w:szCs w:val="24"/>
        </w:rPr>
        <w:t>‘</w:t>
      </w:r>
      <w:r w:rsidR="00441F68" w:rsidRPr="00CF633C">
        <w:rPr>
          <w:rFonts w:eastAsiaTheme="minorEastAsia" w:cs="Times New Roman"/>
          <w:b w:val="0"/>
          <w:bCs w:val="0"/>
          <w:kern w:val="0"/>
          <w:sz w:val="24"/>
          <w:szCs w:val="24"/>
        </w:rPr>
        <w:t>Corporate Wellness is a 13 Million Unit Wearable Wireless Device Opportunity</w:t>
      </w:r>
      <w:r w:rsidR="00441F68">
        <w:rPr>
          <w:rFonts w:eastAsiaTheme="minorEastAsia" w:cs="Times New Roman"/>
          <w:b w:val="0"/>
          <w:bCs w:val="0"/>
          <w:kern w:val="0"/>
          <w:sz w:val="24"/>
          <w:szCs w:val="24"/>
        </w:rPr>
        <w:t>’ 25</w:t>
      </w:r>
      <w:r w:rsidR="00441F68" w:rsidRPr="00CF633C">
        <w:rPr>
          <w:rFonts w:eastAsiaTheme="minorEastAsia" w:cs="Times New Roman"/>
          <w:b w:val="0"/>
          <w:bCs w:val="0"/>
          <w:kern w:val="0"/>
          <w:sz w:val="24"/>
          <w:szCs w:val="24"/>
          <w:vertAlign w:val="superscript"/>
        </w:rPr>
        <w:t>th</w:t>
      </w:r>
      <w:r w:rsidR="00441F68">
        <w:rPr>
          <w:rFonts w:eastAsiaTheme="minorEastAsia" w:cs="Times New Roman"/>
          <w:b w:val="0"/>
          <w:bCs w:val="0"/>
          <w:kern w:val="0"/>
          <w:sz w:val="24"/>
          <w:szCs w:val="24"/>
        </w:rPr>
        <w:t xml:space="preserve"> September 2013</w:t>
      </w:r>
      <w:r w:rsidRPr="00F009A2">
        <w:rPr>
          <w:b w:val="0"/>
          <w:sz w:val="24"/>
          <w:szCs w:val="24"/>
        </w:rPr>
        <w:t xml:space="preserve"> </w:t>
      </w:r>
      <w:hyperlink r:id="rId5" w:history="1">
        <w:r w:rsidR="00441F68" w:rsidRPr="00CF633C">
          <w:rPr>
            <w:rFonts w:eastAsiaTheme="minorEastAsia" w:cs="Times New Roman"/>
            <w:b w:val="0"/>
            <w:bCs w:val="0"/>
            <w:kern w:val="0"/>
            <w:sz w:val="24"/>
            <w:szCs w:val="24"/>
          </w:rPr>
          <w:t>https://www.abiresearch.com/press/corporate-wellness-is-a-13-million-unit-wearable-w/</w:t>
        </w:r>
      </w:hyperlink>
    </w:p>
    <w:p w14:paraId="5BAAB23C" w14:textId="00122D73" w:rsidR="00F009A2" w:rsidRPr="00CF633C" w:rsidRDefault="00F009A2" w:rsidP="00CF633C">
      <w:pPr>
        <w:ind w:left="426" w:hanging="426"/>
        <w:rPr>
          <w:rFonts w:asciiTheme="majorHAnsi" w:eastAsia="Times New Roman" w:hAnsiTheme="majorHAnsi"/>
        </w:rPr>
      </w:pPr>
      <w:r w:rsidRPr="00CF633C">
        <w:rPr>
          <w:rFonts w:asciiTheme="majorHAnsi" w:eastAsia="Times New Roman" w:hAnsiTheme="majorHAnsi"/>
        </w:rPr>
        <w:t xml:space="preserve">Aiello, J. R. (1993), </w:t>
      </w:r>
      <w:r>
        <w:rPr>
          <w:rFonts w:asciiTheme="majorHAnsi" w:eastAsia="Times New Roman" w:hAnsiTheme="majorHAnsi"/>
        </w:rPr>
        <w:t>‘</w:t>
      </w:r>
      <w:r w:rsidRPr="00CF633C">
        <w:rPr>
          <w:rFonts w:asciiTheme="majorHAnsi" w:eastAsia="Times New Roman" w:hAnsiTheme="majorHAnsi"/>
        </w:rPr>
        <w:t>Computer-Based Work Monitoring: Electron</w:t>
      </w:r>
      <w:r w:rsidRPr="00F009A2">
        <w:rPr>
          <w:rFonts w:asciiTheme="majorHAnsi" w:eastAsia="Times New Roman" w:hAnsiTheme="majorHAnsi"/>
        </w:rPr>
        <w:t>ic Surveillance and Its Effects</w:t>
      </w:r>
      <w:r>
        <w:rPr>
          <w:rFonts w:asciiTheme="majorHAnsi" w:eastAsia="Times New Roman" w:hAnsiTheme="majorHAnsi"/>
        </w:rPr>
        <w:t>’</w:t>
      </w:r>
      <w:r w:rsidRPr="00CF633C">
        <w:rPr>
          <w:rFonts w:asciiTheme="majorHAnsi" w:eastAsia="Times New Roman" w:hAnsiTheme="majorHAnsi"/>
        </w:rPr>
        <w:t xml:space="preserve"> </w:t>
      </w:r>
      <w:r w:rsidRPr="00CF633C">
        <w:rPr>
          <w:rFonts w:asciiTheme="majorHAnsi" w:eastAsia="Times New Roman" w:hAnsiTheme="majorHAnsi"/>
          <w:i/>
        </w:rPr>
        <w:t>Journal of Applied Social Psychology</w:t>
      </w:r>
      <w:r w:rsidRPr="00CF633C">
        <w:rPr>
          <w:rFonts w:asciiTheme="majorHAnsi" w:eastAsia="Times New Roman" w:hAnsiTheme="majorHAnsi"/>
        </w:rPr>
        <w:t xml:space="preserve">, </w:t>
      </w:r>
      <w:r>
        <w:rPr>
          <w:rFonts w:asciiTheme="majorHAnsi" w:eastAsia="Times New Roman" w:hAnsiTheme="majorHAnsi"/>
        </w:rPr>
        <w:t xml:space="preserve">Vol. </w:t>
      </w:r>
      <w:r w:rsidRPr="00F009A2">
        <w:rPr>
          <w:rFonts w:asciiTheme="majorHAnsi" w:eastAsia="Times New Roman" w:hAnsiTheme="majorHAnsi"/>
        </w:rPr>
        <w:t>23, pp.</w:t>
      </w:r>
      <w:r w:rsidRPr="00CF633C">
        <w:rPr>
          <w:rFonts w:asciiTheme="majorHAnsi" w:eastAsia="Times New Roman" w:hAnsiTheme="majorHAnsi"/>
        </w:rPr>
        <w:t xml:space="preserve"> 499–507. </w:t>
      </w:r>
    </w:p>
    <w:p w14:paraId="000032C4" w14:textId="77777777" w:rsidR="00F009A2" w:rsidRDefault="00F009A2" w:rsidP="00047A72">
      <w:pPr>
        <w:ind w:left="426" w:hanging="426"/>
        <w:rPr>
          <w:rFonts w:ascii="Calibri" w:hAnsi="Calibri" w:cs="Calibri"/>
          <w:bCs/>
          <w:color w:val="0000E9"/>
          <w:sz w:val="26"/>
          <w:szCs w:val="26"/>
          <w:u w:val="single" w:color="0000E9"/>
        </w:rPr>
      </w:pPr>
    </w:p>
    <w:p w14:paraId="1DD9BA82" w14:textId="1FFE49F5" w:rsidR="00256BF7" w:rsidRPr="00CF633C" w:rsidRDefault="00256BF7" w:rsidP="00047A72">
      <w:pPr>
        <w:ind w:left="426" w:hanging="426"/>
        <w:rPr>
          <w:rFonts w:asciiTheme="majorHAnsi" w:eastAsia="Times New Roman" w:hAnsiTheme="majorHAnsi"/>
        </w:rPr>
      </w:pPr>
      <w:proofErr w:type="spellStart"/>
      <w:r w:rsidRPr="00CF633C">
        <w:rPr>
          <w:rFonts w:asciiTheme="majorHAnsi" w:eastAsia="Times New Roman" w:hAnsiTheme="majorHAnsi"/>
        </w:rPr>
        <w:t>Ajana</w:t>
      </w:r>
      <w:proofErr w:type="spellEnd"/>
      <w:r w:rsidRPr="00CF633C">
        <w:rPr>
          <w:rFonts w:asciiTheme="majorHAnsi" w:eastAsia="Times New Roman" w:hAnsiTheme="majorHAnsi"/>
        </w:rPr>
        <w:t xml:space="preserve">, B. (2010), ‘Recombinant Identities: Biometrics and Narrative Bioethics’, </w:t>
      </w:r>
      <w:r w:rsidRPr="00CF633C">
        <w:rPr>
          <w:rFonts w:asciiTheme="majorHAnsi" w:eastAsia="Times New Roman" w:hAnsiTheme="majorHAnsi"/>
          <w:i/>
        </w:rPr>
        <w:t>Journal of Bioethical Inquiry</w:t>
      </w:r>
      <w:r w:rsidRPr="00CF633C">
        <w:rPr>
          <w:rFonts w:asciiTheme="majorHAnsi" w:eastAsia="Times New Roman" w:hAnsiTheme="majorHAnsi"/>
        </w:rPr>
        <w:t>, Vol. 7 No. 2, pp.237–258.</w:t>
      </w:r>
    </w:p>
    <w:p w14:paraId="44D4D947" w14:textId="77777777" w:rsidR="00256BF7" w:rsidRPr="00CF633C" w:rsidRDefault="00256BF7" w:rsidP="00047A72">
      <w:pPr>
        <w:ind w:left="426" w:hanging="426"/>
        <w:rPr>
          <w:rFonts w:asciiTheme="majorHAnsi" w:eastAsia="Times New Roman" w:hAnsiTheme="majorHAnsi"/>
        </w:rPr>
      </w:pPr>
    </w:p>
    <w:p w14:paraId="78C4B450" w14:textId="445E8D28" w:rsidR="002A00B3" w:rsidRPr="00CF633C" w:rsidRDefault="002A00B3" w:rsidP="00CF633C">
      <w:pPr>
        <w:ind w:left="426" w:hanging="426"/>
        <w:rPr>
          <w:rFonts w:ascii="Calibri" w:hAnsi="Calibri" w:cs="Calibri"/>
          <w:bCs/>
          <w:color w:val="0000E9"/>
          <w:u w:val="single" w:color="0000E9"/>
        </w:rPr>
      </w:pPr>
      <w:r w:rsidRPr="00CF633C">
        <w:rPr>
          <w:rFonts w:asciiTheme="majorHAnsi" w:eastAsia="Times New Roman" w:hAnsiTheme="majorHAnsi"/>
        </w:rPr>
        <w:t xml:space="preserve">Alexander, M. and </w:t>
      </w:r>
      <w:proofErr w:type="spellStart"/>
      <w:r w:rsidRPr="00CF633C">
        <w:rPr>
          <w:rFonts w:asciiTheme="majorHAnsi" w:eastAsia="Times New Roman" w:hAnsiTheme="majorHAnsi"/>
        </w:rPr>
        <w:t>Wa</w:t>
      </w:r>
      <w:bookmarkStart w:id="0" w:name="_GoBack"/>
      <w:bookmarkEnd w:id="0"/>
      <w:r w:rsidRPr="00CF633C">
        <w:rPr>
          <w:rFonts w:asciiTheme="majorHAnsi" w:eastAsia="Times New Roman" w:hAnsiTheme="majorHAnsi"/>
        </w:rPr>
        <w:t>lkenbach</w:t>
      </w:r>
      <w:proofErr w:type="spellEnd"/>
      <w:r w:rsidRPr="00CF633C">
        <w:rPr>
          <w:rFonts w:asciiTheme="majorHAnsi" w:eastAsia="Times New Roman" w:hAnsiTheme="majorHAnsi"/>
        </w:rPr>
        <w:t xml:space="preserve">, J. (2010), </w:t>
      </w:r>
      <w:r w:rsidRPr="00CF633C">
        <w:rPr>
          <w:rFonts w:asciiTheme="majorHAnsi" w:eastAsia="Times New Roman" w:hAnsiTheme="majorHAnsi"/>
          <w:i/>
        </w:rPr>
        <w:t>Excel Dashboards and Reports</w:t>
      </w:r>
      <w:r w:rsidRPr="00CF633C">
        <w:rPr>
          <w:rFonts w:asciiTheme="majorHAnsi" w:eastAsia="Times New Roman" w:hAnsiTheme="majorHAnsi"/>
        </w:rPr>
        <w:t xml:space="preserve"> NY: Wiley.</w:t>
      </w:r>
    </w:p>
    <w:p w14:paraId="2D465A39" w14:textId="77777777" w:rsidR="002A00B3" w:rsidRDefault="002A00B3" w:rsidP="00047A72">
      <w:pPr>
        <w:ind w:left="426" w:hanging="426"/>
        <w:rPr>
          <w:rFonts w:asciiTheme="majorHAnsi" w:hAnsiTheme="majorHAnsi"/>
        </w:rPr>
      </w:pPr>
    </w:p>
    <w:p w14:paraId="1D37B75B" w14:textId="1C6287CD" w:rsidR="00047A72" w:rsidRDefault="00047A72" w:rsidP="00047A72">
      <w:pPr>
        <w:ind w:left="426" w:hanging="426"/>
        <w:rPr>
          <w:rFonts w:asciiTheme="majorHAnsi" w:hAnsiTheme="majorHAnsi"/>
        </w:rPr>
      </w:pPr>
      <w:proofErr w:type="spellStart"/>
      <w:r w:rsidRPr="00201B92">
        <w:rPr>
          <w:rFonts w:asciiTheme="majorHAnsi" w:hAnsiTheme="majorHAnsi"/>
        </w:rPr>
        <w:t>Armerding</w:t>
      </w:r>
      <w:proofErr w:type="spellEnd"/>
      <w:r w:rsidRPr="00201B92">
        <w:rPr>
          <w:rFonts w:asciiTheme="majorHAnsi" w:hAnsiTheme="majorHAnsi"/>
        </w:rPr>
        <w:t xml:space="preserve">, T. (2013), ‘Can the New RIPAA Rule Cut PHI Breaches?’ CIO 8th November 2013 </w:t>
      </w:r>
      <w:hyperlink r:id="rId6" w:history="1">
        <w:r w:rsidR="00514642" w:rsidRPr="008E389C">
          <w:rPr>
            <w:rStyle w:val="Hyperlink"/>
            <w:rFonts w:asciiTheme="majorHAnsi" w:hAnsiTheme="majorHAnsi"/>
          </w:rPr>
          <w:t>http://www.cio.com/article/2381042/data-protection/can-the-new-hipaa-rule-cut-phi-breaches.html</w:t>
        </w:r>
      </w:hyperlink>
    </w:p>
    <w:p w14:paraId="7A79B0BF" w14:textId="77777777" w:rsidR="00514642" w:rsidRPr="00201B92" w:rsidRDefault="00514642" w:rsidP="00047A72">
      <w:pPr>
        <w:ind w:left="426" w:hanging="426"/>
        <w:rPr>
          <w:rFonts w:asciiTheme="majorHAnsi" w:hAnsiTheme="majorHAnsi"/>
        </w:rPr>
      </w:pPr>
    </w:p>
    <w:p w14:paraId="28338EE1" w14:textId="2F77EA14" w:rsidR="00195B2E" w:rsidRPr="00CF633C" w:rsidRDefault="00195B2E" w:rsidP="00CF633C">
      <w:pPr>
        <w:ind w:left="426" w:hanging="426"/>
        <w:rPr>
          <w:rStyle w:val="NoneA"/>
          <w:rFonts w:asciiTheme="majorHAnsi" w:hAnsiTheme="majorHAnsi" w:cs="Arial Unicode MS"/>
          <w:color w:val="313131"/>
          <w:u w:color="313131"/>
          <w:bdr w:val="nil"/>
        </w:rPr>
      </w:pPr>
      <w:r w:rsidRPr="00CF633C">
        <w:rPr>
          <w:rStyle w:val="NoneA"/>
          <w:rFonts w:asciiTheme="majorHAnsi" w:hAnsiTheme="majorHAnsi" w:cs="Arial Unicode MS"/>
          <w:color w:val="313131"/>
          <w:u w:color="313131"/>
          <w:bdr w:val="nil"/>
        </w:rPr>
        <w:t>Ball, K. (2010) ‘Workplace Surveillance: An Overview’</w:t>
      </w:r>
      <w:r w:rsidRPr="00195B2E">
        <w:rPr>
          <w:rStyle w:val="NoneA"/>
          <w:rFonts w:asciiTheme="majorHAnsi" w:hAnsiTheme="majorHAnsi" w:cs="Arial Unicode MS"/>
          <w:color w:val="313131"/>
          <w:u w:color="313131"/>
          <w:bdr w:val="nil"/>
        </w:rPr>
        <w:t>,</w:t>
      </w:r>
      <w:r w:rsidRPr="00CF633C">
        <w:rPr>
          <w:rStyle w:val="NoneA"/>
          <w:rFonts w:asciiTheme="majorHAnsi" w:hAnsiTheme="majorHAnsi" w:cs="Arial Unicode MS"/>
          <w:color w:val="313131"/>
          <w:u w:color="313131"/>
          <w:bdr w:val="nil"/>
        </w:rPr>
        <w:t xml:space="preserve"> </w:t>
      </w:r>
      <w:proofErr w:type="spellStart"/>
      <w:r w:rsidRPr="00CF633C">
        <w:rPr>
          <w:rStyle w:val="NoneA"/>
          <w:rFonts w:asciiTheme="majorHAnsi" w:hAnsiTheme="majorHAnsi" w:cs="Arial Unicode MS"/>
          <w:i/>
          <w:color w:val="313131"/>
          <w:u w:color="313131"/>
          <w:bdr w:val="nil"/>
        </w:rPr>
        <w:t>Labour</w:t>
      </w:r>
      <w:proofErr w:type="spellEnd"/>
      <w:r w:rsidRPr="00CF633C">
        <w:rPr>
          <w:rStyle w:val="NoneA"/>
          <w:rFonts w:asciiTheme="majorHAnsi" w:hAnsiTheme="majorHAnsi" w:cs="Arial Unicode MS"/>
          <w:i/>
          <w:color w:val="313131"/>
          <w:u w:color="313131"/>
          <w:bdr w:val="nil"/>
        </w:rPr>
        <w:t xml:space="preserve"> History</w:t>
      </w:r>
      <w:r w:rsidRPr="00CF633C">
        <w:rPr>
          <w:rStyle w:val="NoneA"/>
          <w:rFonts w:asciiTheme="majorHAnsi" w:hAnsiTheme="majorHAnsi" w:cs="Arial Unicode MS"/>
          <w:color w:val="313131"/>
          <w:u w:color="313131"/>
          <w:bdr w:val="nil"/>
        </w:rPr>
        <w:t xml:space="preserve"> Vol. 5 No. 1, pp. 87 – 106. </w:t>
      </w:r>
    </w:p>
    <w:p w14:paraId="5CFD1020" w14:textId="77777777" w:rsidR="00195B2E" w:rsidRDefault="00195B2E" w:rsidP="00514642">
      <w:pPr>
        <w:ind w:left="426" w:hanging="426"/>
        <w:rPr>
          <w:rFonts w:asciiTheme="majorHAnsi" w:hAnsiTheme="majorHAnsi"/>
        </w:rPr>
      </w:pPr>
    </w:p>
    <w:p w14:paraId="23EE5F73" w14:textId="5ABE0716" w:rsidR="00514642" w:rsidRPr="00514642" w:rsidRDefault="00514642" w:rsidP="00514642">
      <w:pPr>
        <w:ind w:left="426" w:hanging="426"/>
        <w:rPr>
          <w:rFonts w:asciiTheme="majorHAnsi" w:hAnsiTheme="majorHAnsi"/>
        </w:rPr>
      </w:pPr>
      <w:proofErr w:type="spellStart"/>
      <w:r w:rsidRPr="00514642">
        <w:rPr>
          <w:rFonts w:asciiTheme="majorHAnsi" w:hAnsiTheme="majorHAnsi"/>
        </w:rPr>
        <w:t>Cederstrom</w:t>
      </w:r>
      <w:proofErr w:type="spellEnd"/>
      <w:r w:rsidRPr="00514642">
        <w:rPr>
          <w:rFonts w:asciiTheme="majorHAnsi" w:hAnsiTheme="majorHAnsi"/>
        </w:rPr>
        <w:t>, C. and Spicer, A. (2015)</w:t>
      </w:r>
      <w:r>
        <w:rPr>
          <w:rFonts w:asciiTheme="majorHAnsi" w:hAnsiTheme="majorHAnsi"/>
        </w:rPr>
        <w:t>,</w:t>
      </w:r>
      <w:r w:rsidRPr="00514642">
        <w:rPr>
          <w:rFonts w:asciiTheme="majorHAnsi" w:hAnsiTheme="majorHAnsi"/>
        </w:rPr>
        <w:t xml:space="preserve"> </w:t>
      </w:r>
      <w:r w:rsidRPr="00514642">
        <w:rPr>
          <w:rFonts w:asciiTheme="majorHAnsi" w:hAnsiTheme="majorHAnsi"/>
          <w:i/>
        </w:rPr>
        <w:t>The Wellness Syndrome</w:t>
      </w:r>
      <w:r>
        <w:rPr>
          <w:rFonts w:asciiTheme="majorHAnsi" w:hAnsiTheme="majorHAnsi"/>
        </w:rPr>
        <w:t>,</w:t>
      </w:r>
      <w:r w:rsidRPr="00514642">
        <w:rPr>
          <w:rFonts w:asciiTheme="majorHAnsi" w:hAnsiTheme="majorHAnsi"/>
        </w:rPr>
        <w:t xml:space="preserve"> Polity</w:t>
      </w:r>
      <w:r>
        <w:rPr>
          <w:rFonts w:asciiTheme="majorHAnsi" w:hAnsiTheme="majorHAnsi"/>
        </w:rPr>
        <w:t>, Cambridge, UK and Malden, MA.</w:t>
      </w:r>
    </w:p>
    <w:p w14:paraId="442E39A4" w14:textId="77777777" w:rsidR="00CF633C" w:rsidRPr="00CF633C" w:rsidRDefault="00920BF8" w:rsidP="00CF633C">
      <w:pPr>
        <w:pStyle w:val="NormalWeb"/>
        <w:ind w:left="426" w:hanging="480"/>
        <w:rPr>
          <w:rFonts w:asciiTheme="majorHAnsi" w:hAnsiTheme="majorHAnsi"/>
        </w:rPr>
      </w:pPr>
      <w:r w:rsidRPr="00201B92">
        <w:rPr>
          <w:rFonts w:asciiTheme="majorHAnsi" w:hAnsiTheme="majorHAnsi"/>
        </w:rPr>
        <w:t>Chri</w:t>
      </w:r>
      <w:r w:rsidR="0007416E" w:rsidRPr="00201B92">
        <w:rPr>
          <w:rFonts w:asciiTheme="majorHAnsi" w:hAnsiTheme="majorHAnsi"/>
        </w:rPr>
        <w:t xml:space="preserve">stensen, H., Griffiths, K. M. and </w:t>
      </w:r>
      <w:proofErr w:type="spellStart"/>
      <w:r w:rsidR="0007416E" w:rsidRPr="00201B92">
        <w:rPr>
          <w:rFonts w:asciiTheme="majorHAnsi" w:hAnsiTheme="majorHAnsi"/>
        </w:rPr>
        <w:t>Jorm</w:t>
      </w:r>
      <w:proofErr w:type="spellEnd"/>
      <w:r w:rsidR="0007416E" w:rsidRPr="00201B92">
        <w:rPr>
          <w:rFonts w:asciiTheme="majorHAnsi" w:hAnsiTheme="majorHAnsi"/>
        </w:rPr>
        <w:t>, A. F. (2004),</w:t>
      </w:r>
      <w:r w:rsidRPr="00201B92">
        <w:rPr>
          <w:rFonts w:asciiTheme="majorHAnsi" w:hAnsiTheme="majorHAnsi"/>
        </w:rPr>
        <w:t xml:space="preserve"> </w:t>
      </w:r>
      <w:r w:rsidR="00187CDD" w:rsidRPr="00201B92">
        <w:rPr>
          <w:rFonts w:asciiTheme="majorHAnsi" w:hAnsiTheme="majorHAnsi"/>
        </w:rPr>
        <w:t>‘</w:t>
      </w:r>
      <w:r w:rsidRPr="00201B92">
        <w:rPr>
          <w:rFonts w:asciiTheme="majorHAnsi" w:hAnsiTheme="majorHAnsi"/>
        </w:rPr>
        <w:t xml:space="preserve">Delivering interventions for depression by using the internet: </w:t>
      </w:r>
      <w:proofErr w:type="spellStart"/>
      <w:r w:rsidRPr="00201B92">
        <w:rPr>
          <w:rFonts w:asciiTheme="majorHAnsi" w:hAnsiTheme="majorHAnsi"/>
        </w:rPr>
        <w:t>randomised</w:t>
      </w:r>
      <w:proofErr w:type="spellEnd"/>
      <w:r w:rsidRPr="00201B92">
        <w:rPr>
          <w:rFonts w:asciiTheme="majorHAnsi" w:hAnsiTheme="majorHAnsi"/>
        </w:rPr>
        <w:t xml:space="preserve"> controlled trial</w:t>
      </w:r>
      <w:r w:rsidR="00187CDD" w:rsidRPr="00201B92">
        <w:rPr>
          <w:rFonts w:asciiTheme="majorHAnsi" w:hAnsiTheme="majorHAnsi"/>
        </w:rPr>
        <w:t>’</w:t>
      </w:r>
      <w:r w:rsidR="0007416E" w:rsidRPr="00201B92">
        <w:rPr>
          <w:rFonts w:asciiTheme="majorHAnsi" w:hAnsiTheme="majorHAnsi"/>
        </w:rPr>
        <w:t>,</w:t>
      </w:r>
      <w:r w:rsidRPr="00201B92">
        <w:rPr>
          <w:rFonts w:asciiTheme="majorHAnsi" w:hAnsiTheme="majorHAnsi"/>
        </w:rPr>
        <w:t xml:space="preserve"> </w:t>
      </w:r>
      <w:r w:rsidRPr="00201B92">
        <w:rPr>
          <w:rFonts w:asciiTheme="majorHAnsi" w:hAnsiTheme="majorHAnsi"/>
          <w:i/>
          <w:iCs/>
        </w:rPr>
        <w:t>BMJ</w:t>
      </w:r>
      <w:r w:rsidRPr="00201B92">
        <w:rPr>
          <w:rFonts w:asciiTheme="majorHAnsi" w:hAnsiTheme="majorHAnsi"/>
        </w:rPr>
        <w:t xml:space="preserve">, </w:t>
      </w:r>
      <w:r w:rsidR="0007416E" w:rsidRPr="00201B92">
        <w:rPr>
          <w:rFonts w:asciiTheme="majorHAnsi" w:hAnsiTheme="majorHAnsi"/>
        </w:rPr>
        <w:t xml:space="preserve">Vol. </w:t>
      </w:r>
      <w:r w:rsidRPr="00201B92">
        <w:rPr>
          <w:rFonts w:asciiTheme="majorHAnsi" w:hAnsiTheme="majorHAnsi"/>
          <w:iCs/>
        </w:rPr>
        <w:t>328</w:t>
      </w:r>
      <w:r w:rsidR="0007416E" w:rsidRPr="00201B92">
        <w:rPr>
          <w:rFonts w:asciiTheme="majorHAnsi" w:hAnsiTheme="majorHAnsi"/>
        </w:rPr>
        <w:t xml:space="preserve"> No. </w:t>
      </w:r>
      <w:r w:rsidR="0007416E" w:rsidRPr="00CF633C">
        <w:rPr>
          <w:rFonts w:asciiTheme="majorHAnsi" w:hAnsiTheme="majorHAnsi"/>
        </w:rPr>
        <w:t>7434</w:t>
      </w:r>
      <w:r w:rsidRPr="00CF633C">
        <w:rPr>
          <w:rFonts w:asciiTheme="majorHAnsi" w:hAnsiTheme="majorHAnsi"/>
        </w:rPr>
        <w:t>,</w:t>
      </w:r>
      <w:r w:rsidR="0007416E" w:rsidRPr="00CF633C">
        <w:rPr>
          <w:rFonts w:asciiTheme="majorHAnsi" w:hAnsiTheme="majorHAnsi"/>
        </w:rPr>
        <w:t xml:space="preserve"> pp.</w:t>
      </w:r>
      <w:r w:rsidRPr="00CF633C">
        <w:rPr>
          <w:rFonts w:asciiTheme="majorHAnsi" w:hAnsiTheme="majorHAnsi"/>
        </w:rPr>
        <w:t xml:space="preserve"> 265.</w:t>
      </w:r>
    </w:p>
    <w:p w14:paraId="30CDEE4B" w14:textId="53F6C33E" w:rsidR="007B0E5F" w:rsidRPr="007B0E5F" w:rsidRDefault="007B0E5F" w:rsidP="00514642">
      <w:pPr>
        <w:ind w:left="567" w:hanging="567"/>
        <w:rPr>
          <w:rFonts w:asciiTheme="majorHAnsi" w:hAnsiTheme="majorHAnsi"/>
        </w:rPr>
      </w:pPr>
      <w:r w:rsidRPr="007B0E5F">
        <w:rPr>
          <w:rFonts w:asciiTheme="majorHAnsi" w:hAnsiTheme="majorHAnsi"/>
        </w:rPr>
        <w:t>Donaldson-</w:t>
      </w:r>
      <w:proofErr w:type="spellStart"/>
      <w:r w:rsidRPr="007B0E5F">
        <w:rPr>
          <w:rFonts w:asciiTheme="majorHAnsi" w:hAnsiTheme="majorHAnsi"/>
        </w:rPr>
        <w:t>Feilder</w:t>
      </w:r>
      <w:proofErr w:type="spellEnd"/>
      <w:r w:rsidRPr="007B0E5F">
        <w:rPr>
          <w:rFonts w:asciiTheme="majorHAnsi" w:hAnsiTheme="majorHAnsi"/>
        </w:rPr>
        <w:t xml:space="preserve">, E. and </w:t>
      </w:r>
      <w:proofErr w:type="spellStart"/>
      <w:r w:rsidRPr="007B0E5F">
        <w:rPr>
          <w:rFonts w:asciiTheme="majorHAnsi" w:hAnsiTheme="majorHAnsi"/>
        </w:rPr>
        <w:t>Podro</w:t>
      </w:r>
      <w:proofErr w:type="spellEnd"/>
      <w:r w:rsidRPr="007B0E5F">
        <w:rPr>
          <w:rFonts w:asciiTheme="majorHAnsi" w:hAnsiTheme="majorHAnsi"/>
        </w:rPr>
        <w:t>, S.  (2012)</w:t>
      </w:r>
      <w:r w:rsidR="00047A72" w:rsidRPr="00201B92">
        <w:rPr>
          <w:rFonts w:asciiTheme="majorHAnsi" w:hAnsiTheme="majorHAnsi"/>
        </w:rPr>
        <w:t>,</w:t>
      </w:r>
      <w:r w:rsidRPr="007B0E5F">
        <w:rPr>
          <w:rFonts w:asciiTheme="majorHAnsi" w:hAnsiTheme="majorHAnsi"/>
        </w:rPr>
        <w:t xml:space="preserve"> ‘The future of health </w:t>
      </w:r>
      <w:r w:rsidRPr="00201B92">
        <w:rPr>
          <w:rFonts w:asciiTheme="majorHAnsi" w:hAnsiTheme="majorHAnsi"/>
        </w:rPr>
        <w:t>and wellbeing in the workplace’</w:t>
      </w:r>
      <w:r w:rsidR="00514642">
        <w:rPr>
          <w:rFonts w:asciiTheme="majorHAnsi" w:hAnsiTheme="majorHAnsi"/>
        </w:rPr>
        <w:t xml:space="preserve">, </w:t>
      </w:r>
      <w:r w:rsidRPr="007B0E5F">
        <w:rPr>
          <w:rFonts w:asciiTheme="majorHAnsi" w:hAnsiTheme="majorHAnsi"/>
        </w:rPr>
        <w:t>ACAS Future of Workplace Relations Discussion Paper</w:t>
      </w:r>
    </w:p>
    <w:p w14:paraId="673B8584" w14:textId="1144A73B" w:rsidR="007B0E5F" w:rsidRPr="00201B92" w:rsidRDefault="00906F34" w:rsidP="007B0E5F">
      <w:pPr>
        <w:ind w:left="567" w:hanging="87"/>
        <w:rPr>
          <w:rFonts w:asciiTheme="majorHAnsi" w:hAnsiTheme="majorHAnsi"/>
        </w:rPr>
      </w:pPr>
      <w:hyperlink r:id="rId7" w:history="1">
        <w:r w:rsidR="00187CDD" w:rsidRPr="00201B92">
          <w:rPr>
            <w:rStyle w:val="Hyperlink"/>
            <w:rFonts w:asciiTheme="majorHAnsi" w:hAnsiTheme="majorHAnsi"/>
          </w:rPr>
          <w:t>http://www.acas.org.uk/media/pdf/7/k/The_future_of_health_and_wellbeing_in_the_workplace.pdf</w:t>
        </w:r>
      </w:hyperlink>
    </w:p>
    <w:p w14:paraId="41EC216F" w14:textId="77777777" w:rsidR="00187CDD" w:rsidRPr="007B0E5F" w:rsidRDefault="00187CDD" w:rsidP="007B0E5F">
      <w:pPr>
        <w:ind w:left="567" w:hanging="87"/>
        <w:rPr>
          <w:rFonts w:asciiTheme="majorHAnsi" w:hAnsiTheme="majorHAnsi"/>
        </w:rPr>
      </w:pPr>
    </w:p>
    <w:p w14:paraId="020ED616" w14:textId="40EB3F7A" w:rsidR="0031232C" w:rsidRDefault="0031232C" w:rsidP="00187CDD">
      <w:pPr>
        <w:pStyle w:val="NormalWeb"/>
        <w:spacing w:before="0" w:beforeAutospacing="0" w:after="0" w:afterAutospacing="0"/>
        <w:ind w:left="567" w:hanging="567"/>
        <w:rPr>
          <w:rFonts w:asciiTheme="majorHAnsi" w:hAnsiTheme="majorHAnsi"/>
        </w:rPr>
      </w:pPr>
      <w:proofErr w:type="spellStart"/>
      <w:r>
        <w:rPr>
          <w:rFonts w:asciiTheme="majorHAnsi" w:hAnsiTheme="majorHAnsi"/>
        </w:rPr>
        <w:t>Gandini</w:t>
      </w:r>
      <w:proofErr w:type="spellEnd"/>
      <w:r>
        <w:rPr>
          <w:rFonts w:asciiTheme="majorHAnsi" w:hAnsiTheme="majorHAnsi"/>
        </w:rPr>
        <w:t xml:space="preserve">, A. (2016) </w:t>
      </w:r>
      <w:r w:rsidRPr="00CF633C">
        <w:rPr>
          <w:rFonts w:asciiTheme="majorHAnsi" w:hAnsiTheme="majorHAnsi"/>
          <w:i/>
        </w:rPr>
        <w:t xml:space="preserve">The Reputation Economy: Understanding </w:t>
      </w:r>
      <w:r w:rsidRPr="0031232C">
        <w:rPr>
          <w:rFonts w:asciiTheme="majorHAnsi" w:hAnsiTheme="majorHAnsi"/>
          <w:i/>
        </w:rPr>
        <w:t>Knowledge</w:t>
      </w:r>
      <w:r w:rsidRPr="00CF633C">
        <w:rPr>
          <w:rFonts w:asciiTheme="majorHAnsi" w:hAnsiTheme="majorHAnsi"/>
          <w:i/>
        </w:rPr>
        <w:t xml:space="preserve"> Work in Digital Society</w:t>
      </w:r>
      <w:r>
        <w:rPr>
          <w:rFonts w:asciiTheme="majorHAnsi" w:hAnsiTheme="majorHAnsi"/>
          <w:i/>
        </w:rPr>
        <w:t>,</w:t>
      </w:r>
      <w:r w:rsidRPr="00CF633C">
        <w:rPr>
          <w:rFonts w:asciiTheme="majorHAnsi" w:hAnsiTheme="majorHAnsi"/>
          <w:i/>
        </w:rPr>
        <w:t xml:space="preserve"> </w:t>
      </w:r>
      <w:r>
        <w:rPr>
          <w:rFonts w:asciiTheme="majorHAnsi" w:hAnsiTheme="majorHAnsi"/>
        </w:rPr>
        <w:t>London: Springer.</w:t>
      </w:r>
    </w:p>
    <w:p w14:paraId="0CBCC724" w14:textId="77777777" w:rsidR="0031232C" w:rsidRDefault="0031232C" w:rsidP="00187CDD">
      <w:pPr>
        <w:pStyle w:val="NormalWeb"/>
        <w:spacing w:before="0" w:beforeAutospacing="0" w:after="0" w:afterAutospacing="0"/>
        <w:ind w:left="567" w:hanging="567"/>
        <w:rPr>
          <w:rFonts w:asciiTheme="majorHAnsi" w:hAnsiTheme="majorHAnsi"/>
        </w:rPr>
      </w:pPr>
    </w:p>
    <w:p w14:paraId="1E075A1A" w14:textId="3CAD0C12" w:rsidR="00187CDD" w:rsidRPr="00201B92" w:rsidRDefault="00187CDD" w:rsidP="00187CDD">
      <w:pPr>
        <w:pStyle w:val="NormalWeb"/>
        <w:spacing w:before="0" w:beforeAutospacing="0" w:after="0" w:afterAutospacing="0"/>
        <w:ind w:left="567" w:hanging="567"/>
        <w:rPr>
          <w:rFonts w:asciiTheme="majorHAnsi" w:hAnsiTheme="majorHAnsi"/>
        </w:rPr>
      </w:pPr>
      <w:r w:rsidRPr="00201B92">
        <w:rPr>
          <w:rFonts w:asciiTheme="majorHAnsi" w:hAnsiTheme="majorHAnsi"/>
        </w:rPr>
        <w:t>Hamblen, M. (2015)</w:t>
      </w:r>
      <w:r w:rsidR="00514642">
        <w:rPr>
          <w:rFonts w:asciiTheme="majorHAnsi" w:hAnsiTheme="majorHAnsi"/>
        </w:rPr>
        <w:t>,</w:t>
      </w:r>
      <w:r w:rsidRPr="00201B92">
        <w:rPr>
          <w:rFonts w:asciiTheme="majorHAnsi" w:hAnsiTheme="majorHAnsi"/>
        </w:rPr>
        <w:t xml:space="preserve"> ‘Programs are used to weed out workers who raise premiums, one attorney says Computer World 19th June 2015, </w:t>
      </w:r>
      <w:hyperlink r:id="rId8" w:history="1">
        <w:r w:rsidRPr="00201B92">
          <w:rPr>
            <w:rFonts w:asciiTheme="majorHAnsi" w:hAnsiTheme="majorHAnsi"/>
          </w:rPr>
          <w:t>http://www.computerworld.com/article/2937721/wearables/wearables-for-workplace-wellness-face-federal-scrutiny.html</w:t>
        </w:r>
      </w:hyperlink>
    </w:p>
    <w:p w14:paraId="6A5F0EC8" w14:textId="77777777" w:rsidR="008E4F48" w:rsidRPr="00201B92" w:rsidRDefault="008E4F48" w:rsidP="00187CDD">
      <w:pPr>
        <w:pStyle w:val="NormalWeb"/>
        <w:spacing w:before="0" w:beforeAutospacing="0" w:after="0" w:afterAutospacing="0"/>
        <w:ind w:left="567" w:hanging="567"/>
        <w:rPr>
          <w:rFonts w:asciiTheme="majorHAnsi" w:hAnsiTheme="majorHAnsi"/>
        </w:rPr>
      </w:pPr>
    </w:p>
    <w:p w14:paraId="7220E1D8" w14:textId="55B4F39E" w:rsidR="008E4F48" w:rsidRPr="00201B92" w:rsidRDefault="008E4F48" w:rsidP="008E4F48">
      <w:pPr>
        <w:ind w:left="567" w:hanging="567"/>
        <w:rPr>
          <w:rFonts w:asciiTheme="majorHAnsi" w:hAnsiTheme="majorHAnsi" w:cs="Arial"/>
          <w:color w:val="1A1A1A"/>
        </w:rPr>
      </w:pPr>
      <w:r w:rsidRPr="00201B92">
        <w:rPr>
          <w:rFonts w:asciiTheme="majorHAnsi" w:hAnsiTheme="majorHAnsi" w:cs="Arial"/>
          <w:color w:val="1A1A1A"/>
        </w:rPr>
        <w:t>Hayes, T. (2014)</w:t>
      </w:r>
      <w:r w:rsidR="00514642">
        <w:rPr>
          <w:rFonts w:asciiTheme="majorHAnsi" w:hAnsiTheme="majorHAnsi" w:cs="Arial"/>
          <w:color w:val="1A1A1A"/>
        </w:rPr>
        <w:t>,</w:t>
      </w:r>
      <w:r w:rsidRPr="00201B92">
        <w:rPr>
          <w:rFonts w:asciiTheme="majorHAnsi" w:hAnsiTheme="majorHAnsi" w:cs="Arial"/>
          <w:color w:val="1A1A1A"/>
        </w:rPr>
        <w:t xml:space="preserve"> </w:t>
      </w:r>
      <w:r w:rsidRPr="00201B92">
        <w:rPr>
          <w:rFonts w:asciiTheme="majorHAnsi" w:hAnsiTheme="majorHAnsi" w:cs="Arial"/>
          <w:i/>
          <w:color w:val="1A1A1A"/>
        </w:rPr>
        <w:t>I am Pilgrim: A Thriller</w:t>
      </w:r>
      <w:r w:rsidR="00047A72" w:rsidRPr="00201B92">
        <w:rPr>
          <w:rFonts w:asciiTheme="majorHAnsi" w:hAnsiTheme="majorHAnsi" w:cs="Arial"/>
          <w:color w:val="1A1A1A"/>
        </w:rPr>
        <w:t xml:space="preserve">, </w:t>
      </w:r>
      <w:r w:rsidR="00CE2E03" w:rsidRPr="00201B92">
        <w:rPr>
          <w:rFonts w:asciiTheme="majorHAnsi" w:hAnsiTheme="majorHAnsi" w:cs="Arial"/>
          <w:color w:val="1A1A1A"/>
        </w:rPr>
        <w:t xml:space="preserve">Atria/Emily </w:t>
      </w:r>
      <w:proofErr w:type="spellStart"/>
      <w:r w:rsidR="00CE2E03" w:rsidRPr="00201B92">
        <w:rPr>
          <w:rFonts w:asciiTheme="majorHAnsi" w:hAnsiTheme="majorHAnsi" w:cs="Arial"/>
          <w:color w:val="1A1A1A"/>
        </w:rPr>
        <w:t>Bestler</w:t>
      </w:r>
      <w:proofErr w:type="spellEnd"/>
      <w:r w:rsidR="00CE2E03" w:rsidRPr="00201B92">
        <w:rPr>
          <w:rFonts w:asciiTheme="majorHAnsi" w:hAnsiTheme="majorHAnsi" w:cs="Arial"/>
          <w:color w:val="1A1A1A"/>
        </w:rPr>
        <w:t xml:space="preserve"> Books.</w:t>
      </w:r>
    </w:p>
    <w:p w14:paraId="6914379B" w14:textId="72850AE2" w:rsidR="00DB2441" w:rsidRPr="00201B92" w:rsidRDefault="00DB2441" w:rsidP="00920BF8">
      <w:pPr>
        <w:pStyle w:val="NormalWeb"/>
        <w:ind w:left="480" w:hanging="480"/>
        <w:rPr>
          <w:rFonts w:asciiTheme="majorHAnsi" w:hAnsiTheme="majorHAnsi" w:cs="Arial"/>
          <w:color w:val="1A1A1A"/>
        </w:rPr>
      </w:pPr>
      <w:r w:rsidRPr="00201B92">
        <w:rPr>
          <w:rFonts w:asciiTheme="majorHAnsi" w:hAnsiTheme="majorHAnsi" w:cs="Arial"/>
          <w:color w:val="1A1A1A"/>
        </w:rPr>
        <w:t xml:space="preserve">Health and Safety Executive (2015), </w:t>
      </w:r>
      <w:r w:rsidRPr="00514642">
        <w:rPr>
          <w:rFonts w:asciiTheme="majorHAnsi" w:hAnsiTheme="majorHAnsi" w:cs="Arial"/>
          <w:i/>
          <w:color w:val="1A1A1A"/>
        </w:rPr>
        <w:t>Work Related Stress, Anxiety and Depression Statistics in Great Britain 2015</w:t>
      </w:r>
      <w:r w:rsidR="00A70292" w:rsidRPr="00201B92">
        <w:rPr>
          <w:rFonts w:asciiTheme="majorHAnsi" w:hAnsiTheme="majorHAnsi" w:cs="Arial"/>
          <w:color w:val="1A1A1A"/>
        </w:rPr>
        <w:t>,</w:t>
      </w:r>
      <w:r w:rsidRPr="00201B92">
        <w:rPr>
          <w:rFonts w:asciiTheme="majorHAnsi" w:hAnsiTheme="majorHAnsi" w:cs="Arial"/>
          <w:color w:val="1A1A1A"/>
        </w:rPr>
        <w:t xml:space="preserve"> http://www.hse.gov.uk/statistics/causdis/stress/stress.pdf</w:t>
      </w:r>
    </w:p>
    <w:p w14:paraId="41EA304A" w14:textId="47A625A0" w:rsidR="004D5F0A" w:rsidRPr="00201B92" w:rsidRDefault="004D5F0A" w:rsidP="00920BF8">
      <w:pPr>
        <w:pStyle w:val="NormalWeb"/>
        <w:ind w:left="480" w:hanging="480"/>
        <w:rPr>
          <w:rFonts w:asciiTheme="majorHAnsi" w:hAnsiTheme="majorHAnsi"/>
        </w:rPr>
      </w:pPr>
      <w:proofErr w:type="spellStart"/>
      <w:r w:rsidRPr="00201B92">
        <w:rPr>
          <w:rFonts w:asciiTheme="majorHAnsi" w:hAnsiTheme="majorHAnsi" w:cs="Arial"/>
          <w:color w:val="1A1A1A"/>
        </w:rPr>
        <w:t>Karasek</w:t>
      </w:r>
      <w:proofErr w:type="spellEnd"/>
      <w:r w:rsidRPr="00201B92">
        <w:rPr>
          <w:rFonts w:asciiTheme="majorHAnsi" w:hAnsiTheme="majorHAnsi" w:cs="Arial"/>
          <w:color w:val="1A1A1A"/>
        </w:rPr>
        <w:t>, R. and Theorell, T</w:t>
      </w:r>
      <w:r w:rsidR="0007416E" w:rsidRPr="00201B92">
        <w:rPr>
          <w:rFonts w:asciiTheme="majorHAnsi" w:hAnsiTheme="majorHAnsi" w:cs="Arial"/>
          <w:color w:val="1A1A1A"/>
        </w:rPr>
        <w:t>. (1992),</w:t>
      </w:r>
      <w:r w:rsidRPr="00201B92">
        <w:rPr>
          <w:rFonts w:asciiTheme="majorHAnsi" w:hAnsiTheme="majorHAnsi" w:cs="Arial"/>
          <w:color w:val="1A1A1A"/>
        </w:rPr>
        <w:t xml:space="preserve"> </w:t>
      </w:r>
      <w:r w:rsidRPr="00201B92">
        <w:rPr>
          <w:rFonts w:asciiTheme="majorHAnsi" w:hAnsiTheme="majorHAnsi" w:cs="Arial"/>
          <w:i/>
          <w:iCs/>
          <w:color w:val="1A1A1A"/>
        </w:rPr>
        <w:t>Healthy work: stress, productivity, and the reconstruction of working life</w:t>
      </w:r>
      <w:r w:rsidR="0007416E" w:rsidRPr="00201B92">
        <w:rPr>
          <w:rFonts w:asciiTheme="majorHAnsi" w:hAnsiTheme="majorHAnsi" w:cs="Arial"/>
          <w:color w:val="1A1A1A"/>
        </w:rPr>
        <w:t>,</w:t>
      </w:r>
      <w:r w:rsidRPr="00201B92">
        <w:rPr>
          <w:rFonts w:asciiTheme="majorHAnsi" w:hAnsiTheme="majorHAnsi" w:cs="Arial"/>
          <w:color w:val="1A1A1A"/>
        </w:rPr>
        <w:t xml:space="preserve"> Basic books</w:t>
      </w:r>
      <w:r w:rsidR="0007416E" w:rsidRPr="00201B92">
        <w:rPr>
          <w:rFonts w:asciiTheme="majorHAnsi" w:hAnsiTheme="majorHAnsi" w:cs="Arial"/>
          <w:color w:val="1A1A1A"/>
        </w:rPr>
        <w:t>, New York</w:t>
      </w:r>
      <w:r w:rsidRPr="00201B92">
        <w:rPr>
          <w:rFonts w:asciiTheme="majorHAnsi" w:hAnsiTheme="majorHAnsi" w:cs="Arial"/>
          <w:color w:val="1A1A1A"/>
        </w:rPr>
        <w:t>.</w:t>
      </w:r>
    </w:p>
    <w:p w14:paraId="4454E9E9" w14:textId="54BBC279" w:rsidR="00A515E0" w:rsidRPr="00201B92" w:rsidRDefault="00A515E0" w:rsidP="00A515E0">
      <w:pPr>
        <w:ind w:left="567" w:hanging="567"/>
        <w:rPr>
          <w:rFonts w:asciiTheme="majorHAnsi" w:hAnsiTheme="majorHAnsi" w:cs="Arial"/>
          <w:color w:val="1A1A1A"/>
        </w:rPr>
      </w:pPr>
      <w:r w:rsidRPr="00201B92">
        <w:rPr>
          <w:rFonts w:asciiTheme="majorHAnsi" w:hAnsiTheme="majorHAnsi" w:cs="Arial"/>
          <w:color w:val="1A1A1A"/>
        </w:rPr>
        <w:t xml:space="preserve">Keen, M. (2013), ‘Are you less productive when working from home?’ </w:t>
      </w:r>
      <w:r w:rsidRPr="00201B92">
        <w:rPr>
          <w:rFonts w:asciiTheme="majorHAnsi" w:hAnsiTheme="majorHAnsi" w:cs="Arial"/>
          <w:i/>
          <w:color w:val="1A1A1A"/>
        </w:rPr>
        <w:t>IBM</w:t>
      </w:r>
      <w:r w:rsidRPr="00201B92">
        <w:rPr>
          <w:rFonts w:asciiTheme="majorHAnsi" w:hAnsiTheme="majorHAnsi" w:cs="Arial"/>
          <w:color w:val="1A1A1A"/>
        </w:rPr>
        <w:t xml:space="preserve"> </w:t>
      </w:r>
      <w:hyperlink r:id="rId9" w:history="1">
        <w:r w:rsidRPr="00201B92">
          <w:rPr>
            <w:rFonts w:asciiTheme="majorHAnsi" w:hAnsiTheme="majorHAnsi" w:cs="Arial"/>
            <w:i/>
            <w:color w:val="1A1A1A"/>
          </w:rPr>
          <w:t>Social Business Insights Blog</w:t>
        </w:r>
      </w:hyperlink>
      <w:r w:rsidRPr="00201B92">
        <w:rPr>
          <w:rFonts w:asciiTheme="majorHAnsi" w:hAnsiTheme="majorHAnsi" w:cs="Arial"/>
          <w:i/>
          <w:color w:val="1A1A1A"/>
        </w:rPr>
        <w:t xml:space="preserve"> </w:t>
      </w:r>
      <w:r w:rsidRPr="00201B92">
        <w:rPr>
          <w:rFonts w:asciiTheme="majorHAnsi" w:hAnsiTheme="majorHAnsi" w:cs="Arial"/>
          <w:color w:val="1A1A1A"/>
        </w:rPr>
        <w:t>https://www304.ibm.com/connections/blogs/socialbusiness/entry/are_you_less_productive_when_working_from_home1?lang=en_us</w:t>
      </w:r>
    </w:p>
    <w:p w14:paraId="31A28F01" w14:textId="77777777" w:rsidR="00A515E0" w:rsidRPr="00201B92" w:rsidRDefault="00A515E0" w:rsidP="006A4592">
      <w:pPr>
        <w:ind w:left="567" w:hanging="567"/>
        <w:rPr>
          <w:rFonts w:asciiTheme="majorHAnsi" w:hAnsiTheme="majorHAnsi" w:cs="Arial"/>
          <w:color w:val="1A1A1A"/>
        </w:rPr>
      </w:pPr>
    </w:p>
    <w:p w14:paraId="53114AEA" w14:textId="52EB3FCD" w:rsidR="00AD06AE" w:rsidRDefault="00A76827" w:rsidP="00AD06AE">
      <w:pPr>
        <w:rPr>
          <w:rFonts w:eastAsia="Times New Roman"/>
        </w:rPr>
      </w:pPr>
      <w:r>
        <w:rPr>
          <w:rFonts w:asciiTheme="majorHAnsi" w:hAnsiTheme="majorHAnsi" w:cs="Arial"/>
          <w:color w:val="1A1A1A"/>
        </w:rPr>
        <w:t>Levy, K.</w:t>
      </w:r>
      <w:r w:rsidRPr="00CF633C">
        <w:rPr>
          <w:rFonts w:asciiTheme="majorHAnsi" w:hAnsiTheme="majorHAnsi" w:cs="Arial"/>
          <w:color w:val="1A1A1A"/>
        </w:rPr>
        <w:t xml:space="preserve"> </w:t>
      </w:r>
      <w:r>
        <w:rPr>
          <w:rFonts w:asciiTheme="majorHAnsi" w:hAnsiTheme="majorHAnsi" w:cs="Arial"/>
          <w:color w:val="1A1A1A"/>
        </w:rPr>
        <w:t>(</w:t>
      </w:r>
      <w:r w:rsidRPr="00CF633C">
        <w:rPr>
          <w:rFonts w:asciiTheme="majorHAnsi" w:hAnsiTheme="majorHAnsi" w:cs="Arial"/>
          <w:color w:val="1A1A1A"/>
        </w:rPr>
        <w:t>2015</w:t>
      </w:r>
      <w:r>
        <w:rPr>
          <w:rFonts w:asciiTheme="majorHAnsi" w:hAnsiTheme="majorHAnsi" w:cs="Arial"/>
          <w:color w:val="1A1A1A"/>
        </w:rPr>
        <w:t>)</w:t>
      </w:r>
      <w:r w:rsidR="00AD06AE" w:rsidRPr="00AD06AE">
        <w:rPr>
          <w:rFonts w:asciiTheme="majorHAnsi" w:hAnsiTheme="majorHAnsi" w:cs="Arial"/>
          <w:color w:val="1A1A1A"/>
        </w:rPr>
        <w:t xml:space="preserve">, </w:t>
      </w:r>
      <w:r w:rsidR="00AD06AE">
        <w:rPr>
          <w:rFonts w:asciiTheme="majorHAnsi" w:hAnsiTheme="majorHAnsi" w:cs="Arial"/>
          <w:color w:val="1A1A1A"/>
        </w:rPr>
        <w:t xml:space="preserve">‘Intimate surveillance’ </w:t>
      </w:r>
      <w:r w:rsidRPr="00CF633C">
        <w:rPr>
          <w:rFonts w:asciiTheme="majorHAnsi" w:hAnsiTheme="majorHAnsi" w:cs="Arial"/>
          <w:i/>
          <w:color w:val="1A1A1A"/>
        </w:rPr>
        <w:t>Idaho Law Review</w:t>
      </w:r>
      <w:r w:rsidR="00AD06AE">
        <w:rPr>
          <w:rFonts w:asciiTheme="majorHAnsi" w:hAnsiTheme="majorHAnsi" w:cs="Arial"/>
          <w:color w:val="1A1A1A"/>
        </w:rPr>
        <w:t xml:space="preserve">, </w:t>
      </w:r>
      <w:r w:rsidR="00AD06AE" w:rsidRPr="00AD06AE">
        <w:rPr>
          <w:rFonts w:asciiTheme="majorHAnsi" w:hAnsiTheme="majorHAnsi" w:cs="Arial"/>
          <w:color w:val="1A1A1A"/>
        </w:rPr>
        <w:t>50,</w:t>
      </w:r>
      <w:r w:rsidR="00AD06AE" w:rsidRPr="00CF633C">
        <w:rPr>
          <w:rFonts w:asciiTheme="majorHAnsi" w:hAnsiTheme="majorHAnsi" w:cs="Arial"/>
          <w:color w:val="1A1A1A"/>
        </w:rPr>
        <w:t xml:space="preserve"> 679-93.</w:t>
      </w:r>
    </w:p>
    <w:p w14:paraId="7EFD7298" w14:textId="77777777" w:rsidR="00A76827" w:rsidRDefault="00A76827" w:rsidP="00CF633C">
      <w:pPr>
        <w:rPr>
          <w:rFonts w:asciiTheme="majorHAnsi" w:hAnsiTheme="majorHAnsi" w:cs="Arial"/>
          <w:color w:val="1A1A1A"/>
        </w:rPr>
      </w:pPr>
    </w:p>
    <w:p w14:paraId="576EDCF4" w14:textId="5AC28470" w:rsidR="006A4592" w:rsidRPr="00201B92" w:rsidRDefault="006A4592" w:rsidP="006A4592">
      <w:pPr>
        <w:ind w:left="567" w:hanging="567"/>
        <w:rPr>
          <w:rFonts w:asciiTheme="majorHAnsi" w:hAnsiTheme="majorHAnsi" w:cs="Arial"/>
          <w:color w:val="1A1A1A"/>
        </w:rPr>
      </w:pPr>
      <w:proofErr w:type="spellStart"/>
      <w:r w:rsidRPr="00201B92">
        <w:rPr>
          <w:rFonts w:asciiTheme="majorHAnsi" w:hAnsiTheme="majorHAnsi" w:cs="Arial"/>
          <w:color w:val="1A1A1A"/>
        </w:rPr>
        <w:t>Lindzon</w:t>
      </w:r>
      <w:proofErr w:type="spellEnd"/>
      <w:r w:rsidR="00187CDD" w:rsidRPr="00201B92">
        <w:rPr>
          <w:rFonts w:asciiTheme="majorHAnsi" w:hAnsiTheme="majorHAnsi" w:cs="Arial"/>
          <w:color w:val="1A1A1A"/>
        </w:rPr>
        <w:t>,</w:t>
      </w:r>
      <w:r w:rsidRPr="00201B92">
        <w:rPr>
          <w:rFonts w:asciiTheme="majorHAnsi" w:hAnsiTheme="majorHAnsi" w:cs="Arial"/>
          <w:color w:val="1A1A1A"/>
        </w:rPr>
        <w:t xml:space="preserve"> J</w:t>
      </w:r>
      <w:r w:rsidR="00187CDD" w:rsidRPr="00201B92">
        <w:rPr>
          <w:rFonts w:asciiTheme="majorHAnsi" w:hAnsiTheme="majorHAnsi" w:cs="Arial"/>
          <w:color w:val="1A1A1A"/>
        </w:rPr>
        <w:t>.</w:t>
      </w:r>
      <w:r w:rsidRPr="00201B92">
        <w:rPr>
          <w:rFonts w:asciiTheme="majorHAnsi" w:hAnsiTheme="majorHAnsi" w:cs="Arial"/>
          <w:color w:val="1A1A1A"/>
        </w:rPr>
        <w:t xml:space="preserve"> (2014)</w:t>
      </w:r>
      <w:r w:rsidR="0086692B" w:rsidRPr="00201B92">
        <w:rPr>
          <w:rFonts w:asciiTheme="majorHAnsi" w:hAnsiTheme="majorHAnsi" w:cs="Arial"/>
          <w:color w:val="1A1A1A"/>
        </w:rPr>
        <w:t>,</w:t>
      </w:r>
      <w:r w:rsidRPr="00201B92">
        <w:rPr>
          <w:rFonts w:asciiTheme="majorHAnsi" w:hAnsiTheme="majorHAnsi" w:cs="Arial"/>
          <w:color w:val="1A1A1A"/>
        </w:rPr>
        <w:t xml:space="preserve"> ‘What </w:t>
      </w:r>
      <w:r w:rsidR="00AD06AE">
        <w:rPr>
          <w:rFonts w:asciiTheme="majorHAnsi" w:hAnsiTheme="majorHAnsi" w:cs="Arial"/>
          <w:color w:val="1A1A1A"/>
        </w:rPr>
        <w:t>i</w:t>
      </w:r>
      <w:r w:rsidR="00AD06AE" w:rsidRPr="00201B92">
        <w:rPr>
          <w:rFonts w:asciiTheme="majorHAnsi" w:hAnsiTheme="majorHAnsi" w:cs="Arial"/>
          <w:color w:val="1A1A1A"/>
        </w:rPr>
        <w:t xml:space="preserve">ndustries </w:t>
      </w:r>
      <w:r w:rsidRPr="00201B92">
        <w:rPr>
          <w:rFonts w:asciiTheme="majorHAnsi" w:hAnsiTheme="majorHAnsi" w:cs="Arial"/>
          <w:color w:val="1A1A1A"/>
        </w:rPr>
        <w:t xml:space="preserve">are the </w:t>
      </w:r>
      <w:r w:rsidR="00AD06AE">
        <w:rPr>
          <w:rFonts w:asciiTheme="majorHAnsi" w:hAnsiTheme="majorHAnsi" w:cs="Arial"/>
          <w:color w:val="1A1A1A"/>
        </w:rPr>
        <w:t>f</w:t>
      </w:r>
      <w:r w:rsidR="00AD06AE" w:rsidRPr="00201B92">
        <w:rPr>
          <w:rFonts w:asciiTheme="majorHAnsi" w:hAnsiTheme="majorHAnsi" w:cs="Arial"/>
          <w:color w:val="1A1A1A"/>
        </w:rPr>
        <w:t xml:space="preserve">irst </w:t>
      </w:r>
      <w:r w:rsidRPr="00201B92">
        <w:rPr>
          <w:rFonts w:asciiTheme="majorHAnsi" w:hAnsiTheme="majorHAnsi" w:cs="Arial"/>
          <w:color w:val="1A1A1A"/>
        </w:rPr>
        <w:t xml:space="preserve">to </w:t>
      </w:r>
      <w:r w:rsidR="00AD06AE">
        <w:rPr>
          <w:rFonts w:asciiTheme="majorHAnsi" w:hAnsiTheme="majorHAnsi" w:cs="Arial"/>
          <w:color w:val="1A1A1A"/>
        </w:rPr>
        <w:t>i</w:t>
      </w:r>
      <w:r w:rsidR="00AD06AE" w:rsidRPr="00201B92">
        <w:rPr>
          <w:rFonts w:asciiTheme="majorHAnsi" w:hAnsiTheme="majorHAnsi" w:cs="Arial"/>
          <w:color w:val="1A1A1A"/>
        </w:rPr>
        <w:t xml:space="preserve">ntroduce </w:t>
      </w:r>
      <w:r w:rsidR="00AD06AE">
        <w:rPr>
          <w:rFonts w:asciiTheme="majorHAnsi" w:hAnsiTheme="majorHAnsi" w:cs="Arial"/>
          <w:color w:val="1A1A1A"/>
        </w:rPr>
        <w:t>w</w:t>
      </w:r>
      <w:r w:rsidR="00AD06AE" w:rsidRPr="00201B92">
        <w:rPr>
          <w:rFonts w:asciiTheme="majorHAnsi" w:hAnsiTheme="majorHAnsi" w:cs="Arial"/>
          <w:color w:val="1A1A1A"/>
        </w:rPr>
        <w:t xml:space="preserve">earables </w:t>
      </w:r>
      <w:r w:rsidRPr="00201B92">
        <w:rPr>
          <w:rFonts w:asciiTheme="majorHAnsi" w:hAnsiTheme="majorHAnsi" w:cs="Arial"/>
          <w:color w:val="1A1A1A"/>
        </w:rPr>
        <w:t xml:space="preserve">at </w:t>
      </w:r>
      <w:r w:rsidR="00AD06AE">
        <w:rPr>
          <w:rFonts w:asciiTheme="majorHAnsi" w:hAnsiTheme="majorHAnsi" w:cs="Arial"/>
          <w:color w:val="1A1A1A"/>
        </w:rPr>
        <w:t>w</w:t>
      </w:r>
      <w:r w:rsidR="00AD06AE" w:rsidRPr="00201B92">
        <w:rPr>
          <w:rFonts w:asciiTheme="majorHAnsi" w:hAnsiTheme="majorHAnsi" w:cs="Arial"/>
          <w:color w:val="1A1A1A"/>
        </w:rPr>
        <w:t>ork</w:t>
      </w:r>
      <w:r w:rsidRPr="00201B92">
        <w:rPr>
          <w:rFonts w:asciiTheme="majorHAnsi" w:hAnsiTheme="majorHAnsi" w:cs="Arial"/>
          <w:color w:val="1A1A1A"/>
        </w:rPr>
        <w:t xml:space="preserve">?’ </w:t>
      </w:r>
      <w:proofErr w:type="spellStart"/>
      <w:r w:rsidRPr="00201B92">
        <w:rPr>
          <w:rFonts w:asciiTheme="majorHAnsi" w:hAnsiTheme="majorHAnsi" w:cs="Arial"/>
          <w:color w:val="1A1A1A"/>
        </w:rPr>
        <w:t>FastCompany</w:t>
      </w:r>
      <w:proofErr w:type="spellEnd"/>
      <w:r w:rsidRPr="00201B92">
        <w:rPr>
          <w:rFonts w:asciiTheme="majorHAnsi" w:hAnsiTheme="majorHAnsi" w:cs="Arial"/>
          <w:color w:val="1A1A1A"/>
        </w:rPr>
        <w:t xml:space="preserve"> 29th September 2014</w:t>
      </w:r>
      <w:r w:rsidR="00187CDD" w:rsidRPr="00201B92">
        <w:rPr>
          <w:rFonts w:asciiTheme="majorHAnsi" w:hAnsiTheme="majorHAnsi" w:cs="Arial"/>
          <w:color w:val="1A1A1A"/>
        </w:rPr>
        <w:t>,</w:t>
      </w:r>
      <w:r w:rsidRPr="00201B92">
        <w:rPr>
          <w:rFonts w:asciiTheme="majorHAnsi" w:hAnsiTheme="majorHAnsi" w:cs="Arial"/>
          <w:color w:val="1A1A1A"/>
        </w:rPr>
        <w:t xml:space="preserve"> http://www.fastcompany.com/3036331/wearable-computing/what-industries-are-the-first-to-introduce-wearables-at-work</w:t>
      </w:r>
    </w:p>
    <w:p w14:paraId="3CDCE912" w14:textId="77777777" w:rsidR="006A4592" w:rsidRPr="00201B92" w:rsidRDefault="006A4592" w:rsidP="006A4592">
      <w:pPr>
        <w:ind w:left="567" w:hanging="567"/>
        <w:rPr>
          <w:rFonts w:asciiTheme="majorHAnsi" w:hAnsiTheme="majorHAnsi"/>
        </w:rPr>
      </w:pPr>
    </w:p>
    <w:p w14:paraId="51044322" w14:textId="17A2E112" w:rsidR="00047A72" w:rsidRPr="00201B92" w:rsidRDefault="00047A72" w:rsidP="00047A72">
      <w:pPr>
        <w:pStyle w:val="NormalWeb"/>
        <w:spacing w:before="0" w:beforeAutospacing="0" w:after="0" w:afterAutospacing="0"/>
        <w:ind w:left="567" w:hanging="567"/>
        <w:rPr>
          <w:rFonts w:asciiTheme="majorHAnsi" w:hAnsiTheme="majorHAnsi" w:cs="Arial"/>
          <w:color w:val="1A1A1A"/>
        </w:rPr>
      </w:pPr>
      <w:proofErr w:type="spellStart"/>
      <w:r w:rsidRPr="00201B92">
        <w:rPr>
          <w:rFonts w:asciiTheme="majorHAnsi" w:hAnsiTheme="majorHAnsi" w:cs="Arial"/>
          <w:color w:val="1A1A1A"/>
        </w:rPr>
        <w:t>Mingis</w:t>
      </w:r>
      <w:proofErr w:type="spellEnd"/>
      <w:r w:rsidR="00CF633C">
        <w:rPr>
          <w:rFonts w:asciiTheme="majorHAnsi" w:hAnsiTheme="majorHAnsi" w:cs="Arial"/>
          <w:color w:val="1A1A1A"/>
        </w:rPr>
        <w:t>,</w:t>
      </w:r>
      <w:r w:rsidRPr="00201B92">
        <w:rPr>
          <w:rFonts w:asciiTheme="majorHAnsi" w:hAnsiTheme="majorHAnsi" w:cs="Arial"/>
          <w:color w:val="1A1A1A"/>
        </w:rPr>
        <w:t xml:space="preserve"> K</w:t>
      </w:r>
      <w:r w:rsidR="00CF633C">
        <w:rPr>
          <w:rFonts w:asciiTheme="majorHAnsi" w:hAnsiTheme="majorHAnsi" w:cs="Arial"/>
          <w:color w:val="1A1A1A"/>
        </w:rPr>
        <w:t>.</w:t>
      </w:r>
      <w:r w:rsidRPr="00201B92">
        <w:rPr>
          <w:rFonts w:asciiTheme="majorHAnsi" w:hAnsiTheme="majorHAnsi" w:cs="Arial"/>
          <w:color w:val="1A1A1A"/>
        </w:rPr>
        <w:t xml:space="preserve"> (2015)</w:t>
      </w:r>
      <w:r w:rsidR="00D00705" w:rsidRPr="00201B92">
        <w:rPr>
          <w:rFonts w:asciiTheme="majorHAnsi" w:hAnsiTheme="majorHAnsi" w:cs="Arial"/>
          <w:color w:val="1A1A1A"/>
        </w:rPr>
        <w:t>,</w:t>
      </w:r>
      <w:r w:rsidRPr="00201B92">
        <w:rPr>
          <w:rFonts w:asciiTheme="majorHAnsi" w:hAnsiTheme="majorHAnsi" w:cs="Arial"/>
          <w:color w:val="1A1A1A"/>
        </w:rPr>
        <w:t xml:space="preserve"> ‘The Takeaway: Feds eye new rule for workplace wearables’ CIO 19th June 2015 </w:t>
      </w:r>
      <w:hyperlink r:id="rId10" w:anchor="follow" w:history="1">
        <w:r w:rsidRPr="00201B92">
          <w:rPr>
            <w:rFonts w:asciiTheme="majorHAnsi" w:hAnsiTheme="majorHAnsi"/>
            <w:color w:val="1A1A1A"/>
          </w:rPr>
          <w:t>http://www.cio.com/article/2937731/wearable-technology/the-takeaway-feds-eye-new-rule-for-workplace-wearables.html#follow</w:t>
        </w:r>
      </w:hyperlink>
      <w:r w:rsidRPr="00201B92">
        <w:rPr>
          <w:rFonts w:asciiTheme="majorHAnsi" w:hAnsiTheme="majorHAnsi" w:cs="Arial"/>
          <w:color w:val="1A1A1A"/>
        </w:rPr>
        <w:t xml:space="preserve">  </w:t>
      </w:r>
    </w:p>
    <w:p w14:paraId="76B9AFF8" w14:textId="7052D0CD" w:rsidR="003D397E" w:rsidRPr="00201B92" w:rsidRDefault="003D397E" w:rsidP="006D59BE">
      <w:pPr>
        <w:spacing w:after="60"/>
        <w:rPr>
          <w:rFonts w:asciiTheme="majorHAnsi" w:hAnsiTheme="majorHAnsi" w:cs="Arial"/>
          <w:color w:val="1A1A1A"/>
        </w:rPr>
      </w:pPr>
    </w:p>
    <w:p w14:paraId="69DD9C72" w14:textId="3FA91ACF" w:rsidR="00195B2E" w:rsidRPr="00CF633C" w:rsidRDefault="00195B2E" w:rsidP="00CF633C">
      <w:pPr>
        <w:ind w:left="567" w:hanging="567"/>
        <w:rPr>
          <w:rFonts w:asciiTheme="majorHAnsi" w:hAnsiTheme="majorHAnsi" w:cs="Arial"/>
        </w:rPr>
      </w:pPr>
      <w:r w:rsidRPr="00CF633C">
        <w:rPr>
          <w:rFonts w:asciiTheme="majorHAnsi" w:hAnsiTheme="majorHAnsi" w:cs="Arial"/>
        </w:rPr>
        <w:t>Moore, P</w:t>
      </w:r>
      <w:r w:rsidR="00CF633C">
        <w:rPr>
          <w:rFonts w:asciiTheme="majorHAnsi" w:hAnsiTheme="majorHAnsi" w:cs="Arial"/>
        </w:rPr>
        <w:t>.</w:t>
      </w:r>
      <w:r w:rsidRPr="00CF633C">
        <w:rPr>
          <w:rFonts w:asciiTheme="majorHAnsi" w:hAnsiTheme="majorHAnsi" w:cs="Arial"/>
        </w:rPr>
        <w:t xml:space="preserve"> and </w:t>
      </w:r>
      <w:proofErr w:type="spellStart"/>
      <w:r w:rsidRPr="00CF633C">
        <w:rPr>
          <w:rFonts w:asciiTheme="majorHAnsi" w:hAnsiTheme="majorHAnsi" w:cs="Arial"/>
        </w:rPr>
        <w:t>Piwek</w:t>
      </w:r>
      <w:proofErr w:type="spellEnd"/>
      <w:r w:rsidRPr="00CF633C">
        <w:rPr>
          <w:rFonts w:asciiTheme="majorHAnsi" w:hAnsiTheme="majorHAnsi" w:cs="Arial"/>
        </w:rPr>
        <w:t>, L</w:t>
      </w:r>
      <w:r w:rsidR="00CF633C">
        <w:rPr>
          <w:rFonts w:asciiTheme="majorHAnsi" w:hAnsiTheme="majorHAnsi" w:cs="Arial"/>
        </w:rPr>
        <w:t>.</w:t>
      </w:r>
      <w:r w:rsidRPr="00CF633C">
        <w:rPr>
          <w:rFonts w:asciiTheme="majorHAnsi" w:hAnsiTheme="majorHAnsi" w:cs="Arial"/>
        </w:rPr>
        <w:t xml:space="preserve"> (2015)</w:t>
      </w:r>
      <w:r w:rsidR="00CF633C">
        <w:rPr>
          <w:rFonts w:asciiTheme="majorHAnsi" w:hAnsiTheme="majorHAnsi" w:cs="Arial"/>
        </w:rPr>
        <w:t>,</w:t>
      </w:r>
      <w:r w:rsidRPr="00CF633C">
        <w:rPr>
          <w:rFonts w:asciiTheme="majorHAnsi" w:hAnsiTheme="majorHAnsi" w:cs="Arial"/>
        </w:rPr>
        <w:t xml:space="preserve"> ‘Unintended Consequences and Da</w:t>
      </w:r>
      <w:r w:rsidR="00CF633C" w:rsidRPr="00CF633C">
        <w:rPr>
          <w:rFonts w:asciiTheme="majorHAnsi" w:hAnsiTheme="majorHAnsi" w:cs="Arial"/>
        </w:rPr>
        <w:t>rk Sides of Quantifying Selves’</w:t>
      </w:r>
      <w:r w:rsidRPr="00CF633C">
        <w:rPr>
          <w:rFonts w:asciiTheme="majorHAnsi" w:hAnsiTheme="majorHAnsi" w:cs="Arial"/>
        </w:rPr>
        <w:t xml:space="preserve">, Sustainable Societies Network commissioned paper.  </w:t>
      </w:r>
    </w:p>
    <w:p w14:paraId="0693132B" w14:textId="77777777" w:rsidR="00195B2E" w:rsidRDefault="00195B2E" w:rsidP="00CF633C">
      <w:pPr>
        <w:ind w:left="567" w:hanging="567"/>
        <w:rPr>
          <w:rFonts w:asciiTheme="majorHAnsi" w:hAnsiTheme="majorHAnsi" w:cs="Arial"/>
          <w:sz w:val="20"/>
          <w:szCs w:val="20"/>
        </w:rPr>
      </w:pPr>
    </w:p>
    <w:p w14:paraId="0695C6A9" w14:textId="753E92E1" w:rsidR="00AD06AE" w:rsidRPr="00CF633C" w:rsidRDefault="00AD06AE" w:rsidP="00CF633C">
      <w:pPr>
        <w:ind w:left="567" w:hanging="567"/>
        <w:rPr>
          <w:rFonts w:asciiTheme="majorHAnsi" w:hAnsiTheme="majorHAnsi" w:cs="Arial"/>
          <w:color w:val="1A1A1A"/>
        </w:rPr>
      </w:pPr>
      <w:r w:rsidRPr="00CF633C">
        <w:rPr>
          <w:rFonts w:asciiTheme="majorHAnsi" w:hAnsiTheme="majorHAnsi" w:cs="Arial"/>
          <w:color w:val="1A1A1A"/>
        </w:rPr>
        <w:t>Moore, P</w:t>
      </w:r>
      <w:r w:rsidR="00CF633C">
        <w:rPr>
          <w:rFonts w:asciiTheme="majorHAnsi" w:hAnsiTheme="majorHAnsi" w:cs="Arial"/>
          <w:color w:val="1A1A1A"/>
        </w:rPr>
        <w:t>.</w:t>
      </w:r>
      <w:r w:rsidRPr="00CF633C">
        <w:rPr>
          <w:rFonts w:asciiTheme="majorHAnsi" w:hAnsiTheme="majorHAnsi" w:cs="Arial"/>
          <w:color w:val="1A1A1A"/>
        </w:rPr>
        <w:t xml:space="preserve"> and Robinson, A</w:t>
      </w:r>
      <w:r>
        <w:rPr>
          <w:rFonts w:asciiTheme="majorHAnsi" w:hAnsiTheme="majorHAnsi" w:cs="Arial"/>
          <w:color w:val="1A1A1A"/>
        </w:rPr>
        <w:t>.</w:t>
      </w:r>
      <w:r w:rsidRPr="00CF633C">
        <w:rPr>
          <w:rFonts w:asciiTheme="majorHAnsi" w:hAnsiTheme="majorHAnsi" w:cs="Arial"/>
          <w:color w:val="1A1A1A"/>
        </w:rPr>
        <w:t xml:space="preserve"> (2015)</w:t>
      </w:r>
      <w:r>
        <w:rPr>
          <w:rFonts w:asciiTheme="majorHAnsi" w:hAnsiTheme="majorHAnsi" w:cs="Arial"/>
          <w:color w:val="1A1A1A"/>
        </w:rPr>
        <w:t>,</w:t>
      </w:r>
      <w:r w:rsidRPr="00CF633C">
        <w:rPr>
          <w:rFonts w:asciiTheme="majorHAnsi" w:hAnsiTheme="majorHAnsi" w:cs="Arial"/>
          <w:color w:val="1A1A1A"/>
        </w:rPr>
        <w:t xml:space="preserve"> ‘The Quantified Self: What counts in the neoliberal workplace’, </w:t>
      </w:r>
      <w:r w:rsidRPr="00CF633C">
        <w:rPr>
          <w:rFonts w:asciiTheme="majorHAnsi" w:hAnsiTheme="majorHAnsi" w:cs="Arial"/>
          <w:i/>
          <w:color w:val="1A1A1A"/>
        </w:rPr>
        <w:t>New Media and Society</w:t>
      </w:r>
      <w:r w:rsidRPr="00CF633C">
        <w:rPr>
          <w:rFonts w:asciiTheme="majorHAnsi" w:hAnsiTheme="majorHAnsi" w:cs="Arial"/>
          <w:color w:val="1A1A1A"/>
        </w:rPr>
        <w:t xml:space="preserve"> Online First published DOI: 10.1177/146/4448/5604328</w:t>
      </w:r>
    </w:p>
    <w:p w14:paraId="3517A28D" w14:textId="77777777" w:rsidR="00AD06AE" w:rsidRDefault="00AD06AE" w:rsidP="00D00705">
      <w:pPr>
        <w:spacing w:after="60"/>
        <w:ind w:left="567" w:hanging="567"/>
        <w:rPr>
          <w:rFonts w:asciiTheme="majorHAnsi" w:hAnsiTheme="majorHAnsi" w:cs="Arial"/>
          <w:color w:val="1A1A1A"/>
        </w:rPr>
      </w:pPr>
    </w:p>
    <w:p w14:paraId="6C51E488" w14:textId="3C0F6161" w:rsidR="00D00705" w:rsidRDefault="00D00705" w:rsidP="00D00705">
      <w:pPr>
        <w:spacing w:after="60"/>
        <w:ind w:left="567" w:hanging="567"/>
        <w:rPr>
          <w:rFonts w:asciiTheme="majorHAnsi" w:hAnsiTheme="majorHAnsi" w:cs="Arial"/>
          <w:color w:val="1A1A1A"/>
        </w:rPr>
      </w:pPr>
      <w:r w:rsidRPr="00201B92">
        <w:rPr>
          <w:rFonts w:asciiTheme="majorHAnsi" w:hAnsiTheme="majorHAnsi" w:cs="Arial"/>
          <w:color w:val="1A1A1A"/>
        </w:rPr>
        <w:t xml:space="preserve">Morrison, G. (2015), </w:t>
      </w:r>
      <w:r w:rsidR="003D397E" w:rsidRPr="00201B92">
        <w:rPr>
          <w:rFonts w:asciiTheme="majorHAnsi" w:hAnsiTheme="majorHAnsi" w:cs="Arial"/>
          <w:color w:val="1A1A1A"/>
        </w:rPr>
        <w:t>‘</w:t>
      </w:r>
      <w:r w:rsidRPr="00201B92">
        <w:rPr>
          <w:rFonts w:asciiTheme="majorHAnsi" w:hAnsiTheme="majorHAnsi" w:cs="Arial"/>
          <w:color w:val="1A1A1A"/>
        </w:rPr>
        <w:t>Da</w:t>
      </w:r>
      <w:r w:rsidR="003D397E" w:rsidRPr="00201B92">
        <w:rPr>
          <w:rFonts w:asciiTheme="majorHAnsi" w:hAnsiTheme="majorHAnsi" w:cs="Arial"/>
          <w:color w:val="1A1A1A"/>
        </w:rPr>
        <w:t>ta privacy in a wearables world’</w:t>
      </w:r>
      <w:r w:rsidRPr="00201B92">
        <w:rPr>
          <w:rFonts w:asciiTheme="majorHAnsi" w:hAnsiTheme="majorHAnsi" w:cs="Arial"/>
          <w:color w:val="1A1A1A"/>
        </w:rPr>
        <w:t xml:space="preserve"> </w:t>
      </w:r>
      <w:proofErr w:type="spellStart"/>
      <w:r w:rsidRPr="00201B92">
        <w:rPr>
          <w:rFonts w:asciiTheme="majorHAnsi" w:hAnsiTheme="majorHAnsi" w:cs="Arial"/>
          <w:color w:val="1A1A1A"/>
        </w:rPr>
        <w:t>Betanews</w:t>
      </w:r>
      <w:proofErr w:type="spellEnd"/>
      <w:r w:rsidRPr="00201B92">
        <w:rPr>
          <w:rFonts w:asciiTheme="majorHAnsi" w:hAnsiTheme="majorHAnsi" w:cs="Arial"/>
          <w:color w:val="1A1A1A"/>
        </w:rPr>
        <w:t xml:space="preserve"> 18/03/15 </w:t>
      </w:r>
      <w:hyperlink r:id="rId11" w:history="1">
        <w:r w:rsidR="00A37C13" w:rsidRPr="006429D2">
          <w:rPr>
            <w:rStyle w:val="Hyperlink"/>
            <w:rFonts w:asciiTheme="majorHAnsi" w:hAnsiTheme="majorHAnsi" w:cs="Arial"/>
          </w:rPr>
          <w:t>http://betanews.com/2015/03/18/data-privacy-in-a-wearables-world/</w:t>
        </w:r>
      </w:hyperlink>
    </w:p>
    <w:p w14:paraId="44057CE0" w14:textId="77777777" w:rsidR="00A37C13" w:rsidRPr="00201B92" w:rsidRDefault="00A37C13" w:rsidP="00D00705">
      <w:pPr>
        <w:spacing w:after="60"/>
        <w:ind w:left="567" w:hanging="567"/>
        <w:rPr>
          <w:rFonts w:asciiTheme="majorHAnsi" w:hAnsiTheme="majorHAnsi" w:cs="Arial"/>
          <w:color w:val="1A1A1A"/>
        </w:rPr>
      </w:pPr>
    </w:p>
    <w:p w14:paraId="6C302DB7" w14:textId="425D2CEF" w:rsidR="00A37C13" w:rsidRPr="00CF633C" w:rsidRDefault="00A37C13" w:rsidP="00CF633C">
      <w:pPr>
        <w:ind w:left="567" w:hanging="567"/>
        <w:rPr>
          <w:rFonts w:eastAsia="Times New Roman"/>
        </w:rPr>
      </w:pPr>
      <w:r>
        <w:rPr>
          <w:rFonts w:asciiTheme="majorHAnsi" w:hAnsiTheme="majorHAnsi" w:cs="Arial"/>
          <w:color w:val="1A1A1A"/>
        </w:rPr>
        <w:t xml:space="preserve">Mulholland, K. and Stewart, P. (2013), ‘Workers in food distribution: Global commodity chains and lean logistics’ </w:t>
      </w:r>
      <w:r w:rsidRPr="00CF633C">
        <w:rPr>
          <w:rFonts w:asciiTheme="majorHAnsi" w:hAnsiTheme="majorHAnsi" w:cs="Arial"/>
          <w:i/>
          <w:color w:val="1A1A1A"/>
        </w:rPr>
        <w:t>New Political Economy</w:t>
      </w:r>
      <w:r>
        <w:rPr>
          <w:rFonts w:asciiTheme="majorHAnsi" w:hAnsiTheme="majorHAnsi" w:cs="Arial"/>
          <w:color w:val="1A1A1A"/>
        </w:rPr>
        <w:t xml:space="preserve"> </w:t>
      </w:r>
      <w:r w:rsidR="00CF633C">
        <w:rPr>
          <w:rFonts w:asciiTheme="majorHAnsi" w:hAnsiTheme="majorHAnsi" w:cs="Arial"/>
          <w:color w:val="1A1A1A"/>
        </w:rPr>
        <w:t xml:space="preserve">Vol. </w:t>
      </w:r>
      <w:r w:rsidR="00CF633C" w:rsidRPr="00CF633C">
        <w:rPr>
          <w:rFonts w:asciiTheme="majorHAnsi" w:hAnsiTheme="majorHAnsi" w:cs="Arial"/>
          <w:color w:val="1A1A1A"/>
        </w:rPr>
        <w:t>19 No. 4, pp.</w:t>
      </w:r>
      <w:r w:rsidRPr="00CF633C">
        <w:rPr>
          <w:rFonts w:asciiTheme="majorHAnsi" w:hAnsiTheme="majorHAnsi" w:cs="Arial"/>
          <w:color w:val="1A1A1A"/>
        </w:rPr>
        <w:t xml:space="preserve"> 534–558.</w:t>
      </w:r>
    </w:p>
    <w:p w14:paraId="0CDF87EC" w14:textId="15C61C16" w:rsidR="0086692B" w:rsidRPr="00201B92" w:rsidRDefault="0086692B" w:rsidP="0086692B">
      <w:pPr>
        <w:pStyle w:val="NormalWeb"/>
        <w:shd w:val="clear" w:color="auto" w:fill="FFFFFF"/>
        <w:spacing w:before="75" w:after="0"/>
        <w:ind w:left="567" w:hanging="567"/>
        <w:rPr>
          <w:rFonts w:asciiTheme="majorHAnsi" w:hAnsiTheme="majorHAnsi" w:cs="Arial"/>
          <w:color w:val="1A1A1A"/>
        </w:rPr>
      </w:pPr>
      <w:proofErr w:type="spellStart"/>
      <w:r w:rsidRPr="00201B92">
        <w:rPr>
          <w:rFonts w:asciiTheme="majorHAnsi" w:hAnsiTheme="majorHAnsi" w:cs="Arial"/>
          <w:color w:val="1A1A1A"/>
        </w:rPr>
        <w:t>Nield</w:t>
      </w:r>
      <w:proofErr w:type="spellEnd"/>
      <w:r w:rsidRPr="00201B92">
        <w:rPr>
          <w:rFonts w:asciiTheme="majorHAnsi" w:hAnsiTheme="majorHAnsi" w:cs="Arial"/>
          <w:color w:val="1A1A1A"/>
        </w:rPr>
        <w:t xml:space="preserve">, D. (2014), ‘In corporate wellness programs, wearables take a step forward’ Fortune.com. 15/4/2014 </w:t>
      </w:r>
      <w:hyperlink r:id="rId12" w:history="1">
        <w:r w:rsidRPr="00201B92">
          <w:rPr>
            <w:rFonts w:asciiTheme="majorHAnsi" w:hAnsiTheme="majorHAnsi" w:cs="Arial"/>
            <w:color w:val="1A1A1A"/>
          </w:rPr>
          <w:t>http://fortune.com/2014/04/15/in-corporate-wellness-programs-wearables-take-a-step-forward/</w:t>
        </w:r>
      </w:hyperlink>
      <w:r w:rsidRPr="00201B92">
        <w:rPr>
          <w:rFonts w:asciiTheme="majorHAnsi" w:hAnsiTheme="majorHAnsi" w:cs="Arial"/>
          <w:color w:val="1A1A1A"/>
        </w:rPr>
        <w:t xml:space="preserve"> </w:t>
      </w:r>
    </w:p>
    <w:p w14:paraId="518A4CA0" w14:textId="0F3F4006" w:rsidR="00E6589A" w:rsidRPr="00201B92" w:rsidRDefault="00E6589A" w:rsidP="00187CDD">
      <w:pPr>
        <w:ind w:left="567" w:hanging="567"/>
        <w:rPr>
          <w:rFonts w:asciiTheme="majorHAnsi" w:hAnsiTheme="majorHAnsi"/>
        </w:rPr>
      </w:pPr>
      <w:r w:rsidRPr="00201B92">
        <w:rPr>
          <w:rFonts w:asciiTheme="majorHAnsi" w:hAnsiTheme="majorHAnsi"/>
        </w:rPr>
        <w:t xml:space="preserve">Office of National Statistics (ONS) (2015), </w:t>
      </w:r>
      <w:r w:rsidRPr="00514642">
        <w:rPr>
          <w:rFonts w:asciiTheme="majorHAnsi" w:hAnsiTheme="majorHAnsi"/>
          <w:i/>
        </w:rPr>
        <w:t>International Comparisons of Productivity, Final Estimates 2013</w:t>
      </w:r>
      <w:r w:rsidRPr="00201B92">
        <w:rPr>
          <w:rFonts w:asciiTheme="majorHAnsi" w:hAnsiTheme="majorHAnsi"/>
        </w:rPr>
        <w:t xml:space="preserve">,  </w:t>
      </w:r>
      <w:hyperlink r:id="rId13" w:history="1">
        <w:r w:rsidRPr="00201B92">
          <w:rPr>
            <w:rStyle w:val="Hyperlink"/>
            <w:rFonts w:asciiTheme="majorHAnsi" w:hAnsiTheme="majorHAnsi"/>
          </w:rPr>
          <w:t>http://www.ons.gov.uk/ons/dcp171778_395943.pdf</w:t>
        </w:r>
      </w:hyperlink>
    </w:p>
    <w:p w14:paraId="20A998F2" w14:textId="77777777" w:rsidR="00E6589A" w:rsidRPr="00201B92" w:rsidRDefault="00E6589A" w:rsidP="00187CDD">
      <w:pPr>
        <w:ind w:left="567" w:hanging="567"/>
        <w:rPr>
          <w:rFonts w:asciiTheme="majorHAnsi" w:hAnsiTheme="majorHAnsi"/>
        </w:rPr>
      </w:pPr>
    </w:p>
    <w:p w14:paraId="285E1CB3" w14:textId="519AEB53" w:rsidR="00D2460F" w:rsidRDefault="006A4592" w:rsidP="00D2460F">
      <w:pPr>
        <w:ind w:left="567" w:hanging="567"/>
        <w:rPr>
          <w:rFonts w:asciiTheme="majorHAnsi" w:hAnsiTheme="majorHAnsi"/>
        </w:rPr>
      </w:pPr>
      <w:r w:rsidRPr="00201B92">
        <w:rPr>
          <w:rFonts w:asciiTheme="majorHAnsi" w:hAnsiTheme="majorHAnsi"/>
        </w:rPr>
        <w:t xml:space="preserve">Office of National Statistics </w:t>
      </w:r>
      <w:r w:rsidR="00E6589A" w:rsidRPr="00201B92">
        <w:rPr>
          <w:rFonts w:asciiTheme="majorHAnsi" w:hAnsiTheme="majorHAnsi"/>
        </w:rPr>
        <w:t xml:space="preserve">(ONS) </w:t>
      </w:r>
      <w:r w:rsidRPr="00201B92">
        <w:rPr>
          <w:rFonts w:asciiTheme="majorHAnsi" w:hAnsiTheme="majorHAnsi"/>
        </w:rPr>
        <w:t>(2014)</w:t>
      </w:r>
      <w:r w:rsidR="0086692B" w:rsidRPr="00201B92">
        <w:rPr>
          <w:rFonts w:asciiTheme="majorHAnsi" w:hAnsiTheme="majorHAnsi"/>
        </w:rPr>
        <w:t>,</w:t>
      </w:r>
      <w:r w:rsidRPr="00201B92">
        <w:rPr>
          <w:rFonts w:asciiTheme="majorHAnsi" w:hAnsiTheme="majorHAnsi"/>
        </w:rPr>
        <w:t xml:space="preserve"> ‘Sickness Absence in the </w:t>
      </w:r>
      <w:proofErr w:type="spellStart"/>
      <w:r w:rsidRPr="00201B92">
        <w:rPr>
          <w:rFonts w:asciiTheme="majorHAnsi" w:hAnsiTheme="majorHAnsi"/>
        </w:rPr>
        <w:t>Labour</w:t>
      </w:r>
      <w:proofErr w:type="spellEnd"/>
      <w:r w:rsidRPr="00201B92">
        <w:rPr>
          <w:rFonts w:asciiTheme="majorHAnsi" w:hAnsiTheme="majorHAnsi"/>
        </w:rPr>
        <w:t xml:space="preserve"> Market, February 2014 Full Report’</w:t>
      </w:r>
      <w:r w:rsidR="00E6589A" w:rsidRPr="00201B92">
        <w:rPr>
          <w:rFonts w:asciiTheme="majorHAnsi" w:hAnsiTheme="majorHAnsi"/>
        </w:rPr>
        <w:t>,</w:t>
      </w:r>
      <w:r w:rsidRPr="00201B92">
        <w:rPr>
          <w:rFonts w:asciiTheme="majorHAnsi" w:hAnsiTheme="majorHAnsi"/>
        </w:rPr>
        <w:t xml:space="preserve"> </w:t>
      </w:r>
      <w:hyperlink r:id="rId14" w:anchor="tab-Sickness-Absence-in-the-Labour-Market" w:history="1">
        <w:r w:rsidR="00D2460F" w:rsidRPr="000B6B4F">
          <w:rPr>
            <w:rStyle w:val="Hyperlink"/>
            <w:rFonts w:asciiTheme="majorHAnsi" w:hAnsiTheme="majorHAnsi"/>
          </w:rPr>
          <w:t>http://www.ons.gov.uk/ons/rel/lmac/sickness-absence-in-the-labour-market/2014/rpt---sickness-absence-in-the-labour-market.html#tab-Sickness-Absence-in-the-Labour-Market</w:t>
        </w:r>
      </w:hyperlink>
    </w:p>
    <w:p w14:paraId="3F42C34B" w14:textId="77777777" w:rsidR="00D2460F" w:rsidRDefault="00D2460F" w:rsidP="00D2460F">
      <w:pPr>
        <w:ind w:left="567" w:hanging="567"/>
        <w:rPr>
          <w:rFonts w:asciiTheme="majorHAnsi" w:hAnsiTheme="majorHAnsi"/>
        </w:rPr>
      </w:pPr>
    </w:p>
    <w:p w14:paraId="421C5B74" w14:textId="3D7FC742" w:rsidR="00D2460F" w:rsidRDefault="00D2460F" w:rsidP="00D2460F">
      <w:pPr>
        <w:ind w:left="567" w:hanging="567"/>
        <w:rPr>
          <w:rFonts w:asciiTheme="majorHAnsi" w:hAnsiTheme="majorHAnsi"/>
        </w:rPr>
      </w:pPr>
      <w:proofErr w:type="spellStart"/>
      <w:r w:rsidRPr="00D2460F">
        <w:rPr>
          <w:rFonts w:asciiTheme="majorHAnsi" w:hAnsiTheme="majorHAnsi"/>
        </w:rPr>
        <w:t>Olanoff</w:t>
      </w:r>
      <w:proofErr w:type="spellEnd"/>
      <w:r w:rsidRPr="00D2460F">
        <w:rPr>
          <w:rFonts w:asciiTheme="majorHAnsi" w:hAnsiTheme="majorHAnsi"/>
        </w:rPr>
        <w:t xml:space="preserve">, D. (2015), ‘Netflix Announces Its New ‘Unlimited’ Maternity And Paternity Leave Program’ </w:t>
      </w:r>
      <w:hyperlink r:id="rId15" w:history="1">
        <w:r w:rsidRPr="00D2460F">
          <w:rPr>
            <w:rFonts w:asciiTheme="majorHAnsi" w:hAnsiTheme="majorHAnsi"/>
          </w:rPr>
          <w:t>http://techcrunch.com/2015/08/04/netflix-announces-its-new-unlimited-maternity-and-paternity-leave-program/</w:t>
        </w:r>
      </w:hyperlink>
    </w:p>
    <w:p w14:paraId="6894C856" w14:textId="77777777" w:rsidR="00F46502" w:rsidRPr="00D2460F" w:rsidRDefault="00F46502" w:rsidP="00D2460F">
      <w:pPr>
        <w:ind w:left="567" w:hanging="567"/>
        <w:rPr>
          <w:rFonts w:asciiTheme="majorHAnsi" w:hAnsiTheme="majorHAnsi"/>
        </w:rPr>
      </w:pPr>
    </w:p>
    <w:p w14:paraId="186C1DAF" w14:textId="77777777" w:rsidR="00C26534" w:rsidRPr="00CF633C" w:rsidRDefault="00C26534" w:rsidP="00C26534">
      <w:pPr>
        <w:pStyle w:val="NormalWeb"/>
        <w:ind w:left="426" w:hanging="480"/>
        <w:rPr>
          <w:rFonts w:asciiTheme="majorHAnsi" w:hAnsiTheme="majorHAnsi"/>
        </w:rPr>
      </w:pPr>
      <w:r w:rsidRPr="00CF633C">
        <w:rPr>
          <w:rFonts w:asciiTheme="majorHAnsi" w:hAnsiTheme="majorHAnsi"/>
        </w:rPr>
        <w:t xml:space="preserve">Otis, E. and Zhao, Z. ‘Surveillance, Hunger and Work in the Produce Aisles of Wal-Mart, China in Crain, M., Poster, W. and Cherry, M. (eds.) (2016) </w:t>
      </w:r>
      <w:r w:rsidRPr="00CF633C">
        <w:rPr>
          <w:rFonts w:asciiTheme="majorHAnsi" w:hAnsiTheme="majorHAnsi"/>
          <w:i/>
        </w:rPr>
        <w:t xml:space="preserve">Invisible Labor: Hidden Work in the Contemporary World </w:t>
      </w:r>
      <w:r w:rsidRPr="00CF633C">
        <w:rPr>
          <w:rFonts w:asciiTheme="majorHAnsi" w:hAnsiTheme="majorHAnsi"/>
          <w:bCs/>
        </w:rPr>
        <w:t>(University of California Press) pp. 148 – 167.</w:t>
      </w:r>
      <w:r w:rsidRPr="00CF633C">
        <w:rPr>
          <w:rFonts w:asciiTheme="majorHAnsi" w:hAnsiTheme="majorHAnsi"/>
          <w:i/>
        </w:rPr>
        <w:t xml:space="preserve"> </w:t>
      </w:r>
    </w:p>
    <w:p w14:paraId="7C4B1C97" w14:textId="41023658" w:rsidR="00F46502" w:rsidRPr="00CF633C" w:rsidRDefault="00F46502" w:rsidP="00CF633C">
      <w:pPr>
        <w:ind w:left="567" w:hanging="567"/>
        <w:rPr>
          <w:rStyle w:val="NoneA"/>
          <w:rFonts w:asciiTheme="majorHAnsi" w:hAnsiTheme="majorHAnsi" w:cs="Arial Unicode MS"/>
          <w:color w:val="313131"/>
          <w:u w:color="313131"/>
          <w:bdr w:val="nil"/>
        </w:rPr>
      </w:pPr>
      <w:r w:rsidRPr="00CF633C">
        <w:rPr>
          <w:rStyle w:val="NoneA"/>
          <w:rFonts w:asciiTheme="majorHAnsi" w:hAnsiTheme="majorHAnsi" w:cs="Arial Unicode MS"/>
          <w:color w:val="313131"/>
          <w:u w:color="313131"/>
          <w:bdr w:val="nil"/>
        </w:rPr>
        <w:t xml:space="preserve">Pasquale, F. </w:t>
      </w:r>
      <w:r w:rsidR="00462630" w:rsidRPr="00CF633C">
        <w:rPr>
          <w:rStyle w:val="NoneA"/>
          <w:rFonts w:asciiTheme="majorHAnsi" w:hAnsiTheme="majorHAnsi" w:cs="Arial Unicode MS"/>
          <w:color w:val="313131"/>
          <w:u w:color="313131"/>
          <w:bdr w:val="nil"/>
        </w:rPr>
        <w:t>(2010), ‘</w:t>
      </w:r>
      <w:r w:rsidRPr="00CF633C">
        <w:rPr>
          <w:rStyle w:val="NoneA"/>
          <w:rFonts w:asciiTheme="majorHAnsi" w:hAnsiTheme="majorHAnsi" w:cs="Arial Unicode MS"/>
          <w:color w:val="313131"/>
          <w:u w:color="313131"/>
          <w:bdr w:val="nil"/>
        </w:rPr>
        <w:t xml:space="preserve">Reputation Regulation: Disclosure and the Challenge of Clandestinely </w:t>
      </w:r>
      <w:proofErr w:type="spellStart"/>
      <w:r w:rsidRPr="00CF633C">
        <w:rPr>
          <w:rStyle w:val="NoneA"/>
          <w:rFonts w:asciiTheme="majorHAnsi" w:hAnsiTheme="majorHAnsi" w:cs="Arial Unicode MS"/>
          <w:color w:val="313131"/>
          <w:u w:color="313131"/>
          <w:bdr w:val="nil"/>
        </w:rPr>
        <w:t>Commensurating</w:t>
      </w:r>
      <w:proofErr w:type="spellEnd"/>
      <w:r w:rsidRPr="00CF633C">
        <w:rPr>
          <w:rStyle w:val="NoneA"/>
          <w:rFonts w:asciiTheme="majorHAnsi" w:hAnsiTheme="majorHAnsi" w:cs="Arial Unicode MS"/>
          <w:color w:val="313131"/>
          <w:u w:color="313131"/>
          <w:bdr w:val="nil"/>
        </w:rPr>
        <w:t xml:space="preserve"> Computing, in</w:t>
      </w:r>
      <w:r w:rsidR="00462630" w:rsidRPr="00CF633C">
        <w:rPr>
          <w:rStyle w:val="NoneA"/>
          <w:rFonts w:asciiTheme="majorHAnsi" w:hAnsiTheme="majorHAnsi" w:cs="Arial Unicode MS"/>
          <w:color w:val="313131"/>
          <w:u w:color="313131"/>
          <w:bdr w:val="nil"/>
        </w:rPr>
        <w:t xml:space="preserve"> </w:t>
      </w:r>
      <w:proofErr w:type="spellStart"/>
      <w:r w:rsidR="00462630" w:rsidRPr="00CF633C">
        <w:rPr>
          <w:rStyle w:val="NoneA"/>
          <w:rFonts w:asciiTheme="majorHAnsi" w:hAnsiTheme="majorHAnsi" w:cs="Arial Unicode MS"/>
          <w:color w:val="313131"/>
          <w:u w:color="313131"/>
          <w:bdr w:val="nil"/>
        </w:rPr>
        <w:t>Levmore</w:t>
      </w:r>
      <w:proofErr w:type="spellEnd"/>
      <w:r w:rsidR="00462630" w:rsidRPr="00CF633C">
        <w:rPr>
          <w:rStyle w:val="NoneA"/>
          <w:rFonts w:asciiTheme="majorHAnsi" w:hAnsiTheme="majorHAnsi" w:cs="Arial Unicode MS"/>
          <w:color w:val="313131"/>
          <w:u w:color="313131"/>
          <w:bdr w:val="nil"/>
        </w:rPr>
        <w:t>, S. and Nussbaum, M. C. (</w:t>
      </w:r>
      <w:proofErr w:type="spellStart"/>
      <w:r w:rsidR="00462630" w:rsidRPr="00CF633C">
        <w:rPr>
          <w:rStyle w:val="NoneA"/>
          <w:rFonts w:asciiTheme="majorHAnsi" w:hAnsiTheme="majorHAnsi" w:cs="Arial Unicode MS"/>
          <w:color w:val="313131"/>
          <w:u w:color="313131"/>
          <w:bdr w:val="nil"/>
        </w:rPr>
        <w:t>eds</w:t>
      </w:r>
      <w:proofErr w:type="spellEnd"/>
      <w:r w:rsidR="00462630" w:rsidRPr="00CF633C">
        <w:rPr>
          <w:rStyle w:val="NoneA"/>
          <w:rFonts w:asciiTheme="majorHAnsi" w:hAnsiTheme="majorHAnsi" w:cs="Arial Unicode MS"/>
          <w:color w:val="313131"/>
          <w:u w:color="313131"/>
          <w:bdr w:val="nil"/>
        </w:rPr>
        <w:t>)</w:t>
      </w:r>
      <w:r w:rsidR="00462630" w:rsidRPr="00CF633C">
        <w:rPr>
          <w:rStyle w:val="NoneA"/>
          <w:rFonts w:asciiTheme="majorHAnsi" w:hAnsiTheme="majorHAnsi" w:cs="Arial Unicode MS"/>
          <w:i/>
          <w:color w:val="313131"/>
          <w:u w:color="313131"/>
          <w:bdr w:val="nil"/>
        </w:rPr>
        <w:t xml:space="preserve"> </w:t>
      </w:r>
      <w:r w:rsidRPr="00CF633C">
        <w:rPr>
          <w:rStyle w:val="NoneA"/>
          <w:rFonts w:asciiTheme="majorHAnsi" w:hAnsiTheme="majorHAnsi" w:cs="Arial Unicode MS"/>
          <w:i/>
          <w:color w:val="313131"/>
          <w:u w:color="313131"/>
          <w:bdr w:val="nil"/>
        </w:rPr>
        <w:t>The Offensive Internet: Speech, Privacy, and Reputation</w:t>
      </w:r>
      <w:r w:rsidRPr="00CF633C">
        <w:rPr>
          <w:rStyle w:val="NoneA"/>
          <w:rFonts w:asciiTheme="majorHAnsi" w:hAnsiTheme="majorHAnsi" w:cs="Arial Unicode MS"/>
          <w:color w:val="313131"/>
          <w:u w:color="313131"/>
          <w:bdr w:val="nil"/>
        </w:rPr>
        <w:t>.</w:t>
      </w:r>
    </w:p>
    <w:p w14:paraId="77C2D1E8" w14:textId="3304BAA8" w:rsidR="000B3E62" w:rsidRPr="00201B92" w:rsidRDefault="000B3E62" w:rsidP="00445D3E">
      <w:pPr>
        <w:pStyle w:val="NormalWeb"/>
        <w:ind w:left="480" w:hanging="480"/>
        <w:jc w:val="both"/>
        <w:rPr>
          <w:rFonts w:asciiTheme="majorHAnsi" w:hAnsiTheme="majorHAnsi"/>
        </w:rPr>
      </w:pPr>
      <w:r w:rsidRPr="00201B92">
        <w:rPr>
          <w:rFonts w:asciiTheme="majorHAnsi" w:hAnsiTheme="majorHAnsi" w:cs="Arial"/>
          <w:color w:val="1A1A1A"/>
        </w:rPr>
        <w:lastRenderedPageBreak/>
        <w:t xml:space="preserve">Proudfoot, J.G., </w:t>
      </w:r>
      <w:proofErr w:type="spellStart"/>
      <w:r w:rsidRPr="00201B92">
        <w:rPr>
          <w:rFonts w:asciiTheme="majorHAnsi" w:hAnsiTheme="majorHAnsi" w:cs="Arial"/>
          <w:color w:val="1A1A1A"/>
        </w:rPr>
        <w:t>Corr</w:t>
      </w:r>
      <w:proofErr w:type="spellEnd"/>
      <w:r w:rsidRPr="00201B92">
        <w:rPr>
          <w:rFonts w:asciiTheme="majorHAnsi" w:hAnsiTheme="majorHAnsi" w:cs="Arial"/>
          <w:color w:val="1A1A1A"/>
        </w:rPr>
        <w:t xml:space="preserve">, </w:t>
      </w:r>
      <w:r w:rsidR="0007416E" w:rsidRPr="00201B92">
        <w:rPr>
          <w:rFonts w:asciiTheme="majorHAnsi" w:hAnsiTheme="majorHAnsi" w:cs="Arial"/>
          <w:color w:val="1A1A1A"/>
        </w:rPr>
        <w:t>P.J., Guest, D.E. and Dunn, G. (2009),</w:t>
      </w:r>
      <w:r w:rsidRPr="00201B92">
        <w:rPr>
          <w:rFonts w:asciiTheme="majorHAnsi" w:hAnsiTheme="majorHAnsi" w:cs="Arial"/>
          <w:color w:val="1A1A1A"/>
        </w:rPr>
        <w:t xml:space="preserve"> </w:t>
      </w:r>
      <w:r w:rsidR="00514642">
        <w:rPr>
          <w:rFonts w:asciiTheme="majorHAnsi" w:hAnsiTheme="majorHAnsi" w:cs="Arial"/>
          <w:color w:val="1A1A1A"/>
        </w:rPr>
        <w:t>‘</w:t>
      </w:r>
      <w:r w:rsidRPr="00201B92">
        <w:rPr>
          <w:rFonts w:asciiTheme="majorHAnsi" w:hAnsiTheme="majorHAnsi" w:cs="Arial"/>
          <w:color w:val="1A1A1A"/>
        </w:rPr>
        <w:t>Cognitive-</w:t>
      </w:r>
      <w:proofErr w:type="spellStart"/>
      <w:r w:rsidRPr="00201B92">
        <w:rPr>
          <w:rFonts w:asciiTheme="majorHAnsi" w:hAnsiTheme="majorHAnsi" w:cs="Arial"/>
          <w:color w:val="1A1A1A"/>
        </w:rPr>
        <w:t>behavioural</w:t>
      </w:r>
      <w:proofErr w:type="spellEnd"/>
      <w:r w:rsidRPr="00201B92">
        <w:rPr>
          <w:rFonts w:asciiTheme="majorHAnsi" w:hAnsiTheme="majorHAnsi" w:cs="Arial"/>
          <w:color w:val="1A1A1A"/>
        </w:rPr>
        <w:t xml:space="preserve"> training to change attributional style improves employee well-being, job satisfaction, productivity, and turnover</w:t>
      </w:r>
      <w:r w:rsidR="00514642">
        <w:rPr>
          <w:rFonts w:asciiTheme="majorHAnsi" w:hAnsiTheme="majorHAnsi" w:cs="Arial"/>
          <w:color w:val="1A1A1A"/>
        </w:rPr>
        <w:t>’</w:t>
      </w:r>
      <w:r w:rsidR="0007416E" w:rsidRPr="00201B92">
        <w:rPr>
          <w:rFonts w:asciiTheme="majorHAnsi" w:hAnsiTheme="majorHAnsi" w:cs="Arial"/>
          <w:color w:val="1A1A1A"/>
        </w:rPr>
        <w:t>,</w:t>
      </w:r>
      <w:r w:rsidRPr="00201B92">
        <w:rPr>
          <w:rFonts w:asciiTheme="majorHAnsi" w:hAnsiTheme="majorHAnsi" w:cs="Arial"/>
          <w:color w:val="1A1A1A"/>
        </w:rPr>
        <w:t xml:space="preserve"> </w:t>
      </w:r>
      <w:r w:rsidRPr="00201B92">
        <w:rPr>
          <w:rFonts w:asciiTheme="majorHAnsi" w:hAnsiTheme="majorHAnsi" w:cs="Arial"/>
          <w:i/>
          <w:iCs/>
          <w:color w:val="1A1A1A"/>
        </w:rPr>
        <w:t>Personality and Individual Differences</w:t>
      </w:r>
      <w:r w:rsidRPr="00201B92">
        <w:rPr>
          <w:rFonts w:asciiTheme="majorHAnsi" w:hAnsiTheme="majorHAnsi" w:cs="Arial"/>
          <w:color w:val="1A1A1A"/>
        </w:rPr>
        <w:t xml:space="preserve">, </w:t>
      </w:r>
      <w:r w:rsidR="0007416E" w:rsidRPr="00201B92">
        <w:rPr>
          <w:rFonts w:asciiTheme="majorHAnsi" w:hAnsiTheme="majorHAnsi" w:cs="Arial"/>
          <w:color w:val="1A1A1A"/>
        </w:rPr>
        <w:t xml:space="preserve">Vol. </w:t>
      </w:r>
      <w:r w:rsidRPr="00201B92">
        <w:rPr>
          <w:rFonts w:asciiTheme="majorHAnsi" w:hAnsiTheme="majorHAnsi" w:cs="Arial"/>
          <w:iCs/>
          <w:color w:val="1A1A1A"/>
        </w:rPr>
        <w:t>46</w:t>
      </w:r>
      <w:r w:rsidR="0007416E" w:rsidRPr="00201B92">
        <w:rPr>
          <w:rFonts w:asciiTheme="majorHAnsi" w:hAnsiTheme="majorHAnsi" w:cs="Arial"/>
          <w:color w:val="1A1A1A"/>
        </w:rPr>
        <w:t xml:space="preserve"> No. 2</w:t>
      </w:r>
      <w:r w:rsidRPr="00201B92">
        <w:rPr>
          <w:rFonts w:asciiTheme="majorHAnsi" w:hAnsiTheme="majorHAnsi" w:cs="Arial"/>
          <w:color w:val="1A1A1A"/>
        </w:rPr>
        <w:t>, pp.</w:t>
      </w:r>
      <w:r w:rsidR="0007416E" w:rsidRPr="00201B92">
        <w:rPr>
          <w:rFonts w:asciiTheme="majorHAnsi" w:hAnsiTheme="majorHAnsi" w:cs="Arial"/>
          <w:color w:val="1A1A1A"/>
        </w:rPr>
        <w:t xml:space="preserve"> </w:t>
      </w:r>
      <w:r w:rsidRPr="00201B92">
        <w:rPr>
          <w:rFonts w:asciiTheme="majorHAnsi" w:hAnsiTheme="majorHAnsi" w:cs="Arial"/>
          <w:color w:val="1A1A1A"/>
        </w:rPr>
        <w:t>147-153.</w:t>
      </w:r>
    </w:p>
    <w:p w14:paraId="09BC4DAD" w14:textId="3F3C47BE" w:rsidR="00187CDD" w:rsidRPr="00201B92" w:rsidRDefault="00187CDD" w:rsidP="00920BF8">
      <w:pPr>
        <w:pStyle w:val="NormalWeb"/>
        <w:ind w:left="480" w:hanging="480"/>
        <w:rPr>
          <w:rFonts w:asciiTheme="majorHAnsi" w:hAnsiTheme="majorHAnsi"/>
        </w:rPr>
      </w:pPr>
      <w:r w:rsidRPr="00201B92">
        <w:rPr>
          <w:rFonts w:asciiTheme="majorHAnsi" w:hAnsiTheme="majorHAnsi"/>
        </w:rPr>
        <w:t>Rackspace (2014), ‘The Human Cloud at Work, A Study into the Impact of Wearable Technology in the Workplace’, https://www.rackspace.co.uk/sites/default/files/Human Cloud at Work.pdf</w:t>
      </w:r>
    </w:p>
    <w:p w14:paraId="4F1E5930" w14:textId="0A851E12" w:rsidR="00920BF8" w:rsidRPr="00201B92" w:rsidRDefault="00920BF8" w:rsidP="00920BF8">
      <w:pPr>
        <w:pStyle w:val="NormalWeb"/>
        <w:ind w:left="480" w:hanging="480"/>
        <w:rPr>
          <w:rFonts w:asciiTheme="majorHAnsi" w:hAnsiTheme="majorHAnsi"/>
        </w:rPr>
      </w:pPr>
      <w:proofErr w:type="spellStart"/>
      <w:r w:rsidRPr="00201B92">
        <w:rPr>
          <w:rFonts w:asciiTheme="majorHAnsi" w:hAnsiTheme="majorHAnsi"/>
        </w:rPr>
        <w:t>Shegog</w:t>
      </w:r>
      <w:proofErr w:type="spellEnd"/>
      <w:r w:rsidRPr="00201B92">
        <w:rPr>
          <w:rFonts w:asciiTheme="majorHAnsi" w:hAnsiTheme="majorHAnsi"/>
        </w:rPr>
        <w:t>, R., Bartholomew, L. K., Parcel, G. S.</w:t>
      </w:r>
      <w:r w:rsidR="0007416E" w:rsidRPr="00201B92">
        <w:rPr>
          <w:rFonts w:asciiTheme="majorHAnsi" w:hAnsiTheme="majorHAnsi"/>
        </w:rPr>
        <w:t xml:space="preserve">, </w:t>
      </w:r>
      <w:proofErr w:type="spellStart"/>
      <w:r w:rsidR="0007416E" w:rsidRPr="00201B92">
        <w:rPr>
          <w:rFonts w:asciiTheme="majorHAnsi" w:hAnsiTheme="majorHAnsi"/>
        </w:rPr>
        <w:t>Sockrider</w:t>
      </w:r>
      <w:proofErr w:type="spellEnd"/>
      <w:r w:rsidR="0007416E" w:rsidRPr="00201B92">
        <w:rPr>
          <w:rFonts w:asciiTheme="majorHAnsi" w:hAnsiTheme="majorHAnsi"/>
        </w:rPr>
        <w:t xml:space="preserve">, M. M., </w:t>
      </w:r>
      <w:proofErr w:type="spellStart"/>
      <w:r w:rsidR="0007416E" w:rsidRPr="00201B92">
        <w:rPr>
          <w:rFonts w:asciiTheme="majorHAnsi" w:hAnsiTheme="majorHAnsi"/>
        </w:rPr>
        <w:t>Mâsse</w:t>
      </w:r>
      <w:proofErr w:type="spellEnd"/>
      <w:r w:rsidR="0007416E" w:rsidRPr="00201B92">
        <w:rPr>
          <w:rFonts w:asciiTheme="majorHAnsi" w:hAnsiTheme="majorHAnsi"/>
        </w:rPr>
        <w:t>, L. and Abramson, S. L. (2001),</w:t>
      </w:r>
      <w:r w:rsidRPr="00201B92">
        <w:rPr>
          <w:rFonts w:asciiTheme="majorHAnsi" w:hAnsiTheme="majorHAnsi"/>
        </w:rPr>
        <w:t xml:space="preserve"> </w:t>
      </w:r>
      <w:r w:rsidR="00514642">
        <w:rPr>
          <w:rFonts w:asciiTheme="majorHAnsi" w:hAnsiTheme="majorHAnsi"/>
        </w:rPr>
        <w:t>‘</w:t>
      </w:r>
      <w:r w:rsidRPr="00201B92">
        <w:rPr>
          <w:rFonts w:asciiTheme="majorHAnsi" w:hAnsiTheme="majorHAnsi"/>
        </w:rPr>
        <w:t xml:space="preserve">Impact of a computer-assisted education program on factors related to </w:t>
      </w:r>
      <w:r w:rsidR="00514642">
        <w:rPr>
          <w:rFonts w:asciiTheme="majorHAnsi" w:hAnsiTheme="majorHAnsi"/>
        </w:rPr>
        <w:t>asthma self-management behavior’</w:t>
      </w:r>
      <w:r w:rsidR="0007416E" w:rsidRPr="00201B92">
        <w:rPr>
          <w:rFonts w:asciiTheme="majorHAnsi" w:hAnsiTheme="majorHAnsi"/>
        </w:rPr>
        <w:t>,</w:t>
      </w:r>
      <w:r w:rsidRPr="00201B92">
        <w:rPr>
          <w:rFonts w:asciiTheme="majorHAnsi" w:hAnsiTheme="majorHAnsi"/>
        </w:rPr>
        <w:t xml:space="preserve"> </w:t>
      </w:r>
      <w:r w:rsidRPr="00201B92">
        <w:rPr>
          <w:rFonts w:asciiTheme="majorHAnsi" w:hAnsiTheme="majorHAnsi"/>
          <w:i/>
          <w:iCs/>
        </w:rPr>
        <w:t>Journal of the American Medical Informatics Association</w:t>
      </w:r>
      <w:r w:rsidR="0007416E" w:rsidRPr="00201B92">
        <w:rPr>
          <w:rFonts w:asciiTheme="majorHAnsi" w:hAnsiTheme="majorHAnsi"/>
          <w:i/>
          <w:iCs/>
        </w:rPr>
        <w:t xml:space="preserve">, </w:t>
      </w:r>
      <w:r w:rsidR="0007416E" w:rsidRPr="00201B92">
        <w:rPr>
          <w:rFonts w:asciiTheme="majorHAnsi" w:hAnsiTheme="majorHAnsi"/>
          <w:iCs/>
        </w:rPr>
        <w:t xml:space="preserve">Vol. </w:t>
      </w:r>
      <w:r w:rsidRPr="00201B92">
        <w:rPr>
          <w:rFonts w:asciiTheme="majorHAnsi" w:hAnsiTheme="majorHAnsi"/>
          <w:iCs/>
        </w:rPr>
        <w:t>8</w:t>
      </w:r>
      <w:r w:rsidR="0007416E" w:rsidRPr="00201B92">
        <w:rPr>
          <w:rFonts w:asciiTheme="majorHAnsi" w:hAnsiTheme="majorHAnsi"/>
        </w:rPr>
        <w:t xml:space="preserve"> No. 1</w:t>
      </w:r>
      <w:r w:rsidRPr="00201B92">
        <w:rPr>
          <w:rFonts w:asciiTheme="majorHAnsi" w:hAnsiTheme="majorHAnsi"/>
        </w:rPr>
        <w:t xml:space="preserve">, </w:t>
      </w:r>
      <w:r w:rsidR="0007416E" w:rsidRPr="00201B92">
        <w:rPr>
          <w:rFonts w:asciiTheme="majorHAnsi" w:hAnsiTheme="majorHAnsi"/>
        </w:rPr>
        <w:t xml:space="preserve">pp. </w:t>
      </w:r>
      <w:r w:rsidRPr="00201B92">
        <w:rPr>
          <w:rFonts w:asciiTheme="majorHAnsi" w:hAnsiTheme="majorHAnsi"/>
        </w:rPr>
        <w:t>49–61.</w:t>
      </w:r>
    </w:p>
    <w:p w14:paraId="278B920A" w14:textId="47FB8294" w:rsidR="000B3E62" w:rsidRPr="00201B92" w:rsidRDefault="0007416E" w:rsidP="00920BF8">
      <w:pPr>
        <w:pStyle w:val="NormalWeb"/>
        <w:ind w:left="480" w:hanging="480"/>
        <w:rPr>
          <w:rFonts w:asciiTheme="majorHAnsi" w:hAnsiTheme="majorHAnsi"/>
        </w:rPr>
      </w:pPr>
      <w:proofErr w:type="spellStart"/>
      <w:r w:rsidRPr="00201B92">
        <w:rPr>
          <w:rFonts w:asciiTheme="majorHAnsi" w:hAnsiTheme="majorHAnsi" w:cs="Arial"/>
          <w:color w:val="1A1A1A"/>
        </w:rPr>
        <w:t>Shepperd</w:t>
      </w:r>
      <w:proofErr w:type="spellEnd"/>
      <w:r w:rsidRPr="00201B92">
        <w:rPr>
          <w:rFonts w:asciiTheme="majorHAnsi" w:hAnsiTheme="majorHAnsi" w:cs="Arial"/>
          <w:color w:val="1A1A1A"/>
        </w:rPr>
        <w:t>, J. A. (</w:t>
      </w:r>
      <w:r w:rsidR="000B3E62" w:rsidRPr="00201B92">
        <w:rPr>
          <w:rFonts w:asciiTheme="majorHAnsi" w:hAnsiTheme="majorHAnsi" w:cs="Arial"/>
          <w:color w:val="1A1A1A"/>
        </w:rPr>
        <w:t>1993</w:t>
      </w:r>
      <w:r w:rsidRPr="00201B92">
        <w:rPr>
          <w:rFonts w:asciiTheme="majorHAnsi" w:hAnsiTheme="majorHAnsi" w:cs="Arial"/>
          <w:color w:val="1A1A1A"/>
        </w:rPr>
        <w:t>),</w:t>
      </w:r>
      <w:r w:rsidR="000B3E62" w:rsidRPr="00201B92">
        <w:rPr>
          <w:rFonts w:asciiTheme="majorHAnsi" w:hAnsiTheme="majorHAnsi" w:cs="Arial"/>
          <w:color w:val="1A1A1A"/>
        </w:rPr>
        <w:t xml:space="preserve"> </w:t>
      </w:r>
      <w:r w:rsidR="00514642">
        <w:rPr>
          <w:rFonts w:asciiTheme="majorHAnsi" w:hAnsiTheme="majorHAnsi" w:cs="Arial"/>
          <w:color w:val="1A1A1A"/>
        </w:rPr>
        <w:t>‘</w:t>
      </w:r>
      <w:r w:rsidR="000B3E62" w:rsidRPr="00201B92">
        <w:rPr>
          <w:rFonts w:asciiTheme="majorHAnsi" w:hAnsiTheme="majorHAnsi" w:cs="Arial"/>
          <w:color w:val="1A1A1A"/>
        </w:rPr>
        <w:t>Productivity loss in performance groups: A motivation analysis</w:t>
      </w:r>
      <w:r w:rsidR="00514642">
        <w:rPr>
          <w:rFonts w:asciiTheme="majorHAnsi" w:hAnsiTheme="majorHAnsi" w:cs="Arial"/>
          <w:color w:val="1A1A1A"/>
        </w:rPr>
        <w:t>’</w:t>
      </w:r>
      <w:r w:rsidRPr="00201B92">
        <w:rPr>
          <w:rFonts w:asciiTheme="majorHAnsi" w:hAnsiTheme="majorHAnsi" w:cs="Arial"/>
          <w:color w:val="1A1A1A"/>
        </w:rPr>
        <w:t>,</w:t>
      </w:r>
      <w:r w:rsidR="000B3E62" w:rsidRPr="00201B92">
        <w:rPr>
          <w:rFonts w:asciiTheme="majorHAnsi" w:hAnsiTheme="majorHAnsi" w:cs="Arial"/>
          <w:color w:val="1A1A1A"/>
        </w:rPr>
        <w:t xml:space="preserve"> </w:t>
      </w:r>
      <w:r w:rsidR="000B3E62" w:rsidRPr="00201B92">
        <w:rPr>
          <w:rFonts w:asciiTheme="majorHAnsi" w:hAnsiTheme="majorHAnsi" w:cs="Arial"/>
          <w:i/>
          <w:iCs/>
          <w:color w:val="1A1A1A"/>
        </w:rPr>
        <w:t>Psychological bulletin</w:t>
      </w:r>
      <w:r w:rsidR="000B3E62" w:rsidRPr="00201B92">
        <w:rPr>
          <w:rFonts w:asciiTheme="majorHAnsi" w:hAnsiTheme="majorHAnsi" w:cs="Arial"/>
          <w:color w:val="1A1A1A"/>
        </w:rPr>
        <w:t xml:space="preserve">, </w:t>
      </w:r>
      <w:r w:rsidRPr="00201B92">
        <w:rPr>
          <w:rFonts w:asciiTheme="majorHAnsi" w:hAnsiTheme="majorHAnsi" w:cs="Arial"/>
          <w:color w:val="1A1A1A"/>
        </w:rPr>
        <w:t xml:space="preserve">Vol. </w:t>
      </w:r>
      <w:r w:rsidR="000B3E62" w:rsidRPr="00201B92">
        <w:rPr>
          <w:rFonts w:asciiTheme="majorHAnsi" w:hAnsiTheme="majorHAnsi" w:cs="Arial"/>
          <w:iCs/>
          <w:color w:val="1A1A1A"/>
        </w:rPr>
        <w:t>113</w:t>
      </w:r>
      <w:r w:rsidRPr="00201B92">
        <w:rPr>
          <w:rFonts w:asciiTheme="majorHAnsi" w:hAnsiTheme="majorHAnsi" w:cs="Arial"/>
          <w:color w:val="1A1A1A"/>
        </w:rPr>
        <w:t xml:space="preserve"> No. 1</w:t>
      </w:r>
      <w:r w:rsidR="000B3E62" w:rsidRPr="00201B92">
        <w:rPr>
          <w:rFonts w:asciiTheme="majorHAnsi" w:hAnsiTheme="majorHAnsi" w:cs="Arial"/>
          <w:color w:val="1A1A1A"/>
        </w:rPr>
        <w:t>, p</w:t>
      </w:r>
      <w:r w:rsidRPr="00201B92">
        <w:rPr>
          <w:rFonts w:asciiTheme="majorHAnsi" w:hAnsiTheme="majorHAnsi" w:cs="Arial"/>
          <w:color w:val="1A1A1A"/>
        </w:rPr>
        <w:t>p</w:t>
      </w:r>
      <w:r w:rsidR="000B3E62" w:rsidRPr="00201B92">
        <w:rPr>
          <w:rFonts w:asciiTheme="majorHAnsi" w:hAnsiTheme="majorHAnsi" w:cs="Arial"/>
          <w:color w:val="1A1A1A"/>
        </w:rPr>
        <w:t>.</w:t>
      </w:r>
      <w:r w:rsidRPr="00201B92">
        <w:rPr>
          <w:rFonts w:asciiTheme="majorHAnsi" w:hAnsiTheme="majorHAnsi" w:cs="Arial"/>
          <w:color w:val="1A1A1A"/>
        </w:rPr>
        <w:t xml:space="preserve"> </w:t>
      </w:r>
      <w:r w:rsidR="000B3E62" w:rsidRPr="00201B92">
        <w:rPr>
          <w:rFonts w:asciiTheme="majorHAnsi" w:hAnsiTheme="majorHAnsi" w:cs="Arial"/>
          <w:color w:val="1A1A1A"/>
        </w:rPr>
        <w:t>67</w:t>
      </w:r>
      <w:r w:rsidRPr="00201B92">
        <w:rPr>
          <w:rFonts w:asciiTheme="majorHAnsi" w:hAnsiTheme="majorHAnsi" w:cs="Arial"/>
          <w:color w:val="1A1A1A"/>
        </w:rPr>
        <w:t>-81</w:t>
      </w:r>
      <w:r w:rsidR="000B3E62" w:rsidRPr="00201B92">
        <w:rPr>
          <w:rFonts w:asciiTheme="majorHAnsi" w:hAnsiTheme="majorHAnsi" w:cs="Arial"/>
          <w:color w:val="1A1A1A"/>
        </w:rPr>
        <w:t>.</w:t>
      </w:r>
    </w:p>
    <w:p w14:paraId="47450DF3" w14:textId="08DE381F" w:rsidR="00781AE0" w:rsidRPr="00201B92" w:rsidRDefault="00514642" w:rsidP="00445D3E">
      <w:pPr>
        <w:pStyle w:val="NormalWeb"/>
        <w:ind w:left="480" w:hanging="480"/>
        <w:jc w:val="both"/>
        <w:rPr>
          <w:rFonts w:asciiTheme="majorHAnsi" w:hAnsiTheme="majorHAnsi"/>
        </w:rPr>
      </w:pPr>
      <w:r>
        <w:rPr>
          <w:rFonts w:asciiTheme="majorHAnsi" w:hAnsiTheme="majorHAnsi"/>
        </w:rPr>
        <w:t>Swan, M. (2012), ‘</w:t>
      </w:r>
      <w:r w:rsidR="00781AE0" w:rsidRPr="00201B92">
        <w:rPr>
          <w:rFonts w:asciiTheme="majorHAnsi" w:hAnsiTheme="majorHAnsi"/>
        </w:rPr>
        <w:t>Sensor Mania! The Internet of Things, Wearable Computing, Objective Metri</w:t>
      </w:r>
      <w:r>
        <w:rPr>
          <w:rFonts w:asciiTheme="majorHAnsi" w:hAnsiTheme="majorHAnsi"/>
        </w:rPr>
        <w:t>cs, and the Quantified Self 2.0’</w:t>
      </w:r>
      <w:r w:rsidR="00781AE0" w:rsidRPr="00201B92">
        <w:rPr>
          <w:rFonts w:asciiTheme="majorHAnsi" w:hAnsiTheme="majorHAnsi"/>
        </w:rPr>
        <w:t xml:space="preserve">, </w:t>
      </w:r>
      <w:r w:rsidR="00781AE0" w:rsidRPr="00201B92">
        <w:rPr>
          <w:rFonts w:asciiTheme="majorHAnsi" w:hAnsiTheme="majorHAnsi"/>
          <w:i/>
          <w:iCs/>
        </w:rPr>
        <w:t>Journal of Sensor and Actuator Networks</w:t>
      </w:r>
      <w:r w:rsidR="00781AE0" w:rsidRPr="00201B92">
        <w:rPr>
          <w:rFonts w:asciiTheme="majorHAnsi" w:hAnsiTheme="majorHAnsi"/>
        </w:rPr>
        <w:t xml:space="preserve">, Vol. </w:t>
      </w:r>
      <w:r w:rsidR="00781AE0" w:rsidRPr="00201B92">
        <w:rPr>
          <w:rFonts w:asciiTheme="majorHAnsi" w:hAnsiTheme="majorHAnsi"/>
          <w:iCs/>
        </w:rPr>
        <w:t>1 No</w:t>
      </w:r>
      <w:r w:rsidR="00F46502">
        <w:rPr>
          <w:rFonts w:asciiTheme="majorHAnsi" w:hAnsiTheme="majorHAnsi"/>
          <w:iCs/>
        </w:rPr>
        <w:t>.</w:t>
      </w:r>
      <w:r w:rsidR="00781AE0" w:rsidRPr="00201B92">
        <w:rPr>
          <w:rFonts w:asciiTheme="majorHAnsi" w:hAnsiTheme="majorHAnsi"/>
          <w:iCs/>
        </w:rPr>
        <w:t xml:space="preserve"> </w:t>
      </w:r>
      <w:r w:rsidR="00781AE0" w:rsidRPr="00201B92">
        <w:rPr>
          <w:rFonts w:asciiTheme="majorHAnsi" w:hAnsiTheme="majorHAnsi"/>
        </w:rPr>
        <w:t>3, pp. 217–253.</w:t>
      </w:r>
    </w:p>
    <w:p w14:paraId="031E33C4" w14:textId="48BBAD78" w:rsidR="000B3E62" w:rsidRPr="00201B92" w:rsidRDefault="0007416E" w:rsidP="00445D3E">
      <w:pPr>
        <w:pStyle w:val="NormalWeb"/>
        <w:ind w:left="480" w:hanging="480"/>
        <w:jc w:val="both"/>
        <w:rPr>
          <w:rFonts w:asciiTheme="majorHAnsi" w:hAnsiTheme="majorHAnsi"/>
        </w:rPr>
      </w:pPr>
      <w:proofErr w:type="spellStart"/>
      <w:r w:rsidRPr="00201B92">
        <w:rPr>
          <w:rFonts w:asciiTheme="majorHAnsi" w:hAnsiTheme="majorHAnsi" w:cs="Arial"/>
          <w:color w:val="1A1A1A"/>
        </w:rPr>
        <w:t>Tett</w:t>
      </w:r>
      <w:proofErr w:type="spellEnd"/>
      <w:r w:rsidRPr="00201B92">
        <w:rPr>
          <w:rFonts w:asciiTheme="majorHAnsi" w:hAnsiTheme="majorHAnsi" w:cs="Arial"/>
          <w:color w:val="1A1A1A"/>
        </w:rPr>
        <w:t>, R.P. and Burnett, D.D. (2003),</w:t>
      </w:r>
      <w:r w:rsidR="000B3E62" w:rsidRPr="00201B92">
        <w:rPr>
          <w:rFonts w:asciiTheme="majorHAnsi" w:hAnsiTheme="majorHAnsi" w:cs="Arial"/>
          <w:color w:val="1A1A1A"/>
        </w:rPr>
        <w:t xml:space="preserve"> </w:t>
      </w:r>
      <w:r w:rsidR="00514642">
        <w:rPr>
          <w:rFonts w:asciiTheme="majorHAnsi" w:hAnsiTheme="majorHAnsi" w:cs="Arial"/>
          <w:color w:val="1A1A1A"/>
        </w:rPr>
        <w:t>‘</w:t>
      </w:r>
      <w:r w:rsidR="000B3E62" w:rsidRPr="00201B92">
        <w:rPr>
          <w:rFonts w:asciiTheme="majorHAnsi" w:hAnsiTheme="majorHAnsi" w:cs="Arial"/>
          <w:color w:val="1A1A1A"/>
        </w:rPr>
        <w:t>A personality trait-based interact</w:t>
      </w:r>
      <w:r w:rsidR="00514642">
        <w:rPr>
          <w:rFonts w:asciiTheme="majorHAnsi" w:hAnsiTheme="majorHAnsi" w:cs="Arial"/>
          <w:color w:val="1A1A1A"/>
        </w:rPr>
        <w:t>ionist model of job performance’</w:t>
      </w:r>
      <w:r w:rsidRPr="00201B92">
        <w:rPr>
          <w:rFonts w:asciiTheme="majorHAnsi" w:hAnsiTheme="majorHAnsi" w:cs="Arial"/>
          <w:color w:val="1A1A1A"/>
        </w:rPr>
        <w:t>,</w:t>
      </w:r>
      <w:r w:rsidR="000B3E62" w:rsidRPr="00201B92">
        <w:rPr>
          <w:rFonts w:asciiTheme="majorHAnsi" w:hAnsiTheme="majorHAnsi" w:cs="Arial"/>
          <w:color w:val="1A1A1A"/>
        </w:rPr>
        <w:t xml:space="preserve"> </w:t>
      </w:r>
      <w:r w:rsidR="000B3E62" w:rsidRPr="00201B92">
        <w:rPr>
          <w:rFonts w:asciiTheme="majorHAnsi" w:hAnsiTheme="majorHAnsi" w:cs="Arial"/>
          <w:i/>
          <w:iCs/>
          <w:color w:val="1A1A1A"/>
        </w:rPr>
        <w:t>Journal of Applied Psychology</w:t>
      </w:r>
      <w:r w:rsidR="000B3E62" w:rsidRPr="00201B92">
        <w:rPr>
          <w:rFonts w:asciiTheme="majorHAnsi" w:hAnsiTheme="majorHAnsi" w:cs="Arial"/>
          <w:color w:val="1A1A1A"/>
        </w:rPr>
        <w:t xml:space="preserve">, </w:t>
      </w:r>
      <w:r w:rsidRPr="00201B92">
        <w:rPr>
          <w:rFonts w:asciiTheme="majorHAnsi" w:hAnsiTheme="majorHAnsi" w:cs="Arial"/>
          <w:color w:val="1A1A1A"/>
        </w:rPr>
        <w:t xml:space="preserve">Vol. </w:t>
      </w:r>
      <w:r w:rsidR="000B3E62" w:rsidRPr="00201B92">
        <w:rPr>
          <w:rFonts w:asciiTheme="majorHAnsi" w:hAnsiTheme="majorHAnsi" w:cs="Arial"/>
          <w:iCs/>
          <w:color w:val="1A1A1A"/>
        </w:rPr>
        <w:t>88</w:t>
      </w:r>
      <w:r w:rsidRPr="00201B92">
        <w:rPr>
          <w:rFonts w:asciiTheme="majorHAnsi" w:hAnsiTheme="majorHAnsi" w:cs="Arial"/>
          <w:color w:val="1A1A1A"/>
        </w:rPr>
        <w:t xml:space="preserve"> No. 3</w:t>
      </w:r>
      <w:r w:rsidR="000B3E62" w:rsidRPr="00201B92">
        <w:rPr>
          <w:rFonts w:asciiTheme="majorHAnsi" w:hAnsiTheme="majorHAnsi" w:cs="Arial"/>
          <w:color w:val="1A1A1A"/>
        </w:rPr>
        <w:t>, p</w:t>
      </w:r>
      <w:r w:rsidRPr="00201B92">
        <w:rPr>
          <w:rFonts w:asciiTheme="majorHAnsi" w:hAnsiTheme="majorHAnsi" w:cs="Arial"/>
          <w:color w:val="1A1A1A"/>
        </w:rPr>
        <w:t>p</w:t>
      </w:r>
      <w:r w:rsidR="000B3E62" w:rsidRPr="00201B92">
        <w:rPr>
          <w:rFonts w:asciiTheme="majorHAnsi" w:hAnsiTheme="majorHAnsi" w:cs="Arial"/>
          <w:color w:val="1A1A1A"/>
        </w:rPr>
        <w:t>.</w:t>
      </w:r>
      <w:r w:rsidRPr="00201B92">
        <w:rPr>
          <w:rFonts w:asciiTheme="majorHAnsi" w:hAnsiTheme="majorHAnsi" w:cs="Arial"/>
          <w:color w:val="1A1A1A"/>
        </w:rPr>
        <w:t xml:space="preserve"> </w:t>
      </w:r>
      <w:r w:rsidR="000B3E62" w:rsidRPr="00201B92">
        <w:rPr>
          <w:rFonts w:asciiTheme="majorHAnsi" w:hAnsiTheme="majorHAnsi" w:cs="Arial"/>
          <w:color w:val="1A1A1A"/>
        </w:rPr>
        <w:t>500</w:t>
      </w:r>
      <w:r w:rsidRPr="00201B92">
        <w:rPr>
          <w:rFonts w:asciiTheme="majorHAnsi" w:hAnsiTheme="majorHAnsi" w:cs="Arial"/>
          <w:color w:val="1A1A1A"/>
        </w:rPr>
        <w:t>-</w:t>
      </w:r>
      <w:r w:rsidR="00E02EA3" w:rsidRPr="00201B92">
        <w:rPr>
          <w:rFonts w:asciiTheme="majorHAnsi" w:hAnsiTheme="majorHAnsi" w:cs="Arial"/>
          <w:color w:val="1A1A1A"/>
        </w:rPr>
        <w:t>5</w:t>
      </w:r>
      <w:r w:rsidRPr="00201B92">
        <w:rPr>
          <w:rFonts w:asciiTheme="majorHAnsi" w:hAnsiTheme="majorHAnsi" w:cs="Arial"/>
          <w:color w:val="1A1A1A"/>
        </w:rPr>
        <w:t>17</w:t>
      </w:r>
      <w:r w:rsidR="000B3E62" w:rsidRPr="00201B92">
        <w:rPr>
          <w:rFonts w:asciiTheme="majorHAnsi" w:hAnsiTheme="majorHAnsi" w:cs="Arial"/>
          <w:color w:val="1A1A1A"/>
        </w:rPr>
        <w:t>.</w:t>
      </w:r>
    </w:p>
    <w:p w14:paraId="468D1262" w14:textId="0B9197AE" w:rsidR="00462630" w:rsidRPr="00CF633C" w:rsidRDefault="00462630" w:rsidP="00CF633C">
      <w:pPr>
        <w:ind w:left="567" w:hanging="567"/>
        <w:rPr>
          <w:rFonts w:asciiTheme="majorHAnsi" w:eastAsia="Times New Roman" w:hAnsiTheme="majorHAnsi"/>
        </w:rPr>
      </w:pPr>
      <w:r w:rsidRPr="00CF633C">
        <w:rPr>
          <w:rStyle w:val="name"/>
          <w:rFonts w:asciiTheme="majorHAnsi" w:eastAsia="Times New Roman" w:hAnsiTheme="majorHAnsi"/>
        </w:rPr>
        <w:t>Till, C.H.</w:t>
      </w:r>
      <w:r w:rsidRPr="00CF633C">
        <w:rPr>
          <w:rFonts w:asciiTheme="majorHAnsi" w:eastAsia="Times New Roman" w:hAnsiTheme="majorHAnsi"/>
        </w:rPr>
        <w:t xml:space="preserve"> </w:t>
      </w:r>
      <w:r w:rsidRPr="00CF633C">
        <w:rPr>
          <w:rStyle w:val="publicationyear"/>
          <w:rFonts w:asciiTheme="majorHAnsi" w:eastAsia="Times New Roman" w:hAnsiTheme="majorHAnsi"/>
        </w:rPr>
        <w:t>(2014)</w:t>
      </w:r>
      <w:r w:rsidR="00CF633C">
        <w:rPr>
          <w:rStyle w:val="publicationyear"/>
          <w:rFonts w:asciiTheme="majorHAnsi" w:eastAsia="Times New Roman" w:hAnsiTheme="majorHAnsi"/>
        </w:rPr>
        <w:t>,</w:t>
      </w:r>
      <w:r w:rsidRPr="00CF633C">
        <w:rPr>
          <w:rFonts w:asciiTheme="majorHAnsi" w:eastAsia="Times New Roman" w:hAnsiTheme="majorHAnsi"/>
        </w:rPr>
        <w:t xml:space="preserve"> </w:t>
      </w:r>
      <w:r>
        <w:rPr>
          <w:rFonts w:asciiTheme="majorHAnsi" w:eastAsia="Times New Roman" w:hAnsiTheme="majorHAnsi"/>
        </w:rPr>
        <w:t>‘</w:t>
      </w:r>
      <w:r w:rsidRPr="00CF633C">
        <w:rPr>
          <w:rStyle w:val="articletitle"/>
          <w:rFonts w:asciiTheme="majorHAnsi" w:eastAsia="Times New Roman" w:hAnsiTheme="majorHAnsi"/>
        </w:rPr>
        <w:t xml:space="preserve">Exercise as </w:t>
      </w:r>
      <w:proofErr w:type="spellStart"/>
      <w:r w:rsidRPr="00CF633C">
        <w:rPr>
          <w:rStyle w:val="articletitle"/>
          <w:rFonts w:asciiTheme="majorHAnsi" w:eastAsia="Times New Roman" w:hAnsiTheme="majorHAnsi"/>
        </w:rPr>
        <w:t>Labour</w:t>
      </w:r>
      <w:proofErr w:type="spellEnd"/>
      <w:r w:rsidRPr="00CF633C">
        <w:rPr>
          <w:rStyle w:val="articletitle"/>
          <w:rFonts w:asciiTheme="majorHAnsi" w:eastAsia="Times New Roman" w:hAnsiTheme="majorHAnsi"/>
        </w:rPr>
        <w:t xml:space="preserve">: Quantified Self and the Transformation of Exercise into </w:t>
      </w:r>
      <w:proofErr w:type="spellStart"/>
      <w:r w:rsidRPr="00CF633C">
        <w:rPr>
          <w:rStyle w:val="articletitle"/>
          <w:rFonts w:asciiTheme="majorHAnsi" w:eastAsia="Times New Roman" w:hAnsiTheme="majorHAnsi"/>
        </w:rPr>
        <w:t>Labour</w:t>
      </w:r>
      <w:proofErr w:type="spellEnd"/>
      <w:r>
        <w:rPr>
          <w:rFonts w:asciiTheme="majorHAnsi" w:eastAsia="Times New Roman" w:hAnsiTheme="majorHAnsi"/>
        </w:rPr>
        <w:t xml:space="preserve">’ </w:t>
      </w:r>
      <w:r w:rsidRPr="00CF633C">
        <w:rPr>
          <w:rStyle w:val="Strong"/>
          <w:rFonts w:asciiTheme="majorHAnsi" w:eastAsia="Times New Roman" w:hAnsiTheme="majorHAnsi"/>
          <w:b w:val="0"/>
          <w:i/>
        </w:rPr>
        <w:t>Societies</w:t>
      </w:r>
      <w:r w:rsidRPr="00462630">
        <w:rPr>
          <w:rFonts w:asciiTheme="majorHAnsi" w:eastAsia="Times New Roman" w:hAnsiTheme="majorHAnsi"/>
          <w:b/>
          <w:i/>
        </w:rPr>
        <w:t xml:space="preserve"> </w:t>
      </w:r>
      <w:r w:rsidRPr="00CF633C">
        <w:rPr>
          <w:rFonts w:asciiTheme="majorHAnsi" w:eastAsia="Times New Roman" w:hAnsiTheme="majorHAnsi"/>
        </w:rPr>
        <w:t>Vol.</w:t>
      </w:r>
      <w:r w:rsidRPr="00462630">
        <w:rPr>
          <w:rFonts w:asciiTheme="majorHAnsi" w:eastAsia="Times New Roman" w:hAnsiTheme="majorHAnsi"/>
          <w:b/>
          <w:i/>
        </w:rPr>
        <w:t xml:space="preserve"> </w:t>
      </w:r>
      <w:r w:rsidRPr="00CF633C">
        <w:rPr>
          <w:rStyle w:val="journalvolume"/>
          <w:rFonts w:asciiTheme="majorHAnsi" w:eastAsia="Times New Roman" w:hAnsiTheme="majorHAnsi"/>
        </w:rPr>
        <w:t>4</w:t>
      </w:r>
      <w:r w:rsidRPr="00CF633C">
        <w:rPr>
          <w:rFonts w:asciiTheme="majorHAnsi" w:eastAsia="Times New Roman" w:hAnsiTheme="majorHAnsi"/>
        </w:rPr>
        <w:t> </w:t>
      </w:r>
      <w:r w:rsidRPr="00462630">
        <w:rPr>
          <w:rStyle w:val="journalissue"/>
          <w:rFonts w:asciiTheme="majorHAnsi" w:eastAsia="Times New Roman" w:hAnsiTheme="majorHAnsi"/>
        </w:rPr>
        <w:t xml:space="preserve">No. </w:t>
      </w:r>
      <w:r w:rsidRPr="00CF633C">
        <w:rPr>
          <w:rStyle w:val="journalissue"/>
          <w:rFonts w:asciiTheme="majorHAnsi" w:eastAsia="Times New Roman" w:hAnsiTheme="majorHAnsi"/>
        </w:rPr>
        <w:t>3</w:t>
      </w:r>
      <w:r w:rsidRPr="00462630">
        <w:rPr>
          <w:rStyle w:val="journalissue"/>
          <w:rFonts w:asciiTheme="majorHAnsi" w:eastAsia="Times New Roman" w:hAnsiTheme="majorHAnsi"/>
        </w:rPr>
        <w:t>,</w:t>
      </w:r>
      <w:r w:rsidRPr="00CF633C">
        <w:rPr>
          <w:rFonts w:asciiTheme="majorHAnsi" w:eastAsia="Times New Roman" w:hAnsiTheme="majorHAnsi"/>
        </w:rPr>
        <w:t xml:space="preserve"> </w:t>
      </w:r>
      <w:r w:rsidRPr="00CF633C">
        <w:rPr>
          <w:rStyle w:val="pages"/>
          <w:rFonts w:asciiTheme="majorHAnsi" w:eastAsia="Times New Roman" w:hAnsiTheme="majorHAnsi"/>
        </w:rPr>
        <w:t>pp. 446-462</w:t>
      </w:r>
      <w:r w:rsidRPr="00CF633C">
        <w:rPr>
          <w:rFonts w:asciiTheme="majorHAnsi" w:eastAsia="Times New Roman" w:hAnsiTheme="majorHAnsi"/>
        </w:rPr>
        <w:t>.</w:t>
      </w:r>
    </w:p>
    <w:p w14:paraId="480A7369" w14:textId="77777777" w:rsidR="00097DAD" w:rsidRDefault="00097DAD" w:rsidP="00097DAD">
      <w:pPr>
        <w:rPr>
          <w:rFonts w:asciiTheme="majorHAnsi" w:hAnsiTheme="majorHAnsi" w:cs="Arial"/>
          <w:color w:val="1A1A1A"/>
        </w:rPr>
      </w:pPr>
    </w:p>
    <w:p w14:paraId="06CF9990" w14:textId="60CEBFDB" w:rsidR="00462630" w:rsidRPr="00CF633C" w:rsidRDefault="00097DAD" w:rsidP="00CF633C">
      <w:pPr>
        <w:rPr>
          <w:rFonts w:asciiTheme="majorHAnsi" w:hAnsiTheme="majorHAnsi" w:cs="Arial"/>
          <w:color w:val="1A1A1A"/>
        </w:rPr>
      </w:pPr>
      <w:r w:rsidRPr="00CF633C">
        <w:rPr>
          <w:rFonts w:asciiTheme="majorHAnsi" w:hAnsiTheme="majorHAnsi" w:cs="Arial"/>
          <w:color w:val="1A1A1A"/>
        </w:rPr>
        <w:t xml:space="preserve">Upchurch, M. </w:t>
      </w:r>
      <w:r>
        <w:rPr>
          <w:rFonts w:asciiTheme="majorHAnsi" w:hAnsiTheme="majorHAnsi" w:cs="Arial"/>
          <w:color w:val="1A1A1A"/>
        </w:rPr>
        <w:t>‘</w:t>
      </w:r>
      <w:r w:rsidRPr="00CF633C">
        <w:rPr>
          <w:rFonts w:asciiTheme="majorHAnsi" w:hAnsiTheme="majorHAnsi" w:cs="Arial"/>
          <w:color w:val="1A1A1A"/>
        </w:rPr>
        <w:t>Into the Digital Void?</w:t>
      </w:r>
      <w:r>
        <w:rPr>
          <w:rFonts w:asciiTheme="majorHAnsi" w:hAnsiTheme="majorHAnsi" w:cs="Arial"/>
          <w:color w:val="1A1A1A"/>
        </w:rPr>
        <w:t>’ Unpublished paper.</w:t>
      </w:r>
    </w:p>
    <w:p w14:paraId="50C99D5A" w14:textId="0966DC17" w:rsidR="00445D3E" w:rsidRPr="00201B92" w:rsidRDefault="00445D3E" w:rsidP="00445D3E">
      <w:pPr>
        <w:pStyle w:val="NormalWeb"/>
        <w:ind w:left="480" w:hanging="480"/>
        <w:rPr>
          <w:rFonts w:asciiTheme="majorHAnsi" w:hAnsiTheme="majorHAnsi"/>
        </w:rPr>
      </w:pPr>
      <w:r w:rsidRPr="00201B92">
        <w:rPr>
          <w:rFonts w:asciiTheme="majorHAnsi" w:hAnsiTheme="majorHAnsi"/>
        </w:rPr>
        <w:t>Will</w:t>
      </w:r>
      <w:r w:rsidR="00E02EA3" w:rsidRPr="00201B92">
        <w:rPr>
          <w:rFonts w:asciiTheme="majorHAnsi" w:hAnsiTheme="majorHAnsi"/>
        </w:rPr>
        <w:t>iams, G. C., Lynch, M. and Glasgow, R. E. (2007),</w:t>
      </w:r>
      <w:r w:rsidRPr="00201B92">
        <w:rPr>
          <w:rFonts w:asciiTheme="majorHAnsi" w:hAnsiTheme="majorHAnsi"/>
        </w:rPr>
        <w:t xml:space="preserve"> </w:t>
      </w:r>
      <w:r w:rsidR="00514642">
        <w:rPr>
          <w:rFonts w:asciiTheme="majorHAnsi" w:hAnsiTheme="majorHAnsi"/>
        </w:rPr>
        <w:t>‘</w:t>
      </w:r>
      <w:r w:rsidRPr="00201B92">
        <w:rPr>
          <w:rFonts w:asciiTheme="majorHAnsi" w:hAnsiTheme="majorHAnsi"/>
        </w:rPr>
        <w:t>Computer-assisted intervention improves patient-centered diabetes care</w:t>
      </w:r>
      <w:r w:rsidR="00514642">
        <w:rPr>
          <w:rFonts w:asciiTheme="majorHAnsi" w:hAnsiTheme="majorHAnsi"/>
        </w:rPr>
        <w:t xml:space="preserve"> by increasing autonomy support’</w:t>
      </w:r>
      <w:r w:rsidR="00E02EA3" w:rsidRPr="00201B92">
        <w:rPr>
          <w:rFonts w:asciiTheme="majorHAnsi" w:hAnsiTheme="majorHAnsi"/>
        </w:rPr>
        <w:t>,</w:t>
      </w:r>
      <w:r w:rsidRPr="00201B92">
        <w:rPr>
          <w:rFonts w:asciiTheme="majorHAnsi" w:hAnsiTheme="majorHAnsi"/>
        </w:rPr>
        <w:t xml:space="preserve"> </w:t>
      </w:r>
      <w:r w:rsidRPr="00201B92">
        <w:rPr>
          <w:rFonts w:asciiTheme="majorHAnsi" w:hAnsiTheme="majorHAnsi"/>
          <w:i/>
          <w:iCs/>
        </w:rPr>
        <w:t>Health Psychology</w:t>
      </w:r>
      <w:r w:rsidR="00E02EA3" w:rsidRPr="00201B92">
        <w:rPr>
          <w:rFonts w:asciiTheme="majorHAnsi" w:hAnsiTheme="majorHAnsi"/>
          <w:i/>
          <w:iCs/>
        </w:rPr>
        <w:t xml:space="preserve">, </w:t>
      </w:r>
      <w:r w:rsidR="00E02EA3" w:rsidRPr="00201B92">
        <w:rPr>
          <w:rFonts w:asciiTheme="majorHAnsi" w:hAnsiTheme="majorHAnsi"/>
          <w:iCs/>
        </w:rPr>
        <w:t xml:space="preserve">Vol. </w:t>
      </w:r>
      <w:r w:rsidRPr="00201B92">
        <w:rPr>
          <w:rFonts w:asciiTheme="majorHAnsi" w:hAnsiTheme="majorHAnsi"/>
          <w:iCs/>
        </w:rPr>
        <w:t>26</w:t>
      </w:r>
      <w:r w:rsidR="00E02EA3" w:rsidRPr="00201B92">
        <w:rPr>
          <w:rFonts w:asciiTheme="majorHAnsi" w:hAnsiTheme="majorHAnsi"/>
        </w:rPr>
        <w:t xml:space="preserve"> No. 6</w:t>
      </w:r>
      <w:r w:rsidRPr="00201B92">
        <w:rPr>
          <w:rFonts w:asciiTheme="majorHAnsi" w:hAnsiTheme="majorHAnsi"/>
        </w:rPr>
        <w:t xml:space="preserve">, </w:t>
      </w:r>
      <w:r w:rsidR="00E02EA3" w:rsidRPr="00201B92">
        <w:rPr>
          <w:rFonts w:asciiTheme="majorHAnsi" w:hAnsiTheme="majorHAnsi"/>
        </w:rPr>
        <w:t xml:space="preserve">pp. </w:t>
      </w:r>
      <w:r w:rsidRPr="00201B92">
        <w:rPr>
          <w:rFonts w:asciiTheme="majorHAnsi" w:hAnsiTheme="majorHAnsi"/>
        </w:rPr>
        <w:t>728–</w:t>
      </w:r>
      <w:r w:rsidR="00E02EA3" w:rsidRPr="00201B92">
        <w:rPr>
          <w:rFonts w:asciiTheme="majorHAnsi" w:hAnsiTheme="majorHAnsi"/>
        </w:rPr>
        <w:t>7</w:t>
      </w:r>
      <w:r w:rsidRPr="00201B92">
        <w:rPr>
          <w:rFonts w:asciiTheme="majorHAnsi" w:hAnsiTheme="majorHAnsi"/>
        </w:rPr>
        <w:t>34.</w:t>
      </w:r>
    </w:p>
    <w:p w14:paraId="27035623" w14:textId="0C3180D5" w:rsidR="003C17C5" w:rsidRPr="00201B92" w:rsidRDefault="003C17C5" w:rsidP="003C17C5">
      <w:pPr>
        <w:pStyle w:val="NormalWeb"/>
        <w:shd w:val="clear" w:color="auto" w:fill="FFFFFF"/>
        <w:spacing w:before="75" w:after="0"/>
        <w:ind w:left="567" w:hanging="567"/>
        <w:rPr>
          <w:rFonts w:asciiTheme="majorHAnsi" w:hAnsiTheme="majorHAnsi"/>
        </w:rPr>
      </w:pPr>
      <w:r w:rsidRPr="00201B92">
        <w:rPr>
          <w:rFonts w:asciiTheme="majorHAnsi" w:hAnsiTheme="majorHAnsi"/>
        </w:rPr>
        <w:t>Wilson, H.</w:t>
      </w:r>
      <w:r w:rsidR="00C43829">
        <w:rPr>
          <w:rFonts w:asciiTheme="majorHAnsi" w:hAnsiTheme="majorHAnsi"/>
        </w:rPr>
        <w:t xml:space="preserve"> </w:t>
      </w:r>
      <w:r w:rsidRPr="00201B92">
        <w:rPr>
          <w:rFonts w:asciiTheme="majorHAnsi" w:hAnsiTheme="majorHAnsi"/>
        </w:rPr>
        <w:t xml:space="preserve">J. (2013a), ‘Wearables in the Workplace’ </w:t>
      </w:r>
      <w:r w:rsidRPr="00201B92">
        <w:rPr>
          <w:rFonts w:asciiTheme="majorHAnsi" w:hAnsiTheme="majorHAnsi"/>
          <w:i/>
        </w:rPr>
        <w:t>Harvard Business Review</w:t>
      </w:r>
      <w:r w:rsidRPr="00201B92">
        <w:rPr>
          <w:rFonts w:asciiTheme="majorHAnsi" w:hAnsiTheme="majorHAnsi"/>
        </w:rPr>
        <w:t xml:space="preserve"> 09/13 </w:t>
      </w:r>
      <w:hyperlink r:id="rId16" w:history="1">
        <w:r w:rsidRPr="00201B92">
          <w:rPr>
            <w:rFonts w:asciiTheme="majorHAnsi" w:hAnsiTheme="majorHAnsi"/>
          </w:rPr>
          <w:t>http://hbr.org/2013/09/wearables-in-the-workplace/ar/1</w:t>
        </w:r>
      </w:hyperlink>
      <w:r w:rsidRPr="00201B92">
        <w:rPr>
          <w:rFonts w:asciiTheme="majorHAnsi" w:hAnsiTheme="majorHAnsi"/>
        </w:rPr>
        <w:t xml:space="preserve"> </w:t>
      </w:r>
    </w:p>
    <w:p w14:paraId="046B64B6" w14:textId="415C478B" w:rsidR="003C17C5" w:rsidRPr="00201B92" w:rsidRDefault="0086692B" w:rsidP="00445D3E">
      <w:pPr>
        <w:pStyle w:val="NormalWeb"/>
        <w:ind w:left="480" w:hanging="480"/>
        <w:rPr>
          <w:rFonts w:asciiTheme="majorHAnsi" w:hAnsiTheme="majorHAnsi"/>
        </w:rPr>
      </w:pPr>
      <w:r w:rsidRPr="00201B92">
        <w:rPr>
          <w:rFonts w:asciiTheme="majorHAnsi" w:hAnsiTheme="majorHAnsi"/>
        </w:rPr>
        <w:t>Wilson, H</w:t>
      </w:r>
      <w:r w:rsidR="00050109">
        <w:rPr>
          <w:rFonts w:asciiTheme="majorHAnsi" w:hAnsiTheme="majorHAnsi"/>
        </w:rPr>
        <w:t>.</w:t>
      </w:r>
      <w:r w:rsidR="00C43829">
        <w:rPr>
          <w:rFonts w:asciiTheme="majorHAnsi" w:hAnsiTheme="majorHAnsi"/>
        </w:rPr>
        <w:t xml:space="preserve"> </w:t>
      </w:r>
      <w:r w:rsidRPr="00201B92">
        <w:rPr>
          <w:rFonts w:asciiTheme="majorHAnsi" w:hAnsiTheme="majorHAnsi"/>
        </w:rPr>
        <w:t>J</w:t>
      </w:r>
      <w:r w:rsidR="00050109">
        <w:rPr>
          <w:rFonts w:asciiTheme="majorHAnsi" w:hAnsiTheme="majorHAnsi"/>
        </w:rPr>
        <w:t>.</w:t>
      </w:r>
      <w:r w:rsidRPr="00201B92">
        <w:rPr>
          <w:rFonts w:asciiTheme="majorHAnsi" w:hAnsiTheme="majorHAnsi"/>
        </w:rPr>
        <w:t xml:space="preserve"> (2013b), ‘Wearable Gadgets Transform How Companies Do Business’ The Wall Street Journal 20/10/13 </w:t>
      </w:r>
      <w:hyperlink r:id="rId17" w:history="1">
        <w:r w:rsidRPr="00201B92">
          <w:rPr>
            <w:rFonts w:asciiTheme="majorHAnsi" w:hAnsiTheme="majorHAnsi"/>
          </w:rPr>
          <w:t>http://online.wsj.com/news/articles/SB10001424052702303796404579099203059125112</w:t>
        </w:r>
      </w:hyperlink>
    </w:p>
    <w:p w14:paraId="0FC7832C" w14:textId="6FBD76FF" w:rsidR="00781AE0" w:rsidRPr="00201B92" w:rsidRDefault="00445D3E" w:rsidP="00E02EA3">
      <w:pPr>
        <w:pStyle w:val="NormalWeb"/>
        <w:ind w:left="480" w:hanging="480"/>
        <w:rPr>
          <w:rFonts w:asciiTheme="majorHAnsi" w:hAnsiTheme="majorHAnsi"/>
        </w:rPr>
      </w:pPr>
      <w:r w:rsidRPr="00201B92">
        <w:rPr>
          <w:rFonts w:asciiTheme="majorHAnsi" w:hAnsiTheme="majorHAnsi"/>
        </w:rPr>
        <w:t xml:space="preserve">Womble, L. G., </w:t>
      </w:r>
      <w:proofErr w:type="spellStart"/>
      <w:r w:rsidRPr="00201B92">
        <w:rPr>
          <w:rFonts w:asciiTheme="majorHAnsi" w:hAnsiTheme="majorHAnsi"/>
        </w:rPr>
        <w:t>Wadden</w:t>
      </w:r>
      <w:proofErr w:type="spellEnd"/>
      <w:r w:rsidRPr="00201B92">
        <w:rPr>
          <w:rFonts w:asciiTheme="majorHAnsi" w:hAnsiTheme="majorHAnsi"/>
        </w:rPr>
        <w:t xml:space="preserve">, T. A., </w:t>
      </w:r>
      <w:proofErr w:type="spellStart"/>
      <w:r w:rsidRPr="00201B92">
        <w:rPr>
          <w:rFonts w:asciiTheme="majorHAnsi" w:hAnsiTheme="majorHAnsi"/>
        </w:rPr>
        <w:t>McGuckin</w:t>
      </w:r>
      <w:proofErr w:type="spellEnd"/>
      <w:r w:rsidRPr="00201B92">
        <w:rPr>
          <w:rFonts w:asciiTheme="majorHAnsi" w:hAnsiTheme="majorHAnsi"/>
        </w:rPr>
        <w:t>, B. G., S</w:t>
      </w:r>
      <w:r w:rsidR="00E02EA3" w:rsidRPr="00201B92">
        <w:rPr>
          <w:rFonts w:asciiTheme="majorHAnsi" w:hAnsiTheme="majorHAnsi"/>
        </w:rPr>
        <w:t>argent, S. L., Rothman, R. A. and</w:t>
      </w:r>
      <w:r w:rsidRPr="00201B92">
        <w:rPr>
          <w:rFonts w:asciiTheme="majorHAnsi" w:hAnsiTheme="majorHAnsi"/>
        </w:rPr>
        <w:t xml:space="preserve"> </w:t>
      </w:r>
      <w:proofErr w:type="spellStart"/>
      <w:r w:rsidRPr="00201B92">
        <w:rPr>
          <w:rFonts w:asciiTheme="majorHAnsi" w:hAnsiTheme="majorHAnsi"/>
        </w:rPr>
        <w:t>Krauthamer</w:t>
      </w:r>
      <w:proofErr w:type="spellEnd"/>
      <w:r w:rsidRPr="00201B92">
        <w:rPr>
          <w:rFonts w:asciiTheme="majorHAnsi" w:hAnsiTheme="majorHAnsi"/>
        </w:rPr>
        <w:t>-Ewing, E. S. (2004)</w:t>
      </w:r>
      <w:r w:rsidR="00E02EA3" w:rsidRPr="00201B92">
        <w:rPr>
          <w:rFonts w:asciiTheme="majorHAnsi" w:hAnsiTheme="majorHAnsi"/>
        </w:rPr>
        <w:t>,</w:t>
      </w:r>
      <w:r w:rsidRPr="00201B92">
        <w:rPr>
          <w:rFonts w:asciiTheme="majorHAnsi" w:hAnsiTheme="majorHAnsi"/>
        </w:rPr>
        <w:t xml:space="preserve"> </w:t>
      </w:r>
      <w:r w:rsidR="00514642">
        <w:rPr>
          <w:rFonts w:asciiTheme="majorHAnsi" w:hAnsiTheme="majorHAnsi"/>
        </w:rPr>
        <w:t>‘</w:t>
      </w:r>
      <w:r w:rsidRPr="00201B92">
        <w:rPr>
          <w:rFonts w:asciiTheme="majorHAnsi" w:hAnsiTheme="majorHAnsi"/>
        </w:rPr>
        <w:t>A randomized controlled trial of a commerci</w:t>
      </w:r>
      <w:r w:rsidR="00514642">
        <w:rPr>
          <w:rFonts w:asciiTheme="majorHAnsi" w:hAnsiTheme="majorHAnsi"/>
        </w:rPr>
        <w:t>al internet weight loss program’</w:t>
      </w:r>
      <w:r w:rsidR="00E02EA3" w:rsidRPr="00201B92">
        <w:rPr>
          <w:rFonts w:asciiTheme="majorHAnsi" w:hAnsiTheme="majorHAnsi"/>
        </w:rPr>
        <w:t>,</w:t>
      </w:r>
      <w:r w:rsidRPr="00201B92">
        <w:rPr>
          <w:rFonts w:asciiTheme="majorHAnsi" w:hAnsiTheme="majorHAnsi"/>
        </w:rPr>
        <w:t xml:space="preserve"> </w:t>
      </w:r>
      <w:r w:rsidRPr="00201B92">
        <w:rPr>
          <w:rFonts w:asciiTheme="majorHAnsi" w:hAnsiTheme="majorHAnsi"/>
          <w:i/>
          <w:iCs/>
        </w:rPr>
        <w:t>Obesity Research</w:t>
      </w:r>
      <w:r w:rsidRPr="00201B92">
        <w:rPr>
          <w:rFonts w:asciiTheme="majorHAnsi" w:hAnsiTheme="majorHAnsi"/>
        </w:rPr>
        <w:t xml:space="preserve">, </w:t>
      </w:r>
      <w:r w:rsidR="00E02EA3" w:rsidRPr="00201B92">
        <w:rPr>
          <w:rFonts w:asciiTheme="majorHAnsi" w:hAnsiTheme="majorHAnsi"/>
        </w:rPr>
        <w:t xml:space="preserve">Vol. </w:t>
      </w:r>
      <w:r w:rsidRPr="00201B92">
        <w:rPr>
          <w:rFonts w:asciiTheme="majorHAnsi" w:hAnsiTheme="majorHAnsi"/>
          <w:iCs/>
        </w:rPr>
        <w:t>12</w:t>
      </w:r>
      <w:r w:rsidR="00E02EA3" w:rsidRPr="00201B92">
        <w:rPr>
          <w:rFonts w:asciiTheme="majorHAnsi" w:hAnsiTheme="majorHAnsi"/>
        </w:rPr>
        <w:t xml:space="preserve"> No. 6</w:t>
      </w:r>
      <w:r w:rsidRPr="00201B92">
        <w:rPr>
          <w:rFonts w:asciiTheme="majorHAnsi" w:hAnsiTheme="majorHAnsi"/>
        </w:rPr>
        <w:t>, 1011–</w:t>
      </w:r>
      <w:r w:rsidR="00E02EA3" w:rsidRPr="00201B92">
        <w:rPr>
          <w:rFonts w:asciiTheme="majorHAnsi" w:hAnsiTheme="majorHAnsi"/>
        </w:rPr>
        <w:t>101</w:t>
      </w:r>
      <w:r w:rsidRPr="00201B92">
        <w:rPr>
          <w:rFonts w:asciiTheme="majorHAnsi" w:hAnsiTheme="majorHAnsi"/>
        </w:rPr>
        <w:t>8.</w:t>
      </w:r>
    </w:p>
    <w:p w14:paraId="05E40FE1" w14:textId="77777777" w:rsidR="003B1D53" w:rsidRPr="00201B92" w:rsidRDefault="003B1D53" w:rsidP="003B1D53">
      <w:pPr>
        <w:pStyle w:val="NormalWeb"/>
        <w:rPr>
          <w:rFonts w:asciiTheme="majorHAnsi" w:hAnsiTheme="majorHAnsi"/>
        </w:rPr>
      </w:pPr>
    </w:p>
    <w:p w14:paraId="25D1A0E8" w14:textId="60C69F9A" w:rsidR="003B1D53" w:rsidRPr="00201B92" w:rsidRDefault="003B1D53" w:rsidP="003B1D53">
      <w:pPr>
        <w:pStyle w:val="NormalWeb"/>
        <w:rPr>
          <w:rFonts w:asciiTheme="majorHAnsi" w:hAnsiTheme="majorHAnsi"/>
        </w:rPr>
      </w:pPr>
    </w:p>
    <w:sectPr w:rsidR="003B1D53" w:rsidRPr="00201B9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A2A7C"/>
    <w:multiLevelType w:val="multilevel"/>
    <w:tmpl w:val="2A5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669F5"/>
    <w:multiLevelType w:val="multilevel"/>
    <w:tmpl w:val="422C1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117AD"/>
    <w:multiLevelType w:val="multilevel"/>
    <w:tmpl w:val="1E30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563C87"/>
    <w:multiLevelType w:val="multilevel"/>
    <w:tmpl w:val="8E7C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ED3F10"/>
    <w:multiLevelType w:val="multilevel"/>
    <w:tmpl w:val="16E49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doNotBreakWrappedTables/>
    <w:doNotSnapToGridInCell/>
    <w:doNotWrapTextWithPunct/>
    <w:doNotUseEastAsianBreakRules/>
    <w:growAutofit/>
    <w:useFELayout/>
    <w:compatSetting w:name="compatibilityMode" w:uri="http://schemas.microsoft.com/office/word" w:val="14"/>
  </w:compat>
  <w:rsids>
    <w:rsidRoot w:val="006E5FB8"/>
    <w:rsid w:val="00001544"/>
    <w:rsid w:val="00016465"/>
    <w:rsid w:val="000233C1"/>
    <w:rsid w:val="00025955"/>
    <w:rsid w:val="00047A72"/>
    <w:rsid w:val="00050109"/>
    <w:rsid w:val="0005473E"/>
    <w:rsid w:val="0007416E"/>
    <w:rsid w:val="0007610B"/>
    <w:rsid w:val="000829DD"/>
    <w:rsid w:val="00097DAD"/>
    <w:rsid w:val="000B3E62"/>
    <w:rsid w:val="00115A86"/>
    <w:rsid w:val="00123CBF"/>
    <w:rsid w:val="00137222"/>
    <w:rsid w:val="001616AF"/>
    <w:rsid w:val="00187CDD"/>
    <w:rsid w:val="00195B2E"/>
    <w:rsid w:val="001B02B6"/>
    <w:rsid w:val="001B22DC"/>
    <w:rsid w:val="001D157A"/>
    <w:rsid w:val="001E14B5"/>
    <w:rsid w:val="00201B92"/>
    <w:rsid w:val="00223A1A"/>
    <w:rsid w:val="0023172E"/>
    <w:rsid w:val="00231B32"/>
    <w:rsid w:val="0024171C"/>
    <w:rsid w:val="00256BF7"/>
    <w:rsid w:val="002A00B3"/>
    <w:rsid w:val="002E25B5"/>
    <w:rsid w:val="00304DB1"/>
    <w:rsid w:val="0031232C"/>
    <w:rsid w:val="00331B8A"/>
    <w:rsid w:val="00336783"/>
    <w:rsid w:val="00355935"/>
    <w:rsid w:val="003B1D53"/>
    <w:rsid w:val="003C1487"/>
    <w:rsid w:val="003C17C5"/>
    <w:rsid w:val="003D397E"/>
    <w:rsid w:val="003F3FCB"/>
    <w:rsid w:val="003F63BD"/>
    <w:rsid w:val="00425722"/>
    <w:rsid w:val="00431C57"/>
    <w:rsid w:val="00431D5D"/>
    <w:rsid w:val="00441F68"/>
    <w:rsid w:val="00445D3E"/>
    <w:rsid w:val="00462630"/>
    <w:rsid w:val="004B40D6"/>
    <w:rsid w:val="004D5F0A"/>
    <w:rsid w:val="004E633C"/>
    <w:rsid w:val="0050740D"/>
    <w:rsid w:val="00514642"/>
    <w:rsid w:val="005609FF"/>
    <w:rsid w:val="005A53BA"/>
    <w:rsid w:val="006065B2"/>
    <w:rsid w:val="00624A0C"/>
    <w:rsid w:val="00664912"/>
    <w:rsid w:val="006A0B80"/>
    <w:rsid w:val="006A4592"/>
    <w:rsid w:val="006D59BE"/>
    <w:rsid w:val="006E5FB8"/>
    <w:rsid w:val="007255FF"/>
    <w:rsid w:val="007369AA"/>
    <w:rsid w:val="007603E7"/>
    <w:rsid w:val="00775A4E"/>
    <w:rsid w:val="00781AE0"/>
    <w:rsid w:val="0078615C"/>
    <w:rsid w:val="00787F39"/>
    <w:rsid w:val="007912EF"/>
    <w:rsid w:val="007B0E5F"/>
    <w:rsid w:val="007D5A5B"/>
    <w:rsid w:val="0080704C"/>
    <w:rsid w:val="00840F02"/>
    <w:rsid w:val="0086692B"/>
    <w:rsid w:val="008A6055"/>
    <w:rsid w:val="008E4F48"/>
    <w:rsid w:val="00906F34"/>
    <w:rsid w:val="0091268F"/>
    <w:rsid w:val="00920BF8"/>
    <w:rsid w:val="009216F6"/>
    <w:rsid w:val="00921D9B"/>
    <w:rsid w:val="00950EA6"/>
    <w:rsid w:val="00971AE9"/>
    <w:rsid w:val="009A22F8"/>
    <w:rsid w:val="00A1791D"/>
    <w:rsid w:val="00A37C13"/>
    <w:rsid w:val="00A515E0"/>
    <w:rsid w:val="00A527A3"/>
    <w:rsid w:val="00A552B0"/>
    <w:rsid w:val="00A62CBB"/>
    <w:rsid w:val="00A70292"/>
    <w:rsid w:val="00A72958"/>
    <w:rsid w:val="00A741F5"/>
    <w:rsid w:val="00A7526D"/>
    <w:rsid w:val="00A76827"/>
    <w:rsid w:val="00A80AEB"/>
    <w:rsid w:val="00A91D00"/>
    <w:rsid w:val="00AD06AE"/>
    <w:rsid w:val="00AD6DA4"/>
    <w:rsid w:val="00AD71BA"/>
    <w:rsid w:val="00AF323C"/>
    <w:rsid w:val="00AF4639"/>
    <w:rsid w:val="00B03C02"/>
    <w:rsid w:val="00BE0AD1"/>
    <w:rsid w:val="00C26534"/>
    <w:rsid w:val="00C43829"/>
    <w:rsid w:val="00C44D10"/>
    <w:rsid w:val="00C73309"/>
    <w:rsid w:val="00C86D07"/>
    <w:rsid w:val="00C9169A"/>
    <w:rsid w:val="00CE16A1"/>
    <w:rsid w:val="00CE2E03"/>
    <w:rsid w:val="00CF633C"/>
    <w:rsid w:val="00D00705"/>
    <w:rsid w:val="00D13A27"/>
    <w:rsid w:val="00D2460F"/>
    <w:rsid w:val="00D3628D"/>
    <w:rsid w:val="00D71CB0"/>
    <w:rsid w:val="00DA7131"/>
    <w:rsid w:val="00DB2441"/>
    <w:rsid w:val="00DB4797"/>
    <w:rsid w:val="00DE4BDD"/>
    <w:rsid w:val="00E02EA3"/>
    <w:rsid w:val="00E47DD4"/>
    <w:rsid w:val="00E6589A"/>
    <w:rsid w:val="00E97677"/>
    <w:rsid w:val="00EA4D3A"/>
    <w:rsid w:val="00EC4142"/>
    <w:rsid w:val="00F009A2"/>
    <w:rsid w:val="00F01388"/>
    <w:rsid w:val="00F46502"/>
    <w:rsid w:val="00F46577"/>
    <w:rsid w:val="00F509CB"/>
    <w:rsid w:val="00F950ED"/>
    <w:rsid w:val="00FC1A89"/>
    <w:rsid w:val="00FD3F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358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323C"/>
    <w:rPr>
      <w:rFonts w:ascii="Times New Roman" w:hAnsi="Times New Roman" w:cs="Times New Roman"/>
      <w:sz w:val="24"/>
      <w:szCs w:val="24"/>
    </w:rPr>
  </w:style>
  <w:style w:type="paragraph" w:styleId="Heading1">
    <w:name w:val="heading 1"/>
    <w:basedOn w:val="Normal"/>
    <w:next w:val="Normal"/>
    <w:link w:val="Heading1Char"/>
    <w:uiPriority w:val="9"/>
    <w:qFormat/>
    <w:pPr>
      <w:spacing w:before="540" w:after="180" w:line="336" w:lineRule="auto"/>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line="33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pPr>
      <w:spacing w:before="390" w:after="130" w:line="336"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keepLines/>
      <w:spacing w:before="300" w:after="100" w:line="336" w:lineRule="auto"/>
      <w:outlineLvl w:val="3"/>
    </w:pPr>
    <w:rPr>
      <w:rFonts w:asciiTheme="majorHAnsi" w:eastAsiaTheme="majorEastAsia" w:hAnsiTheme="majorHAnsi" w:cstheme="majorBidi"/>
      <w:b/>
      <w:bCs/>
      <w:sz w:val="20"/>
      <w:szCs w:val="20"/>
    </w:rPr>
  </w:style>
  <w:style w:type="paragraph" w:styleId="Heading5">
    <w:name w:val="heading 5"/>
    <w:basedOn w:val="Normal"/>
    <w:next w:val="Normal"/>
    <w:link w:val="Heading5Char"/>
    <w:uiPriority w:val="9"/>
    <w:unhideWhenUsed/>
    <w:qFormat/>
    <w:rsid w:val="006E5FB8"/>
    <w:pPr>
      <w:keepNext/>
      <w:keepLines/>
      <w:spacing w:before="300" w:after="100" w:line="336" w:lineRule="auto"/>
      <w:outlineLvl w:val="4"/>
    </w:pPr>
    <w:rPr>
      <w:rFonts w:asciiTheme="majorHAnsi" w:eastAsiaTheme="majorEastAsia" w:hAnsiTheme="majorHAnsi" w:cstheme="majorBidi"/>
      <w:i/>
      <w:iCs/>
      <w:sz w:val="20"/>
      <w:szCs w:val="20"/>
    </w:rPr>
  </w:style>
  <w:style w:type="paragraph" w:styleId="Heading6">
    <w:name w:val="heading 6"/>
    <w:basedOn w:val="Normal"/>
    <w:next w:val="Normal"/>
    <w:link w:val="Heading6Char"/>
    <w:uiPriority w:val="9"/>
    <w:unhideWhenUsed/>
    <w:qFormat/>
    <w:rsid w:val="006E5FB8"/>
    <w:pPr>
      <w:keepNext/>
      <w:keepLines/>
      <w:spacing w:before="300" w:after="100" w:line="336" w:lineRule="auto"/>
      <w:outlineLvl w:val="5"/>
    </w:pPr>
    <w:rPr>
      <w:rFonts w:asciiTheme="majorHAnsi" w:eastAsiaTheme="majorEastAsia" w:hAnsiTheme="majorHAnsi"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spacing w:before="300" w:after="300" w:line="336" w:lineRule="auto"/>
      <w:ind w:left="720"/>
    </w:pPr>
    <w:rPr>
      <w:rFonts w:asciiTheme="minorHAnsi" w:hAnsiTheme="minorHAnsi" w:cstheme="minorBidi"/>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paragraph" w:styleId="ListParagraph">
    <w:name w:val="List Paragraph"/>
    <w:basedOn w:val="Normal"/>
    <w:uiPriority w:val="34"/>
    <w:qFormat/>
    <w:rsid w:val="001E14B5"/>
    <w:pPr>
      <w:spacing w:before="300" w:after="300" w:line="336" w:lineRule="auto"/>
      <w:ind w:left="720"/>
      <w:contextualSpacing/>
    </w:pPr>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355935"/>
    <w:rPr>
      <w:sz w:val="18"/>
      <w:szCs w:val="18"/>
    </w:rPr>
  </w:style>
  <w:style w:type="character" w:customStyle="1" w:styleId="BalloonTextChar">
    <w:name w:val="Balloon Text Char"/>
    <w:basedOn w:val="DefaultParagraphFont"/>
    <w:link w:val="BalloonText"/>
    <w:uiPriority w:val="99"/>
    <w:semiHidden/>
    <w:rsid w:val="00355935"/>
    <w:rPr>
      <w:rFonts w:ascii="Times New Roman" w:hAnsi="Times New Roman" w:cs="Times New Roman"/>
      <w:sz w:val="18"/>
      <w:szCs w:val="18"/>
    </w:rPr>
  </w:style>
  <w:style w:type="paragraph" w:styleId="NormalWeb">
    <w:name w:val="Normal (Web)"/>
    <w:basedOn w:val="Normal"/>
    <w:uiPriority w:val="99"/>
    <w:unhideWhenUsed/>
    <w:rsid w:val="00781AE0"/>
    <w:pPr>
      <w:spacing w:before="100" w:beforeAutospacing="1" w:after="100" w:afterAutospacing="1"/>
    </w:pPr>
  </w:style>
  <w:style w:type="character" w:styleId="CommentReference">
    <w:name w:val="annotation reference"/>
    <w:basedOn w:val="DefaultParagraphFont"/>
    <w:uiPriority w:val="99"/>
    <w:semiHidden/>
    <w:unhideWhenUsed/>
    <w:rsid w:val="00F46577"/>
    <w:rPr>
      <w:sz w:val="18"/>
      <w:szCs w:val="18"/>
    </w:rPr>
  </w:style>
  <w:style w:type="paragraph" w:styleId="CommentText">
    <w:name w:val="annotation text"/>
    <w:basedOn w:val="Normal"/>
    <w:link w:val="CommentTextChar"/>
    <w:uiPriority w:val="99"/>
    <w:semiHidden/>
    <w:unhideWhenUsed/>
    <w:rsid w:val="00F46577"/>
    <w:pPr>
      <w:spacing w:before="300" w:after="3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F46577"/>
    <w:rPr>
      <w:sz w:val="24"/>
      <w:szCs w:val="24"/>
    </w:rPr>
  </w:style>
  <w:style w:type="paragraph" w:styleId="CommentSubject">
    <w:name w:val="annotation subject"/>
    <w:basedOn w:val="CommentText"/>
    <w:next w:val="CommentText"/>
    <w:link w:val="CommentSubjectChar"/>
    <w:uiPriority w:val="99"/>
    <w:semiHidden/>
    <w:unhideWhenUsed/>
    <w:rsid w:val="00F46577"/>
    <w:rPr>
      <w:b/>
      <w:bCs/>
      <w:sz w:val="20"/>
      <w:szCs w:val="20"/>
    </w:rPr>
  </w:style>
  <w:style w:type="character" w:customStyle="1" w:styleId="CommentSubjectChar">
    <w:name w:val="Comment Subject Char"/>
    <w:basedOn w:val="CommentTextChar"/>
    <w:link w:val="CommentSubject"/>
    <w:uiPriority w:val="99"/>
    <w:semiHidden/>
    <w:rsid w:val="00F46577"/>
    <w:rPr>
      <w:b/>
      <w:bCs/>
      <w:sz w:val="24"/>
      <w:szCs w:val="24"/>
    </w:rPr>
  </w:style>
  <w:style w:type="paragraph" w:styleId="Revision">
    <w:name w:val="Revision"/>
    <w:hidden/>
    <w:uiPriority w:val="99"/>
    <w:semiHidden/>
    <w:rsid w:val="00445D3E"/>
  </w:style>
  <w:style w:type="paragraph" w:styleId="DocumentMap">
    <w:name w:val="Document Map"/>
    <w:basedOn w:val="Normal"/>
    <w:link w:val="DocumentMapChar"/>
    <w:uiPriority w:val="99"/>
    <w:semiHidden/>
    <w:unhideWhenUsed/>
    <w:rsid w:val="00445D3E"/>
  </w:style>
  <w:style w:type="character" w:customStyle="1" w:styleId="DocumentMapChar">
    <w:name w:val="Document Map Char"/>
    <w:basedOn w:val="DefaultParagraphFont"/>
    <w:link w:val="DocumentMap"/>
    <w:uiPriority w:val="99"/>
    <w:semiHidden/>
    <w:rsid w:val="00445D3E"/>
    <w:rPr>
      <w:rFonts w:ascii="Times New Roman" w:hAnsi="Times New Roman" w:cs="Times New Roman"/>
      <w:sz w:val="24"/>
      <w:szCs w:val="24"/>
    </w:rPr>
  </w:style>
  <w:style w:type="character" w:styleId="Hyperlink">
    <w:name w:val="Hyperlink"/>
    <w:basedOn w:val="DefaultParagraphFont"/>
    <w:uiPriority w:val="99"/>
    <w:unhideWhenUsed/>
    <w:rsid w:val="004D5F0A"/>
    <w:rPr>
      <w:color w:val="0000FF" w:themeColor="hyperlink"/>
      <w:u w:val="single"/>
    </w:rPr>
  </w:style>
  <w:style w:type="character" w:customStyle="1" w:styleId="tgc">
    <w:name w:val="_tgc"/>
    <w:basedOn w:val="DefaultParagraphFont"/>
    <w:rsid w:val="008A6055"/>
  </w:style>
  <w:style w:type="character" w:customStyle="1" w:styleId="st">
    <w:name w:val="st"/>
    <w:basedOn w:val="DefaultParagraphFont"/>
    <w:rsid w:val="00A37C13"/>
  </w:style>
  <w:style w:type="character" w:customStyle="1" w:styleId="NoneA">
    <w:name w:val="None A"/>
    <w:rsid w:val="00F46502"/>
  </w:style>
  <w:style w:type="character" w:customStyle="1" w:styleId="addmd">
    <w:name w:val="addmd"/>
    <w:basedOn w:val="DefaultParagraphFont"/>
    <w:rsid w:val="00195B2E"/>
  </w:style>
  <w:style w:type="character" w:customStyle="1" w:styleId="name">
    <w:name w:val="name"/>
    <w:basedOn w:val="DefaultParagraphFont"/>
    <w:rsid w:val="00462630"/>
  </w:style>
  <w:style w:type="character" w:customStyle="1" w:styleId="publicationyear">
    <w:name w:val="publicationyear"/>
    <w:basedOn w:val="DefaultParagraphFont"/>
    <w:rsid w:val="00462630"/>
  </w:style>
  <w:style w:type="character" w:customStyle="1" w:styleId="articletitle">
    <w:name w:val="articletitle"/>
    <w:basedOn w:val="DefaultParagraphFont"/>
    <w:rsid w:val="00462630"/>
  </w:style>
  <w:style w:type="character" w:customStyle="1" w:styleId="journalvolume">
    <w:name w:val="journalvolume"/>
    <w:basedOn w:val="DefaultParagraphFont"/>
    <w:rsid w:val="00462630"/>
  </w:style>
  <w:style w:type="character" w:customStyle="1" w:styleId="journalissue">
    <w:name w:val="journalissue"/>
    <w:basedOn w:val="DefaultParagraphFont"/>
    <w:rsid w:val="00462630"/>
  </w:style>
  <w:style w:type="character" w:customStyle="1" w:styleId="journalmonth">
    <w:name w:val="journalmonth"/>
    <w:basedOn w:val="DefaultParagraphFont"/>
    <w:rsid w:val="00462630"/>
  </w:style>
  <w:style w:type="character" w:customStyle="1" w:styleId="pages">
    <w:name w:val="pages"/>
    <w:basedOn w:val="DefaultParagraphFont"/>
    <w:rsid w:val="0046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6527">
      <w:bodyDiv w:val="1"/>
      <w:marLeft w:val="0"/>
      <w:marRight w:val="0"/>
      <w:marTop w:val="0"/>
      <w:marBottom w:val="0"/>
      <w:divBdr>
        <w:top w:val="none" w:sz="0" w:space="0" w:color="auto"/>
        <w:left w:val="none" w:sz="0" w:space="0" w:color="auto"/>
        <w:bottom w:val="none" w:sz="0" w:space="0" w:color="auto"/>
        <w:right w:val="none" w:sz="0" w:space="0" w:color="auto"/>
      </w:divBdr>
    </w:div>
    <w:div w:id="140313787">
      <w:bodyDiv w:val="1"/>
      <w:marLeft w:val="0"/>
      <w:marRight w:val="0"/>
      <w:marTop w:val="0"/>
      <w:marBottom w:val="0"/>
      <w:divBdr>
        <w:top w:val="none" w:sz="0" w:space="0" w:color="auto"/>
        <w:left w:val="none" w:sz="0" w:space="0" w:color="auto"/>
        <w:bottom w:val="none" w:sz="0" w:space="0" w:color="auto"/>
        <w:right w:val="none" w:sz="0" w:space="0" w:color="auto"/>
      </w:divBdr>
    </w:div>
    <w:div w:id="169030513">
      <w:bodyDiv w:val="1"/>
      <w:marLeft w:val="0"/>
      <w:marRight w:val="0"/>
      <w:marTop w:val="0"/>
      <w:marBottom w:val="0"/>
      <w:divBdr>
        <w:top w:val="none" w:sz="0" w:space="0" w:color="auto"/>
        <w:left w:val="none" w:sz="0" w:space="0" w:color="auto"/>
        <w:bottom w:val="none" w:sz="0" w:space="0" w:color="auto"/>
        <w:right w:val="none" w:sz="0" w:space="0" w:color="auto"/>
      </w:divBdr>
    </w:div>
    <w:div w:id="299386471">
      <w:bodyDiv w:val="1"/>
      <w:marLeft w:val="0"/>
      <w:marRight w:val="0"/>
      <w:marTop w:val="0"/>
      <w:marBottom w:val="0"/>
      <w:divBdr>
        <w:top w:val="none" w:sz="0" w:space="0" w:color="auto"/>
        <w:left w:val="none" w:sz="0" w:space="0" w:color="auto"/>
        <w:bottom w:val="none" w:sz="0" w:space="0" w:color="auto"/>
        <w:right w:val="none" w:sz="0" w:space="0" w:color="auto"/>
      </w:divBdr>
    </w:div>
    <w:div w:id="330640129">
      <w:bodyDiv w:val="1"/>
      <w:marLeft w:val="0"/>
      <w:marRight w:val="0"/>
      <w:marTop w:val="0"/>
      <w:marBottom w:val="0"/>
      <w:divBdr>
        <w:top w:val="none" w:sz="0" w:space="0" w:color="auto"/>
        <w:left w:val="none" w:sz="0" w:space="0" w:color="auto"/>
        <w:bottom w:val="none" w:sz="0" w:space="0" w:color="auto"/>
        <w:right w:val="none" w:sz="0" w:space="0" w:color="auto"/>
      </w:divBdr>
    </w:div>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432027">
      <w:bodyDiv w:val="1"/>
      <w:marLeft w:val="0"/>
      <w:marRight w:val="0"/>
      <w:marTop w:val="0"/>
      <w:marBottom w:val="0"/>
      <w:divBdr>
        <w:top w:val="none" w:sz="0" w:space="0" w:color="auto"/>
        <w:left w:val="none" w:sz="0" w:space="0" w:color="auto"/>
        <w:bottom w:val="none" w:sz="0" w:space="0" w:color="auto"/>
        <w:right w:val="none" w:sz="0" w:space="0" w:color="auto"/>
      </w:divBdr>
    </w:div>
    <w:div w:id="447360580">
      <w:bodyDiv w:val="1"/>
      <w:marLeft w:val="0"/>
      <w:marRight w:val="0"/>
      <w:marTop w:val="0"/>
      <w:marBottom w:val="0"/>
      <w:divBdr>
        <w:top w:val="none" w:sz="0" w:space="0" w:color="auto"/>
        <w:left w:val="none" w:sz="0" w:space="0" w:color="auto"/>
        <w:bottom w:val="none" w:sz="0" w:space="0" w:color="auto"/>
        <w:right w:val="none" w:sz="0" w:space="0" w:color="auto"/>
      </w:divBdr>
    </w:div>
    <w:div w:id="480660776">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83879003">
      <w:bodyDiv w:val="1"/>
      <w:marLeft w:val="0"/>
      <w:marRight w:val="0"/>
      <w:marTop w:val="0"/>
      <w:marBottom w:val="0"/>
      <w:divBdr>
        <w:top w:val="none" w:sz="0" w:space="0" w:color="auto"/>
        <w:left w:val="none" w:sz="0" w:space="0" w:color="auto"/>
        <w:bottom w:val="none" w:sz="0" w:space="0" w:color="auto"/>
        <w:right w:val="none" w:sz="0" w:space="0" w:color="auto"/>
      </w:divBdr>
    </w:div>
    <w:div w:id="666253282">
      <w:bodyDiv w:val="1"/>
      <w:marLeft w:val="0"/>
      <w:marRight w:val="0"/>
      <w:marTop w:val="0"/>
      <w:marBottom w:val="0"/>
      <w:divBdr>
        <w:top w:val="none" w:sz="0" w:space="0" w:color="auto"/>
        <w:left w:val="none" w:sz="0" w:space="0" w:color="auto"/>
        <w:bottom w:val="none" w:sz="0" w:space="0" w:color="auto"/>
        <w:right w:val="none" w:sz="0" w:space="0" w:color="auto"/>
      </w:divBdr>
    </w:div>
    <w:div w:id="680475849">
      <w:bodyDiv w:val="1"/>
      <w:marLeft w:val="0"/>
      <w:marRight w:val="0"/>
      <w:marTop w:val="0"/>
      <w:marBottom w:val="0"/>
      <w:divBdr>
        <w:top w:val="none" w:sz="0" w:space="0" w:color="auto"/>
        <w:left w:val="none" w:sz="0" w:space="0" w:color="auto"/>
        <w:bottom w:val="none" w:sz="0" w:space="0" w:color="auto"/>
        <w:right w:val="none" w:sz="0" w:space="0" w:color="auto"/>
      </w:divBdr>
      <w:divsChild>
        <w:div w:id="1658264796">
          <w:marLeft w:val="0"/>
          <w:marRight w:val="0"/>
          <w:marTop w:val="0"/>
          <w:marBottom w:val="0"/>
          <w:divBdr>
            <w:top w:val="none" w:sz="0" w:space="0" w:color="auto"/>
            <w:left w:val="none" w:sz="0" w:space="0" w:color="auto"/>
            <w:bottom w:val="none" w:sz="0" w:space="0" w:color="auto"/>
            <w:right w:val="none" w:sz="0" w:space="0" w:color="auto"/>
          </w:divBdr>
        </w:div>
      </w:divsChild>
    </w:div>
    <w:div w:id="751390192">
      <w:bodyDiv w:val="1"/>
      <w:marLeft w:val="0"/>
      <w:marRight w:val="0"/>
      <w:marTop w:val="0"/>
      <w:marBottom w:val="0"/>
      <w:divBdr>
        <w:top w:val="none" w:sz="0" w:space="0" w:color="auto"/>
        <w:left w:val="none" w:sz="0" w:space="0" w:color="auto"/>
        <w:bottom w:val="none" w:sz="0" w:space="0" w:color="auto"/>
        <w:right w:val="none" w:sz="0" w:space="0" w:color="auto"/>
      </w:divBdr>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9415064">
      <w:bodyDiv w:val="1"/>
      <w:marLeft w:val="0"/>
      <w:marRight w:val="0"/>
      <w:marTop w:val="0"/>
      <w:marBottom w:val="0"/>
      <w:divBdr>
        <w:top w:val="none" w:sz="0" w:space="0" w:color="auto"/>
        <w:left w:val="none" w:sz="0" w:space="0" w:color="auto"/>
        <w:bottom w:val="none" w:sz="0" w:space="0" w:color="auto"/>
        <w:right w:val="none" w:sz="0" w:space="0" w:color="auto"/>
      </w:divBdr>
    </w:div>
    <w:div w:id="902449657">
      <w:bodyDiv w:val="1"/>
      <w:marLeft w:val="0"/>
      <w:marRight w:val="0"/>
      <w:marTop w:val="0"/>
      <w:marBottom w:val="0"/>
      <w:divBdr>
        <w:top w:val="none" w:sz="0" w:space="0" w:color="auto"/>
        <w:left w:val="none" w:sz="0" w:space="0" w:color="auto"/>
        <w:bottom w:val="none" w:sz="0" w:space="0" w:color="auto"/>
        <w:right w:val="none" w:sz="0" w:space="0" w:color="auto"/>
      </w:divBdr>
    </w:div>
    <w:div w:id="1014843127">
      <w:bodyDiv w:val="1"/>
      <w:marLeft w:val="0"/>
      <w:marRight w:val="0"/>
      <w:marTop w:val="0"/>
      <w:marBottom w:val="0"/>
      <w:divBdr>
        <w:top w:val="none" w:sz="0" w:space="0" w:color="auto"/>
        <w:left w:val="none" w:sz="0" w:space="0" w:color="auto"/>
        <w:bottom w:val="none" w:sz="0" w:space="0" w:color="auto"/>
        <w:right w:val="none" w:sz="0" w:space="0" w:color="auto"/>
      </w:divBdr>
    </w:div>
    <w:div w:id="1031421066">
      <w:bodyDiv w:val="1"/>
      <w:marLeft w:val="0"/>
      <w:marRight w:val="0"/>
      <w:marTop w:val="0"/>
      <w:marBottom w:val="0"/>
      <w:divBdr>
        <w:top w:val="none" w:sz="0" w:space="0" w:color="auto"/>
        <w:left w:val="none" w:sz="0" w:space="0" w:color="auto"/>
        <w:bottom w:val="none" w:sz="0" w:space="0" w:color="auto"/>
        <w:right w:val="none" w:sz="0" w:space="0" w:color="auto"/>
      </w:divBdr>
    </w:div>
    <w:div w:id="1096704825">
      <w:bodyDiv w:val="1"/>
      <w:marLeft w:val="0"/>
      <w:marRight w:val="0"/>
      <w:marTop w:val="0"/>
      <w:marBottom w:val="0"/>
      <w:divBdr>
        <w:top w:val="none" w:sz="0" w:space="0" w:color="auto"/>
        <w:left w:val="none" w:sz="0" w:space="0" w:color="auto"/>
        <w:bottom w:val="none" w:sz="0" w:space="0" w:color="auto"/>
        <w:right w:val="none" w:sz="0" w:space="0" w:color="auto"/>
      </w:divBdr>
    </w:div>
    <w:div w:id="1199708902">
      <w:bodyDiv w:val="1"/>
      <w:marLeft w:val="0"/>
      <w:marRight w:val="0"/>
      <w:marTop w:val="0"/>
      <w:marBottom w:val="0"/>
      <w:divBdr>
        <w:top w:val="none" w:sz="0" w:space="0" w:color="auto"/>
        <w:left w:val="none" w:sz="0" w:space="0" w:color="auto"/>
        <w:bottom w:val="none" w:sz="0" w:space="0" w:color="auto"/>
        <w:right w:val="none" w:sz="0" w:space="0" w:color="auto"/>
      </w:divBdr>
    </w:div>
    <w:div w:id="1229805110">
      <w:bodyDiv w:val="1"/>
      <w:marLeft w:val="0"/>
      <w:marRight w:val="0"/>
      <w:marTop w:val="0"/>
      <w:marBottom w:val="0"/>
      <w:divBdr>
        <w:top w:val="none" w:sz="0" w:space="0" w:color="auto"/>
        <w:left w:val="none" w:sz="0" w:space="0" w:color="auto"/>
        <w:bottom w:val="none" w:sz="0" w:space="0" w:color="auto"/>
        <w:right w:val="none" w:sz="0" w:space="0" w:color="auto"/>
      </w:divBdr>
    </w:div>
    <w:div w:id="1290629047">
      <w:bodyDiv w:val="1"/>
      <w:marLeft w:val="0"/>
      <w:marRight w:val="0"/>
      <w:marTop w:val="0"/>
      <w:marBottom w:val="0"/>
      <w:divBdr>
        <w:top w:val="none" w:sz="0" w:space="0" w:color="auto"/>
        <w:left w:val="none" w:sz="0" w:space="0" w:color="auto"/>
        <w:bottom w:val="none" w:sz="0" w:space="0" w:color="auto"/>
        <w:right w:val="none" w:sz="0" w:space="0" w:color="auto"/>
      </w:divBdr>
    </w:div>
    <w:div w:id="1329014552">
      <w:bodyDiv w:val="1"/>
      <w:marLeft w:val="0"/>
      <w:marRight w:val="0"/>
      <w:marTop w:val="0"/>
      <w:marBottom w:val="0"/>
      <w:divBdr>
        <w:top w:val="none" w:sz="0" w:space="0" w:color="auto"/>
        <w:left w:val="none" w:sz="0" w:space="0" w:color="auto"/>
        <w:bottom w:val="none" w:sz="0" w:space="0" w:color="auto"/>
        <w:right w:val="none" w:sz="0" w:space="0" w:color="auto"/>
      </w:divBdr>
    </w:div>
    <w:div w:id="1369179742">
      <w:bodyDiv w:val="1"/>
      <w:marLeft w:val="0"/>
      <w:marRight w:val="0"/>
      <w:marTop w:val="0"/>
      <w:marBottom w:val="0"/>
      <w:divBdr>
        <w:top w:val="none" w:sz="0" w:space="0" w:color="auto"/>
        <w:left w:val="none" w:sz="0" w:space="0" w:color="auto"/>
        <w:bottom w:val="none" w:sz="0" w:space="0" w:color="auto"/>
        <w:right w:val="none" w:sz="0" w:space="0" w:color="auto"/>
      </w:divBdr>
    </w:div>
    <w:div w:id="1402867730">
      <w:bodyDiv w:val="1"/>
      <w:marLeft w:val="0"/>
      <w:marRight w:val="0"/>
      <w:marTop w:val="0"/>
      <w:marBottom w:val="0"/>
      <w:divBdr>
        <w:top w:val="none" w:sz="0" w:space="0" w:color="auto"/>
        <w:left w:val="none" w:sz="0" w:space="0" w:color="auto"/>
        <w:bottom w:val="none" w:sz="0" w:space="0" w:color="auto"/>
        <w:right w:val="none" w:sz="0" w:space="0" w:color="auto"/>
      </w:divBdr>
    </w:div>
    <w:div w:id="1478953996">
      <w:bodyDiv w:val="1"/>
      <w:marLeft w:val="0"/>
      <w:marRight w:val="0"/>
      <w:marTop w:val="0"/>
      <w:marBottom w:val="0"/>
      <w:divBdr>
        <w:top w:val="none" w:sz="0" w:space="0" w:color="auto"/>
        <w:left w:val="none" w:sz="0" w:space="0" w:color="auto"/>
        <w:bottom w:val="none" w:sz="0" w:space="0" w:color="auto"/>
        <w:right w:val="none" w:sz="0" w:space="0" w:color="auto"/>
      </w:divBdr>
      <w:divsChild>
        <w:div w:id="873735673">
          <w:marLeft w:val="0"/>
          <w:marRight w:val="0"/>
          <w:marTop w:val="0"/>
          <w:marBottom w:val="0"/>
          <w:divBdr>
            <w:top w:val="none" w:sz="0" w:space="0" w:color="auto"/>
            <w:left w:val="none" w:sz="0" w:space="0" w:color="auto"/>
            <w:bottom w:val="none" w:sz="0" w:space="0" w:color="auto"/>
            <w:right w:val="none" w:sz="0" w:space="0" w:color="auto"/>
          </w:divBdr>
        </w:div>
        <w:div w:id="1124153417">
          <w:marLeft w:val="0"/>
          <w:marRight w:val="0"/>
          <w:marTop w:val="0"/>
          <w:marBottom w:val="0"/>
          <w:divBdr>
            <w:top w:val="none" w:sz="0" w:space="0" w:color="auto"/>
            <w:left w:val="none" w:sz="0" w:space="0" w:color="auto"/>
            <w:bottom w:val="none" w:sz="0" w:space="0" w:color="auto"/>
            <w:right w:val="none" w:sz="0" w:space="0" w:color="auto"/>
          </w:divBdr>
        </w:div>
      </w:divsChild>
    </w:div>
    <w:div w:id="1537884843">
      <w:bodyDiv w:val="1"/>
      <w:marLeft w:val="0"/>
      <w:marRight w:val="0"/>
      <w:marTop w:val="0"/>
      <w:marBottom w:val="0"/>
      <w:divBdr>
        <w:top w:val="none" w:sz="0" w:space="0" w:color="auto"/>
        <w:left w:val="none" w:sz="0" w:space="0" w:color="auto"/>
        <w:bottom w:val="none" w:sz="0" w:space="0" w:color="auto"/>
        <w:right w:val="none" w:sz="0" w:space="0" w:color="auto"/>
      </w:divBdr>
    </w:div>
    <w:div w:id="1564756649">
      <w:bodyDiv w:val="1"/>
      <w:marLeft w:val="0"/>
      <w:marRight w:val="0"/>
      <w:marTop w:val="0"/>
      <w:marBottom w:val="0"/>
      <w:divBdr>
        <w:top w:val="none" w:sz="0" w:space="0" w:color="auto"/>
        <w:left w:val="none" w:sz="0" w:space="0" w:color="auto"/>
        <w:bottom w:val="none" w:sz="0" w:space="0" w:color="auto"/>
        <w:right w:val="none" w:sz="0" w:space="0" w:color="auto"/>
      </w:divBdr>
    </w:div>
    <w:div w:id="1576234660">
      <w:bodyDiv w:val="1"/>
      <w:marLeft w:val="0"/>
      <w:marRight w:val="0"/>
      <w:marTop w:val="0"/>
      <w:marBottom w:val="0"/>
      <w:divBdr>
        <w:top w:val="none" w:sz="0" w:space="0" w:color="auto"/>
        <w:left w:val="none" w:sz="0" w:space="0" w:color="auto"/>
        <w:bottom w:val="none" w:sz="0" w:space="0" w:color="auto"/>
        <w:right w:val="none" w:sz="0" w:space="0" w:color="auto"/>
      </w:divBdr>
    </w:div>
    <w:div w:id="1664505291">
      <w:bodyDiv w:val="1"/>
      <w:marLeft w:val="0"/>
      <w:marRight w:val="0"/>
      <w:marTop w:val="0"/>
      <w:marBottom w:val="0"/>
      <w:divBdr>
        <w:top w:val="none" w:sz="0" w:space="0" w:color="auto"/>
        <w:left w:val="none" w:sz="0" w:space="0" w:color="auto"/>
        <w:bottom w:val="none" w:sz="0" w:space="0" w:color="auto"/>
        <w:right w:val="none" w:sz="0" w:space="0" w:color="auto"/>
      </w:divBdr>
    </w:div>
    <w:div w:id="1775973070">
      <w:bodyDiv w:val="1"/>
      <w:marLeft w:val="0"/>
      <w:marRight w:val="0"/>
      <w:marTop w:val="0"/>
      <w:marBottom w:val="0"/>
      <w:divBdr>
        <w:top w:val="none" w:sz="0" w:space="0" w:color="auto"/>
        <w:left w:val="none" w:sz="0" w:space="0" w:color="auto"/>
        <w:bottom w:val="none" w:sz="0" w:space="0" w:color="auto"/>
        <w:right w:val="none" w:sz="0" w:space="0" w:color="auto"/>
      </w:divBdr>
    </w:div>
    <w:div w:id="1842814126">
      <w:bodyDiv w:val="1"/>
      <w:marLeft w:val="0"/>
      <w:marRight w:val="0"/>
      <w:marTop w:val="0"/>
      <w:marBottom w:val="0"/>
      <w:divBdr>
        <w:top w:val="none" w:sz="0" w:space="0" w:color="auto"/>
        <w:left w:val="none" w:sz="0" w:space="0" w:color="auto"/>
        <w:bottom w:val="none" w:sz="0" w:space="0" w:color="auto"/>
        <w:right w:val="none" w:sz="0" w:space="0" w:color="auto"/>
      </w:divBdr>
    </w:div>
    <w:div w:id="1959413605">
      <w:bodyDiv w:val="1"/>
      <w:marLeft w:val="0"/>
      <w:marRight w:val="0"/>
      <w:marTop w:val="0"/>
      <w:marBottom w:val="0"/>
      <w:divBdr>
        <w:top w:val="none" w:sz="0" w:space="0" w:color="auto"/>
        <w:left w:val="none" w:sz="0" w:space="0" w:color="auto"/>
        <w:bottom w:val="none" w:sz="0" w:space="0" w:color="auto"/>
        <w:right w:val="none" w:sz="0" w:space="0" w:color="auto"/>
      </w:divBdr>
    </w:div>
    <w:div w:id="1961837163">
      <w:bodyDiv w:val="1"/>
      <w:marLeft w:val="0"/>
      <w:marRight w:val="0"/>
      <w:marTop w:val="0"/>
      <w:marBottom w:val="0"/>
      <w:divBdr>
        <w:top w:val="none" w:sz="0" w:space="0" w:color="auto"/>
        <w:left w:val="none" w:sz="0" w:space="0" w:color="auto"/>
        <w:bottom w:val="none" w:sz="0" w:space="0" w:color="auto"/>
        <w:right w:val="none" w:sz="0" w:space="0" w:color="auto"/>
      </w:divBdr>
    </w:div>
    <w:div w:id="2001082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etanews.com/2015/03/18/data-privacy-in-a-wearables-world/" TargetMode="External"/><Relationship Id="rId12" Type="http://schemas.openxmlformats.org/officeDocument/2006/relationships/hyperlink" Target="http://fortune.com/2014/04/15/in-corporate-wellness-programs-wearables-take-a-step-forward/" TargetMode="External"/><Relationship Id="rId13" Type="http://schemas.openxmlformats.org/officeDocument/2006/relationships/hyperlink" Target="http://www.ons.gov.uk/ons/dcp171778_395943.pdf" TargetMode="External"/><Relationship Id="rId14" Type="http://schemas.openxmlformats.org/officeDocument/2006/relationships/hyperlink" Target="http://www.ons.gov.uk/ons/rel/lmac/sickness-absence-in-the-labour-market/2014/rpt---sickness-absence-in-the-labour-market.html" TargetMode="External"/><Relationship Id="rId15" Type="http://schemas.openxmlformats.org/officeDocument/2006/relationships/hyperlink" Target="http://techcrunch.com/2015/08/04/netflix-announces-its-new-unlimited-maternity-and-paternity-leave-program/" TargetMode="External"/><Relationship Id="rId16" Type="http://schemas.openxmlformats.org/officeDocument/2006/relationships/hyperlink" Target="http://hbr.org/2013/09/wearables-in-the-workplace/ar/1" TargetMode="External"/><Relationship Id="rId17" Type="http://schemas.openxmlformats.org/officeDocument/2006/relationships/hyperlink" Target="http://online.wsj.com/news/articles/SB10001424052702303796404579099203059125112"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biresearch.com/press/corporate-wellness-is-a-13-million-unit-wearable-w/" TargetMode="External"/><Relationship Id="rId6" Type="http://schemas.openxmlformats.org/officeDocument/2006/relationships/hyperlink" Target="http://www.cio.com/article/2381042/data-protection/can-the-new-hipaa-rule-cut-phi-breaches.html" TargetMode="External"/><Relationship Id="rId7" Type="http://schemas.openxmlformats.org/officeDocument/2006/relationships/hyperlink" Target="http://www.acas.org.uk/media/pdf/7/k/The_future_of_health_and_wellbeing_in_the_workplace.pdf" TargetMode="External"/><Relationship Id="rId8" Type="http://schemas.openxmlformats.org/officeDocument/2006/relationships/hyperlink" Target="http://www.computerworld.com/article/2937721/wearables/wearables-for-workplace-wellness-face-federal-scrutiny.html" TargetMode="External"/><Relationship Id="rId9" Type="http://schemas.openxmlformats.org/officeDocument/2006/relationships/hyperlink" Target="http://ibm.com/blogs/socialbusiness" TargetMode="External"/><Relationship Id="rId10" Type="http://schemas.openxmlformats.org/officeDocument/2006/relationships/hyperlink" Target="http://www.cio.com/article/2937731/wearable-technology/the-takeaway-feds-eye-new-rule-for-workplace-wearab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5165</Words>
  <Characters>29443</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4</cp:revision>
  <dcterms:created xsi:type="dcterms:W3CDTF">2016-06-26T12:10:00Z</dcterms:created>
  <dcterms:modified xsi:type="dcterms:W3CDTF">2016-10-21T17:23:00Z</dcterms:modified>
</cp:coreProperties>
</file>