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166" w:rsidRPr="004C4FE6" w:rsidRDefault="006D4166" w:rsidP="006D4166">
      <w:pPr>
        <w:rPr>
          <w:rFonts w:ascii="Gentium Basic" w:hAnsi="Gentium Basic" w:cs="Times New Roman"/>
          <w:b/>
          <w:sz w:val="24"/>
          <w:szCs w:val="24"/>
        </w:rPr>
      </w:pPr>
      <w:r w:rsidRPr="004C4FE6">
        <w:rPr>
          <w:rFonts w:ascii="Gentium Basic" w:hAnsi="Gentium Basic" w:cs="Times New Roman"/>
          <w:b/>
          <w:sz w:val="24"/>
          <w:szCs w:val="24"/>
        </w:rPr>
        <w:t>The Nile: its role in the fortunes and misfortunes of the Fatimid dynasty during its rule of Egypt (969-1171).</w:t>
      </w:r>
    </w:p>
    <w:p w:rsidR="006D4166" w:rsidRDefault="006D4166" w:rsidP="006D4166">
      <w:pPr>
        <w:rPr>
          <w:rFonts w:ascii="Gentium Basic" w:hAnsi="Gentium Basic" w:cs="Times New Roman"/>
          <w:sz w:val="24"/>
          <w:szCs w:val="24"/>
        </w:rPr>
      </w:pPr>
      <w:r w:rsidRPr="004C4FE6">
        <w:rPr>
          <w:rFonts w:ascii="Gentium Basic" w:hAnsi="Gentium Basic" w:cs="Times New Roman"/>
          <w:sz w:val="24"/>
          <w:szCs w:val="24"/>
        </w:rPr>
        <w:t>The epoch spanning the years 935-1094 constitutes - on the whole - the longest and driest period on record in the history of the Nile</w:t>
      </w:r>
      <w:r>
        <w:rPr>
          <w:rFonts w:ascii="Gentium Basic" w:hAnsi="Gentium Basic" w:cs="Times New Roman"/>
          <w:sz w:val="24"/>
          <w:szCs w:val="24"/>
        </w:rPr>
        <w:t>.</w:t>
      </w:r>
      <w:r w:rsidRPr="004C4FE6">
        <w:rPr>
          <w:rStyle w:val="FootnoteReference"/>
          <w:rFonts w:ascii="Gentium Basic" w:hAnsi="Gentium Basic" w:cs="Times New Roman"/>
          <w:sz w:val="24"/>
          <w:szCs w:val="24"/>
        </w:rPr>
        <w:footnoteReference w:id="1"/>
      </w:r>
      <w:r w:rsidRPr="004C4FE6">
        <w:rPr>
          <w:rFonts w:ascii="Gentium Basic" w:hAnsi="Gentium Basic" w:cs="Times New Roman"/>
          <w:sz w:val="24"/>
          <w:szCs w:val="24"/>
        </w:rPr>
        <w:t xml:space="preserve"> </w:t>
      </w:r>
      <w:r>
        <w:rPr>
          <w:rFonts w:ascii="Gentium Basic" w:hAnsi="Gentium Basic" w:cs="Times New Roman"/>
          <w:sz w:val="24"/>
          <w:szCs w:val="24"/>
        </w:rPr>
        <w:t>A</w:t>
      </w:r>
      <w:r w:rsidRPr="004C4FE6">
        <w:rPr>
          <w:rFonts w:ascii="Gentium Basic" w:hAnsi="Gentium Basic" w:cs="Times New Roman"/>
          <w:sz w:val="24"/>
          <w:szCs w:val="24"/>
        </w:rPr>
        <w:t xml:space="preserve"> stretch of relatively normal discharge</w:t>
      </w:r>
      <w:r>
        <w:rPr>
          <w:rFonts w:ascii="Gentium Basic" w:hAnsi="Gentium Basic" w:cs="Times New Roman"/>
          <w:sz w:val="24"/>
          <w:szCs w:val="24"/>
        </w:rPr>
        <w:t xml:space="preserve"> followed this</w:t>
      </w:r>
      <w:r w:rsidRPr="004C4FE6">
        <w:rPr>
          <w:rFonts w:ascii="Gentium Basic" w:hAnsi="Gentium Basic" w:cs="Times New Roman"/>
          <w:sz w:val="24"/>
          <w:szCs w:val="24"/>
        </w:rPr>
        <w:t xml:space="preserve"> phase</w:t>
      </w:r>
      <w:r>
        <w:rPr>
          <w:rFonts w:ascii="Gentium Basic" w:hAnsi="Gentium Basic" w:cs="Times New Roman"/>
          <w:sz w:val="24"/>
          <w:szCs w:val="24"/>
        </w:rPr>
        <w:t xml:space="preserve">, </w:t>
      </w:r>
      <w:r w:rsidRPr="004C4FE6">
        <w:rPr>
          <w:rFonts w:ascii="Gentium Basic" w:hAnsi="Gentium Basic" w:cs="Times New Roman"/>
          <w:sz w:val="24"/>
          <w:szCs w:val="24"/>
        </w:rPr>
        <w:t>only for dryness to return. The reasons of this dry-wet-dry phenomenon have been recently appraised in the context of global</w:t>
      </w:r>
      <w:r>
        <w:rPr>
          <w:rFonts w:ascii="Gentium Basic" w:hAnsi="Gentium Basic" w:cs="Times New Roman"/>
          <w:sz w:val="24"/>
          <w:szCs w:val="24"/>
        </w:rPr>
        <w:t xml:space="preserve"> </w:t>
      </w:r>
      <w:r w:rsidRPr="004C4FE6">
        <w:rPr>
          <w:rFonts w:ascii="Gentium Basic" w:hAnsi="Gentium Basic" w:cs="Times New Roman"/>
          <w:sz w:val="24"/>
          <w:szCs w:val="24"/>
        </w:rPr>
        <w:t xml:space="preserve">climatic changes – the so-called “Medieval Warm Period” - that affected </w:t>
      </w:r>
      <w:r>
        <w:rPr>
          <w:rFonts w:ascii="Gentium Basic" w:hAnsi="Gentium Basic" w:cs="Times New Roman"/>
          <w:sz w:val="24"/>
          <w:szCs w:val="24"/>
        </w:rPr>
        <w:t xml:space="preserve">most of the known world </w:t>
      </w:r>
      <w:r w:rsidRPr="004C4FE6">
        <w:rPr>
          <w:rFonts w:ascii="Gentium Basic" w:hAnsi="Gentium Basic" w:cs="Times New Roman"/>
          <w:sz w:val="24"/>
          <w:szCs w:val="24"/>
        </w:rPr>
        <w:t>between the 11</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and the 13</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centuries.</w:t>
      </w:r>
      <w:r w:rsidRPr="004C4FE6">
        <w:rPr>
          <w:rStyle w:val="FootnoteReference"/>
          <w:rFonts w:ascii="Gentium Basic" w:hAnsi="Gentium Basic" w:cs="Times New Roman"/>
          <w:sz w:val="24"/>
          <w:szCs w:val="24"/>
        </w:rPr>
        <w:footnoteReference w:id="2"/>
      </w:r>
      <w:r w:rsidRPr="004C4FE6">
        <w:rPr>
          <w:rFonts w:ascii="Gentium Basic" w:hAnsi="Gentium Basic" w:cs="Times New Roman"/>
          <w:sz w:val="24"/>
          <w:szCs w:val="24"/>
        </w:rPr>
        <w:t xml:space="preserve"> It was in </w:t>
      </w:r>
      <w:r>
        <w:rPr>
          <w:rFonts w:ascii="Gentium Basic" w:hAnsi="Gentium Basic" w:cs="Times New Roman"/>
          <w:sz w:val="24"/>
          <w:szCs w:val="24"/>
        </w:rPr>
        <w:t xml:space="preserve">this period of Egyptian history </w:t>
      </w:r>
      <w:r w:rsidRPr="004C4FE6">
        <w:rPr>
          <w:rFonts w:ascii="Gentium Basic" w:hAnsi="Gentium Basic" w:cs="Times New Roman"/>
          <w:sz w:val="24"/>
          <w:szCs w:val="24"/>
        </w:rPr>
        <w:t>that the Shi‘i Isma‘ili Fatimids replaced the Sunni Ikhshidids as rulers in 358/969 and, with alternating fortunes, con</w:t>
      </w:r>
      <w:r w:rsidR="006057E4">
        <w:rPr>
          <w:rFonts w:ascii="Gentium Basic" w:hAnsi="Gentium Basic" w:cs="Times New Roman"/>
          <w:sz w:val="24"/>
          <w:szCs w:val="24"/>
        </w:rPr>
        <w:t>tinued to reign until 567/1171.</w:t>
      </w:r>
    </w:p>
    <w:p w:rsidR="006D4166" w:rsidRDefault="006D4166" w:rsidP="006D4166">
      <w:pPr>
        <w:ind w:firstLine="720"/>
        <w:rPr>
          <w:rFonts w:ascii="Gentium Basic" w:hAnsi="Gentium Basic" w:cs="Times New Roman"/>
          <w:sz w:val="24"/>
          <w:szCs w:val="24"/>
        </w:rPr>
      </w:pPr>
      <w:r w:rsidRPr="004C4FE6">
        <w:rPr>
          <w:rFonts w:ascii="Gentium Basic" w:hAnsi="Gentium Basic" w:cs="Times New Roman"/>
          <w:sz w:val="24"/>
          <w:szCs w:val="24"/>
        </w:rPr>
        <w:t xml:space="preserve">In this paper, I examine how, </w:t>
      </w:r>
      <w:r>
        <w:rPr>
          <w:rFonts w:ascii="Gentium Basic" w:hAnsi="Gentium Basic" w:cs="Times New Roman"/>
          <w:sz w:val="24"/>
          <w:szCs w:val="24"/>
        </w:rPr>
        <w:t xml:space="preserve">faced with </w:t>
      </w:r>
      <w:r w:rsidRPr="004C4FE6">
        <w:rPr>
          <w:rFonts w:ascii="Gentium Basic" w:hAnsi="Gentium Basic" w:cs="Times New Roman"/>
          <w:sz w:val="24"/>
          <w:szCs w:val="24"/>
        </w:rPr>
        <w:t xml:space="preserve">the convergence of extraordinary geo-climatic factors, the Fatimids managed (and mismanaged) the Nile and its valley. </w:t>
      </w:r>
      <w:r>
        <w:rPr>
          <w:rFonts w:ascii="Gentium Basic" w:hAnsi="Gentium Basic" w:cs="Times New Roman"/>
          <w:sz w:val="24"/>
          <w:szCs w:val="24"/>
        </w:rPr>
        <w:t>I contend that</w:t>
      </w:r>
      <w:r w:rsidRPr="004C4FE6">
        <w:rPr>
          <w:rFonts w:ascii="Gentium Basic" w:hAnsi="Gentium Basic" w:cs="Times New Roman"/>
          <w:sz w:val="24"/>
          <w:szCs w:val="24"/>
        </w:rPr>
        <w:t xml:space="preserve"> the imperial aspirations of the Fatimids in Cairo and beyond were in many ways subject to the </w:t>
      </w:r>
      <w:r>
        <w:rPr>
          <w:rFonts w:ascii="Gentium Basic" w:hAnsi="Gentium Basic" w:cs="Times New Roman"/>
          <w:sz w:val="24"/>
          <w:szCs w:val="24"/>
        </w:rPr>
        <w:t xml:space="preserve">typical </w:t>
      </w:r>
      <w:r w:rsidRPr="004C4FE6">
        <w:rPr>
          <w:rFonts w:ascii="Gentium Basic" w:hAnsi="Gentium Basic" w:cs="Times New Roman"/>
          <w:sz w:val="24"/>
          <w:szCs w:val="24"/>
        </w:rPr>
        <w:t>unpredictability of the natural cycles</w:t>
      </w:r>
      <w:r>
        <w:rPr>
          <w:rFonts w:ascii="Gentium Basic" w:hAnsi="Gentium Basic" w:cs="Times New Roman"/>
          <w:sz w:val="24"/>
          <w:szCs w:val="24"/>
        </w:rPr>
        <w:t xml:space="preserve"> </w:t>
      </w:r>
      <w:r w:rsidRPr="004C4FE6">
        <w:rPr>
          <w:rFonts w:ascii="Gentium Basic" w:hAnsi="Gentium Basic" w:cs="Times New Roman"/>
          <w:sz w:val="24"/>
          <w:szCs w:val="24"/>
        </w:rPr>
        <w:t>of the river</w:t>
      </w:r>
      <w:r>
        <w:rPr>
          <w:rFonts w:ascii="Gentium Basic" w:hAnsi="Gentium Basic" w:cs="Times New Roman"/>
          <w:sz w:val="24"/>
          <w:szCs w:val="24"/>
        </w:rPr>
        <w:t>,</w:t>
      </w:r>
      <w:r w:rsidRPr="004C4FE6">
        <w:rPr>
          <w:rFonts w:ascii="Gentium Basic" w:hAnsi="Gentium Basic" w:cs="Times New Roman"/>
          <w:sz w:val="24"/>
          <w:szCs w:val="24"/>
        </w:rPr>
        <w:t xml:space="preserve"> </w:t>
      </w:r>
      <w:r>
        <w:rPr>
          <w:rFonts w:ascii="Gentium Basic" w:hAnsi="Gentium Basic" w:cs="Times New Roman"/>
          <w:sz w:val="24"/>
          <w:szCs w:val="24"/>
        </w:rPr>
        <w:t>hence</w:t>
      </w:r>
      <w:r w:rsidRPr="004C4FE6">
        <w:rPr>
          <w:rFonts w:ascii="Gentium Basic" w:hAnsi="Gentium Basic" w:cs="Times New Roman"/>
          <w:sz w:val="24"/>
          <w:szCs w:val="24"/>
        </w:rPr>
        <w:t xml:space="preserve"> the Fatimids’ success and failure in managing the varied economic, political and trading activities that took place along the Egyptian section of the Nile valley. </w:t>
      </w:r>
      <w:r>
        <w:rPr>
          <w:rFonts w:ascii="Gentium Basic" w:hAnsi="Gentium Basic" w:cs="Times New Roman"/>
          <w:sz w:val="24"/>
          <w:szCs w:val="24"/>
        </w:rPr>
        <w:t xml:space="preserve">A case in point highlighted here will be the Fatimids’ privileging </w:t>
      </w:r>
      <w:r w:rsidR="006057E4">
        <w:rPr>
          <w:rFonts w:ascii="Gentium Basic" w:hAnsi="Gentium Basic" w:cs="Times New Roman"/>
          <w:sz w:val="24"/>
          <w:szCs w:val="24"/>
        </w:rPr>
        <w:t>of flax cultivation over wheat.</w:t>
      </w:r>
    </w:p>
    <w:p w:rsidR="006D4166" w:rsidRDefault="006D4166" w:rsidP="006D4166">
      <w:pPr>
        <w:rPr>
          <w:rFonts w:ascii="Gentium Basic" w:hAnsi="Gentium Basic" w:cs="Times New Roman"/>
          <w:sz w:val="24"/>
          <w:szCs w:val="24"/>
        </w:rPr>
      </w:pPr>
      <w:r>
        <w:rPr>
          <w:rFonts w:ascii="Gentium Basic" w:hAnsi="Gentium Basic" w:cs="Times New Roman"/>
          <w:sz w:val="24"/>
          <w:szCs w:val="24"/>
        </w:rPr>
        <w:tab/>
        <w:t>Sources and Scholarship</w:t>
      </w:r>
    </w:p>
    <w:p w:rsidR="006D4166" w:rsidRPr="004C4FE6" w:rsidRDefault="006D4166" w:rsidP="006D4166">
      <w:pPr>
        <w:ind w:firstLine="720"/>
        <w:rPr>
          <w:rFonts w:ascii="Gentium Basic" w:hAnsi="Gentium Basic" w:cs="Times New Roman"/>
          <w:sz w:val="24"/>
          <w:szCs w:val="24"/>
        </w:rPr>
      </w:pPr>
      <w:r w:rsidRPr="004C4FE6">
        <w:rPr>
          <w:rFonts w:ascii="Gentium Basic" w:hAnsi="Gentium Basic" w:cs="Times New Roman"/>
          <w:sz w:val="24"/>
          <w:szCs w:val="24"/>
        </w:rPr>
        <w:t xml:space="preserve">The environmental history of the pre-modern Middle East has thus far remained an under-researched area of study. Alan Mikhail has discussed the potential implicit in the development of this discipline in an article published in </w:t>
      </w:r>
      <w:r w:rsidRPr="004C4FE6">
        <w:rPr>
          <w:rFonts w:ascii="Gentium Basic" w:hAnsi="Gentium Basic" w:cs="Times New Roman"/>
          <w:i/>
          <w:sz w:val="24"/>
          <w:szCs w:val="24"/>
        </w:rPr>
        <w:t>History Compass</w:t>
      </w:r>
      <w:r w:rsidRPr="004C4FE6">
        <w:rPr>
          <w:rFonts w:ascii="Gentium Basic" w:hAnsi="Gentium Basic" w:cs="Times New Roman"/>
          <w:sz w:val="24"/>
          <w:szCs w:val="24"/>
        </w:rPr>
        <w:t xml:space="preserve"> in 2011, </w:t>
      </w:r>
      <w:r>
        <w:rPr>
          <w:rFonts w:ascii="Gentium Basic" w:hAnsi="Gentium Basic" w:cs="Times New Roman"/>
          <w:sz w:val="24"/>
          <w:szCs w:val="24"/>
        </w:rPr>
        <w:t>providing</w:t>
      </w:r>
      <w:r w:rsidRPr="004C4FE6">
        <w:rPr>
          <w:rFonts w:ascii="Gentium Basic" w:hAnsi="Gentium Basic" w:cs="Times New Roman"/>
          <w:sz w:val="24"/>
          <w:szCs w:val="24"/>
        </w:rPr>
        <w:t xml:space="preserve"> a concise overview of studies that have stimulat</w:t>
      </w:r>
      <w:r>
        <w:rPr>
          <w:rFonts w:ascii="Gentium Basic" w:hAnsi="Gentium Basic" w:cs="Times New Roman"/>
          <w:sz w:val="24"/>
          <w:szCs w:val="24"/>
        </w:rPr>
        <w:t>ed</w:t>
      </w:r>
      <w:r w:rsidRPr="004C4FE6">
        <w:rPr>
          <w:rFonts w:ascii="Gentium Basic" w:hAnsi="Gentium Basic" w:cs="Times New Roman"/>
          <w:sz w:val="24"/>
          <w:szCs w:val="24"/>
        </w:rPr>
        <w:t xml:space="preserve"> methodological and thematic discussions on </w:t>
      </w:r>
      <w:r>
        <w:rPr>
          <w:rFonts w:ascii="Gentium Basic" w:hAnsi="Gentium Basic" w:cs="Times New Roman"/>
          <w:sz w:val="24"/>
          <w:szCs w:val="24"/>
        </w:rPr>
        <w:t xml:space="preserve">environmental </w:t>
      </w:r>
      <w:r w:rsidRPr="004C4FE6">
        <w:rPr>
          <w:rFonts w:ascii="Gentium Basic" w:hAnsi="Gentium Basic" w:cs="Times New Roman"/>
          <w:sz w:val="24"/>
          <w:szCs w:val="24"/>
        </w:rPr>
        <w:t xml:space="preserve">issues </w:t>
      </w:r>
      <w:r>
        <w:rPr>
          <w:rFonts w:ascii="Gentium Basic" w:hAnsi="Gentium Basic" w:cs="Times New Roman"/>
          <w:sz w:val="24"/>
          <w:szCs w:val="24"/>
        </w:rPr>
        <w:t xml:space="preserve">that </w:t>
      </w:r>
      <w:r w:rsidRPr="004C4FE6">
        <w:rPr>
          <w:rFonts w:ascii="Gentium Basic" w:hAnsi="Gentium Basic" w:cs="Times New Roman"/>
          <w:sz w:val="24"/>
          <w:szCs w:val="24"/>
        </w:rPr>
        <w:t xml:space="preserve">ought to be addressed </w:t>
      </w:r>
      <w:r w:rsidRPr="004C4FE6">
        <w:rPr>
          <w:rFonts w:ascii="Gentium Basic" w:hAnsi="Gentium Basic" w:cs="Times New Roman"/>
          <w:i/>
          <w:sz w:val="24"/>
          <w:szCs w:val="24"/>
        </w:rPr>
        <w:t xml:space="preserve">within </w:t>
      </w:r>
      <w:r w:rsidRPr="004C4FE6">
        <w:rPr>
          <w:rFonts w:ascii="Gentium Basic" w:hAnsi="Gentium Basic" w:cs="Times New Roman"/>
          <w:sz w:val="24"/>
          <w:szCs w:val="24"/>
        </w:rPr>
        <w:t>historical studies of the Middle East.</w:t>
      </w:r>
      <w:r w:rsidRPr="004C4FE6">
        <w:rPr>
          <w:rStyle w:val="FootnoteReference"/>
          <w:rFonts w:ascii="Gentium Basic" w:hAnsi="Gentium Basic" w:cs="Times New Roman"/>
          <w:sz w:val="24"/>
          <w:szCs w:val="24"/>
        </w:rPr>
        <w:footnoteReference w:id="3"/>
      </w:r>
      <w:r w:rsidRPr="004C4FE6">
        <w:rPr>
          <w:rFonts w:ascii="Gentium Basic" w:hAnsi="Gentium Basic" w:cs="Times New Roman"/>
          <w:sz w:val="24"/>
          <w:szCs w:val="24"/>
        </w:rPr>
        <w:t xml:space="preserve"> Interest in this field has since gathered momentum with contributions to this area of study </w:t>
      </w:r>
      <w:r>
        <w:rPr>
          <w:rFonts w:ascii="Gentium Basic" w:hAnsi="Gentium Basic" w:cs="Times New Roman"/>
          <w:sz w:val="24"/>
          <w:szCs w:val="24"/>
        </w:rPr>
        <w:t xml:space="preserve">consisting of </w:t>
      </w:r>
      <w:r w:rsidRPr="004C4FE6">
        <w:rPr>
          <w:rFonts w:ascii="Gentium Basic" w:hAnsi="Gentium Basic" w:cs="Times New Roman"/>
          <w:sz w:val="24"/>
          <w:szCs w:val="24"/>
        </w:rPr>
        <w:t>broad regional studies on the medieval Islamic world.</w:t>
      </w:r>
      <w:r w:rsidRPr="004C4FE6">
        <w:rPr>
          <w:rStyle w:val="FootnoteReference"/>
          <w:rFonts w:ascii="Gentium Basic" w:hAnsi="Gentium Basic" w:cs="Times New Roman"/>
          <w:sz w:val="24"/>
          <w:szCs w:val="24"/>
        </w:rPr>
        <w:footnoteReference w:id="4"/>
      </w:r>
      <w:r w:rsidRPr="004C4FE6">
        <w:rPr>
          <w:rFonts w:ascii="Gentium Basic" w:hAnsi="Gentium Basic" w:cs="Times New Roman"/>
          <w:sz w:val="24"/>
          <w:szCs w:val="24"/>
        </w:rPr>
        <w:t xml:space="preserve"> Zooming into this field, with the Fatimids -</w:t>
      </w:r>
      <w:r>
        <w:rPr>
          <w:rFonts w:ascii="Gentium Basic" w:hAnsi="Gentium Basic" w:cs="Times New Roman"/>
          <w:sz w:val="24"/>
          <w:szCs w:val="24"/>
        </w:rPr>
        <w:t xml:space="preserve"> </w:t>
      </w:r>
      <w:r w:rsidRPr="004C4FE6">
        <w:rPr>
          <w:rFonts w:ascii="Gentium Basic" w:hAnsi="Gentium Basic" w:cs="Times New Roman"/>
          <w:sz w:val="24"/>
          <w:szCs w:val="24"/>
        </w:rPr>
        <w:t xml:space="preserve">thanks to the availability of hydrological data </w:t>
      </w:r>
      <w:r>
        <w:rPr>
          <w:rFonts w:ascii="Gentium Basic" w:hAnsi="Gentium Basic" w:cs="Times New Roman"/>
          <w:sz w:val="24"/>
          <w:szCs w:val="24"/>
        </w:rPr>
        <w:t xml:space="preserve">and </w:t>
      </w:r>
      <w:r w:rsidRPr="004C4FE6">
        <w:rPr>
          <w:rFonts w:ascii="Gentium Basic" w:hAnsi="Gentium Basic" w:cs="Times New Roman"/>
          <w:sz w:val="24"/>
          <w:szCs w:val="24"/>
        </w:rPr>
        <w:t>the relative abundance of sources of</w:t>
      </w:r>
      <w:r w:rsidR="00675726">
        <w:rPr>
          <w:rFonts w:ascii="Gentium Basic" w:hAnsi="Gentium Basic" w:cs="Times New Roman"/>
          <w:sz w:val="24"/>
          <w:szCs w:val="24"/>
        </w:rPr>
        <w:t>,</w:t>
      </w:r>
      <w:r w:rsidRPr="004C4FE6">
        <w:rPr>
          <w:rFonts w:ascii="Gentium Basic" w:hAnsi="Gentium Basic" w:cs="Times New Roman"/>
          <w:sz w:val="24"/>
          <w:szCs w:val="24"/>
        </w:rPr>
        <w:t xml:space="preserve"> and on</w:t>
      </w:r>
      <w:r w:rsidR="00675726">
        <w:rPr>
          <w:rFonts w:ascii="Gentium Basic" w:hAnsi="Gentium Basic" w:cs="Times New Roman"/>
          <w:sz w:val="24"/>
          <w:szCs w:val="24"/>
        </w:rPr>
        <w:t>,</w:t>
      </w:r>
      <w:r w:rsidRPr="004C4FE6">
        <w:rPr>
          <w:rFonts w:ascii="Gentium Basic" w:hAnsi="Gentium Basic" w:cs="Times New Roman"/>
          <w:sz w:val="24"/>
          <w:szCs w:val="24"/>
        </w:rPr>
        <w:t xml:space="preserve"> the</w:t>
      </w:r>
      <w:r>
        <w:rPr>
          <w:rFonts w:ascii="Gentium Basic" w:hAnsi="Gentium Basic" w:cs="Times New Roman"/>
          <w:sz w:val="24"/>
          <w:szCs w:val="24"/>
        </w:rPr>
        <w:t>ir era</w:t>
      </w:r>
      <w:r w:rsidRPr="004C4FE6">
        <w:rPr>
          <w:rFonts w:ascii="Gentium Basic" w:hAnsi="Gentium Basic" w:cs="Times New Roman"/>
          <w:sz w:val="24"/>
          <w:szCs w:val="24"/>
        </w:rPr>
        <w:t>- we are given a test-case opportunity to increase our understanding of the role of the environment in the development and destruction of empires in the medieval Islamic world.</w:t>
      </w:r>
      <w:r w:rsidRPr="004C4FE6">
        <w:rPr>
          <w:rStyle w:val="FootnoteReference"/>
          <w:rFonts w:ascii="Gentium Basic" w:hAnsi="Gentium Basic" w:cs="Times New Roman"/>
          <w:sz w:val="24"/>
          <w:szCs w:val="24"/>
        </w:rPr>
        <w:footnoteReference w:id="5"/>
      </w:r>
    </w:p>
    <w:p w:rsidR="006D4166" w:rsidRPr="004C4FE6" w:rsidRDefault="006D4166" w:rsidP="006D4166">
      <w:pPr>
        <w:ind w:firstLine="720"/>
        <w:rPr>
          <w:rFonts w:ascii="Gentium Basic" w:hAnsi="Gentium Basic" w:cs="Times New Roman"/>
          <w:sz w:val="24"/>
          <w:szCs w:val="24"/>
        </w:rPr>
      </w:pPr>
      <w:r w:rsidRPr="004C4FE6">
        <w:rPr>
          <w:rFonts w:ascii="Gentium Basic" w:hAnsi="Gentium Basic" w:cs="Times New Roman"/>
          <w:sz w:val="24"/>
          <w:szCs w:val="24"/>
        </w:rPr>
        <w:lastRenderedPageBreak/>
        <w:t xml:space="preserve">Due to the vital role that the Nile has always played in the life of Egypt, the practice of the yearly recording </w:t>
      </w:r>
      <w:r w:rsidR="004F7738">
        <w:rPr>
          <w:rFonts w:ascii="Gentium Basic" w:hAnsi="Gentium Basic" w:cs="Times New Roman"/>
          <w:sz w:val="24"/>
          <w:szCs w:val="24"/>
        </w:rPr>
        <w:t xml:space="preserve">of </w:t>
      </w:r>
      <w:r w:rsidRPr="004C4FE6">
        <w:rPr>
          <w:rFonts w:ascii="Gentium Basic" w:hAnsi="Gentium Basic" w:cs="Times New Roman"/>
          <w:sz w:val="24"/>
          <w:szCs w:val="24"/>
        </w:rPr>
        <w:t>its water levels goes back to antiquity. Th</w:t>
      </w:r>
      <w:r>
        <w:rPr>
          <w:rFonts w:ascii="Gentium Basic" w:hAnsi="Gentium Basic" w:cs="Times New Roman"/>
          <w:sz w:val="24"/>
          <w:szCs w:val="24"/>
        </w:rPr>
        <w:t>e</w:t>
      </w:r>
      <w:r w:rsidRPr="004C4FE6">
        <w:rPr>
          <w:rFonts w:ascii="Gentium Basic" w:hAnsi="Gentium Basic" w:cs="Times New Roman"/>
          <w:sz w:val="24"/>
          <w:szCs w:val="24"/>
        </w:rPr>
        <w:t xml:space="preserve"> collection of data became more systematic with the Arab conquest in the 1</w:t>
      </w:r>
      <w:r w:rsidRPr="004C4FE6">
        <w:rPr>
          <w:rFonts w:ascii="Gentium Basic" w:hAnsi="Gentium Basic" w:cs="Times New Roman"/>
          <w:sz w:val="24"/>
          <w:szCs w:val="24"/>
          <w:vertAlign w:val="superscript"/>
        </w:rPr>
        <w:t>st</w:t>
      </w:r>
      <w:r w:rsidRPr="004C4FE6">
        <w:rPr>
          <w:rFonts w:ascii="Gentium Basic" w:hAnsi="Gentium Basic" w:cs="Times New Roman"/>
          <w:sz w:val="24"/>
          <w:szCs w:val="24"/>
        </w:rPr>
        <w:t>/7</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century and was continued thereafter, with the registers containing Nile records </w:t>
      </w:r>
      <w:r>
        <w:rPr>
          <w:rFonts w:ascii="Gentium Basic" w:hAnsi="Gentium Basic" w:cs="Times New Roman"/>
          <w:sz w:val="24"/>
          <w:szCs w:val="24"/>
        </w:rPr>
        <w:t>held</w:t>
      </w:r>
      <w:r w:rsidRPr="004C4FE6">
        <w:rPr>
          <w:rFonts w:ascii="Gentium Basic" w:hAnsi="Gentium Basic" w:cs="Times New Roman"/>
          <w:sz w:val="24"/>
          <w:szCs w:val="24"/>
        </w:rPr>
        <w:t xml:space="preserve"> among the most important documents of any given dynasty to rule in Egypt up to the modern period. </w:t>
      </w:r>
      <w:r>
        <w:rPr>
          <w:rFonts w:ascii="Gentium Basic" w:hAnsi="Gentium Basic" w:cs="Times New Roman"/>
          <w:sz w:val="24"/>
          <w:szCs w:val="24"/>
        </w:rPr>
        <w:t>M</w:t>
      </w:r>
      <w:r w:rsidRPr="004C4FE6">
        <w:rPr>
          <w:rFonts w:ascii="Gentium Basic" w:hAnsi="Gentium Basic" w:cs="Times New Roman"/>
          <w:sz w:val="24"/>
          <w:szCs w:val="24"/>
        </w:rPr>
        <w:t>ost of these documents are no</w:t>
      </w:r>
      <w:r>
        <w:rPr>
          <w:rFonts w:ascii="Gentium Basic" w:hAnsi="Gentium Basic" w:cs="Times New Roman"/>
          <w:sz w:val="24"/>
          <w:szCs w:val="24"/>
        </w:rPr>
        <w:t>w lost</w:t>
      </w:r>
      <w:r w:rsidRPr="004C4FE6">
        <w:rPr>
          <w:rFonts w:ascii="Gentium Basic" w:hAnsi="Gentium Basic" w:cs="Times New Roman"/>
          <w:sz w:val="24"/>
          <w:szCs w:val="24"/>
        </w:rPr>
        <w:t xml:space="preserve">, </w:t>
      </w:r>
      <w:r>
        <w:rPr>
          <w:rFonts w:ascii="Gentium Basic" w:hAnsi="Gentium Basic" w:cs="Times New Roman"/>
          <w:sz w:val="24"/>
          <w:szCs w:val="24"/>
        </w:rPr>
        <w:t xml:space="preserve">but </w:t>
      </w:r>
      <w:r w:rsidRPr="004C4FE6">
        <w:rPr>
          <w:rFonts w:ascii="Gentium Basic" w:hAnsi="Gentium Basic" w:cs="Times New Roman"/>
          <w:sz w:val="24"/>
          <w:szCs w:val="24"/>
        </w:rPr>
        <w:t xml:space="preserve">a number of works by Egyptian historians of </w:t>
      </w:r>
      <w:r>
        <w:rPr>
          <w:rFonts w:ascii="Gentium Basic" w:hAnsi="Gentium Basic" w:cs="Times New Roman"/>
          <w:sz w:val="24"/>
          <w:szCs w:val="24"/>
        </w:rPr>
        <w:t xml:space="preserve">the </w:t>
      </w:r>
      <w:r w:rsidRPr="004C4FE6">
        <w:rPr>
          <w:rFonts w:ascii="Gentium Basic" w:hAnsi="Gentium Basic" w:cs="Times New Roman"/>
          <w:sz w:val="24"/>
          <w:szCs w:val="24"/>
        </w:rPr>
        <w:t>9</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/14</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and </w:t>
      </w:r>
      <w:r>
        <w:rPr>
          <w:rFonts w:ascii="Gentium Basic" w:hAnsi="Gentium Basic" w:cs="Times New Roman"/>
          <w:sz w:val="24"/>
          <w:szCs w:val="24"/>
        </w:rPr>
        <w:t xml:space="preserve">the </w:t>
      </w:r>
      <w:r w:rsidRPr="004C4FE6">
        <w:rPr>
          <w:rFonts w:ascii="Gentium Basic" w:hAnsi="Gentium Basic" w:cs="Times New Roman"/>
          <w:sz w:val="24"/>
          <w:szCs w:val="24"/>
        </w:rPr>
        <w:t>10</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/15</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centuries contain sufficiently matching records to enable us to reconstruct an almost complete and fairly accurate register of the levels of the Nile </w:t>
      </w:r>
      <w:r>
        <w:rPr>
          <w:rFonts w:ascii="Gentium Basic" w:hAnsi="Gentium Basic" w:cs="Times New Roman"/>
          <w:sz w:val="24"/>
          <w:szCs w:val="24"/>
        </w:rPr>
        <w:t xml:space="preserve">from </w:t>
      </w:r>
      <w:r w:rsidRPr="004C4FE6">
        <w:rPr>
          <w:rFonts w:ascii="Gentium Basic" w:hAnsi="Gentium Basic" w:cs="Times New Roman"/>
          <w:sz w:val="24"/>
          <w:szCs w:val="24"/>
        </w:rPr>
        <w:t xml:space="preserve">the Arab conquest until the pre-modern era. </w:t>
      </w:r>
      <w:r>
        <w:rPr>
          <w:rFonts w:ascii="Gentium Basic" w:hAnsi="Gentium Basic" w:cs="Times New Roman"/>
          <w:sz w:val="24"/>
          <w:szCs w:val="24"/>
        </w:rPr>
        <w:t xml:space="preserve">Such </w:t>
      </w:r>
      <w:r w:rsidRPr="004C4FE6">
        <w:rPr>
          <w:rFonts w:ascii="Gentium Basic" w:hAnsi="Gentium Basic" w:cs="Times New Roman"/>
          <w:sz w:val="24"/>
          <w:szCs w:val="24"/>
        </w:rPr>
        <w:t xml:space="preserve">wealth of data </w:t>
      </w:r>
      <w:r>
        <w:rPr>
          <w:rFonts w:ascii="Gentium Basic" w:hAnsi="Gentium Basic" w:cs="Times New Roman"/>
          <w:sz w:val="24"/>
          <w:szCs w:val="24"/>
        </w:rPr>
        <w:t>is not available for other</w:t>
      </w:r>
      <w:r w:rsidRPr="004C4FE6">
        <w:rPr>
          <w:rFonts w:ascii="Gentium Basic" w:hAnsi="Gentium Basic" w:cs="Times New Roman"/>
          <w:sz w:val="24"/>
          <w:szCs w:val="24"/>
        </w:rPr>
        <w:t xml:space="preserve"> river</w:t>
      </w:r>
      <w:r>
        <w:rPr>
          <w:rFonts w:ascii="Gentium Basic" w:hAnsi="Gentium Basic" w:cs="Times New Roman"/>
          <w:sz w:val="24"/>
          <w:szCs w:val="24"/>
        </w:rPr>
        <w:t>s</w:t>
      </w:r>
      <w:r w:rsidRPr="004C4FE6">
        <w:rPr>
          <w:rFonts w:ascii="Gentium Basic" w:hAnsi="Gentium Basic" w:cs="Times New Roman"/>
          <w:sz w:val="24"/>
          <w:szCs w:val="24"/>
        </w:rPr>
        <w:t>.  To date, the most complete and reliable account of the Nile performance can be found in the 10</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/15</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century Ibn Taghri Birdi’s </w:t>
      </w:r>
      <w:r w:rsidRPr="004C4FE6">
        <w:rPr>
          <w:rFonts w:ascii="Gentium Basic" w:hAnsi="Gentium Basic" w:cs="Times New Roman"/>
          <w:i/>
          <w:sz w:val="24"/>
          <w:szCs w:val="24"/>
        </w:rPr>
        <w:t>al-Nujum al-ẓahira</w:t>
      </w:r>
      <w:r w:rsidRPr="004C4FE6">
        <w:rPr>
          <w:rFonts w:ascii="Gentium Basic" w:hAnsi="Gentium Basic" w:cs="Times New Roman"/>
          <w:sz w:val="24"/>
          <w:szCs w:val="24"/>
        </w:rPr>
        <w:t>.</w:t>
      </w:r>
      <w:r w:rsidRPr="004C4FE6">
        <w:rPr>
          <w:rStyle w:val="FootnoteReference"/>
          <w:rFonts w:ascii="Gentium Basic" w:hAnsi="Gentium Basic" w:cs="Times New Roman"/>
          <w:sz w:val="24"/>
          <w:szCs w:val="24"/>
        </w:rPr>
        <w:footnoteReference w:id="6"/>
      </w:r>
      <w:r w:rsidRPr="004C4FE6">
        <w:rPr>
          <w:rFonts w:ascii="Gentium Basic" w:hAnsi="Gentium Basic" w:cs="Times New Roman"/>
          <w:sz w:val="24"/>
          <w:szCs w:val="24"/>
        </w:rPr>
        <w:t xml:space="preserve"> </w:t>
      </w:r>
    </w:p>
    <w:p w:rsidR="006D4166" w:rsidRPr="004C4FE6" w:rsidRDefault="006D4166" w:rsidP="006D4166">
      <w:pPr>
        <w:spacing w:before="240"/>
        <w:ind w:firstLine="720"/>
        <w:rPr>
          <w:rFonts w:ascii="Gentium Basic" w:hAnsi="Gentium Basic" w:cs="Times New Roman"/>
          <w:sz w:val="24"/>
          <w:szCs w:val="24"/>
        </w:rPr>
      </w:pPr>
      <w:r w:rsidRPr="004C4FE6">
        <w:rPr>
          <w:rFonts w:ascii="Gentium Basic" w:hAnsi="Gentium Basic" w:cs="Times New Roman"/>
          <w:sz w:val="24"/>
          <w:szCs w:val="24"/>
        </w:rPr>
        <w:t xml:space="preserve">Information on the geography of the Nile </w:t>
      </w:r>
      <w:r>
        <w:rPr>
          <w:rFonts w:ascii="Gentium Basic" w:hAnsi="Gentium Basic" w:cs="Times New Roman"/>
          <w:sz w:val="24"/>
          <w:szCs w:val="24"/>
        </w:rPr>
        <w:t xml:space="preserve">and its customs </w:t>
      </w:r>
      <w:r w:rsidRPr="004C4FE6">
        <w:rPr>
          <w:rFonts w:ascii="Gentium Basic" w:hAnsi="Gentium Basic" w:cs="Times New Roman"/>
          <w:sz w:val="24"/>
          <w:szCs w:val="24"/>
        </w:rPr>
        <w:t>during the Fatimid period can be derived from the narratives of travellers who transited through Fatimid Egypt while on their way to M</w:t>
      </w:r>
      <w:r>
        <w:rPr>
          <w:rFonts w:ascii="Gentium Basic" w:hAnsi="Gentium Basic" w:cs="Times New Roman"/>
          <w:sz w:val="24"/>
          <w:szCs w:val="24"/>
        </w:rPr>
        <w:t>ecca</w:t>
      </w:r>
      <w:r w:rsidRPr="004C4FE6">
        <w:rPr>
          <w:rFonts w:ascii="Gentium Basic" w:hAnsi="Gentium Basic" w:cs="Times New Roman"/>
          <w:sz w:val="24"/>
          <w:szCs w:val="24"/>
        </w:rPr>
        <w:t>.</w:t>
      </w:r>
      <w:r w:rsidRPr="004C4FE6">
        <w:rPr>
          <w:rStyle w:val="FootnoteReference"/>
          <w:rFonts w:ascii="Gentium Basic" w:hAnsi="Gentium Basic" w:cs="Times New Roman"/>
          <w:sz w:val="24"/>
          <w:szCs w:val="24"/>
        </w:rPr>
        <w:footnoteReference w:id="7"/>
      </w:r>
      <w:r w:rsidRPr="004C4FE6">
        <w:rPr>
          <w:rFonts w:ascii="Gentium Basic" w:hAnsi="Gentium Basic" w:cs="Times New Roman"/>
          <w:sz w:val="24"/>
          <w:szCs w:val="24"/>
        </w:rPr>
        <w:t xml:space="preserve"> The most informative are those </w:t>
      </w:r>
      <w:r>
        <w:rPr>
          <w:rFonts w:ascii="Gentium Basic" w:hAnsi="Gentium Basic" w:cs="Times New Roman"/>
          <w:sz w:val="24"/>
          <w:szCs w:val="24"/>
        </w:rPr>
        <w:t xml:space="preserve">by </w:t>
      </w:r>
      <w:r w:rsidRPr="004C4FE6">
        <w:rPr>
          <w:rFonts w:ascii="Gentium Basic" w:hAnsi="Gentium Basic" w:cs="Times New Roman"/>
          <w:sz w:val="24"/>
          <w:szCs w:val="24"/>
        </w:rPr>
        <w:t>4</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/10</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century travellers such as al-Muqaddasi</w:t>
      </w:r>
      <w:r w:rsidRPr="004C4FE6">
        <w:rPr>
          <w:rStyle w:val="FootnoteReference"/>
          <w:rFonts w:ascii="Gentium Basic" w:hAnsi="Gentium Basic" w:cs="Times New Roman"/>
          <w:sz w:val="24"/>
          <w:szCs w:val="24"/>
        </w:rPr>
        <w:footnoteReference w:id="8"/>
      </w:r>
      <w:r w:rsidRPr="004C4FE6">
        <w:rPr>
          <w:rFonts w:ascii="Gentium Basic" w:hAnsi="Gentium Basic" w:cs="Times New Roman"/>
          <w:sz w:val="24"/>
          <w:szCs w:val="24"/>
        </w:rPr>
        <w:t xml:space="preserve"> and the Fatimid sympathiser Ibn Ḥawqal</w:t>
      </w:r>
      <w:r w:rsidRPr="004C4FE6">
        <w:rPr>
          <w:rStyle w:val="FootnoteReference"/>
          <w:rFonts w:ascii="Gentium Basic" w:hAnsi="Gentium Basic" w:cs="Times New Roman"/>
          <w:sz w:val="24"/>
          <w:szCs w:val="24"/>
        </w:rPr>
        <w:footnoteReference w:id="9"/>
      </w:r>
      <w:r w:rsidRPr="004C4FE6">
        <w:rPr>
          <w:rFonts w:ascii="Gentium Basic" w:hAnsi="Gentium Basic" w:cs="Times New Roman"/>
          <w:sz w:val="24"/>
          <w:szCs w:val="24"/>
        </w:rPr>
        <w:t>, by the 5</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/11</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century Persian Isma‘ili poet and missionary Naṣir-i Khusraw</w:t>
      </w:r>
      <w:r w:rsidRPr="004C4FE6">
        <w:rPr>
          <w:rStyle w:val="FootnoteReference"/>
          <w:rFonts w:ascii="Gentium Basic" w:hAnsi="Gentium Basic" w:cs="Times New Roman"/>
          <w:sz w:val="24"/>
          <w:szCs w:val="24"/>
        </w:rPr>
        <w:footnoteReference w:id="10"/>
      </w:r>
      <w:r w:rsidRPr="004C4FE6">
        <w:rPr>
          <w:rFonts w:ascii="Gentium Basic" w:hAnsi="Gentium Basic" w:cs="Times New Roman"/>
          <w:sz w:val="24"/>
          <w:szCs w:val="24"/>
        </w:rPr>
        <w:t xml:space="preserve"> and</w:t>
      </w:r>
      <w:r w:rsidR="004F7738">
        <w:rPr>
          <w:rFonts w:ascii="Gentium Basic" w:hAnsi="Gentium Basic" w:cs="Times New Roman"/>
          <w:sz w:val="24"/>
          <w:szCs w:val="24"/>
        </w:rPr>
        <w:t>, later,</w:t>
      </w:r>
      <w:r w:rsidRPr="004C4FE6">
        <w:rPr>
          <w:rFonts w:ascii="Gentium Basic" w:hAnsi="Gentium Basic" w:cs="Times New Roman"/>
          <w:sz w:val="24"/>
          <w:szCs w:val="24"/>
        </w:rPr>
        <w:t xml:space="preserve"> by the geographer al-Idrisi</w:t>
      </w:r>
      <w:r>
        <w:rPr>
          <w:rFonts w:ascii="Gentium Basic" w:hAnsi="Gentium Basic" w:cs="Times New Roman"/>
          <w:sz w:val="24"/>
          <w:szCs w:val="24"/>
        </w:rPr>
        <w:t>.</w:t>
      </w:r>
      <w:r w:rsidRPr="004C4FE6">
        <w:rPr>
          <w:rStyle w:val="FootnoteReference"/>
          <w:rFonts w:ascii="Gentium Basic" w:hAnsi="Gentium Basic" w:cs="Times New Roman"/>
          <w:sz w:val="24"/>
          <w:szCs w:val="24"/>
        </w:rPr>
        <w:footnoteReference w:id="11"/>
      </w:r>
      <w:r>
        <w:rPr>
          <w:rFonts w:ascii="Gentium Basic" w:hAnsi="Gentium Basic" w:cs="Times New Roman"/>
          <w:sz w:val="24"/>
          <w:szCs w:val="24"/>
        </w:rPr>
        <w:t xml:space="preserve"> </w:t>
      </w:r>
      <w:r w:rsidRPr="004C4FE6">
        <w:rPr>
          <w:rFonts w:ascii="Gentium Basic" w:hAnsi="Gentium Basic" w:cs="Times New Roman"/>
          <w:sz w:val="24"/>
          <w:szCs w:val="24"/>
        </w:rPr>
        <w:t xml:space="preserve">The fascination with the river is also reflected in medieval </w:t>
      </w:r>
      <w:r w:rsidRPr="004C4FE6">
        <w:rPr>
          <w:rFonts w:ascii="Gentium Basic" w:hAnsi="Gentium Basic" w:cs="Times New Roman"/>
          <w:i/>
          <w:sz w:val="24"/>
          <w:szCs w:val="24"/>
        </w:rPr>
        <w:t>faḍa’il</w:t>
      </w:r>
      <w:r w:rsidRPr="004C4FE6">
        <w:rPr>
          <w:rFonts w:ascii="Gentium Basic" w:hAnsi="Gentium Basic" w:cs="Times New Roman"/>
          <w:sz w:val="24"/>
          <w:szCs w:val="24"/>
        </w:rPr>
        <w:t xml:space="preserve"> (‘Virtues’) works dedicated to Egypt, many featuring traditions about the Nile a</w:t>
      </w:r>
      <w:r>
        <w:rPr>
          <w:rFonts w:ascii="Gentium Basic" w:hAnsi="Gentium Basic" w:cs="Times New Roman"/>
          <w:sz w:val="24"/>
          <w:szCs w:val="24"/>
        </w:rPr>
        <w:t>nd</w:t>
      </w:r>
      <w:r w:rsidRPr="004C4FE6">
        <w:rPr>
          <w:rFonts w:ascii="Gentium Basic" w:hAnsi="Gentium Basic" w:cs="Times New Roman"/>
          <w:sz w:val="24"/>
          <w:szCs w:val="24"/>
        </w:rPr>
        <w:t xml:space="preserve"> information about land, taxation, measurements and distances relating to the river. Particularly relevant for the Fatimid period is the compendium by Ibn Zulaq (d. 386/996) whose collected narratives are indicative of some beliefs held at his time regarding the </w:t>
      </w:r>
      <w:r>
        <w:rPr>
          <w:rFonts w:ascii="Gentium Basic" w:hAnsi="Gentium Basic" w:cs="Times New Roman"/>
          <w:sz w:val="24"/>
          <w:szCs w:val="24"/>
        </w:rPr>
        <w:t xml:space="preserve">river’s </w:t>
      </w:r>
      <w:r w:rsidRPr="004C4FE6">
        <w:rPr>
          <w:rFonts w:ascii="Gentium Basic" w:hAnsi="Gentium Basic" w:cs="Times New Roman"/>
          <w:sz w:val="24"/>
          <w:szCs w:val="24"/>
        </w:rPr>
        <w:t xml:space="preserve">supernatural qualities, </w:t>
      </w:r>
      <w:r>
        <w:rPr>
          <w:rFonts w:ascii="Gentium Basic" w:hAnsi="Gentium Basic" w:cs="Times New Roman"/>
          <w:sz w:val="24"/>
          <w:szCs w:val="24"/>
        </w:rPr>
        <w:t xml:space="preserve">its </w:t>
      </w:r>
      <w:r w:rsidRPr="004C4FE6">
        <w:rPr>
          <w:rFonts w:ascii="Gentium Basic" w:hAnsi="Gentium Basic" w:cs="Times New Roman"/>
          <w:sz w:val="24"/>
          <w:szCs w:val="24"/>
        </w:rPr>
        <w:t>myster</w:t>
      </w:r>
      <w:r>
        <w:rPr>
          <w:rFonts w:ascii="Gentium Basic" w:hAnsi="Gentium Basic" w:cs="Times New Roman"/>
          <w:sz w:val="24"/>
          <w:szCs w:val="24"/>
        </w:rPr>
        <w:t>ious</w:t>
      </w:r>
      <w:r w:rsidRPr="004C4FE6">
        <w:rPr>
          <w:rFonts w:ascii="Gentium Basic" w:hAnsi="Gentium Basic" w:cs="Times New Roman"/>
          <w:sz w:val="24"/>
          <w:szCs w:val="24"/>
        </w:rPr>
        <w:t xml:space="preserve"> origin</w:t>
      </w:r>
      <w:r>
        <w:rPr>
          <w:rFonts w:ascii="Gentium Basic" w:hAnsi="Gentium Basic" w:cs="Times New Roman"/>
          <w:sz w:val="24"/>
          <w:szCs w:val="24"/>
        </w:rPr>
        <w:t>s</w:t>
      </w:r>
      <w:r w:rsidRPr="004C4FE6">
        <w:rPr>
          <w:rFonts w:ascii="Gentium Basic" w:hAnsi="Gentium Basic" w:cs="Times New Roman"/>
          <w:sz w:val="24"/>
          <w:szCs w:val="24"/>
        </w:rPr>
        <w:t xml:space="preserve"> and the Nile</w:t>
      </w:r>
      <w:r>
        <w:rPr>
          <w:rFonts w:ascii="Gentium Basic" w:hAnsi="Gentium Basic" w:cs="Times New Roman"/>
          <w:sz w:val="24"/>
          <w:szCs w:val="24"/>
        </w:rPr>
        <w:t>’s relevance</w:t>
      </w:r>
      <w:r w:rsidRPr="004C4FE6">
        <w:rPr>
          <w:rFonts w:ascii="Gentium Basic" w:hAnsi="Gentium Basic" w:cs="Times New Roman"/>
          <w:sz w:val="24"/>
          <w:szCs w:val="24"/>
        </w:rPr>
        <w:t xml:space="preserve"> to Islamic sacred history.</w:t>
      </w:r>
      <w:r w:rsidRPr="004C4FE6">
        <w:rPr>
          <w:rStyle w:val="FootnoteReference"/>
          <w:rFonts w:ascii="Gentium Basic" w:hAnsi="Gentium Basic" w:cs="Times New Roman"/>
          <w:sz w:val="24"/>
          <w:szCs w:val="24"/>
        </w:rPr>
        <w:footnoteReference w:id="12"/>
      </w:r>
      <w:r w:rsidR="004F7738">
        <w:rPr>
          <w:rFonts w:ascii="Gentium Basic" w:hAnsi="Gentium Basic" w:cs="Times New Roman"/>
          <w:sz w:val="24"/>
          <w:szCs w:val="24"/>
        </w:rPr>
        <w:t xml:space="preserve"> </w:t>
      </w:r>
      <w:r>
        <w:rPr>
          <w:rFonts w:ascii="Gentium Basic" w:hAnsi="Gentium Basic" w:cs="Times New Roman"/>
          <w:sz w:val="24"/>
          <w:szCs w:val="24"/>
        </w:rPr>
        <w:t>T</w:t>
      </w:r>
      <w:r w:rsidRPr="004C4FE6">
        <w:rPr>
          <w:rFonts w:ascii="Gentium Basic" w:hAnsi="Gentium Basic" w:cs="Times New Roman"/>
          <w:sz w:val="24"/>
          <w:szCs w:val="24"/>
        </w:rPr>
        <w:t xml:space="preserve">he anonymous </w:t>
      </w:r>
      <w:r w:rsidRPr="004C4FE6">
        <w:rPr>
          <w:rStyle w:val="st1"/>
          <w:rFonts w:ascii="Gentium Basic" w:hAnsi="Gentium Basic" w:cs="Arial"/>
          <w:i/>
          <w:sz w:val="24"/>
          <w:szCs w:val="24"/>
        </w:rPr>
        <w:t>Kitab Ghara’ib al-funun wa-mulaḥ al-‘uyun</w:t>
      </w:r>
      <w:r w:rsidRPr="004C4FE6">
        <w:rPr>
          <w:rFonts w:ascii="Gentium Basic" w:hAnsi="Gentium Basic" w:cs="Times New Roman"/>
          <w:i/>
          <w:sz w:val="24"/>
          <w:szCs w:val="24"/>
        </w:rPr>
        <w:t xml:space="preserve"> </w:t>
      </w:r>
      <w:r w:rsidRPr="004C4FE6">
        <w:rPr>
          <w:rFonts w:ascii="Gentium Basic" w:hAnsi="Gentium Basic" w:cs="Times New Roman"/>
          <w:sz w:val="24"/>
          <w:szCs w:val="24"/>
        </w:rPr>
        <w:t>(known as the</w:t>
      </w:r>
      <w:r w:rsidRPr="004C4FE6">
        <w:rPr>
          <w:rFonts w:ascii="Gentium Basic" w:hAnsi="Gentium Basic" w:cs="Times New Roman"/>
          <w:i/>
          <w:sz w:val="24"/>
          <w:szCs w:val="24"/>
        </w:rPr>
        <w:t xml:space="preserve"> Book of Curiosities</w:t>
      </w:r>
      <w:r w:rsidRPr="004C4FE6">
        <w:rPr>
          <w:rFonts w:ascii="Gentium Basic" w:hAnsi="Gentium Basic" w:cs="Times New Roman"/>
          <w:sz w:val="24"/>
          <w:szCs w:val="24"/>
        </w:rPr>
        <w:t xml:space="preserve">) </w:t>
      </w:r>
      <w:r>
        <w:rPr>
          <w:rFonts w:ascii="Gentium Basic" w:hAnsi="Gentium Basic" w:cs="Times New Roman"/>
          <w:sz w:val="24"/>
          <w:szCs w:val="24"/>
        </w:rPr>
        <w:t xml:space="preserve">gives us </w:t>
      </w:r>
      <w:r w:rsidRPr="004C4FE6">
        <w:rPr>
          <w:rFonts w:ascii="Gentium Basic" w:hAnsi="Gentium Basic" w:cs="Times New Roman"/>
          <w:sz w:val="24"/>
          <w:szCs w:val="24"/>
        </w:rPr>
        <w:t xml:space="preserve">a vivid sense of the place that the Nile occupied in the world as </w:t>
      </w:r>
      <w:r>
        <w:rPr>
          <w:rFonts w:ascii="Gentium Basic" w:hAnsi="Gentium Basic" w:cs="Times New Roman"/>
          <w:sz w:val="24"/>
          <w:szCs w:val="24"/>
        </w:rPr>
        <w:t xml:space="preserve">the </w:t>
      </w:r>
      <w:r w:rsidRPr="004C4FE6">
        <w:rPr>
          <w:rFonts w:ascii="Gentium Basic" w:hAnsi="Gentium Basic" w:cs="Times New Roman"/>
          <w:sz w:val="24"/>
          <w:szCs w:val="24"/>
        </w:rPr>
        <w:t xml:space="preserve">Fatimids saw it. </w:t>
      </w:r>
      <w:r>
        <w:rPr>
          <w:rFonts w:ascii="Gentium Basic" w:hAnsi="Gentium Basic" w:cs="Times New Roman"/>
          <w:sz w:val="24"/>
          <w:szCs w:val="24"/>
        </w:rPr>
        <w:t>W</w:t>
      </w:r>
      <w:r w:rsidRPr="004C4FE6">
        <w:rPr>
          <w:rFonts w:ascii="Gentium Basic" w:hAnsi="Gentium Basic" w:cs="Times New Roman"/>
          <w:sz w:val="24"/>
          <w:szCs w:val="24"/>
        </w:rPr>
        <w:t>ritten in Egypt, most likely for the Fatimid Imam-caliph al-Ẓahir (d. 427/1036)</w:t>
      </w:r>
      <w:r>
        <w:rPr>
          <w:rFonts w:ascii="Gentium Basic" w:hAnsi="Gentium Basic" w:cs="Times New Roman"/>
          <w:sz w:val="24"/>
          <w:szCs w:val="24"/>
        </w:rPr>
        <w:t>, the work contains</w:t>
      </w:r>
      <w:r w:rsidRPr="004C4FE6">
        <w:rPr>
          <w:rFonts w:ascii="Gentium Basic" w:hAnsi="Gentium Basic" w:cs="Times New Roman"/>
          <w:sz w:val="24"/>
          <w:szCs w:val="24"/>
        </w:rPr>
        <w:t xml:space="preserve"> </w:t>
      </w:r>
      <w:r>
        <w:rPr>
          <w:rFonts w:ascii="Gentium Basic" w:hAnsi="Gentium Basic" w:cs="Times New Roman"/>
          <w:sz w:val="24"/>
          <w:szCs w:val="24"/>
        </w:rPr>
        <w:t xml:space="preserve">parts </w:t>
      </w:r>
      <w:r w:rsidRPr="004C4FE6">
        <w:rPr>
          <w:rFonts w:ascii="Gentium Basic" w:hAnsi="Gentium Basic" w:cs="Times New Roman"/>
          <w:sz w:val="24"/>
          <w:szCs w:val="24"/>
        </w:rPr>
        <w:t>dedicated to the Nile featur</w:t>
      </w:r>
      <w:r>
        <w:rPr>
          <w:rFonts w:ascii="Gentium Basic" w:hAnsi="Gentium Basic" w:cs="Times New Roman"/>
          <w:sz w:val="24"/>
          <w:szCs w:val="24"/>
        </w:rPr>
        <w:t>ing</w:t>
      </w:r>
      <w:r w:rsidRPr="004C4FE6">
        <w:rPr>
          <w:rFonts w:ascii="Gentium Basic" w:hAnsi="Gentium Basic" w:cs="Times New Roman"/>
          <w:sz w:val="24"/>
          <w:szCs w:val="24"/>
        </w:rPr>
        <w:t xml:space="preserve"> ways to predict its water levels based on ancient Greek and Coptic sciences, details of river navigation, astrological information and description of wanders.</w:t>
      </w:r>
      <w:r w:rsidRPr="004C4FE6">
        <w:rPr>
          <w:rStyle w:val="FootnoteReference"/>
          <w:rFonts w:ascii="Gentium Basic" w:hAnsi="Gentium Basic" w:cs="Times New Roman"/>
          <w:sz w:val="24"/>
          <w:szCs w:val="24"/>
        </w:rPr>
        <w:footnoteReference w:id="13"/>
      </w:r>
      <w:r w:rsidRPr="004C4FE6">
        <w:rPr>
          <w:rFonts w:ascii="Gentium Basic" w:hAnsi="Gentium Basic" w:cs="Times New Roman"/>
          <w:sz w:val="24"/>
          <w:szCs w:val="24"/>
        </w:rPr>
        <w:t xml:space="preserve"> For many aspects of life on</w:t>
      </w:r>
      <w:r>
        <w:rPr>
          <w:rFonts w:ascii="Gentium Basic" w:hAnsi="Gentium Basic" w:cs="Times New Roman"/>
          <w:sz w:val="24"/>
          <w:szCs w:val="24"/>
        </w:rPr>
        <w:t xml:space="preserve">, </w:t>
      </w:r>
      <w:r w:rsidRPr="004C4FE6">
        <w:rPr>
          <w:rFonts w:ascii="Gentium Basic" w:hAnsi="Gentium Basic" w:cs="Times New Roman"/>
          <w:sz w:val="24"/>
          <w:szCs w:val="24"/>
        </w:rPr>
        <w:t>by</w:t>
      </w:r>
      <w:r>
        <w:rPr>
          <w:rFonts w:ascii="Gentium Basic" w:hAnsi="Gentium Basic" w:cs="Times New Roman"/>
          <w:sz w:val="24"/>
          <w:szCs w:val="24"/>
        </w:rPr>
        <w:t>,</w:t>
      </w:r>
      <w:r w:rsidRPr="004C4FE6">
        <w:rPr>
          <w:rFonts w:ascii="Gentium Basic" w:hAnsi="Gentium Basic" w:cs="Times New Roman"/>
          <w:sz w:val="24"/>
          <w:szCs w:val="24"/>
        </w:rPr>
        <w:t xml:space="preserve"> or because of the Nile we rely mainly – and typically for the Fatimid period- on the Mamluk historian Taqi al-Din al-Maqrizi, particularly his treatise on famines</w:t>
      </w:r>
      <w:r w:rsidRPr="004C4FE6">
        <w:rPr>
          <w:rStyle w:val="FootnoteReference"/>
          <w:rFonts w:ascii="Gentium Basic" w:hAnsi="Gentium Basic" w:cs="Times New Roman"/>
          <w:sz w:val="24"/>
          <w:szCs w:val="24"/>
        </w:rPr>
        <w:footnoteReference w:id="14"/>
      </w:r>
      <w:r w:rsidRPr="004C4FE6">
        <w:rPr>
          <w:rFonts w:ascii="Gentium Basic" w:hAnsi="Gentium Basic" w:cs="Times New Roman"/>
          <w:sz w:val="24"/>
          <w:szCs w:val="24"/>
        </w:rPr>
        <w:t>, and the documentary evidence provided</w:t>
      </w:r>
      <w:r w:rsidR="004F7738">
        <w:rPr>
          <w:rFonts w:ascii="Gentium Basic" w:hAnsi="Gentium Basic" w:cs="Times New Roman"/>
          <w:sz w:val="24"/>
          <w:szCs w:val="24"/>
        </w:rPr>
        <w:t xml:space="preserve"> by the Cairo Geniza fragments.</w:t>
      </w:r>
    </w:p>
    <w:p w:rsidR="006D4166" w:rsidRDefault="006D4166" w:rsidP="006D4166">
      <w:pPr>
        <w:spacing w:before="240"/>
        <w:ind w:firstLine="720"/>
        <w:rPr>
          <w:rFonts w:ascii="Gentium Basic" w:hAnsi="Gentium Basic" w:cs="Times New Roman"/>
          <w:sz w:val="24"/>
          <w:szCs w:val="24"/>
        </w:rPr>
      </w:pPr>
      <w:r>
        <w:rPr>
          <w:rFonts w:ascii="Gentium Basic" w:hAnsi="Gentium Basic" w:cs="Times New Roman"/>
          <w:sz w:val="24"/>
          <w:szCs w:val="24"/>
        </w:rPr>
        <w:lastRenderedPageBreak/>
        <w:t>Despite</w:t>
      </w:r>
      <w:r w:rsidRPr="004C4FE6">
        <w:rPr>
          <w:rFonts w:ascii="Gentium Basic" w:hAnsi="Gentium Basic" w:cs="Times New Roman"/>
          <w:sz w:val="24"/>
          <w:szCs w:val="24"/>
        </w:rPr>
        <w:t xml:space="preserve"> the centrality that the Nile played in the political, economic, social and cultural life of the Fatimids, to date no specific study has been dedicated to the role the river </w:t>
      </w:r>
      <w:r w:rsidR="004F7738">
        <w:rPr>
          <w:rFonts w:ascii="Gentium Basic" w:hAnsi="Gentium Basic" w:cs="Times New Roman"/>
          <w:sz w:val="24"/>
          <w:szCs w:val="24"/>
        </w:rPr>
        <w:t xml:space="preserve">played </w:t>
      </w:r>
      <w:r>
        <w:rPr>
          <w:rFonts w:ascii="Gentium Basic" w:hAnsi="Gentium Basic" w:cs="Times New Roman"/>
          <w:sz w:val="24"/>
          <w:szCs w:val="24"/>
        </w:rPr>
        <w:t>in contributing to</w:t>
      </w:r>
      <w:r w:rsidRPr="004C4FE6">
        <w:rPr>
          <w:rFonts w:ascii="Gentium Basic" w:hAnsi="Gentium Basic" w:cs="Times New Roman"/>
          <w:sz w:val="24"/>
          <w:szCs w:val="24"/>
        </w:rPr>
        <w:t xml:space="preserve"> the making and breaking of the dynasty.</w:t>
      </w:r>
      <w:r w:rsidRPr="004C4FE6">
        <w:rPr>
          <w:rStyle w:val="FootnoteReference"/>
          <w:rFonts w:ascii="Gentium Basic" w:hAnsi="Gentium Basic" w:cs="Times New Roman"/>
          <w:sz w:val="24"/>
          <w:szCs w:val="24"/>
        </w:rPr>
        <w:footnoteReference w:id="15"/>
      </w:r>
      <w:r>
        <w:rPr>
          <w:rFonts w:ascii="Gentium Basic" w:hAnsi="Gentium Basic" w:cs="Times New Roman"/>
          <w:sz w:val="24"/>
          <w:szCs w:val="24"/>
        </w:rPr>
        <w:t xml:space="preserve"> D</w:t>
      </w:r>
      <w:r w:rsidRPr="004C4FE6">
        <w:rPr>
          <w:rFonts w:ascii="Gentium Basic" w:hAnsi="Gentium Basic" w:cs="Times New Roman"/>
          <w:sz w:val="24"/>
          <w:szCs w:val="24"/>
        </w:rPr>
        <w:t>i</w:t>
      </w:r>
      <w:r w:rsidR="004F7738">
        <w:rPr>
          <w:rFonts w:ascii="Gentium Basic" w:hAnsi="Gentium Basic" w:cs="Times New Roman"/>
          <w:sz w:val="24"/>
          <w:szCs w:val="24"/>
        </w:rPr>
        <w:t xml:space="preserve">rect and indirect references </w:t>
      </w:r>
      <w:r w:rsidRPr="004C4FE6">
        <w:rPr>
          <w:rFonts w:ascii="Gentium Basic" w:hAnsi="Gentium Basic" w:cs="Times New Roman"/>
          <w:sz w:val="24"/>
          <w:szCs w:val="24"/>
        </w:rPr>
        <w:t>and pass</w:t>
      </w:r>
      <w:r w:rsidR="004F7738">
        <w:rPr>
          <w:rFonts w:ascii="Gentium Basic" w:hAnsi="Gentium Basic" w:cs="Times New Roman"/>
          <w:sz w:val="24"/>
          <w:szCs w:val="24"/>
        </w:rPr>
        <w:t>ages on</w:t>
      </w:r>
      <w:r w:rsidRPr="004C4FE6">
        <w:rPr>
          <w:rFonts w:ascii="Gentium Basic" w:hAnsi="Gentium Basic" w:cs="Times New Roman"/>
          <w:sz w:val="24"/>
          <w:szCs w:val="24"/>
        </w:rPr>
        <w:t xml:space="preserve"> the Nile occur in many studies dedicated to the Fatimids in Egypt. Many of these contributions touch on environment-related matters</w:t>
      </w:r>
      <w:r>
        <w:rPr>
          <w:rFonts w:ascii="Gentium Basic" w:hAnsi="Gentium Basic" w:cs="Times New Roman"/>
          <w:sz w:val="24"/>
          <w:szCs w:val="24"/>
        </w:rPr>
        <w:t>, spanning a range of concerns that include</w:t>
      </w:r>
      <w:r w:rsidRPr="004C4FE6">
        <w:rPr>
          <w:rFonts w:ascii="Gentium Basic" w:hAnsi="Gentium Basic" w:cs="Times New Roman"/>
          <w:sz w:val="24"/>
          <w:szCs w:val="24"/>
        </w:rPr>
        <w:t xml:space="preserve"> the role </w:t>
      </w:r>
      <w:r w:rsidR="00BF6001">
        <w:rPr>
          <w:rFonts w:ascii="Gentium Basic" w:hAnsi="Gentium Basic" w:cs="Times New Roman"/>
          <w:sz w:val="24"/>
          <w:szCs w:val="24"/>
        </w:rPr>
        <w:t xml:space="preserve">of </w:t>
      </w:r>
      <w:r w:rsidRPr="004C4FE6">
        <w:rPr>
          <w:rFonts w:ascii="Gentium Basic" w:hAnsi="Gentium Basic" w:cs="Times New Roman"/>
          <w:sz w:val="24"/>
          <w:szCs w:val="24"/>
        </w:rPr>
        <w:t>the river in the economic and daily life of communities (primarily the Jewish one) living under Fatimid rule</w:t>
      </w:r>
      <w:r>
        <w:rPr>
          <w:rStyle w:val="FootnoteReference"/>
          <w:rFonts w:ascii="Gentium Basic" w:hAnsi="Gentium Basic" w:cs="Times New Roman"/>
          <w:sz w:val="24"/>
          <w:szCs w:val="24"/>
        </w:rPr>
        <w:footnoteReference w:id="16"/>
      </w:r>
      <w:r>
        <w:rPr>
          <w:rFonts w:ascii="Gentium Basic" w:hAnsi="Gentium Basic" w:cs="Times New Roman"/>
          <w:sz w:val="24"/>
          <w:szCs w:val="24"/>
        </w:rPr>
        <w:t xml:space="preserve">; the Nile </w:t>
      </w:r>
      <w:r w:rsidRPr="004C4FE6">
        <w:rPr>
          <w:rFonts w:ascii="Gentium Basic" w:hAnsi="Gentium Basic" w:cs="Times New Roman"/>
          <w:sz w:val="24"/>
          <w:szCs w:val="24"/>
        </w:rPr>
        <w:t>as stage and space for ritual, pageantry and public display of power in Cairo</w:t>
      </w:r>
      <w:r w:rsidRPr="004C4FE6">
        <w:rPr>
          <w:rStyle w:val="FootnoteReference"/>
          <w:rFonts w:ascii="Gentium Basic" w:hAnsi="Gentium Basic" w:cs="Times New Roman"/>
          <w:sz w:val="24"/>
          <w:szCs w:val="24"/>
        </w:rPr>
        <w:footnoteReference w:id="17"/>
      </w:r>
      <w:r>
        <w:rPr>
          <w:rFonts w:ascii="Gentium Basic" w:hAnsi="Gentium Basic" w:cs="Times New Roman"/>
          <w:sz w:val="24"/>
          <w:szCs w:val="24"/>
        </w:rPr>
        <w:t>;</w:t>
      </w:r>
      <w:r w:rsidRPr="004C4FE6">
        <w:rPr>
          <w:rFonts w:ascii="Gentium Basic" w:hAnsi="Gentium Basic" w:cs="Times New Roman"/>
          <w:sz w:val="24"/>
          <w:szCs w:val="24"/>
        </w:rPr>
        <w:t xml:space="preserve"> the modes of navigation on the Nile in the 4</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/10</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-6</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/12</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centuries</w:t>
      </w:r>
      <w:r w:rsidRPr="004C4FE6">
        <w:rPr>
          <w:rStyle w:val="FootnoteReference"/>
          <w:rFonts w:ascii="Gentium Basic" w:hAnsi="Gentium Basic" w:cs="Times New Roman"/>
          <w:sz w:val="24"/>
          <w:szCs w:val="24"/>
        </w:rPr>
        <w:footnoteReference w:id="18"/>
      </w:r>
      <w:r>
        <w:rPr>
          <w:rFonts w:ascii="Gentium Basic" w:hAnsi="Gentium Basic" w:cs="Times New Roman"/>
          <w:sz w:val="24"/>
          <w:szCs w:val="24"/>
        </w:rPr>
        <w:t xml:space="preserve">; </w:t>
      </w:r>
      <w:r w:rsidRPr="004C4FE6">
        <w:rPr>
          <w:rFonts w:ascii="Gentium Basic" w:hAnsi="Gentium Basic" w:cs="Times New Roman"/>
          <w:sz w:val="24"/>
          <w:szCs w:val="24"/>
        </w:rPr>
        <w:t>the role of the river in shaping the commercial and administrative policies of the dynasty in Upper Egypt</w:t>
      </w:r>
      <w:r w:rsidRPr="004C4FE6">
        <w:rPr>
          <w:rStyle w:val="FootnoteReference"/>
          <w:rFonts w:ascii="Gentium Basic" w:hAnsi="Gentium Basic" w:cs="Times New Roman"/>
          <w:sz w:val="24"/>
          <w:szCs w:val="24"/>
        </w:rPr>
        <w:footnoteReference w:id="19"/>
      </w:r>
      <w:r>
        <w:rPr>
          <w:rFonts w:ascii="Gentium Basic" w:hAnsi="Gentium Basic" w:cs="Times New Roman"/>
          <w:sz w:val="24"/>
          <w:szCs w:val="24"/>
        </w:rPr>
        <w:t>; the challenges the Nile posed to the Fatimids</w:t>
      </w:r>
      <w:r w:rsidRPr="004C4FE6">
        <w:rPr>
          <w:rFonts w:ascii="Gentium Basic" w:hAnsi="Gentium Basic" w:cs="Times New Roman"/>
          <w:sz w:val="24"/>
          <w:szCs w:val="24"/>
        </w:rPr>
        <w:t xml:space="preserve"> </w:t>
      </w:r>
      <w:r>
        <w:rPr>
          <w:rFonts w:ascii="Gentium Basic" w:hAnsi="Gentium Basic" w:cs="Times New Roman"/>
          <w:sz w:val="24"/>
          <w:szCs w:val="24"/>
        </w:rPr>
        <w:t xml:space="preserve">because of </w:t>
      </w:r>
      <w:r w:rsidRPr="004C4FE6">
        <w:rPr>
          <w:rFonts w:ascii="Gentium Basic" w:hAnsi="Gentium Basic" w:cs="Times New Roman"/>
          <w:sz w:val="24"/>
          <w:szCs w:val="24"/>
        </w:rPr>
        <w:t xml:space="preserve">periodic wheat penury ostensibly linked to </w:t>
      </w:r>
      <w:r>
        <w:rPr>
          <w:rFonts w:ascii="Gentium Basic" w:hAnsi="Gentium Basic" w:cs="Times New Roman"/>
          <w:sz w:val="24"/>
          <w:szCs w:val="24"/>
        </w:rPr>
        <w:t xml:space="preserve">the </w:t>
      </w:r>
      <w:r w:rsidRPr="004C4FE6">
        <w:rPr>
          <w:rFonts w:ascii="Gentium Basic" w:hAnsi="Gentium Basic" w:cs="Times New Roman"/>
          <w:sz w:val="24"/>
          <w:szCs w:val="24"/>
        </w:rPr>
        <w:t xml:space="preserve">poor </w:t>
      </w:r>
      <w:r>
        <w:rPr>
          <w:rFonts w:ascii="Gentium Basic" w:hAnsi="Gentium Basic" w:cs="Times New Roman"/>
          <w:sz w:val="24"/>
          <w:szCs w:val="24"/>
        </w:rPr>
        <w:t xml:space="preserve">water rise </w:t>
      </w:r>
      <w:r w:rsidRPr="004C4FE6">
        <w:rPr>
          <w:rFonts w:ascii="Gentium Basic" w:hAnsi="Gentium Basic" w:cs="Times New Roman"/>
          <w:sz w:val="24"/>
          <w:szCs w:val="24"/>
        </w:rPr>
        <w:t>performance.</w:t>
      </w:r>
      <w:r w:rsidRPr="004C4FE6">
        <w:rPr>
          <w:rStyle w:val="FootnoteReference"/>
          <w:rFonts w:ascii="Gentium Basic" w:hAnsi="Gentium Basic" w:cs="Times New Roman"/>
          <w:sz w:val="24"/>
          <w:szCs w:val="24"/>
        </w:rPr>
        <w:footnoteReference w:id="20"/>
      </w:r>
      <w:r>
        <w:rPr>
          <w:rFonts w:ascii="Gentium Basic" w:hAnsi="Gentium Basic" w:cs="Times New Roman"/>
          <w:sz w:val="24"/>
          <w:szCs w:val="24"/>
        </w:rPr>
        <w:t xml:space="preserve"> The lack of a </w:t>
      </w:r>
      <w:r w:rsidRPr="004C4FE6">
        <w:rPr>
          <w:rFonts w:ascii="Gentium Basic" w:hAnsi="Gentium Basic" w:cs="Times New Roman"/>
          <w:sz w:val="24"/>
          <w:szCs w:val="24"/>
        </w:rPr>
        <w:t>single, dedicated interdisciplinary study on the Nile and the Fatimids</w:t>
      </w:r>
      <w:r>
        <w:rPr>
          <w:rFonts w:ascii="Gentium Basic" w:hAnsi="Gentium Basic" w:cs="Times New Roman"/>
          <w:sz w:val="24"/>
          <w:szCs w:val="24"/>
        </w:rPr>
        <w:t xml:space="preserve"> </w:t>
      </w:r>
      <w:r w:rsidRPr="004C4FE6">
        <w:rPr>
          <w:rFonts w:ascii="Gentium Basic" w:hAnsi="Gentium Basic" w:cs="Times New Roman"/>
          <w:sz w:val="24"/>
          <w:szCs w:val="24"/>
        </w:rPr>
        <w:t>rests on the fact that scholars of Fatimid studies tend to explore the history of a Cairo-cent</w:t>
      </w:r>
      <w:r>
        <w:rPr>
          <w:rFonts w:ascii="Gentium Basic" w:hAnsi="Gentium Basic" w:cs="Times New Roman"/>
          <w:sz w:val="24"/>
          <w:szCs w:val="24"/>
        </w:rPr>
        <w:t>red</w:t>
      </w:r>
      <w:r w:rsidRPr="004C4FE6">
        <w:rPr>
          <w:rFonts w:ascii="Gentium Basic" w:hAnsi="Gentium Basic" w:cs="Times New Roman"/>
          <w:sz w:val="24"/>
          <w:szCs w:val="24"/>
        </w:rPr>
        <w:t xml:space="preserve"> ‘Fatimid Egypt’ rather than the ‘hist</w:t>
      </w:r>
      <w:r w:rsidR="00BF6001">
        <w:rPr>
          <w:rFonts w:ascii="Gentium Basic" w:hAnsi="Gentium Basic" w:cs="Times New Roman"/>
          <w:sz w:val="24"/>
          <w:szCs w:val="24"/>
        </w:rPr>
        <w:t>ory of Egypt under the Fatimids’</w:t>
      </w:r>
      <w:r w:rsidRPr="004C4FE6">
        <w:rPr>
          <w:rFonts w:ascii="Gentium Basic" w:hAnsi="Gentium Basic" w:cs="Times New Roman"/>
          <w:sz w:val="24"/>
          <w:szCs w:val="24"/>
        </w:rPr>
        <w:t>, thus penalising and obfuscating the view into the dynasty and its rule that the ‘periphery’, whether geog</w:t>
      </w:r>
      <w:r w:rsidR="00BF6001">
        <w:rPr>
          <w:rFonts w:ascii="Gentium Basic" w:hAnsi="Gentium Basic" w:cs="Times New Roman"/>
          <w:sz w:val="24"/>
          <w:szCs w:val="24"/>
        </w:rPr>
        <w:t xml:space="preserve">raphical or social, can offer. </w:t>
      </w:r>
      <w:r w:rsidRPr="004C4FE6">
        <w:rPr>
          <w:rFonts w:ascii="Gentium Basic" w:hAnsi="Gentium Basic" w:cs="Times New Roman"/>
          <w:sz w:val="24"/>
          <w:szCs w:val="24"/>
        </w:rPr>
        <w:t>Stemming from a socio-historical approach that taps into disciplines as diverse as agricultural and financial histories, this paper represents a preliminary attempt at addressing the gap identified above</w:t>
      </w:r>
      <w:r>
        <w:rPr>
          <w:rFonts w:ascii="Gentium Basic" w:hAnsi="Gentium Basic" w:cs="Times New Roman"/>
          <w:sz w:val="24"/>
          <w:szCs w:val="24"/>
        </w:rPr>
        <w:t>.</w:t>
      </w:r>
    </w:p>
    <w:p w:rsidR="006D4166" w:rsidRPr="00BF6001" w:rsidRDefault="006D4166" w:rsidP="006D4166">
      <w:pPr>
        <w:spacing w:before="240"/>
        <w:ind w:firstLine="720"/>
        <w:rPr>
          <w:rFonts w:ascii="Gentium Basic" w:hAnsi="Gentium Basic" w:cs="Times New Roman"/>
          <w:sz w:val="24"/>
          <w:szCs w:val="24"/>
        </w:rPr>
      </w:pPr>
      <w:r w:rsidRPr="00BF6001">
        <w:rPr>
          <w:rFonts w:ascii="Gentium Basic" w:hAnsi="Gentium Basic" w:cs="TimesNewRoman"/>
          <w:sz w:val="24"/>
          <w:szCs w:val="24"/>
        </w:rPr>
        <w:t>The Nile and the Arrival of the Fatimids</w:t>
      </w:r>
    </w:p>
    <w:p w:rsidR="006D4166" w:rsidRPr="004C4FE6" w:rsidRDefault="006D4166" w:rsidP="006D4166">
      <w:pPr>
        <w:ind w:firstLine="720"/>
        <w:rPr>
          <w:rFonts w:ascii="Gentium Basic" w:hAnsi="Gentium Basic" w:cs="Times New Roman"/>
          <w:sz w:val="24"/>
          <w:szCs w:val="24"/>
        </w:rPr>
      </w:pPr>
      <w:r w:rsidRPr="004C4FE6">
        <w:rPr>
          <w:rFonts w:ascii="Gentium Basic" w:hAnsi="Gentium Basic" w:cs="Times New Roman"/>
          <w:sz w:val="24"/>
          <w:szCs w:val="24"/>
        </w:rPr>
        <w:t xml:space="preserve">The severely low rise of the Nile that afflicted Egypt in the decades prior to 358/969 had caused </w:t>
      </w:r>
      <w:r>
        <w:rPr>
          <w:rFonts w:ascii="Gentium Basic" w:hAnsi="Gentium Basic" w:cs="Times New Roman"/>
          <w:sz w:val="24"/>
          <w:szCs w:val="24"/>
        </w:rPr>
        <w:t xml:space="preserve">the </w:t>
      </w:r>
      <w:r w:rsidRPr="004C4FE6">
        <w:rPr>
          <w:rFonts w:ascii="Gentium Basic" w:hAnsi="Gentium Basic" w:cs="Times New Roman"/>
          <w:sz w:val="24"/>
          <w:szCs w:val="24"/>
        </w:rPr>
        <w:t>collapse of the pro-‘Abbasid Ikhshidid rul</w:t>
      </w:r>
      <w:r>
        <w:rPr>
          <w:rFonts w:ascii="Gentium Basic" w:hAnsi="Gentium Basic" w:cs="Times New Roman"/>
          <w:sz w:val="24"/>
          <w:szCs w:val="24"/>
        </w:rPr>
        <w:t>e</w:t>
      </w:r>
      <w:r w:rsidRPr="004C4FE6">
        <w:rPr>
          <w:rFonts w:ascii="Gentium Basic" w:hAnsi="Gentium Basic" w:cs="Times New Roman"/>
          <w:sz w:val="24"/>
          <w:szCs w:val="24"/>
        </w:rPr>
        <w:t>. This state of affairs opened the way to the Fatimids’ advance eastwards from North Africa</w:t>
      </w:r>
      <w:r w:rsidR="00BF6001">
        <w:rPr>
          <w:rFonts w:ascii="Gentium Basic" w:hAnsi="Gentium Basic" w:cs="Times New Roman"/>
          <w:sz w:val="24"/>
          <w:szCs w:val="24"/>
        </w:rPr>
        <w:t xml:space="preserve"> and their conquest Egypt</w:t>
      </w:r>
      <w:r w:rsidRPr="004C4FE6">
        <w:rPr>
          <w:rFonts w:ascii="Gentium Basic" w:hAnsi="Gentium Basic" w:cs="Times New Roman"/>
          <w:sz w:val="24"/>
          <w:szCs w:val="24"/>
        </w:rPr>
        <w:t xml:space="preserve">. Upon arriving, Jawhar – the general who led the Fatimid </w:t>
      </w:r>
      <w:r>
        <w:rPr>
          <w:rFonts w:ascii="Gentium Basic" w:hAnsi="Gentium Basic" w:cs="Times New Roman"/>
          <w:sz w:val="24"/>
          <w:szCs w:val="24"/>
        </w:rPr>
        <w:t>campaign</w:t>
      </w:r>
      <w:r w:rsidRPr="004C4FE6">
        <w:rPr>
          <w:rFonts w:ascii="Gentium Basic" w:hAnsi="Gentium Basic" w:cs="Times New Roman"/>
          <w:sz w:val="24"/>
          <w:szCs w:val="24"/>
        </w:rPr>
        <w:t xml:space="preserve"> - first stabilised </w:t>
      </w:r>
      <w:r>
        <w:rPr>
          <w:rFonts w:ascii="Gentium Basic" w:hAnsi="Gentium Basic" w:cs="Times New Roman"/>
          <w:sz w:val="24"/>
          <w:szCs w:val="24"/>
        </w:rPr>
        <w:t>the wheat</w:t>
      </w:r>
      <w:r w:rsidRPr="004C4FE6">
        <w:rPr>
          <w:rFonts w:ascii="Gentium Basic" w:hAnsi="Gentium Basic" w:cs="Times New Roman"/>
          <w:sz w:val="24"/>
          <w:szCs w:val="24"/>
        </w:rPr>
        <w:t xml:space="preserve"> price</w:t>
      </w:r>
      <w:r>
        <w:rPr>
          <w:rFonts w:ascii="Gentium Basic" w:hAnsi="Gentium Basic" w:cs="Times New Roman"/>
          <w:sz w:val="24"/>
          <w:szCs w:val="24"/>
        </w:rPr>
        <w:t>s</w:t>
      </w:r>
      <w:r w:rsidRPr="004C4FE6">
        <w:rPr>
          <w:rFonts w:ascii="Gentium Basic" w:hAnsi="Gentium Basic" w:cs="Times New Roman"/>
          <w:sz w:val="24"/>
          <w:szCs w:val="24"/>
        </w:rPr>
        <w:t xml:space="preserve"> and prevented speculation. Fraudsters and profiteers were caught and paraded; strict control measures were set in place. </w:t>
      </w:r>
      <w:r>
        <w:rPr>
          <w:rFonts w:ascii="Gentium Basic" w:hAnsi="Gentium Basic" w:cs="Times New Roman"/>
          <w:sz w:val="24"/>
          <w:szCs w:val="24"/>
        </w:rPr>
        <w:t>Nevertheless,</w:t>
      </w:r>
      <w:r w:rsidRPr="004C4FE6">
        <w:rPr>
          <w:rFonts w:ascii="Gentium Basic" w:hAnsi="Gentium Basic" w:cs="Times New Roman"/>
          <w:sz w:val="24"/>
          <w:szCs w:val="24"/>
        </w:rPr>
        <w:t xml:space="preserve"> famine continued in 360/971, followed by a </w:t>
      </w:r>
      <w:r>
        <w:rPr>
          <w:rFonts w:ascii="Gentium Basic" w:hAnsi="Gentium Basic" w:cs="Times New Roman"/>
          <w:sz w:val="24"/>
          <w:szCs w:val="24"/>
        </w:rPr>
        <w:t xml:space="preserve">plague </w:t>
      </w:r>
      <w:r w:rsidRPr="004C4FE6">
        <w:rPr>
          <w:rFonts w:ascii="Gentium Basic" w:hAnsi="Gentium Basic" w:cs="Times New Roman"/>
          <w:sz w:val="24"/>
          <w:szCs w:val="24"/>
        </w:rPr>
        <w:t>epidemic</w:t>
      </w:r>
      <w:r>
        <w:rPr>
          <w:rFonts w:ascii="Gentium Basic" w:hAnsi="Gentium Basic" w:cs="Times New Roman"/>
          <w:sz w:val="24"/>
          <w:szCs w:val="24"/>
        </w:rPr>
        <w:t xml:space="preserve"> in the region</w:t>
      </w:r>
      <w:r w:rsidRPr="004C4FE6">
        <w:rPr>
          <w:rFonts w:ascii="Gentium Basic" w:hAnsi="Gentium Basic" w:cs="Times New Roman"/>
          <w:sz w:val="24"/>
          <w:szCs w:val="24"/>
        </w:rPr>
        <w:t xml:space="preserve"> that caused immense mortality. However, by 361/972, things started to improve.</w:t>
      </w:r>
      <w:r w:rsidRPr="004C4FE6">
        <w:rPr>
          <w:rStyle w:val="FootnoteReference"/>
          <w:rFonts w:ascii="Gentium Basic" w:hAnsi="Gentium Basic" w:cs="Times New Roman"/>
          <w:sz w:val="24"/>
          <w:szCs w:val="24"/>
        </w:rPr>
        <w:footnoteReference w:id="21"/>
      </w:r>
    </w:p>
    <w:p w:rsidR="006D4166" w:rsidRPr="004C4FE6" w:rsidRDefault="006D4166" w:rsidP="006D4166">
      <w:pPr>
        <w:ind w:firstLine="720"/>
        <w:rPr>
          <w:rFonts w:ascii="Gentium Basic" w:hAnsi="Gentium Basic" w:cs="Times New Roman"/>
          <w:sz w:val="24"/>
          <w:szCs w:val="24"/>
        </w:rPr>
      </w:pPr>
      <w:r w:rsidRPr="004C4FE6">
        <w:rPr>
          <w:rFonts w:ascii="Gentium Basic" w:hAnsi="Gentium Basic" w:cs="Times New Roman"/>
          <w:sz w:val="24"/>
          <w:szCs w:val="24"/>
        </w:rPr>
        <w:t>Since 359/970 Jawhar appears to have been aware of the strategic possibilities of the Nile as the highway for the control of Upper Egypt and, possibly, beyond. One of Jawhar’s earliest</w:t>
      </w:r>
      <w:r>
        <w:rPr>
          <w:rFonts w:ascii="Gentium Basic" w:hAnsi="Gentium Basic" w:cs="Times New Roman"/>
          <w:sz w:val="24"/>
          <w:szCs w:val="24"/>
        </w:rPr>
        <w:t xml:space="preserve"> </w:t>
      </w:r>
      <w:r w:rsidRPr="004C4FE6">
        <w:rPr>
          <w:rFonts w:ascii="Gentium Basic" w:hAnsi="Gentium Basic" w:cs="Times New Roman"/>
          <w:sz w:val="24"/>
          <w:szCs w:val="24"/>
        </w:rPr>
        <w:t xml:space="preserve">diplomatic moves </w:t>
      </w:r>
      <w:r w:rsidR="00BF6001">
        <w:rPr>
          <w:rFonts w:ascii="Gentium Basic" w:hAnsi="Gentium Basic" w:cs="Times New Roman"/>
          <w:sz w:val="24"/>
          <w:szCs w:val="24"/>
        </w:rPr>
        <w:t>was to send Ibn Salim al-Aswani</w:t>
      </w:r>
      <w:r w:rsidRPr="004C4FE6">
        <w:rPr>
          <w:rFonts w:ascii="Gentium Basic" w:hAnsi="Gentium Basic" w:cs="Times New Roman"/>
          <w:sz w:val="24"/>
          <w:szCs w:val="24"/>
        </w:rPr>
        <w:t xml:space="preserve"> on a mission</w:t>
      </w:r>
      <w:r>
        <w:rPr>
          <w:rFonts w:ascii="Gentium Basic" w:hAnsi="Gentium Basic" w:cs="Times New Roman"/>
          <w:sz w:val="24"/>
          <w:szCs w:val="24"/>
        </w:rPr>
        <w:t xml:space="preserve"> </w:t>
      </w:r>
      <w:r w:rsidRPr="004C4FE6">
        <w:rPr>
          <w:rFonts w:ascii="Gentium Basic" w:hAnsi="Gentium Basic" w:cs="Times New Roman"/>
          <w:sz w:val="24"/>
          <w:szCs w:val="24"/>
        </w:rPr>
        <w:t xml:space="preserve">to seal a trade pact with the King of the Nubians that also involved an invitation to the King to convert to Islam and a demand of payment of tributes to the new regime. </w:t>
      </w:r>
      <w:r>
        <w:rPr>
          <w:rFonts w:ascii="Gentium Basic" w:hAnsi="Gentium Basic" w:cs="Times New Roman"/>
          <w:sz w:val="24"/>
          <w:szCs w:val="24"/>
        </w:rPr>
        <w:t>As a result of his mission a</w:t>
      </w:r>
      <w:r w:rsidRPr="004C4FE6">
        <w:rPr>
          <w:rFonts w:ascii="Gentium Basic" w:hAnsi="Gentium Basic" w:cs="Times New Roman"/>
          <w:sz w:val="24"/>
          <w:szCs w:val="24"/>
        </w:rPr>
        <w:t>l-Aswani wrote his history of the Nubians</w:t>
      </w:r>
      <w:r>
        <w:rPr>
          <w:rFonts w:ascii="Gentium Basic" w:hAnsi="Gentium Basic" w:cs="Times New Roman"/>
          <w:sz w:val="24"/>
          <w:szCs w:val="24"/>
        </w:rPr>
        <w:t xml:space="preserve"> for </w:t>
      </w:r>
      <w:r w:rsidR="00BF6001">
        <w:rPr>
          <w:rFonts w:ascii="Gentium Basic" w:hAnsi="Gentium Basic" w:cs="Times New Roman"/>
          <w:sz w:val="24"/>
          <w:szCs w:val="24"/>
        </w:rPr>
        <w:t>the I</w:t>
      </w:r>
      <w:r w:rsidRPr="004C4FE6">
        <w:rPr>
          <w:rFonts w:ascii="Gentium Basic" w:hAnsi="Gentium Basic" w:cs="Times New Roman"/>
          <w:sz w:val="24"/>
          <w:szCs w:val="24"/>
        </w:rPr>
        <w:t xml:space="preserve">mam-caliph al-‘Aziz (365/975- 386/996). </w:t>
      </w:r>
      <w:r w:rsidRPr="004C4FE6">
        <w:rPr>
          <w:rFonts w:ascii="Gentium Basic" w:hAnsi="Gentium Basic" w:cs="Times New Roman"/>
          <w:sz w:val="24"/>
          <w:szCs w:val="24"/>
        </w:rPr>
        <w:lastRenderedPageBreak/>
        <w:t xml:space="preserve">This work, only extant in </w:t>
      </w:r>
      <w:r>
        <w:rPr>
          <w:rFonts w:ascii="Gentium Basic" w:hAnsi="Gentium Basic" w:cs="Times New Roman"/>
          <w:sz w:val="24"/>
          <w:szCs w:val="24"/>
        </w:rPr>
        <w:t>quotes</w:t>
      </w:r>
      <w:r w:rsidRPr="004C4FE6">
        <w:rPr>
          <w:rFonts w:ascii="Gentium Basic" w:hAnsi="Gentium Basic" w:cs="Times New Roman"/>
          <w:sz w:val="24"/>
          <w:szCs w:val="24"/>
        </w:rPr>
        <w:t xml:space="preserve"> by 9</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/15</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-10</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/16</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centuries Egyptian historians is the earliest known work of the Fatimid period to contain passages on the source of the Nile, its rise, its tributaries and cataracts.</w:t>
      </w:r>
      <w:r w:rsidRPr="004C4FE6">
        <w:rPr>
          <w:rStyle w:val="FootnoteReference"/>
          <w:rFonts w:ascii="Gentium Basic" w:hAnsi="Gentium Basic" w:cs="Times New Roman"/>
          <w:sz w:val="24"/>
          <w:szCs w:val="24"/>
        </w:rPr>
        <w:t xml:space="preserve"> </w:t>
      </w:r>
      <w:r w:rsidRPr="004C4FE6">
        <w:rPr>
          <w:rStyle w:val="FootnoteReference"/>
          <w:rFonts w:ascii="Gentium Basic" w:hAnsi="Gentium Basic" w:cs="Times New Roman"/>
          <w:sz w:val="24"/>
          <w:szCs w:val="24"/>
        </w:rPr>
        <w:footnoteReference w:id="22"/>
      </w:r>
      <w:r w:rsidRPr="004C4FE6">
        <w:rPr>
          <w:rFonts w:ascii="Gentium Basic" w:hAnsi="Gentium Basic" w:cs="Times New Roman"/>
          <w:sz w:val="24"/>
          <w:szCs w:val="24"/>
        </w:rPr>
        <w:t xml:space="preserve"> According to Abyssinian sources, the Fatimids sent an embassy to Abyssinia during the years of the worst Nile-related calamity ever known to have take</w:t>
      </w:r>
      <w:r w:rsidR="00227868">
        <w:rPr>
          <w:rFonts w:ascii="Gentium Basic" w:hAnsi="Gentium Basic" w:cs="Times New Roman"/>
          <w:sz w:val="24"/>
          <w:szCs w:val="24"/>
        </w:rPr>
        <w:t>n</w:t>
      </w:r>
      <w:r w:rsidRPr="004C4FE6">
        <w:rPr>
          <w:rFonts w:ascii="Gentium Basic" w:hAnsi="Gentium Basic" w:cs="Times New Roman"/>
          <w:sz w:val="24"/>
          <w:szCs w:val="24"/>
        </w:rPr>
        <w:t xml:space="preserve"> place in Egypt, between 457/1063 and 464/1072. If that was the case, Ibrahim Beshir observed, the Fatimids were among the earliest rulers of Egypt who tried to extend their reach to the lands in the furthermost upper part of the river. The mission might have been related to the fact that the Abyssinians Emperors had frequently threatened to divert the course of the Nile.</w:t>
      </w:r>
      <w:r w:rsidRPr="004C4FE6">
        <w:rPr>
          <w:rStyle w:val="FootnoteReference"/>
          <w:rFonts w:ascii="Gentium Basic" w:hAnsi="Gentium Basic" w:cs="Times New Roman"/>
          <w:sz w:val="24"/>
          <w:szCs w:val="24"/>
        </w:rPr>
        <w:footnoteReference w:id="23"/>
      </w:r>
    </w:p>
    <w:p w:rsidR="006D4166" w:rsidRPr="002655D1" w:rsidRDefault="006D4166" w:rsidP="006D4166">
      <w:pPr>
        <w:spacing w:after="0"/>
        <w:ind w:firstLine="720"/>
        <w:rPr>
          <w:rFonts w:ascii="Gentium Basic" w:eastAsia="Times New Roman" w:hAnsi="Gentium Basic" w:cs="Times New Roman"/>
          <w:sz w:val="24"/>
          <w:szCs w:val="24"/>
          <w:lang w:eastAsia="en-GB"/>
        </w:rPr>
      </w:pPr>
      <w:r w:rsidRPr="004C4FE6">
        <w:rPr>
          <w:rFonts w:ascii="Gentium Basic" w:eastAsia="Times New Roman" w:hAnsi="Gentium Basic" w:cs="Times New Roman"/>
          <w:sz w:val="24"/>
          <w:szCs w:val="24"/>
          <w:lang w:eastAsia="en-GB"/>
        </w:rPr>
        <w:t xml:space="preserve">In 362/973 the Imam-caliph al-Mu‘izz and his entourage arrived in the new capital by seven large boats that </w:t>
      </w:r>
      <w:r>
        <w:rPr>
          <w:rFonts w:ascii="Gentium Basic" w:eastAsia="Times New Roman" w:hAnsi="Gentium Basic" w:cs="Times New Roman"/>
          <w:sz w:val="24"/>
          <w:szCs w:val="24"/>
          <w:lang w:eastAsia="en-GB"/>
        </w:rPr>
        <w:t>sailed</w:t>
      </w:r>
      <w:r w:rsidRPr="004C4FE6">
        <w:rPr>
          <w:rFonts w:ascii="Gentium Basic" w:eastAsia="Times New Roman" w:hAnsi="Gentium Basic" w:cs="Times New Roman"/>
          <w:sz w:val="24"/>
          <w:szCs w:val="24"/>
          <w:lang w:eastAsia="en-GB"/>
        </w:rPr>
        <w:t xml:space="preserve"> from the Mediterranean into the Delta and up the Nile to Cairo.</w:t>
      </w:r>
      <w:r w:rsidRPr="004C4FE6">
        <w:rPr>
          <w:rStyle w:val="FootnoteReference"/>
          <w:rFonts w:ascii="Gentium Basic" w:eastAsia="Times New Roman" w:hAnsi="Gentium Basic" w:cs="Times New Roman"/>
          <w:sz w:val="24"/>
          <w:szCs w:val="24"/>
          <w:lang w:eastAsia="en-GB"/>
        </w:rPr>
        <w:footnoteReference w:id="24"/>
      </w:r>
      <w:r w:rsidRPr="004C4FE6">
        <w:rPr>
          <w:rFonts w:ascii="Gentium Basic" w:eastAsia="Times New Roman" w:hAnsi="Gentium Basic" w:cs="Times New Roman"/>
          <w:sz w:val="24"/>
          <w:szCs w:val="24"/>
          <w:lang w:eastAsia="en-GB"/>
        </w:rPr>
        <w:t xml:space="preserve"> </w:t>
      </w:r>
      <w:r>
        <w:rPr>
          <w:rFonts w:ascii="Gentium Basic" w:eastAsia="Times New Roman" w:hAnsi="Gentium Basic" w:cs="Times New Roman"/>
          <w:sz w:val="24"/>
          <w:szCs w:val="24"/>
          <w:lang w:eastAsia="en-GB"/>
        </w:rPr>
        <w:t xml:space="preserve">Al-Mu‘izz’s </w:t>
      </w:r>
      <w:r w:rsidRPr="004C4FE6">
        <w:rPr>
          <w:rFonts w:ascii="Gentium Basic" w:eastAsia="Times New Roman" w:hAnsi="Gentium Basic" w:cs="Times New Roman"/>
          <w:sz w:val="24"/>
          <w:szCs w:val="24"/>
          <w:lang w:eastAsia="en-GB"/>
        </w:rPr>
        <w:t>scenic entrance into his new domains marked the beginning of the Fatimid long-standing tradition of using the river as a stage for public display of authority.</w:t>
      </w:r>
    </w:p>
    <w:p w:rsidR="006D4166" w:rsidRPr="004C4FE6" w:rsidRDefault="006D4166" w:rsidP="006D4166">
      <w:pPr>
        <w:spacing w:after="0"/>
        <w:ind w:firstLine="720"/>
        <w:rPr>
          <w:rFonts w:ascii="Gentium Basic" w:eastAsia="Times New Roman" w:hAnsi="Gentium Basic" w:cs="Times New Roman"/>
          <w:sz w:val="24"/>
          <w:szCs w:val="24"/>
          <w:lang w:eastAsia="en-GB"/>
        </w:rPr>
      </w:pPr>
      <w:r w:rsidRPr="004C4FE6">
        <w:rPr>
          <w:rFonts w:ascii="Gentium Basic" w:eastAsia="Times New Roman" w:hAnsi="Gentium Basic" w:cs="Times New Roman"/>
          <w:sz w:val="24"/>
          <w:szCs w:val="24"/>
          <w:lang w:eastAsia="en-GB"/>
        </w:rPr>
        <w:t xml:space="preserve">Upon taking charge of his reign in Egypt, al-Mu‘izz issued one of the most important and forward-looking early decrees of his rule: he forbade the public announcement of the data relating to the rising of the Nile until they reached optimal level. Only he and his general Jawhar were to be informed in writing about these measures and only when the river reached the level of at least 16 cubits was the announcement to be made public. Prior to this decree, the unpredictability of the rise of the river had meant that people panicked for their livelihood when early public release of data indicated that the Nile might be low. In response people would hoard foodstuff, thus driving prices up and triggering shortages that would in turn cause famine. </w:t>
      </w:r>
      <w:r>
        <w:rPr>
          <w:rFonts w:ascii="Gentium Basic" w:eastAsia="Times New Roman" w:hAnsi="Gentium Basic" w:cs="Times New Roman"/>
          <w:sz w:val="24"/>
          <w:szCs w:val="24"/>
          <w:lang w:eastAsia="en-GB"/>
        </w:rPr>
        <w:t>A</w:t>
      </w:r>
      <w:r w:rsidRPr="004C4FE6">
        <w:rPr>
          <w:rFonts w:ascii="Gentium Basic" w:eastAsia="Times New Roman" w:hAnsi="Gentium Basic" w:cs="Times New Roman"/>
          <w:sz w:val="24"/>
          <w:szCs w:val="24"/>
          <w:lang w:eastAsia="en-GB"/>
        </w:rPr>
        <w:t xml:space="preserve">l-Mu‘izz’s highly strategic policy </w:t>
      </w:r>
      <w:r>
        <w:rPr>
          <w:rFonts w:ascii="Gentium Basic" w:eastAsia="Times New Roman" w:hAnsi="Gentium Basic" w:cs="Times New Roman"/>
          <w:sz w:val="24"/>
          <w:szCs w:val="24"/>
          <w:lang w:eastAsia="en-GB"/>
        </w:rPr>
        <w:t xml:space="preserve">was intended </w:t>
      </w:r>
      <w:r w:rsidRPr="004C4FE6">
        <w:rPr>
          <w:rFonts w:ascii="Gentium Basic" w:eastAsia="Times New Roman" w:hAnsi="Gentium Basic" w:cs="Times New Roman"/>
          <w:sz w:val="24"/>
          <w:szCs w:val="24"/>
          <w:lang w:eastAsia="en-GB"/>
        </w:rPr>
        <w:t>to prevent bouts of popular hysteria and to buy time to plan for contingencies if needed.</w:t>
      </w:r>
      <w:r w:rsidRPr="004C4FE6">
        <w:rPr>
          <w:rStyle w:val="FootnoteReference"/>
          <w:rFonts w:ascii="Gentium Basic" w:eastAsia="Times New Roman" w:hAnsi="Gentium Basic" w:cs="Times New Roman"/>
          <w:sz w:val="24"/>
          <w:szCs w:val="24"/>
          <w:lang w:eastAsia="en-GB"/>
        </w:rPr>
        <w:footnoteReference w:id="25"/>
      </w:r>
    </w:p>
    <w:p w:rsidR="006D4166" w:rsidRDefault="006D4166" w:rsidP="006D4166">
      <w:pPr>
        <w:spacing w:after="0"/>
        <w:ind w:firstLine="720"/>
        <w:rPr>
          <w:rFonts w:ascii="Gentium Basic" w:hAnsi="Gentium Basic" w:cs="Times New Roman"/>
          <w:sz w:val="24"/>
          <w:szCs w:val="24"/>
        </w:rPr>
      </w:pPr>
      <w:r w:rsidRPr="004C4FE6">
        <w:rPr>
          <w:rFonts w:ascii="Gentium Basic" w:eastAsia="Times New Roman" w:hAnsi="Gentium Basic" w:cs="Times New Roman"/>
          <w:sz w:val="24"/>
          <w:szCs w:val="24"/>
          <w:lang w:eastAsia="en-GB"/>
        </w:rPr>
        <w:t xml:space="preserve">Al-Mu‘izz’s decree automatically elevated the rank of the officer in charge of observing the water </w:t>
      </w:r>
      <w:r>
        <w:rPr>
          <w:rFonts w:ascii="Gentium Basic" w:eastAsia="Times New Roman" w:hAnsi="Gentium Basic" w:cs="Times New Roman"/>
          <w:sz w:val="24"/>
          <w:szCs w:val="24"/>
          <w:lang w:eastAsia="en-GB"/>
        </w:rPr>
        <w:t xml:space="preserve">levels </w:t>
      </w:r>
      <w:r w:rsidRPr="004C4FE6">
        <w:rPr>
          <w:rFonts w:ascii="Gentium Basic" w:eastAsia="Times New Roman" w:hAnsi="Gentium Basic" w:cs="Times New Roman"/>
          <w:sz w:val="24"/>
          <w:szCs w:val="24"/>
          <w:lang w:eastAsia="en-GB"/>
        </w:rPr>
        <w:t xml:space="preserve">during the </w:t>
      </w:r>
      <w:r>
        <w:rPr>
          <w:rFonts w:ascii="Gentium Basic" w:eastAsia="Times New Roman" w:hAnsi="Gentium Basic" w:cs="Times New Roman"/>
          <w:sz w:val="24"/>
          <w:szCs w:val="24"/>
          <w:lang w:eastAsia="en-GB"/>
        </w:rPr>
        <w:t xml:space="preserve">rising </w:t>
      </w:r>
      <w:r w:rsidRPr="004C4FE6">
        <w:rPr>
          <w:rFonts w:ascii="Gentium Basic" w:eastAsia="Times New Roman" w:hAnsi="Gentium Basic" w:cs="Times New Roman"/>
          <w:sz w:val="24"/>
          <w:szCs w:val="24"/>
          <w:lang w:eastAsia="en-GB"/>
        </w:rPr>
        <w:t>phase</w:t>
      </w:r>
      <w:r>
        <w:rPr>
          <w:rFonts w:ascii="Gentium Basic" w:eastAsia="Times New Roman" w:hAnsi="Gentium Basic" w:cs="Times New Roman"/>
          <w:sz w:val="24"/>
          <w:szCs w:val="24"/>
          <w:lang w:eastAsia="en-GB"/>
        </w:rPr>
        <w:t xml:space="preserve"> of the river</w:t>
      </w:r>
      <w:r w:rsidRPr="004C4FE6">
        <w:rPr>
          <w:rFonts w:ascii="Gentium Basic" w:eastAsia="Times New Roman" w:hAnsi="Gentium Basic" w:cs="Times New Roman"/>
          <w:sz w:val="24"/>
          <w:szCs w:val="24"/>
          <w:lang w:eastAsia="en-GB"/>
        </w:rPr>
        <w:t xml:space="preserve">. </w:t>
      </w:r>
      <w:r w:rsidRPr="004C4FE6">
        <w:rPr>
          <w:rFonts w:ascii="Gentium Basic" w:hAnsi="Gentium Basic" w:cs="Times New Roman"/>
          <w:sz w:val="24"/>
          <w:szCs w:val="24"/>
        </w:rPr>
        <w:t>The official reading of the gradual rise of Nile took place at the Nilometer (</w:t>
      </w:r>
      <w:r w:rsidRPr="004C4FE6">
        <w:rPr>
          <w:rFonts w:ascii="Gentium Basic" w:hAnsi="Gentium Basic" w:cs="Times New Roman"/>
          <w:i/>
          <w:sz w:val="24"/>
          <w:szCs w:val="24"/>
        </w:rPr>
        <w:t>miqyaṣ</w:t>
      </w:r>
      <w:r w:rsidRPr="004C4FE6">
        <w:rPr>
          <w:rFonts w:ascii="Gentium Basic" w:hAnsi="Gentium Basic" w:cs="Times New Roman"/>
          <w:sz w:val="24"/>
          <w:szCs w:val="24"/>
        </w:rPr>
        <w:t xml:space="preserve">) </w:t>
      </w:r>
      <w:r>
        <w:rPr>
          <w:rFonts w:ascii="Gentium Basic" w:hAnsi="Gentium Basic" w:cs="Times New Roman"/>
          <w:sz w:val="24"/>
          <w:szCs w:val="24"/>
        </w:rPr>
        <w:t>on</w:t>
      </w:r>
      <w:r w:rsidRPr="004C4FE6">
        <w:rPr>
          <w:rFonts w:ascii="Gentium Basic" w:hAnsi="Gentium Basic" w:cs="Times New Roman"/>
          <w:sz w:val="24"/>
          <w:szCs w:val="24"/>
        </w:rPr>
        <w:t xml:space="preserve"> Rawḍa island, although other Nilometers </w:t>
      </w:r>
      <w:r>
        <w:rPr>
          <w:rFonts w:ascii="Gentium Basic" w:hAnsi="Gentium Basic" w:cs="Times New Roman"/>
          <w:sz w:val="24"/>
          <w:szCs w:val="24"/>
        </w:rPr>
        <w:t>stood</w:t>
      </w:r>
      <w:r w:rsidRPr="004C4FE6">
        <w:rPr>
          <w:rFonts w:ascii="Gentium Basic" w:hAnsi="Gentium Basic" w:cs="Times New Roman"/>
          <w:sz w:val="24"/>
          <w:szCs w:val="24"/>
        </w:rPr>
        <w:t xml:space="preserve"> along the river.</w:t>
      </w:r>
      <w:r w:rsidRPr="004C4FE6">
        <w:rPr>
          <w:rStyle w:val="FootnoteReference"/>
          <w:rFonts w:ascii="Gentium Basic" w:hAnsi="Gentium Basic" w:cs="Times New Roman"/>
          <w:sz w:val="24"/>
          <w:szCs w:val="24"/>
        </w:rPr>
        <w:footnoteReference w:id="26"/>
      </w:r>
      <w:r w:rsidR="002655D1">
        <w:rPr>
          <w:rFonts w:ascii="Gentium Basic" w:hAnsi="Gentium Basic" w:cs="Times New Roman"/>
          <w:sz w:val="24"/>
          <w:szCs w:val="24"/>
        </w:rPr>
        <w:t xml:space="preserve"> </w:t>
      </w:r>
      <w:r w:rsidRPr="004C4FE6">
        <w:rPr>
          <w:rFonts w:ascii="Gentium Basic" w:hAnsi="Gentium Basic" w:cs="Times New Roman"/>
          <w:sz w:val="24"/>
          <w:szCs w:val="24"/>
        </w:rPr>
        <w:t xml:space="preserve">The structure in Rawḍa– </w:t>
      </w:r>
      <w:r>
        <w:rPr>
          <w:rFonts w:ascii="Gentium Basic" w:hAnsi="Gentium Basic" w:cs="Times New Roman"/>
          <w:sz w:val="24"/>
          <w:szCs w:val="24"/>
        </w:rPr>
        <w:t xml:space="preserve">consisting of </w:t>
      </w:r>
      <w:r w:rsidRPr="004C4FE6">
        <w:rPr>
          <w:rFonts w:ascii="Gentium Basic" w:hAnsi="Gentium Basic" w:cs="Times New Roman"/>
          <w:sz w:val="24"/>
          <w:szCs w:val="24"/>
        </w:rPr>
        <w:t xml:space="preserve">a well with a pole in it marked by measuring tacks </w:t>
      </w:r>
      <w:r>
        <w:rPr>
          <w:rFonts w:ascii="Gentium Basic" w:hAnsi="Gentium Basic" w:cs="Times New Roman"/>
          <w:sz w:val="24"/>
          <w:szCs w:val="24"/>
        </w:rPr>
        <w:t>–</w:t>
      </w:r>
      <w:r w:rsidRPr="004C4FE6">
        <w:rPr>
          <w:rFonts w:ascii="Gentium Basic" w:hAnsi="Gentium Basic" w:cs="Times New Roman"/>
          <w:sz w:val="24"/>
          <w:szCs w:val="24"/>
        </w:rPr>
        <w:t xml:space="preserve"> </w:t>
      </w:r>
      <w:r>
        <w:rPr>
          <w:rFonts w:ascii="Gentium Basic" w:hAnsi="Gentium Basic" w:cs="Times New Roman"/>
          <w:sz w:val="24"/>
          <w:szCs w:val="24"/>
        </w:rPr>
        <w:t>underwent major additions</w:t>
      </w:r>
      <w:r w:rsidRPr="004C4FE6">
        <w:rPr>
          <w:rFonts w:ascii="Gentium Basic" w:hAnsi="Gentium Basic" w:cs="Times New Roman"/>
          <w:sz w:val="24"/>
          <w:szCs w:val="24"/>
        </w:rPr>
        <w:t xml:space="preserve"> </w:t>
      </w:r>
      <w:r>
        <w:rPr>
          <w:rFonts w:ascii="Gentium Basic" w:hAnsi="Gentium Basic" w:cs="Times New Roman"/>
          <w:sz w:val="24"/>
          <w:szCs w:val="24"/>
        </w:rPr>
        <w:t>d</w:t>
      </w:r>
      <w:r w:rsidRPr="004C4FE6">
        <w:rPr>
          <w:rFonts w:ascii="Gentium Basic" w:hAnsi="Gentium Basic" w:cs="Times New Roman"/>
          <w:sz w:val="24"/>
          <w:szCs w:val="24"/>
        </w:rPr>
        <w:t>uring the Fatimid period.</w:t>
      </w:r>
      <w:r w:rsidRPr="004C4FE6">
        <w:rPr>
          <w:rStyle w:val="FootnoteReference"/>
          <w:rFonts w:ascii="Gentium Basic" w:hAnsi="Gentium Basic" w:cs="Times New Roman"/>
          <w:sz w:val="24"/>
          <w:szCs w:val="24"/>
        </w:rPr>
        <w:footnoteReference w:id="27"/>
      </w:r>
      <w:r w:rsidRPr="004C4FE6">
        <w:rPr>
          <w:rFonts w:ascii="Gentium Basic" w:hAnsi="Gentium Basic" w:cs="Times New Roman"/>
          <w:sz w:val="24"/>
          <w:szCs w:val="24"/>
        </w:rPr>
        <w:t xml:space="preserve"> With the arrival of the Fatimids, during the period of rising of the water - typically about forty days- the official in charge who ca</w:t>
      </w:r>
      <w:r>
        <w:rPr>
          <w:rFonts w:ascii="Gentium Basic" w:hAnsi="Gentium Basic" w:cs="Times New Roman"/>
          <w:sz w:val="24"/>
          <w:szCs w:val="24"/>
        </w:rPr>
        <w:t>me</w:t>
      </w:r>
      <w:r w:rsidRPr="004C4FE6">
        <w:rPr>
          <w:rFonts w:ascii="Gentium Basic" w:hAnsi="Gentium Basic" w:cs="Times New Roman"/>
          <w:sz w:val="24"/>
          <w:szCs w:val="24"/>
        </w:rPr>
        <w:t xml:space="preserve"> to be known as Ibn Abi’l-Raddad would report daily to the imam-caliph. This person would receive </w:t>
      </w:r>
      <w:r w:rsidR="002655D1">
        <w:rPr>
          <w:rFonts w:ascii="Gentium Basic" w:hAnsi="Gentium Basic" w:cs="Times New Roman"/>
          <w:sz w:val="24"/>
          <w:szCs w:val="24"/>
        </w:rPr>
        <w:t>ab</w:t>
      </w:r>
      <w:r>
        <w:rPr>
          <w:rFonts w:ascii="Gentium Basic" w:hAnsi="Gentium Basic" w:cs="Times New Roman"/>
          <w:sz w:val="24"/>
          <w:szCs w:val="24"/>
        </w:rPr>
        <w:t>undant</w:t>
      </w:r>
      <w:r w:rsidRPr="004C4FE6">
        <w:rPr>
          <w:rFonts w:ascii="Gentium Basic" w:hAnsi="Gentium Basic" w:cs="Times New Roman"/>
          <w:sz w:val="24"/>
          <w:szCs w:val="24"/>
        </w:rPr>
        <w:t xml:space="preserve"> gifts like mounts, robes of </w:t>
      </w:r>
      <w:r w:rsidRPr="004C4FE6">
        <w:rPr>
          <w:rFonts w:ascii="Gentium Basic" w:hAnsi="Gentium Basic" w:cs="Times New Roman"/>
          <w:sz w:val="24"/>
          <w:szCs w:val="24"/>
        </w:rPr>
        <w:lastRenderedPageBreak/>
        <w:t xml:space="preserve">honour and extra titles in </w:t>
      </w:r>
      <w:r>
        <w:rPr>
          <w:rFonts w:ascii="Gentium Basic" w:hAnsi="Gentium Basic" w:cs="Times New Roman"/>
          <w:sz w:val="24"/>
          <w:szCs w:val="24"/>
        </w:rPr>
        <w:t>the</w:t>
      </w:r>
      <w:r w:rsidRPr="004C4FE6">
        <w:rPr>
          <w:rFonts w:ascii="Gentium Basic" w:hAnsi="Gentium Basic" w:cs="Times New Roman"/>
          <w:sz w:val="24"/>
          <w:szCs w:val="24"/>
        </w:rPr>
        <w:t xml:space="preserve"> years when he could announce optimum raise levels that would amount to ca 18 cubits.</w:t>
      </w:r>
      <w:r w:rsidRPr="004C4FE6">
        <w:rPr>
          <w:rStyle w:val="FootnoteReference"/>
          <w:rFonts w:ascii="Gentium Basic" w:hAnsi="Gentium Basic" w:cs="Times New Roman"/>
          <w:sz w:val="24"/>
          <w:szCs w:val="24"/>
        </w:rPr>
        <w:footnoteReference w:id="28"/>
      </w:r>
      <w:r w:rsidRPr="004C4FE6">
        <w:rPr>
          <w:rFonts w:ascii="Gentium Basic" w:hAnsi="Gentium Basic" w:cs="Times New Roman"/>
          <w:sz w:val="24"/>
          <w:szCs w:val="24"/>
        </w:rPr>
        <w:t xml:space="preserve"> By the time of Naṣir-i Khusraw’s visit to Egypt this officer reportedly </w:t>
      </w:r>
      <w:r>
        <w:rPr>
          <w:rFonts w:ascii="Gentium Basic" w:hAnsi="Gentium Basic" w:cs="Times New Roman"/>
          <w:sz w:val="24"/>
          <w:szCs w:val="24"/>
        </w:rPr>
        <w:t xml:space="preserve">received </w:t>
      </w:r>
      <w:r w:rsidRPr="004C4FE6">
        <w:rPr>
          <w:rFonts w:ascii="Gentium Basic" w:hAnsi="Gentium Basic" w:cs="Times New Roman"/>
          <w:sz w:val="24"/>
          <w:szCs w:val="24"/>
        </w:rPr>
        <w:t xml:space="preserve">1,000 </w:t>
      </w:r>
      <w:r w:rsidRPr="004C4FE6">
        <w:rPr>
          <w:rFonts w:ascii="Gentium Basic" w:hAnsi="Gentium Basic" w:cs="Times New Roman"/>
          <w:i/>
          <w:sz w:val="24"/>
          <w:szCs w:val="24"/>
        </w:rPr>
        <w:t>dinars</w:t>
      </w:r>
      <w:r>
        <w:rPr>
          <w:rFonts w:ascii="Gentium Basic" w:hAnsi="Gentium Basic" w:cs="Times New Roman"/>
          <w:i/>
          <w:sz w:val="24"/>
          <w:szCs w:val="24"/>
        </w:rPr>
        <w:t xml:space="preserve"> </w:t>
      </w:r>
      <w:r>
        <w:rPr>
          <w:rFonts w:ascii="Gentium Basic" w:hAnsi="Gentium Basic" w:cs="Times New Roman"/>
          <w:sz w:val="24"/>
          <w:szCs w:val="24"/>
        </w:rPr>
        <w:t>annually</w:t>
      </w:r>
      <w:r w:rsidRPr="004C4FE6">
        <w:rPr>
          <w:rFonts w:ascii="Gentium Basic" w:hAnsi="Gentium Basic" w:cs="Times New Roman"/>
          <w:sz w:val="24"/>
          <w:szCs w:val="24"/>
        </w:rPr>
        <w:t>.</w:t>
      </w:r>
      <w:r w:rsidRPr="004C4FE6">
        <w:rPr>
          <w:rStyle w:val="FootnoteReference"/>
          <w:rFonts w:ascii="Gentium Basic" w:hAnsi="Gentium Basic" w:cs="Times New Roman"/>
          <w:sz w:val="24"/>
          <w:szCs w:val="24"/>
        </w:rPr>
        <w:t xml:space="preserve"> </w:t>
      </w:r>
      <w:r>
        <w:rPr>
          <w:rFonts w:ascii="Gentium Basic" w:hAnsi="Gentium Basic" w:cs="Times New Roman"/>
          <w:sz w:val="24"/>
          <w:szCs w:val="24"/>
        </w:rPr>
        <w:t xml:space="preserve"> Upon </w:t>
      </w:r>
      <w:r w:rsidRPr="004C4FE6">
        <w:rPr>
          <w:rFonts w:ascii="Gentium Basic" w:hAnsi="Gentium Basic" w:cs="Times New Roman"/>
          <w:sz w:val="24"/>
          <w:szCs w:val="24"/>
        </w:rPr>
        <w:t xml:space="preserve">the water </w:t>
      </w:r>
      <w:r>
        <w:rPr>
          <w:rFonts w:ascii="Gentium Basic" w:eastAsia="Times New Roman" w:hAnsi="Gentium Basic" w:cs="Times New Roman"/>
          <w:sz w:val="24"/>
          <w:szCs w:val="24"/>
          <w:lang w:eastAsia="en-GB"/>
        </w:rPr>
        <w:t>reaching</w:t>
      </w:r>
      <w:r w:rsidRPr="004C4FE6">
        <w:rPr>
          <w:rFonts w:ascii="Gentium Basic" w:eastAsia="Times New Roman" w:hAnsi="Gentium Basic" w:cs="Times New Roman"/>
          <w:sz w:val="24"/>
          <w:szCs w:val="24"/>
          <w:lang w:eastAsia="en-GB"/>
        </w:rPr>
        <w:t xml:space="preserve"> the 16 cubit limit, the officer of the Nilomemter would </w:t>
      </w:r>
      <w:r>
        <w:rPr>
          <w:rFonts w:ascii="Gentium Basic" w:eastAsia="Times New Roman" w:hAnsi="Gentium Basic" w:cs="Times New Roman"/>
          <w:sz w:val="24"/>
          <w:szCs w:val="24"/>
          <w:lang w:eastAsia="en-GB"/>
        </w:rPr>
        <w:t>dispatch</w:t>
      </w:r>
      <w:r w:rsidRPr="004C4FE6">
        <w:rPr>
          <w:rFonts w:ascii="Gentium Basic" w:eastAsia="Times New Roman" w:hAnsi="Gentium Basic" w:cs="Times New Roman"/>
          <w:sz w:val="24"/>
          <w:szCs w:val="24"/>
          <w:lang w:eastAsia="en-GB"/>
        </w:rPr>
        <w:t xml:space="preserve"> public announcers to share the promising news. When the water reached the </w:t>
      </w:r>
      <w:r>
        <w:rPr>
          <w:rFonts w:ascii="Gentium Basic" w:eastAsia="Times New Roman" w:hAnsi="Gentium Basic" w:cs="Times New Roman"/>
          <w:sz w:val="24"/>
          <w:szCs w:val="24"/>
          <w:lang w:eastAsia="en-GB"/>
        </w:rPr>
        <w:t>optimal</w:t>
      </w:r>
      <w:r w:rsidRPr="004C4FE6">
        <w:rPr>
          <w:rFonts w:ascii="Gentium Basic" w:eastAsia="Times New Roman" w:hAnsi="Gentium Basic" w:cs="Times New Roman"/>
          <w:sz w:val="24"/>
          <w:szCs w:val="24"/>
          <w:lang w:eastAsia="en-GB"/>
        </w:rPr>
        <w:t xml:space="preserve"> 18 cubits drums would be played in towns as a sign of jo</w:t>
      </w:r>
      <w:r w:rsidR="00987EB5">
        <w:rPr>
          <w:rFonts w:ascii="Gentium Basic" w:eastAsia="Times New Roman" w:hAnsi="Gentium Basic" w:cs="Times New Roman"/>
          <w:sz w:val="24"/>
          <w:szCs w:val="24"/>
          <w:lang w:eastAsia="en-GB"/>
        </w:rPr>
        <w:t>y. If the rise stalled</w:t>
      </w:r>
      <w:r w:rsidRPr="004C4FE6">
        <w:rPr>
          <w:rFonts w:ascii="Gentium Basic" w:eastAsia="Times New Roman" w:hAnsi="Gentium Basic" w:cs="Times New Roman"/>
          <w:sz w:val="24"/>
          <w:szCs w:val="24"/>
          <w:lang w:eastAsia="en-GB"/>
        </w:rPr>
        <w:t xml:space="preserve"> this could be a sign of insufficient inundation</w:t>
      </w:r>
      <w:r>
        <w:rPr>
          <w:rFonts w:ascii="Gentium Basic" w:eastAsia="Times New Roman" w:hAnsi="Gentium Basic" w:cs="Times New Roman"/>
          <w:sz w:val="24"/>
          <w:szCs w:val="24"/>
          <w:lang w:eastAsia="en-GB"/>
        </w:rPr>
        <w:t>,</w:t>
      </w:r>
      <w:r w:rsidRPr="004C4FE6">
        <w:rPr>
          <w:rFonts w:ascii="Gentium Basic" w:eastAsia="Times New Roman" w:hAnsi="Gentium Basic" w:cs="Times New Roman"/>
          <w:sz w:val="24"/>
          <w:szCs w:val="24"/>
          <w:lang w:eastAsia="en-GB"/>
        </w:rPr>
        <w:t xml:space="preserve"> in which case charity would be distributed and sombreness would prevail.</w:t>
      </w:r>
      <w:r w:rsidRPr="004C4FE6">
        <w:rPr>
          <w:rStyle w:val="FootnoteReference"/>
          <w:rFonts w:ascii="Gentium Basic" w:eastAsia="Times New Roman" w:hAnsi="Gentium Basic" w:cs="Times New Roman"/>
          <w:sz w:val="24"/>
          <w:szCs w:val="24"/>
          <w:lang w:eastAsia="en-GB"/>
        </w:rPr>
        <w:footnoteReference w:id="29"/>
      </w:r>
      <w:r w:rsidR="00B54789">
        <w:rPr>
          <w:rFonts w:ascii="Gentium Basic" w:eastAsia="Times New Roman" w:hAnsi="Gentium Basic" w:cs="Times New Roman"/>
          <w:sz w:val="24"/>
          <w:szCs w:val="24"/>
          <w:lang w:eastAsia="en-GB"/>
        </w:rPr>
        <w:t xml:space="preserve"> In 399/1008, as</w:t>
      </w:r>
      <w:r w:rsidRPr="004C4FE6">
        <w:rPr>
          <w:rFonts w:ascii="Gentium Basic" w:eastAsia="Times New Roman" w:hAnsi="Gentium Basic" w:cs="Times New Roman"/>
          <w:sz w:val="24"/>
          <w:szCs w:val="24"/>
          <w:lang w:eastAsia="en-GB"/>
        </w:rPr>
        <w:t xml:space="preserve"> poor Nile performance in that year was imputed to moral decline, </w:t>
      </w:r>
      <w:r w:rsidRPr="004C4FE6">
        <w:rPr>
          <w:rFonts w:ascii="Gentium Basic" w:hAnsi="Gentium Basic" w:cs="Times New Roman"/>
          <w:sz w:val="24"/>
          <w:szCs w:val="24"/>
        </w:rPr>
        <w:t xml:space="preserve">decrees were issued prohibiting singing </w:t>
      </w:r>
      <w:r>
        <w:rPr>
          <w:rFonts w:ascii="Gentium Basic" w:hAnsi="Gentium Basic" w:cs="Times New Roman"/>
          <w:sz w:val="24"/>
          <w:szCs w:val="24"/>
        </w:rPr>
        <w:t xml:space="preserve">by </w:t>
      </w:r>
      <w:r w:rsidR="00B54789">
        <w:rPr>
          <w:rFonts w:ascii="Gentium Basic" w:hAnsi="Gentium Basic" w:cs="Times New Roman"/>
          <w:sz w:val="24"/>
          <w:szCs w:val="24"/>
        </w:rPr>
        <w:t>the Nile and</w:t>
      </w:r>
      <w:r>
        <w:rPr>
          <w:rFonts w:ascii="Gentium Basic" w:hAnsi="Gentium Basic" w:cs="Times New Roman"/>
          <w:sz w:val="24"/>
          <w:szCs w:val="24"/>
        </w:rPr>
        <w:t xml:space="preserve"> drinking</w:t>
      </w:r>
      <w:r w:rsidRPr="004C4FE6">
        <w:rPr>
          <w:rFonts w:ascii="Gentium Basic" w:hAnsi="Gentium Basic" w:cs="Times New Roman"/>
          <w:sz w:val="24"/>
          <w:szCs w:val="24"/>
        </w:rPr>
        <w:t xml:space="preserve"> alcohol when sailing </w:t>
      </w:r>
      <w:r>
        <w:rPr>
          <w:rFonts w:ascii="Gentium Basic" w:hAnsi="Gentium Basic" w:cs="Times New Roman"/>
          <w:sz w:val="24"/>
          <w:szCs w:val="24"/>
        </w:rPr>
        <w:t>its waters</w:t>
      </w:r>
      <w:r w:rsidRPr="004C4FE6">
        <w:rPr>
          <w:rFonts w:ascii="Gentium Basic" w:hAnsi="Gentium Basic" w:cs="Times New Roman"/>
          <w:sz w:val="24"/>
          <w:szCs w:val="24"/>
        </w:rPr>
        <w:t>.</w:t>
      </w:r>
      <w:r w:rsidRPr="004C4FE6">
        <w:rPr>
          <w:rStyle w:val="FootnoteReference"/>
          <w:rFonts w:ascii="Gentium Basic" w:hAnsi="Gentium Basic" w:cs="Times New Roman"/>
          <w:sz w:val="24"/>
          <w:szCs w:val="24"/>
        </w:rPr>
        <w:footnoteReference w:id="30"/>
      </w:r>
    </w:p>
    <w:p w:rsidR="006D4166" w:rsidRDefault="006D4166" w:rsidP="006D4166">
      <w:pPr>
        <w:spacing w:after="0"/>
        <w:ind w:firstLine="720"/>
        <w:rPr>
          <w:rFonts w:ascii="Gentium Basic" w:hAnsi="Gentium Basic" w:cs="Times New Roman"/>
          <w:sz w:val="24"/>
          <w:szCs w:val="24"/>
        </w:rPr>
      </w:pPr>
    </w:p>
    <w:p w:rsidR="006D4166" w:rsidRDefault="006D4166" w:rsidP="006D4166">
      <w:pPr>
        <w:spacing w:after="0"/>
        <w:ind w:firstLine="720"/>
        <w:rPr>
          <w:rFonts w:ascii="Gentium Basic" w:hAnsi="Gentium Basic" w:cs="Times New Roman"/>
          <w:sz w:val="24"/>
          <w:szCs w:val="24"/>
        </w:rPr>
      </w:pPr>
      <w:r>
        <w:rPr>
          <w:rFonts w:ascii="Gentium Basic" w:hAnsi="Gentium Basic" w:cs="Times New Roman"/>
          <w:sz w:val="24"/>
          <w:szCs w:val="24"/>
        </w:rPr>
        <w:t>Managing the Nile valley: from rituals to taxation</w:t>
      </w:r>
    </w:p>
    <w:p w:rsidR="006D4166" w:rsidRPr="004C4FE6" w:rsidRDefault="006D4166" w:rsidP="006D4166">
      <w:pPr>
        <w:spacing w:after="0"/>
        <w:ind w:firstLine="720"/>
        <w:rPr>
          <w:rFonts w:ascii="Gentium Basic" w:eastAsia="Times New Roman" w:hAnsi="Gentium Basic" w:cs="Times New Roman"/>
          <w:sz w:val="24"/>
          <w:szCs w:val="24"/>
          <w:lang w:eastAsia="en-GB"/>
        </w:rPr>
      </w:pPr>
    </w:p>
    <w:p w:rsidR="006D4166" w:rsidRDefault="006D4166" w:rsidP="006D4166">
      <w:pPr>
        <w:ind w:firstLine="720"/>
        <w:rPr>
          <w:rFonts w:ascii="Gentium Basic" w:hAnsi="Gentium Basic" w:cs="Times New Roman"/>
          <w:sz w:val="24"/>
          <w:szCs w:val="24"/>
        </w:rPr>
      </w:pPr>
      <w:r w:rsidRPr="004C4FE6">
        <w:rPr>
          <w:rFonts w:ascii="Gentium Basic" w:eastAsia="Times New Roman" w:hAnsi="Gentium Basic" w:cs="Times New Roman"/>
          <w:sz w:val="24"/>
          <w:szCs w:val="24"/>
          <w:lang w:eastAsia="en-GB"/>
        </w:rPr>
        <w:t>To many the Nilometer signalled life or death. This lent a sacred-like status to its site, its officer and the regime that oversaw its management to the point that the Nilometer became a catalyst for popular devotion and</w:t>
      </w:r>
      <w:r>
        <w:rPr>
          <w:rFonts w:ascii="Gentium Basic" w:eastAsia="Times New Roman" w:hAnsi="Gentium Basic" w:cs="Times New Roman"/>
          <w:sz w:val="24"/>
          <w:szCs w:val="24"/>
          <w:lang w:eastAsia="en-GB"/>
        </w:rPr>
        <w:t xml:space="preserve"> </w:t>
      </w:r>
      <w:r w:rsidRPr="004C4FE6">
        <w:rPr>
          <w:rFonts w:ascii="Gentium Basic" w:eastAsia="Times New Roman" w:hAnsi="Gentium Basic" w:cs="Times New Roman"/>
          <w:sz w:val="24"/>
          <w:szCs w:val="24"/>
          <w:lang w:eastAsia="en-GB"/>
        </w:rPr>
        <w:t xml:space="preserve">propitiation rituals. </w:t>
      </w:r>
      <w:r w:rsidRPr="004C4FE6">
        <w:rPr>
          <w:rFonts w:ascii="Gentium Basic" w:hAnsi="Gentium Basic" w:cs="Times New Roman"/>
          <w:sz w:val="24"/>
          <w:szCs w:val="24"/>
        </w:rPr>
        <w:t xml:space="preserve">In </w:t>
      </w:r>
      <w:r>
        <w:rPr>
          <w:rFonts w:ascii="Gentium Basic" w:hAnsi="Gentium Basic" w:cs="Times New Roman"/>
          <w:sz w:val="24"/>
          <w:szCs w:val="24"/>
        </w:rPr>
        <w:t xml:space="preserve">the years </w:t>
      </w:r>
      <w:r w:rsidRPr="004C4FE6">
        <w:rPr>
          <w:rFonts w:ascii="Gentium Basic" w:hAnsi="Gentium Basic" w:cs="Times New Roman"/>
          <w:sz w:val="24"/>
          <w:szCs w:val="24"/>
        </w:rPr>
        <w:t>399/1008</w:t>
      </w:r>
      <w:r>
        <w:rPr>
          <w:rFonts w:ascii="Gentium Basic" w:hAnsi="Gentium Basic" w:cs="Times New Roman"/>
          <w:sz w:val="24"/>
          <w:szCs w:val="24"/>
        </w:rPr>
        <w:t xml:space="preserve">, </w:t>
      </w:r>
      <w:r w:rsidRPr="004C4FE6">
        <w:rPr>
          <w:rFonts w:ascii="Gentium Basic" w:hAnsi="Gentium Basic" w:cs="Times New Roman"/>
          <w:sz w:val="24"/>
          <w:szCs w:val="24"/>
        </w:rPr>
        <w:t xml:space="preserve">414/1023 </w:t>
      </w:r>
      <w:r>
        <w:rPr>
          <w:rFonts w:ascii="Gentium Basic" w:hAnsi="Gentium Basic" w:cs="Times New Roman"/>
          <w:sz w:val="24"/>
          <w:szCs w:val="24"/>
        </w:rPr>
        <w:t xml:space="preserve">and </w:t>
      </w:r>
      <w:r w:rsidRPr="004C4FE6">
        <w:rPr>
          <w:rFonts w:ascii="Gentium Basic" w:hAnsi="Gentium Basic" w:cs="Times New Roman"/>
          <w:sz w:val="24"/>
          <w:szCs w:val="24"/>
        </w:rPr>
        <w:t>478/1085</w:t>
      </w:r>
      <w:r>
        <w:rPr>
          <w:rFonts w:ascii="Gentium Basic" w:hAnsi="Gentium Basic" w:cs="Times New Roman"/>
          <w:sz w:val="24"/>
          <w:szCs w:val="24"/>
        </w:rPr>
        <w:t xml:space="preserve">, when </w:t>
      </w:r>
      <w:r w:rsidRPr="004C4FE6">
        <w:rPr>
          <w:rFonts w:ascii="Gentium Basic" w:eastAsia="Times New Roman" w:hAnsi="Gentium Basic" w:cs="Times New Roman"/>
          <w:sz w:val="24"/>
          <w:szCs w:val="24"/>
          <w:lang w:eastAsia="en-GB"/>
        </w:rPr>
        <w:t>t</w:t>
      </w:r>
      <w:r w:rsidRPr="004C4FE6">
        <w:rPr>
          <w:rFonts w:ascii="Gentium Basic" w:hAnsi="Gentium Basic" w:cs="Times New Roman"/>
          <w:sz w:val="24"/>
          <w:szCs w:val="24"/>
        </w:rPr>
        <w:t>he Nile stopped rising</w:t>
      </w:r>
      <w:r>
        <w:rPr>
          <w:rFonts w:ascii="Gentium Basic" w:hAnsi="Gentium Basic" w:cs="Times New Roman"/>
          <w:sz w:val="24"/>
          <w:szCs w:val="24"/>
        </w:rPr>
        <w:t xml:space="preserve">, </w:t>
      </w:r>
      <w:r w:rsidRPr="004C4FE6">
        <w:rPr>
          <w:rFonts w:ascii="Gentium Basic" w:hAnsi="Gentium Basic" w:cs="Times New Roman"/>
          <w:sz w:val="24"/>
          <w:szCs w:val="24"/>
        </w:rPr>
        <w:t>mass prayer</w:t>
      </w:r>
      <w:r>
        <w:rPr>
          <w:rFonts w:ascii="Gentium Basic" w:hAnsi="Gentium Basic" w:cs="Times New Roman"/>
          <w:sz w:val="24"/>
          <w:szCs w:val="24"/>
        </w:rPr>
        <w:t>s</w:t>
      </w:r>
      <w:r w:rsidRPr="004C4FE6">
        <w:rPr>
          <w:rFonts w:ascii="Gentium Basic" w:hAnsi="Gentium Basic" w:cs="Times New Roman"/>
          <w:sz w:val="24"/>
          <w:szCs w:val="24"/>
        </w:rPr>
        <w:t xml:space="preserve"> took place at the Muqaṭṭam mountain overlooking </w:t>
      </w:r>
      <w:r>
        <w:rPr>
          <w:rFonts w:ascii="Gentium Basic" w:hAnsi="Gentium Basic" w:cs="Times New Roman"/>
          <w:sz w:val="24"/>
          <w:szCs w:val="24"/>
        </w:rPr>
        <w:t>Cairo</w:t>
      </w:r>
      <w:r w:rsidRPr="004C4FE6">
        <w:rPr>
          <w:rFonts w:ascii="Gentium Basic" w:hAnsi="Gentium Basic" w:cs="Times New Roman"/>
          <w:sz w:val="24"/>
          <w:szCs w:val="24"/>
        </w:rPr>
        <w:t>.</w:t>
      </w:r>
      <w:r w:rsidRPr="004C4FE6">
        <w:rPr>
          <w:rStyle w:val="FootnoteReference"/>
          <w:rFonts w:ascii="Gentium Basic" w:hAnsi="Gentium Basic" w:cs="Times New Roman"/>
          <w:sz w:val="24"/>
          <w:szCs w:val="24"/>
        </w:rPr>
        <w:footnoteReference w:id="31"/>
      </w:r>
      <w:r w:rsidRPr="004C4FE6">
        <w:rPr>
          <w:rFonts w:ascii="Gentium Basic" w:hAnsi="Gentium Basic" w:cs="Times New Roman"/>
          <w:sz w:val="24"/>
          <w:szCs w:val="24"/>
        </w:rPr>
        <w:t xml:space="preserve"> In 485/1092 al-Mustanṣir built a mosque on the west side of the Nilometer, </w:t>
      </w:r>
      <w:r>
        <w:rPr>
          <w:rFonts w:ascii="Gentium Basic" w:hAnsi="Gentium Basic" w:cs="Times New Roman"/>
          <w:sz w:val="24"/>
          <w:szCs w:val="24"/>
        </w:rPr>
        <w:t xml:space="preserve">possibly for </w:t>
      </w:r>
      <w:r w:rsidRPr="004C4FE6">
        <w:rPr>
          <w:rFonts w:ascii="Gentium Basic" w:hAnsi="Gentium Basic" w:cs="Times New Roman"/>
          <w:sz w:val="24"/>
          <w:szCs w:val="24"/>
        </w:rPr>
        <w:t>amuletic purposes.</w:t>
      </w:r>
      <w:r w:rsidRPr="004C4FE6">
        <w:rPr>
          <w:rStyle w:val="FootnoteReference"/>
          <w:rFonts w:ascii="Gentium Basic" w:hAnsi="Gentium Basic" w:cs="Times New Roman"/>
          <w:sz w:val="24"/>
          <w:szCs w:val="24"/>
        </w:rPr>
        <w:footnoteReference w:id="32"/>
      </w:r>
      <w:r w:rsidRPr="004C4FE6">
        <w:rPr>
          <w:rFonts w:ascii="Gentium Basic" w:hAnsi="Gentium Basic" w:cs="Times New Roman"/>
          <w:sz w:val="24"/>
          <w:szCs w:val="24"/>
        </w:rPr>
        <w:t xml:space="preserve"> It is however in the 6</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/12</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century, during the caliphate of al-Ḥafiẓ that we find reference to an elaborate ceremonial that saw the caliph leading a ritual aimed at transforming the status of the Nilometer from profane to sacred space. At its climax, the ceremony consisted of ‘the perfuming of the Nilometer’, celebrate</w:t>
      </w:r>
      <w:r>
        <w:rPr>
          <w:rFonts w:ascii="Gentium Basic" w:hAnsi="Gentium Basic" w:cs="Times New Roman"/>
          <w:sz w:val="24"/>
          <w:szCs w:val="24"/>
        </w:rPr>
        <w:t>d</w:t>
      </w:r>
      <w:r w:rsidRPr="004C4FE6">
        <w:rPr>
          <w:rFonts w:ascii="Gentium Basic" w:hAnsi="Gentium Basic" w:cs="Times New Roman"/>
          <w:sz w:val="24"/>
          <w:szCs w:val="24"/>
        </w:rPr>
        <w:t xml:space="preserve"> upon the Nile reaching the auspicious 16 cubit level.</w:t>
      </w:r>
      <w:r w:rsidRPr="004C4FE6">
        <w:rPr>
          <w:rFonts w:ascii="Gentium Basic" w:eastAsia="Times New Roman" w:hAnsi="Gentium Basic" w:cs="Times New Roman"/>
          <w:sz w:val="24"/>
          <w:szCs w:val="24"/>
          <w:lang w:eastAsia="en-GB"/>
        </w:rPr>
        <w:t xml:space="preserve"> </w:t>
      </w:r>
      <w:r w:rsidRPr="004C4FE6">
        <w:rPr>
          <w:rFonts w:ascii="Gentium Basic" w:hAnsi="Gentium Basic" w:cs="Times New Roman"/>
          <w:sz w:val="24"/>
          <w:szCs w:val="24"/>
        </w:rPr>
        <w:t xml:space="preserve">Unlike other festivals, participation to this ceremony was restricted </w:t>
      </w:r>
      <w:r>
        <w:rPr>
          <w:rFonts w:ascii="Gentium Basic" w:hAnsi="Gentium Basic" w:cs="Times New Roman"/>
          <w:sz w:val="24"/>
          <w:szCs w:val="24"/>
        </w:rPr>
        <w:t xml:space="preserve">only </w:t>
      </w:r>
      <w:r w:rsidRPr="004C4FE6">
        <w:rPr>
          <w:rFonts w:ascii="Gentium Basic" w:hAnsi="Gentium Basic" w:cs="Times New Roman"/>
          <w:sz w:val="24"/>
          <w:szCs w:val="24"/>
        </w:rPr>
        <w:t>to the caliph</w:t>
      </w:r>
      <w:r>
        <w:rPr>
          <w:rFonts w:ascii="Gentium Basic" w:hAnsi="Gentium Basic" w:cs="Times New Roman"/>
          <w:sz w:val="24"/>
          <w:szCs w:val="24"/>
        </w:rPr>
        <w:t xml:space="preserve"> and his closest entourage</w:t>
      </w:r>
      <w:r w:rsidRPr="004C4FE6">
        <w:rPr>
          <w:rFonts w:ascii="Gentium Basic" w:hAnsi="Gentium Basic" w:cs="Times New Roman"/>
          <w:sz w:val="24"/>
          <w:szCs w:val="24"/>
        </w:rPr>
        <w:t xml:space="preserve">. When the Nile reached plenitude the caliph and the vizier rode </w:t>
      </w:r>
      <w:r>
        <w:rPr>
          <w:rFonts w:ascii="Gentium Basic" w:hAnsi="Gentium Basic" w:cs="Times New Roman"/>
          <w:sz w:val="24"/>
          <w:szCs w:val="24"/>
        </w:rPr>
        <w:t xml:space="preserve">to </w:t>
      </w:r>
      <w:r w:rsidRPr="004C4FE6">
        <w:rPr>
          <w:rFonts w:ascii="Gentium Basic" w:hAnsi="Gentium Basic" w:cs="Times New Roman"/>
          <w:sz w:val="24"/>
          <w:szCs w:val="24"/>
        </w:rPr>
        <w:t>the port in the old capital, Fus</w:t>
      </w:r>
      <w:r>
        <w:rPr>
          <w:rFonts w:ascii="Gentium Basic" w:hAnsi="Gentium Basic" w:cs="Times New Roman"/>
          <w:sz w:val="24"/>
          <w:szCs w:val="24"/>
        </w:rPr>
        <w:t>ṭ</w:t>
      </w:r>
      <w:r w:rsidRPr="004C4FE6">
        <w:rPr>
          <w:rFonts w:ascii="Gentium Basic" w:hAnsi="Gentium Basic" w:cs="Times New Roman"/>
          <w:sz w:val="24"/>
          <w:szCs w:val="24"/>
        </w:rPr>
        <w:t>a</w:t>
      </w:r>
      <w:r>
        <w:rPr>
          <w:rFonts w:ascii="Gentium Basic" w:hAnsi="Gentium Basic" w:cs="Times New Roman"/>
          <w:sz w:val="24"/>
          <w:szCs w:val="24"/>
        </w:rPr>
        <w:t>ṭ</w:t>
      </w:r>
      <w:r w:rsidRPr="004C4FE6">
        <w:rPr>
          <w:rFonts w:ascii="Gentium Basic" w:hAnsi="Gentium Basic" w:cs="Times New Roman"/>
          <w:sz w:val="24"/>
          <w:szCs w:val="24"/>
        </w:rPr>
        <w:t xml:space="preserve">. Once at the Nilometer the caliph </w:t>
      </w:r>
      <w:r>
        <w:rPr>
          <w:rFonts w:ascii="Gentium Basic" w:hAnsi="Gentium Basic" w:cs="Times New Roman"/>
          <w:sz w:val="24"/>
          <w:szCs w:val="24"/>
        </w:rPr>
        <w:t xml:space="preserve">made a perfume mixing </w:t>
      </w:r>
      <w:r w:rsidRPr="004C4FE6">
        <w:rPr>
          <w:rFonts w:ascii="Gentium Basic" w:hAnsi="Gentium Basic" w:cs="Times New Roman"/>
          <w:sz w:val="24"/>
          <w:szCs w:val="24"/>
        </w:rPr>
        <w:t xml:space="preserve">saffron </w:t>
      </w:r>
      <w:r w:rsidR="00907E2A">
        <w:rPr>
          <w:rFonts w:ascii="Gentium Basic" w:hAnsi="Gentium Basic" w:cs="Times New Roman"/>
          <w:sz w:val="24"/>
          <w:szCs w:val="24"/>
        </w:rPr>
        <w:t>and</w:t>
      </w:r>
      <w:r w:rsidRPr="004C4FE6">
        <w:rPr>
          <w:rFonts w:ascii="Gentium Basic" w:hAnsi="Gentium Basic" w:cs="Times New Roman"/>
          <w:sz w:val="24"/>
          <w:szCs w:val="24"/>
        </w:rPr>
        <w:t xml:space="preserve"> musk </w:t>
      </w:r>
      <w:r>
        <w:rPr>
          <w:rFonts w:ascii="Gentium Basic" w:hAnsi="Gentium Basic" w:cs="Times New Roman"/>
          <w:sz w:val="24"/>
          <w:szCs w:val="24"/>
        </w:rPr>
        <w:t xml:space="preserve">for </w:t>
      </w:r>
      <w:r w:rsidRPr="004C4FE6">
        <w:rPr>
          <w:rFonts w:ascii="Gentium Basic" w:hAnsi="Gentium Basic" w:cs="Times New Roman"/>
          <w:sz w:val="24"/>
          <w:szCs w:val="24"/>
        </w:rPr>
        <w:t>Ibn Abi’l-Raddad</w:t>
      </w:r>
      <w:r>
        <w:rPr>
          <w:rFonts w:ascii="Gentium Basic" w:hAnsi="Gentium Basic" w:cs="Times New Roman"/>
          <w:sz w:val="24"/>
          <w:szCs w:val="24"/>
        </w:rPr>
        <w:t xml:space="preserve"> to handle</w:t>
      </w:r>
      <w:r w:rsidRPr="004C4FE6">
        <w:rPr>
          <w:rFonts w:ascii="Gentium Basic" w:hAnsi="Gentium Basic" w:cs="Times New Roman"/>
          <w:sz w:val="24"/>
          <w:szCs w:val="24"/>
        </w:rPr>
        <w:t xml:space="preserve">. The latter would </w:t>
      </w:r>
      <w:r>
        <w:rPr>
          <w:rFonts w:ascii="Gentium Basic" w:hAnsi="Gentium Basic" w:cs="Times New Roman"/>
          <w:sz w:val="24"/>
          <w:szCs w:val="24"/>
        </w:rPr>
        <w:t xml:space="preserve">then jump </w:t>
      </w:r>
      <w:r w:rsidRPr="004C4FE6">
        <w:rPr>
          <w:rFonts w:ascii="Gentium Basic" w:hAnsi="Gentium Basic" w:cs="Times New Roman"/>
          <w:sz w:val="24"/>
          <w:szCs w:val="24"/>
        </w:rPr>
        <w:t>into the well</w:t>
      </w:r>
      <w:r>
        <w:rPr>
          <w:rFonts w:ascii="Gentium Basic" w:hAnsi="Gentium Basic" w:cs="Times New Roman"/>
          <w:sz w:val="24"/>
          <w:szCs w:val="24"/>
        </w:rPr>
        <w:t>. S</w:t>
      </w:r>
      <w:r w:rsidRPr="004C4FE6">
        <w:rPr>
          <w:rFonts w:ascii="Gentium Basic" w:hAnsi="Gentium Basic" w:cs="Times New Roman"/>
          <w:sz w:val="24"/>
          <w:szCs w:val="24"/>
        </w:rPr>
        <w:t xml:space="preserve">till </w:t>
      </w:r>
      <w:r>
        <w:rPr>
          <w:rFonts w:ascii="Gentium Basic" w:hAnsi="Gentium Basic" w:cs="Times New Roman"/>
          <w:sz w:val="24"/>
          <w:szCs w:val="24"/>
        </w:rPr>
        <w:t>dressed, h</w:t>
      </w:r>
      <w:r w:rsidRPr="004C4FE6">
        <w:rPr>
          <w:rFonts w:ascii="Gentium Basic" w:hAnsi="Gentium Basic" w:cs="Times New Roman"/>
          <w:sz w:val="24"/>
          <w:szCs w:val="24"/>
        </w:rPr>
        <w:t xml:space="preserve">e would </w:t>
      </w:r>
      <w:r>
        <w:rPr>
          <w:rFonts w:ascii="Gentium Basic" w:hAnsi="Gentium Basic" w:cs="Times New Roman"/>
          <w:sz w:val="24"/>
          <w:szCs w:val="24"/>
        </w:rPr>
        <w:t xml:space="preserve">cling to </w:t>
      </w:r>
      <w:r w:rsidRPr="004C4FE6">
        <w:rPr>
          <w:rFonts w:ascii="Gentium Basic" w:hAnsi="Gentium Basic" w:cs="Times New Roman"/>
          <w:sz w:val="24"/>
          <w:szCs w:val="24"/>
        </w:rPr>
        <w:t>the column and perfume</w:t>
      </w:r>
      <w:r>
        <w:rPr>
          <w:rFonts w:ascii="Gentium Basic" w:hAnsi="Gentium Basic" w:cs="Times New Roman"/>
          <w:sz w:val="24"/>
          <w:szCs w:val="24"/>
        </w:rPr>
        <w:t xml:space="preserve"> it</w:t>
      </w:r>
      <w:r w:rsidRPr="004C4FE6">
        <w:rPr>
          <w:rFonts w:ascii="Gentium Basic" w:hAnsi="Gentium Basic" w:cs="Times New Roman"/>
          <w:sz w:val="24"/>
          <w:szCs w:val="24"/>
        </w:rPr>
        <w:t xml:space="preserve"> with his right hand while the Qur’an </w:t>
      </w:r>
      <w:r>
        <w:rPr>
          <w:rFonts w:ascii="Gentium Basic" w:hAnsi="Gentium Basic" w:cs="Times New Roman"/>
          <w:sz w:val="24"/>
          <w:szCs w:val="24"/>
        </w:rPr>
        <w:t>was recited.</w:t>
      </w:r>
      <w:r w:rsidRPr="004C4FE6">
        <w:rPr>
          <w:rStyle w:val="FootnoteReference"/>
          <w:rFonts w:ascii="Gentium Basic" w:hAnsi="Gentium Basic" w:cs="Times New Roman"/>
          <w:sz w:val="24"/>
          <w:szCs w:val="24"/>
        </w:rPr>
        <w:footnoteReference w:id="33"/>
      </w:r>
    </w:p>
    <w:p w:rsidR="006D4166" w:rsidRPr="004C4FE6" w:rsidRDefault="006D4166" w:rsidP="006D4166">
      <w:pPr>
        <w:ind w:firstLine="720"/>
        <w:rPr>
          <w:rFonts w:ascii="Gentium Basic" w:hAnsi="Gentium Basic" w:cs="Times New Roman"/>
          <w:sz w:val="24"/>
          <w:szCs w:val="24"/>
        </w:rPr>
      </w:pPr>
      <w:r w:rsidRPr="004C4FE6">
        <w:rPr>
          <w:rFonts w:ascii="Gentium Basic" w:hAnsi="Gentium Basic" w:cs="Times New Roman"/>
          <w:sz w:val="24"/>
          <w:szCs w:val="24"/>
        </w:rPr>
        <w:t xml:space="preserve">Every year, the rising of the water to the highest level, marked the most important moment in the Fatimid calendar: it signalled the start of the agricultural cycle and of the </w:t>
      </w:r>
      <w:r w:rsidRPr="004C4FE6">
        <w:rPr>
          <w:rFonts w:ascii="Gentium Basic" w:hAnsi="Gentium Basic" w:cs="Times New Roman"/>
          <w:sz w:val="24"/>
          <w:szCs w:val="24"/>
        </w:rPr>
        <w:lastRenderedPageBreak/>
        <w:t>land tax (</w:t>
      </w:r>
      <w:r w:rsidRPr="004C4FE6">
        <w:rPr>
          <w:rFonts w:ascii="Gentium Basic" w:hAnsi="Gentium Basic" w:cs="Times New Roman"/>
          <w:i/>
          <w:sz w:val="24"/>
          <w:szCs w:val="24"/>
        </w:rPr>
        <w:t>kharaj</w:t>
      </w:r>
      <w:r w:rsidRPr="004C4FE6">
        <w:rPr>
          <w:rFonts w:ascii="Gentium Basic" w:hAnsi="Gentium Basic" w:cs="Times New Roman"/>
          <w:sz w:val="24"/>
          <w:szCs w:val="24"/>
        </w:rPr>
        <w:t>) year.</w:t>
      </w:r>
      <w:r w:rsidRPr="004C4FE6">
        <w:rPr>
          <w:rStyle w:val="FootnoteReference"/>
          <w:rFonts w:ascii="Gentium Basic" w:hAnsi="Gentium Basic" w:cs="Times New Roman"/>
          <w:sz w:val="24"/>
          <w:szCs w:val="24"/>
        </w:rPr>
        <w:footnoteReference w:id="34"/>
      </w:r>
      <w:r w:rsidRPr="004C4FE6">
        <w:rPr>
          <w:rFonts w:ascii="Gentium Basic" w:hAnsi="Gentium Basic" w:cs="Times New Roman"/>
          <w:sz w:val="24"/>
          <w:szCs w:val="24"/>
        </w:rPr>
        <w:t xml:space="preserve"> The Fatimids’ fiscal year coincided with the Coptic solar year, beginning on September 8-9.</w:t>
      </w:r>
      <w:r w:rsidRPr="004C4FE6">
        <w:rPr>
          <w:rStyle w:val="FootnoteReference"/>
          <w:rFonts w:ascii="Gentium Basic" w:hAnsi="Gentium Basic" w:cs="Times New Roman"/>
          <w:sz w:val="24"/>
          <w:szCs w:val="24"/>
        </w:rPr>
        <w:footnoteReference w:id="35"/>
      </w:r>
      <w:r w:rsidRPr="004C4FE6">
        <w:rPr>
          <w:rFonts w:ascii="Gentium Basic" w:hAnsi="Gentium Basic" w:cs="Times New Roman"/>
          <w:sz w:val="24"/>
          <w:szCs w:val="24"/>
        </w:rPr>
        <w:t xml:space="preserve"> The land tax was due after the harvest and </w:t>
      </w:r>
      <w:r>
        <w:rPr>
          <w:rFonts w:ascii="Gentium Basic" w:hAnsi="Gentium Basic" w:cs="Times New Roman"/>
          <w:sz w:val="24"/>
          <w:szCs w:val="24"/>
        </w:rPr>
        <w:t>its full</w:t>
      </w:r>
      <w:r w:rsidRPr="004C4FE6">
        <w:rPr>
          <w:rFonts w:ascii="Gentium Basic" w:hAnsi="Gentium Basic" w:cs="Times New Roman"/>
          <w:sz w:val="24"/>
          <w:szCs w:val="24"/>
        </w:rPr>
        <w:t xml:space="preserve"> payment was required before the next seed time could start.</w:t>
      </w:r>
      <w:r w:rsidRPr="004C4FE6">
        <w:rPr>
          <w:rStyle w:val="FootnoteReference"/>
          <w:rFonts w:ascii="Gentium Basic" w:eastAsia="Times New Roman" w:hAnsi="Gentium Basic" w:cs="Times New Roman"/>
          <w:sz w:val="24"/>
          <w:szCs w:val="24"/>
          <w:lang w:eastAsia="en-GB"/>
        </w:rPr>
        <w:footnoteReference w:id="36"/>
      </w:r>
      <w:r w:rsidRPr="004C4FE6">
        <w:rPr>
          <w:rFonts w:ascii="Gentium Basic" w:eastAsia="Times New Roman" w:hAnsi="Gentium Basic" w:cs="Times New Roman"/>
          <w:sz w:val="24"/>
          <w:szCs w:val="24"/>
          <w:lang w:eastAsia="en-GB"/>
        </w:rPr>
        <w:t xml:space="preserve"> </w:t>
      </w:r>
      <w:r w:rsidRPr="004C4FE6">
        <w:rPr>
          <w:rFonts w:ascii="Gentium Basic" w:hAnsi="Gentium Basic" w:cs="Times New Roman"/>
          <w:sz w:val="24"/>
          <w:szCs w:val="24"/>
        </w:rPr>
        <w:t>The Fatimids adopted a land tax calculation based on the farmers’ declaration of intention in using the land. The ruler</w:t>
      </w:r>
      <w:r>
        <w:rPr>
          <w:rFonts w:ascii="Gentium Basic" w:hAnsi="Gentium Basic" w:cs="Times New Roman"/>
          <w:sz w:val="24"/>
          <w:szCs w:val="24"/>
        </w:rPr>
        <w:t xml:space="preserve"> - mostly</w:t>
      </w:r>
      <w:r w:rsidRPr="004C4FE6">
        <w:rPr>
          <w:rFonts w:ascii="Gentium Basic" w:hAnsi="Gentium Basic" w:cs="Times New Roman"/>
          <w:sz w:val="24"/>
          <w:szCs w:val="24"/>
        </w:rPr>
        <w:t xml:space="preserve"> </w:t>
      </w:r>
      <w:r>
        <w:rPr>
          <w:rFonts w:ascii="Gentium Basic" w:hAnsi="Gentium Basic" w:cs="Times New Roman"/>
          <w:sz w:val="24"/>
          <w:szCs w:val="24"/>
        </w:rPr>
        <w:t xml:space="preserve">the </w:t>
      </w:r>
      <w:r w:rsidRPr="004C4FE6">
        <w:rPr>
          <w:rFonts w:ascii="Gentium Basic" w:hAnsi="Gentium Basic" w:cs="Times New Roman"/>
          <w:sz w:val="24"/>
          <w:szCs w:val="24"/>
        </w:rPr>
        <w:t xml:space="preserve">sole owner of the land </w:t>
      </w:r>
      <w:r>
        <w:rPr>
          <w:rFonts w:ascii="Gentium Basic" w:hAnsi="Gentium Basic" w:cs="Times New Roman"/>
          <w:sz w:val="24"/>
          <w:szCs w:val="24"/>
        </w:rPr>
        <w:t>-</w:t>
      </w:r>
      <w:r w:rsidRPr="004C4FE6">
        <w:rPr>
          <w:rFonts w:ascii="Gentium Basic" w:hAnsi="Gentium Basic" w:cs="Times New Roman"/>
          <w:sz w:val="24"/>
          <w:szCs w:val="24"/>
        </w:rPr>
        <w:t xml:space="preserve"> would grant permission to the peasants to cultivate it. The ruler, however, </w:t>
      </w:r>
      <w:r>
        <w:rPr>
          <w:rFonts w:ascii="Gentium Basic" w:hAnsi="Gentium Basic" w:cs="Times New Roman"/>
          <w:sz w:val="24"/>
          <w:szCs w:val="24"/>
        </w:rPr>
        <w:t>could not</w:t>
      </w:r>
      <w:r w:rsidRPr="004C4FE6">
        <w:rPr>
          <w:rFonts w:ascii="Gentium Basic" w:hAnsi="Gentium Basic" w:cs="Times New Roman"/>
          <w:sz w:val="24"/>
          <w:szCs w:val="24"/>
        </w:rPr>
        <w:t xml:space="preserve"> impose tax on </w:t>
      </w:r>
      <w:r>
        <w:rPr>
          <w:rFonts w:ascii="Gentium Basic" w:hAnsi="Gentium Basic" w:cs="Times New Roman"/>
          <w:sz w:val="24"/>
          <w:szCs w:val="24"/>
        </w:rPr>
        <w:t>arable</w:t>
      </w:r>
      <w:r w:rsidRPr="004C4FE6">
        <w:rPr>
          <w:rFonts w:ascii="Gentium Basic" w:hAnsi="Gentium Basic" w:cs="Times New Roman"/>
          <w:sz w:val="24"/>
          <w:szCs w:val="24"/>
        </w:rPr>
        <w:t xml:space="preserve"> land until the Nile reached plenitude. After the water receded, an agent would survey the </w:t>
      </w:r>
      <w:r>
        <w:rPr>
          <w:rFonts w:ascii="Gentium Basic" w:hAnsi="Gentium Basic" w:cs="Times New Roman"/>
          <w:sz w:val="24"/>
          <w:szCs w:val="24"/>
        </w:rPr>
        <w:t>territory</w:t>
      </w:r>
      <w:r w:rsidRPr="004C4FE6">
        <w:rPr>
          <w:rFonts w:ascii="Gentium Basic" w:hAnsi="Gentium Basic" w:cs="Times New Roman"/>
          <w:sz w:val="24"/>
          <w:szCs w:val="24"/>
        </w:rPr>
        <w:t>, distinguishing it between cultivable</w:t>
      </w:r>
      <w:r>
        <w:rPr>
          <w:rFonts w:ascii="Gentium Basic" w:hAnsi="Gentium Basic" w:cs="Times New Roman"/>
          <w:sz w:val="24"/>
          <w:szCs w:val="24"/>
        </w:rPr>
        <w:t xml:space="preserve"> land</w:t>
      </w:r>
      <w:r w:rsidRPr="004C4FE6">
        <w:rPr>
          <w:rFonts w:ascii="Gentium Basic" w:hAnsi="Gentium Basic" w:cs="Times New Roman"/>
          <w:sz w:val="24"/>
          <w:szCs w:val="24"/>
        </w:rPr>
        <w:t xml:space="preserve"> and non cultivable and indicate the amount of cultivation that was feasible according to the </w:t>
      </w:r>
      <w:r>
        <w:rPr>
          <w:rFonts w:ascii="Gentium Basic" w:hAnsi="Gentium Basic" w:cs="Times New Roman"/>
          <w:sz w:val="24"/>
          <w:szCs w:val="24"/>
        </w:rPr>
        <w:t xml:space="preserve">flood </w:t>
      </w:r>
      <w:r w:rsidRPr="004C4FE6">
        <w:rPr>
          <w:rFonts w:ascii="Gentium Basic" w:hAnsi="Gentium Basic" w:cs="Times New Roman"/>
          <w:sz w:val="24"/>
          <w:szCs w:val="24"/>
        </w:rPr>
        <w:t xml:space="preserve">level. </w:t>
      </w:r>
      <w:r w:rsidRPr="004C4FE6">
        <w:rPr>
          <w:rFonts w:ascii="Gentium Basic" w:eastAsia="Times New Roman" w:hAnsi="Gentium Basic" w:cs="Times New Roman"/>
          <w:sz w:val="24"/>
          <w:szCs w:val="24"/>
          <w:lang w:eastAsia="en-GB"/>
        </w:rPr>
        <w:t xml:space="preserve">Where the </w:t>
      </w:r>
      <w:r>
        <w:rPr>
          <w:rFonts w:ascii="Gentium Basic" w:eastAsia="Times New Roman" w:hAnsi="Gentium Basic" w:cs="Times New Roman"/>
          <w:sz w:val="24"/>
          <w:szCs w:val="24"/>
          <w:lang w:eastAsia="en-GB"/>
        </w:rPr>
        <w:t xml:space="preserve">Nile’s </w:t>
      </w:r>
      <w:r w:rsidRPr="004C4FE6">
        <w:rPr>
          <w:rFonts w:ascii="Gentium Basic" w:eastAsia="Times New Roman" w:hAnsi="Gentium Basic" w:cs="Times New Roman"/>
          <w:sz w:val="24"/>
          <w:szCs w:val="24"/>
          <w:lang w:eastAsia="en-GB"/>
        </w:rPr>
        <w:t xml:space="preserve">growth was insufficient the ruler would not charge the land tax on the farmers. </w:t>
      </w:r>
      <w:r w:rsidRPr="004C4FE6">
        <w:rPr>
          <w:rFonts w:ascii="Gentium Basic" w:hAnsi="Gentium Basic" w:cs="Times New Roman"/>
          <w:sz w:val="24"/>
          <w:szCs w:val="24"/>
        </w:rPr>
        <w:t xml:space="preserve">At harvesting time the treasurer and secretary of the ruler would go out and determine the amount of crop to be paid as </w:t>
      </w:r>
      <w:r>
        <w:rPr>
          <w:rFonts w:ascii="Gentium Basic" w:hAnsi="Gentium Basic" w:cs="Times New Roman"/>
          <w:sz w:val="24"/>
          <w:szCs w:val="24"/>
        </w:rPr>
        <w:t xml:space="preserve">land </w:t>
      </w:r>
      <w:r w:rsidRPr="004C4FE6">
        <w:rPr>
          <w:rFonts w:ascii="Gentium Basic" w:hAnsi="Gentium Basic" w:cs="Times New Roman"/>
          <w:sz w:val="24"/>
          <w:szCs w:val="24"/>
        </w:rPr>
        <w:t>rent</w:t>
      </w:r>
      <w:r>
        <w:rPr>
          <w:rFonts w:ascii="Gentium Basic" w:hAnsi="Gentium Basic" w:cs="Times New Roman"/>
          <w:sz w:val="24"/>
          <w:szCs w:val="24"/>
        </w:rPr>
        <w:t>al</w:t>
      </w:r>
      <w:r w:rsidRPr="004C4FE6">
        <w:rPr>
          <w:rFonts w:ascii="Gentium Basic" w:hAnsi="Gentium Basic" w:cs="Times New Roman"/>
          <w:sz w:val="24"/>
          <w:szCs w:val="24"/>
        </w:rPr>
        <w:t xml:space="preserve">, leaving the remaining harvest to the peasants. These arrangements regarding the payment of land rent were deemed to be wisely based on the unpredictable performance of the Nile along the whole valley. </w:t>
      </w:r>
      <w:r>
        <w:rPr>
          <w:rFonts w:ascii="Gentium Basic" w:hAnsi="Gentium Basic" w:cs="Times New Roman"/>
          <w:sz w:val="24"/>
          <w:szCs w:val="24"/>
        </w:rPr>
        <w:t>T</w:t>
      </w:r>
      <w:r w:rsidRPr="004C4FE6">
        <w:rPr>
          <w:rFonts w:ascii="Gentium Basic" w:hAnsi="Gentium Basic" w:cs="Times New Roman"/>
          <w:sz w:val="24"/>
          <w:szCs w:val="24"/>
        </w:rPr>
        <w:t xml:space="preserve">he imposition of a fixed land tax would risk creating unfairness since, were that be the case, those who were affected by a low Nile would </w:t>
      </w:r>
      <w:r>
        <w:rPr>
          <w:rFonts w:ascii="Gentium Basic" w:hAnsi="Gentium Basic" w:cs="Times New Roman"/>
          <w:sz w:val="24"/>
          <w:szCs w:val="24"/>
        </w:rPr>
        <w:t>be</w:t>
      </w:r>
      <w:r w:rsidRPr="004C4FE6">
        <w:rPr>
          <w:rFonts w:ascii="Gentium Basic" w:hAnsi="Gentium Basic" w:cs="Times New Roman"/>
          <w:sz w:val="24"/>
          <w:szCs w:val="24"/>
        </w:rPr>
        <w:t xml:space="preserve"> paying the same as those who were not. </w:t>
      </w:r>
      <w:r w:rsidRPr="004C4FE6">
        <w:rPr>
          <w:rStyle w:val="FootnoteReference"/>
          <w:rFonts w:ascii="Gentium Basic" w:hAnsi="Gentium Basic" w:cs="Times New Roman"/>
          <w:sz w:val="24"/>
          <w:szCs w:val="24"/>
        </w:rPr>
        <w:footnoteReference w:id="37"/>
      </w:r>
    </w:p>
    <w:p w:rsidR="006D4166" w:rsidRPr="004C4FE6" w:rsidRDefault="006D4166" w:rsidP="006D4166">
      <w:pPr>
        <w:spacing w:after="0"/>
        <w:ind w:firstLine="720"/>
        <w:rPr>
          <w:rFonts w:ascii="Gentium Basic" w:eastAsia="Times New Roman" w:hAnsi="Gentium Basic" w:cs="Times New Roman"/>
          <w:sz w:val="24"/>
          <w:szCs w:val="24"/>
          <w:lang w:eastAsia="en-GB"/>
        </w:rPr>
      </w:pPr>
      <w:r w:rsidRPr="004C4FE6">
        <w:rPr>
          <w:rFonts w:ascii="Gentium Basic" w:hAnsi="Gentium Basic" w:cs="Times New Roman"/>
          <w:sz w:val="24"/>
          <w:szCs w:val="24"/>
        </w:rPr>
        <w:t xml:space="preserve">The Fatimid regime relied on an elaborate administrative system to exploit the </w:t>
      </w:r>
      <w:r>
        <w:rPr>
          <w:rFonts w:ascii="Gentium Basic" w:hAnsi="Gentium Basic" w:cs="Times New Roman"/>
          <w:sz w:val="24"/>
          <w:szCs w:val="24"/>
        </w:rPr>
        <w:t xml:space="preserve">Nile’s </w:t>
      </w:r>
      <w:r w:rsidRPr="004C4FE6">
        <w:rPr>
          <w:rFonts w:ascii="Gentium Basic" w:hAnsi="Gentium Basic" w:cs="Times New Roman"/>
          <w:sz w:val="24"/>
          <w:szCs w:val="24"/>
        </w:rPr>
        <w:t xml:space="preserve">water. During the reign of al-Ḥakim, </w:t>
      </w:r>
      <w:r w:rsidRPr="004C4FE6">
        <w:rPr>
          <w:rFonts w:ascii="Gentium Basic" w:eastAsia="Times New Roman" w:hAnsi="Gentium Basic" w:cs="Times New Roman"/>
          <w:sz w:val="24"/>
          <w:szCs w:val="24"/>
          <w:lang w:eastAsia="en-GB"/>
        </w:rPr>
        <w:t xml:space="preserve">in Upper Egypt, </w:t>
      </w:r>
      <w:r w:rsidRPr="004C4FE6">
        <w:rPr>
          <w:rFonts w:ascii="Gentium Basic" w:hAnsi="Gentium Basic" w:cs="Times New Roman"/>
          <w:sz w:val="24"/>
          <w:szCs w:val="24"/>
        </w:rPr>
        <w:t>a man of science</w:t>
      </w:r>
      <w:r>
        <w:rPr>
          <w:rFonts w:ascii="Gentium Basic" w:hAnsi="Gentium Basic" w:cs="Times New Roman"/>
          <w:sz w:val="24"/>
          <w:szCs w:val="24"/>
        </w:rPr>
        <w:t>,</w:t>
      </w:r>
      <w:r w:rsidRPr="004C4FE6">
        <w:rPr>
          <w:rFonts w:ascii="Gentium Basic" w:hAnsi="Gentium Basic" w:cs="Times New Roman"/>
          <w:sz w:val="24"/>
          <w:szCs w:val="24"/>
        </w:rPr>
        <w:t xml:space="preserve"> thought </w:t>
      </w:r>
      <w:r>
        <w:rPr>
          <w:rFonts w:ascii="Gentium Basic" w:hAnsi="Gentium Basic" w:cs="Times New Roman"/>
          <w:sz w:val="24"/>
          <w:szCs w:val="24"/>
        </w:rPr>
        <w:t xml:space="preserve">to have been </w:t>
      </w:r>
      <w:r w:rsidRPr="004C4FE6">
        <w:rPr>
          <w:rFonts w:ascii="Gentium Basic" w:hAnsi="Gentium Basic" w:cs="Times New Roman"/>
          <w:sz w:val="24"/>
          <w:szCs w:val="24"/>
        </w:rPr>
        <w:t>Ibn al-Haytham (d. 430/1039)</w:t>
      </w:r>
      <w:r>
        <w:rPr>
          <w:rFonts w:ascii="Gentium Basic" w:hAnsi="Gentium Basic" w:cs="Times New Roman"/>
          <w:sz w:val="24"/>
          <w:szCs w:val="24"/>
        </w:rPr>
        <w:t>, considered</w:t>
      </w:r>
      <w:r w:rsidRPr="004C4FE6">
        <w:rPr>
          <w:rFonts w:ascii="Gentium Basic" w:hAnsi="Gentium Basic" w:cs="Times New Roman"/>
          <w:sz w:val="24"/>
          <w:szCs w:val="24"/>
        </w:rPr>
        <w:t xml:space="preserve"> utilising the water level drop at the first cataract to regulate the flow of the Nile and make the area the source of perennial agriculture. </w:t>
      </w:r>
      <w:r>
        <w:rPr>
          <w:rFonts w:ascii="Gentium Basic" w:hAnsi="Gentium Basic" w:cs="Times New Roman"/>
          <w:sz w:val="24"/>
          <w:szCs w:val="24"/>
        </w:rPr>
        <w:t xml:space="preserve">Sources suggest that </w:t>
      </w:r>
      <w:r w:rsidRPr="004C4FE6">
        <w:rPr>
          <w:rFonts w:ascii="Gentium Basic" w:hAnsi="Gentium Basic" w:cs="Times New Roman"/>
          <w:sz w:val="24"/>
          <w:szCs w:val="24"/>
        </w:rPr>
        <w:t>the famous mathematician had been wooed to Egypt by al-Ḥakim for the project</w:t>
      </w:r>
      <w:r>
        <w:rPr>
          <w:rFonts w:ascii="Gentium Basic" w:hAnsi="Gentium Basic" w:cs="Times New Roman"/>
          <w:sz w:val="24"/>
          <w:szCs w:val="24"/>
        </w:rPr>
        <w:t xml:space="preserve"> but when t</w:t>
      </w:r>
      <w:r w:rsidR="00774A9C">
        <w:rPr>
          <w:rFonts w:ascii="Gentium Basic" w:hAnsi="Gentium Basic" w:cs="Times New Roman"/>
          <w:sz w:val="24"/>
          <w:szCs w:val="24"/>
        </w:rPr>
        <w:t>he task proved unfeasible</w:t>
      </w:r>
      <w:r w:rsidRPr="004C4FE6">
        <w:rPr>
          <w:rFonts w:ascii="Gentium Basic" w:hAnsi="Gentium Basic" w:cs="Times New Roman"/>
          <w:sz w:val="24"/>
          <w:szCs w:val="24"/>
        </w:rPr>
        <w:t xml:space="preserve"> Ibn al-Haytham fled Egypt and returned only after the imam-caliph’s death.</w:t>
      </w:r>
      <w:r w:rsidRPr="004C4FE6">
        <w:rPr>
          <w:rStyle w:val="FootnoteReference"/>
          <w:rFonts w:ascii="Gentium Basic" w:hAnsi="Gentium Basic" w:cs="Times New Roman"/>
          <w:sz w:val="24"/>
          <w:szCs w:val="24"/>
        </w:rPr>
        <w:footnoteReference w:id="38"/>
      </w:r>
      <w:r w:rsidRPr="004C4FE6">
        <w:rPr>
          <w:rFonts w:ascii="Gentium Basic" w:hAnsi="Gentium Basic" w:cs="Times New Roman"/>
          <w:sz w:val="24"/>
          <w:szCs w:val="24"/>
        </w:rPr>
        <w:t xml:space="preserve"> Foremost among the government responsibilities was the maintenance of irrigation canals. </w:t>
      </w:r>
      <w:r w:rsidRPr="004C4FE6">
        <w:rPr>
          <w:rFonts w:ascii="Gentium Basic" w:eastAsia="Times New Roman" w:hAnsi="Gentium Basic" w:cs="Times New Roman"/>
          <w:sz w:val="24"/>
          <w:szCs w:val="24"/>
          <w:lang w:eastAsia="en-GB"/>
        </w:rPr>
        <w:t xml:space="preserve">From the Nile, canals would irrigate villages and, if necessary, water could be raised via hydraulic pulls. Villages were built above the river level and during the inundation period, they would be linked by boat service. A land track along the river also served as road and, according to Naṣir-i Khusraw, the treasury would pay an officer 10,000 </w:t>
      </w:r>
      <w:r w:rsidRPr="004C4FE6">
        <w:rPr>
          <w:rFonts w:ascii="Gentium Basic" w:eastAsia="Times New Roman" w:hAnsi="Gentium Basic" w:cs="Times New Roman"/>
          <w:i/>
          <w:sz w:val="24"/>
          <w:szCs w:val="24"/>
          <w:lang w:eastAsia="en-GB"/>
        </w:rPr>
        <w:t>dinars</w:t>
      </w:r>
      <w:r w:rsidRPr="004C4FE6">
        <w:rPr>
          <w:rFonts w:ascii="Gentium Basic" w:eastAsia="Times New Roman" w:hAnsi="Gentium Basic" w:cs="Times New Roman"/>
          <w:sz w:val="24"/>
          <w:szCs w:val="24"/>
          <w:lang w:eastAsia="en-GB"/>
        </w:rPr>
        <w:t xml:space="preserve"> for its maintenance.</w:t>
      </w:r>
      <w:r w:rsidRPr="004C4FE6">
        <w:rPr>
          <w:rStyle w:val="FootnoteReference"/>
          <w:rFonts w:ascii="Gentium Basic" w:eastAsia="Times New Roman" w:hAnsi="Gentium Basic" w:cs="Times New Roman"/>
          <w:sz w:val="24"/>
          <w:szCs w:val="24"/>
          <w:lang w:eastAsia="en-GB"/>
        </w:rPr>
        <w:footnoteReference w:id="39"/>
      </w:r>
      <w:r w:rsidRPr="004C4FE6">
        <w:rPr>
          <w:rFonts w:ascii="Gentium Basic" w:eastAsia="Times New Roman" w:hAnsi="Gentium Basic" w:cs="Times New Roman"/>
          <w:sz w:val="24"/>
          <w:szCs w:val="24"/>
          <w:lang w:eastAsia="en-GB"/>
        </w:rPr>
        <w:t xml:space="preserve"> </w:t>
      </w:r>
      <w:r w:rsidRPr="004C4FE6">
        <w:rPr>
          <w:rFonts w:ascii="Gentium Basic" w:hAnsi="Gentium Basic" w:cs="Times New Roman"/>
          <w:sz w:val="24"/>
          <w:szCs w:val="24"/>
        </w:rPr>
        <w:t xml:space="preserve">Egypt possessed </w:t>
      </w:r>
      <w:r>
        <w:rPr>
          <w:rFonts w:ascii="Gentium Basic" w:hAnsi="Gentium Basic" w:cs="Times New Roman"/>
          <w:sz w:val="24"/>
          <w:szCs w:val="24"/>
        </w:rPr>
        <w:t>an unmatched</w:t>
      </w:r>
      <w:r w:rsidRPr="004C4FE6">
        <w:rPr>
          <w:rFonts w:ascii="Gentium Basic" w:hAnsi="Gentium Basic" w:cs="Times New Roman"/>
          <w:sz w:val="24"/>
          <w:szCs w:val="24"/>
        </w:rPr>
        <w:t xml:space="preserve"> system of waterways and its economic ascendance over its neighbours </w:t>
      </w:r>
      <w:r>
        <w:rPr>
          <w:rFonts w:ascii="Gentium Basic" w:hAnsi="Gentium Basic" w:cs="Times New Roman"/>
          <w:sz w:val="24"/>
          <w:szCs w:val="24"/>
        </w:rPr>
        <w:t xml:space="preserve">was </w:t>
      </w:r>
      <w:r w:rsidRPr="004C4FE6">
        <w:rPr>
          <w:rFonts w:ascii="Gentium Basic" w:hAnsi="Gentium Basic" w:cs="Times New Roman"/>
          <w:sz w:val="24"/>
          <w:szCs w:val="24"/>
        </w:rPr>
        <w:t>owed partly to this advantage.</w:t>
      </w:r>
      <w:r w:rsidRPr="004C4FE6">
        <w:rPr>
          <w:rStyle w:val="FootnoteReference"/>
          <w:rFonts w:ascii="Gentium Basic" w:hAnsi="Gentium Basic" w:cs="Times New Roman"/>
          <w:sz w:val="24"/>
          <w:szCs w:val="24"/>
        </w:rPr>
        <w:footnoteReference w:id="40"/>
      </w:r>
      <w:r w:rsidRPr="004C4FE6">
        <w:rPr>
          <w:rFonts w:ascii="Gentium Basic" w:hAnsi="Gentium Basic" w:cs="Times New Roman"/>
          <w:sz w:val="24"/>
          <w:szCs w:val="24"/>
        </w:rPr>
        <w:t xml:space="preserve"> The Fatimids appear to have privileged the maintenance of some canal networks over others: during their rule the irrigation system of the Fayyum region declined dramatically</w:t>
      </w:r>
      <w:r>
        <w:rPr>
          <w:rFonts w:ascii="Gentium Basic" w:hAnsi="Gentium Basic" w:cs="Times New Roman"/>
          <w:sz w:val="24"/>
          <w:szCs w:val="24"/>
        </w:rPr>
        <w:t>.</w:t>
      </w:r>
      <w:r w:rsidRPr="004C4FE6">
        <w:rPr>
          <w:rFonts w:ascii="Gentium Basic" w:hAnsi="Gentium Basic" w:cs="Times New Roman"/>
          <w:sz w:val="24"/>
          <w:szCs w:val="24"/>
        </w:rPr>
        <w:t xml:space="preserve"> At the same time, the area remained an important centre for </w:t>
      </w:r>
      <w:r w:rsidRPr="004C4FE6">
        <w:rPr>
          <w:rFonts w:ascii="Gentium Basic" w:hAnsi="Gentium Basic" w:cs="Times New Roman"/>
          <w:sz w:val="24"/>
          <w:szCs w:val="24"/>
        </w:rPr>
        <w:lastRenderedPageBreak/>
        <w:t>the cultivation of flax</w:t>
      </w:r>
      <w:r w:rsidRPr="004C4FE6">
        <w:rPr>
          <w:rStyle w:val="FootnoteReference"/>
          <w:rFonts w:ascii="Gentium Basic" w:hAnsi="Gentium Basic" w:cs="Times New Roman"/>
          <w:sz w:val="24"/>
          <w:szCs w:val="24"/>
        </w:rPr>
        <w:footnoteReference w:id="41"/>
      </w:r>
      <w:r w:rsidRPr="004C4FE6">
        <w:rPr>
          <w:rFonts w:ascii="Gentium Basic" w:hAnsi="Gentium Basic" w:cs="Times New Roman"/>
          <w:sz w:val="24"/>
          <w:szCs w:val="24"/>
        </w:rPr>
        <w:t>, thus indicating that resources were des</w:t>
      </w:r>
      <w:r w:rsidR="0022585D">
        <w:rPr>
          <w:rFonts w:ascii="Gentium Basic" w:hAnsi="Gentium Basic" w:cs="Times New Roman"/>
          <w:sz w:val="24"/>
          <w:szCs w:val="24"/>
        </w:rPr>
        <w:t>tined to favour the production</w:t>
      </w:r>
      <w:r w:rsidRPr="004C4FE6">
        <w:rPr>
          <w:rFonts w:ascii="Gentium Basic" w:hAnsi="Gentium Basic" w:cs="Times New Roman"/>
          <w:sz w:val="24"/>
          <w:szCs w:val="24"/>
        </w:rPr>
        <w:t xml:space="preserve"> of some crops over others.</w:t>
      </w:r>
      <w:r w:rsidRPr="004C4FE6">
        <w:rPr>
          <w:rStyle w:val="FootnoteReference"/>
          <w:rFonts w:ascii="Gentium Basic" w:hAnsi="Gentium Basic" w:cs="Times New Roman"/>
          <w:sz w:val="24"/>
          <w:szCs w:val="24"/>
        </w:rPr>
        <w:footnoteReference w:id="42"/>
      </w:r>
    </w:p>
    <w:p w:rsidR="006D4166" w:rsidRDefault="006D4166" w:rsidP="006D4166">
      <w:pPr>
        <w:spacing w:after="0"/>
        <w:ind w:firstLine="720"/>
        <w:rPr>
          <w:rFonts w:ascii="Gentium Basic" w:eastAsia="Times New Roman" w:hAnsi="Gentium Basic" w:cs="Times New Roman"/>
          <w:sz w:val="24"/>
          <w:szCs w:val="24"/>
          <w:lang w:eastAsia="en-GB"/>
        </w:rPr>
      </w:pPr>
      <w:r w:rsidRPr="004C4FE6">
        <w:rPr>
          <w:rFonts w:ascii="Gentium Basic" w:hAnsi="Gentium Basic" w:cs="Times New Roman"/>
          <w:sz w:val="24"/>
          <w:szCs w:val="24"/>
        </w:rPr>
        <w:t>The canals were closed by dirt dams which were opened when the water reached the appropriate level. The opening of the canals’ major dams occurred in the context of elaborate ceremonies. The formal opening of the canal was an established practice when the Fatimids built Cairo. The Fatimids, however, raised its pomp to new heights.</w:t>
      </w:r>
      <w:r w:rsidRPr="004C4FE6">
        <w:rPr>
          <w:rStyle w:val="FootnoteReference"/>
          <w:rFonts w:ascii="Gentium Basic" w:hAnsi="Gentium Basic" w:cs="Times New Roman"/>
          <w:sz w:val="24"/>
          <w:szCs w:val="24"/>
        </w:rPr>
        <w:footnoteReference w:id="43"/>
      </w:r>
      <w:r w:rsidRPr="004C4FE6">
        <w:rPr>
          <w:rFonts w:ascii="Gentium Basic" w:hAnsi="Gentium Basic" w:cs="Times New Roman"/>
          <w:sz w:val="24"/>
          <w:szCs w:val="24"/>
        </w:rPr>
        <w:t xml:space="preserve"> In 362/973, al-Mu‘izz rode to the dam at the mouth of the canal that served the capital, </w:t>
      </w:r>
      <w:r w:rsidR="0022585D">
        <w:rPr>
          <w:rFonts w:ascii="Gentium Basic" w:hAnsi="Gentium Basic" w:cs="Times New Roman"/>
          <w:sz w:val="24"/>
          <w:szCs w:val="24"/>
        </w:rPr>
        <w:t xml:space="preserve">at the time </w:t>
      </w:r>
      <w:r w:rsidRPr="004C4FE6">
        <w:rPr>
          <w:rFonts w:ascii="Gentium Basic" w:hAnsi="Gentium Basic" w:cs="Times New Roman"/>
          <w:sz w:val="24"/>
          <w:szCs w:val="24"/>
        </w:rPr>
        <w:t>outside Cairo, in a grand procession escorted by the dignitaries of the regime. Naṣir-i Khusraw gives a detailed description of the magnificent protocol that took place during the reign of al-Mustanṣir.</w:t>
      </w:r>
      <w:r w:rsidRPr="004C4FE6">
        <w:rPr>
          <w:rStyle w:val="FootnoteReference"/>
          <w:rFonts w:ascii="Gentium Basic" w:hAnsi="Gentium Basic" w:cs="Times New Roman"/>
          <w:sz w:val="24"/>
          <w:szCs w:val="24"/>
        </w:rPr>
        <w:footnoteReference w:id="44"/>
      </w:r>
      <w:r w:rsidRPr="004C4FE6">
        <w:rPr>
          <w:rFonts w:ascii="Gentium Basic" w:eastAsia="Times New Roman" w:hAnsi="Gentium Basic" w:cs="Times New Roman"/>
          <w:sz w:val="24"/>
          <w:szCs w:val="24"/>
          <w:lang w:eastAsia="en-GB"/>
        </w:rPr>
        <w:t xml:space="preserve"> At the climax of the ceremony “This prince [the sultan] goes to the top of the canal... stays on his mount, under the pavilion... for an hour. Then, they give him a spear so that he can throw it against the dam. The people amass and start hacking the dam ...until it gives under the pressure of the water which then floods the canal... The first vessel launched in the canal is a boat filled with deaf and dumb people... They attribute to them a positive influence and the sultan arranges that they </w:t>
      </w:r>
      <w:r>
        <w:rPr>
          <w:rFonts w:ascii="Gentium Basic" w:eastAsia="Times New Roman" w:hAnsi="Gentium Basic" w:cs="Times New Roman"/>
          <w:sz w:val="24"/>
          <w:szCs w:val="24"/>
          <w:lang w:eastAsia="en-GB"/>
        </w:rPr>
        <w:t>receive</w:t>
      </w:r>
      <w:r w:rsidRPr="004C4FE6">
        <w:rPr>
          <w:rFonts w:ascii="Gentium Basic" w:eastAsia="Times New Roman" w:hAnsi="Gentium Basic" w:cs="Times New Roman"/>
          <w:sz w:val="24"/>
          <w:szCs w:val="24"/>
          <w:lang w:eastAsia="en-GB"/>
        </w:rPr>
        <w:t xml:space="preserve"> charity”.</w:t>
      </w:r>
      <w:r w:rsidRPr="004C4FE6">
        <w:rPr>
          <w:rStyle w:val="FootnoteReference"/>
          <w:rFonts w:ascii="Gentium Basic" w:eastAsia="Times New Roman" w:hAnsi="Gentium Basic" w:cs="Times New Roman"/>
          <w:sz w:val="24"/>
          <w:szCs w:val="24"/>
          <w:lang w:eastAsia="en-GB"/>
        </w:rPr>
        <w:footnoteReference w:id="45"/>
      </w:r>
      <w:r w:rsidRPr="004C4FE6">
        <w:rPr>
          <w:rFonts w:ascii="Gentium Basic" w:eastAsia="Times New Roman" w:hAnsi="Gentium Basic" w:cs="Times New Roman"/>
          <w:sz w:val="24"/>
          <w:szCs w:val="24"/>
          <w:lang w:eastAsia="en-GB"/>
        </w:rPr>
        <w:t xml:space="preserve"> The celebration coincided with the Coptic Nile festival of the Cross (26-27 September)</w:t>
      </w:r>
      <w:r w:rsidRPr="004C4FE6">
        <w:rPr>
          <w:rStyle w:val="FootnoteReference"/>
          <w:rFonts w:ascii="Gentium Basic" w:eastAsia="Times New Roman" w:hAnsi="Gentium Basic" w:cs="Times New Roman"/>
          <w:sz w:val="24"/>
          <w:szCs w:val="24"/>
          <w:lang w:eastAsia="en-GB"/>
        </w:rPr>
        <w:footnoteReference w:id="46"/>
      </w:r>
      <w:r w:rsidRPr="004C4FE6">
        <w:rPr>
          <w:rFonts w:ascii="Gentium Basic" w:eastAsia="Times New Roman" w:hAnsi="Gentium Basic" w:cs="Times New Roman"/>
          <w:sz w:val="24"/>
          <w:szCs w:val="24"/>
          <w:lang w:eastAsia="en-GB"/>
        </w:rPr>
        <w:t xml:space="preserve"> and was attended en mass by Muslims and Christian</w:t>
      </w:r>
      <w:r>
        <w:rPr>
          <w:rFonts w:ascii="Gentium Basic" w:eastAsia="Times New Roman" w:hAnsi="Gentium Basic" w:cs="Times New Roman"/>
          <w:sz w:val="24"/>
          <w:szCs w:val="24"/>
          <w:lang w:eastAsia="en-GB"/>
        </w:rPr>
        <w:t>s</w:t>
      </w:r>
      <w:r w:rsidRPr="004C4FE6">
        <w:rPr>
          <w:rFonts w:ascii="Gentium Basic" w:eastAsia="Times New Roman" w:hAnsi="Gentium Basic" w:cs="Times New Roman"/>
          <w:sz w:val="24"/>
          <w:szCs w:val="24"/>
          <w:lang w:eastAsia="en-GB"/>
        </w:rPr>
        <w:t xml:space="preserve">. After the opening of the canals, the flooding of the whole Nile valley would take place and it would take some forty days for the water to recede, finally allowing the farmers to start seeding. </w:t>
      </w:r>
    </w:p>
    <w:p w:rsidR="006D4166" w:rsidRDefault="006D4166" w:rsidP="006D4166">
      <w:pPr>
        <w:spacing w:after="0"/>
        <w:ind w:firstLine="720"/>
        <w:rPr>
          <w:rFonts w:ascii="Gentium Basic" w:eastAsia="Times New Roman" w:hAnsi="Gentium Basic" w:cs="Times New Roman"/>
          <w:sz w:val="24"/>
          <w:szCs w:val="24"/>
          <w:lang w:eastAsia="en-GB"/>
        </w:rPr>
      </w:pPr>
    </w:p>
    <w:p w:rsidR="006D4166" w:rsidRPr="001219E5" w:rsidRDefault="006D4166" w:rsidP="006D4166">
      <w:pPr>
        <w:spacing w:after="0"/>
        <w:ind w:firstLine="720"/>
        <w:rPr>
          <w:rFonts w:ascii="Gentium Basic" w:hAnsi="Gentium Basic" w:cs="TimesNewRoman"/>
          <w:sz w:val="24"/>
          <w:szCs w:val="24"/>
        </w:rPr>
      </w:pPr>
      <w:r w:rsidRPr="001219E5">
        <w:rPr>
          <w:rFonts w:ascii="Gentium Basic" w:hAnsi="Gentium Basic" w:cs="TimesNewRoman"/>
          <w:sz w:val="24"/>
          <w:szCs w:val="24"/>
        </w:rPr>
        <w:t xml:space="preserve">Flax versus Wheat: Hits and Misses </w:t>
      </w:r>
      <w:r w:rsidR="0022585D" w:rsidRPr="001219E5">
        <w:rPr>
          <w:rFonts w:ascii="Gentium Basic" w:hAnsi="Gentium Basic" w:cs="TimesNewRoman"/>
          <w:sz w:val="24"/>
          <w:szCs w:val="24"/>
        </w:rPr>
        <w:t>and</w:t>
      </w:r>
      <w:r w:rsidRPr="001219E5">
        <w:rPr>
          <w:rFonts w:ascii="Gentium Basic" w:hAnsi="Gentium Basic" w:cs="TimesNewRoman"/>
          <w:sz w:val="24"/>
          <w:szCs w:val="24"/>
        </w:rPr>
        <w:t xml:space="preserve"> Times of Crisis</w:t>
      </w:r>
    </w:p>
    <w:p w:rsidR="006D4166" w:rsidRPr="00E27DBA" w:rsidRDefault="006D4166" w:rsidP="006D4166">
      <w:pPr>
        <w:spacing w:after="0"/>
        <w:ind w:firstLine="720"/>
        <w:rPr>
          <w:rFonts w:ascii="Gentium Basic" w:eastAsia="Times New Roman" w:hAnsi="Gentium Basic" w:cs="Times New Roman"/>
          <w:sz w:val="24"/>
          <w:szCs w:val="24"/>
          <w:lang w:eastAsia="en-GB"/>
        </w:rPr>
      </w:pPr>
    </w:p>
    <w:p w:rsidR="006D4166" w:rsidRPr="004C4FE6" w:rsidRDefault="006D4166" w:rsidP="006D4166">
      <w:pPr>
        <w:spacing w:after="0"/>
        <w:ind w:firstLine="720"/>
        <w:rPr>
          <w:rFonts w:ascii="Gentium Basic" w:eastAsia="Times New Roman" w:hAnsi="Gentium Basic" w:cs="Times New Roman"/>
          <w:sz w:val="24"/>
          <w:szCs w:val="24"/>
          <w:lang w:eastAsia="en-GB"/>
        </w:rPr>
      </w:pPr>
      <w:r>
        <w:rPr>
          <w:rFonts w:ascii="Gentium Basic" w:eastAsia="Times New Roman" w:hAnsi="Gentium Basic" w:cs="Times New Roman"/>
          <w:sz w:val="24"/>
          <w:szCs w:val="24"/>
          <w:lang w:eastAsia="en-GB"/>
        </w:rPr>
        <w:t>Plans did not always come to fruition. O</w:t>
      </w:r>
      <w:r w:rsidRPr="004C4FE6">
        <w:rPr>
          <w:rFonts w:ascii="Gentium Basic" w:eastAsia="Times New Roman" w:hAnsi="Gentium Basic" w:cs="Times New Roman"/>
          <w:sz w:val="24"/>
          <w:szCs w:val="24"/>
          <w:lang w:eastAsia="en-GB"/>
        </w:rPr>
        <w:t xml:space="preserve">ften time </w:t>
      </w:r>
      <w:r>
        <w:rPr>
          <w:rFonts w:ascii="Gentium Basic" w:eastAsia="Times New Roman" w:hAnsi="Gentium Basic" w:cs="Times New Roman"/>
          <w:sz w:val="24"/>
          <w:szCs w:val="24"/>
          <w:lang w:eastAsia="en-GB"/>
        </w:rPr>
        <w:t>t</w:t>
      </w:r>
      <w:r w:rsidRPr="004C4FE6">
        <w:rPr>
          <w:rFonts w:ascii="Gentium Basic" w:eastAsia="Times New Roman" w:hAnsi="Gentium Basic" w:cs="Times New Roman"/>
          <w:sz w:val="24"/>
          <w:szCs w:val="24"/>
          <w:lang w:eastAsia="en-GB"/>
        </w:rPr>
        <w:t xml:space="preserve">he Nile underperformed with disastrous consequences for the population at large and for the fortunes of the dynasty. The Nile </w:t>
      </w:r>
      <w:r>
        <w:rPr>
          <w:rFonts w:ascii="Gentium Basic" w:eastAsia="Times New Roman" w:hAnsi="Gentium Basic" w:cs="Times New Roman"/>
          <w:sz w:val="24"/>
          <w:szCs w:val="24"/>
          <w:lang w:eastAsia="en-GB"/>
        </w:rPr>
        <w:t>failed</w:t>
      </w:r>
      <w:r w:rsidRPr="004C4FE6">
        <w:rPr>
          <w:rFonts w:ascii="Gentium Basic" w:eastAsia="Times New Roman" w:hAnsi="Gentium Basic" w:cs="Times New Roman"/>
          <w:sz w:val="24"/>
          <w:szCs w:val="24"/>
          <w:lang w:eastAsia="en-GB"/>
        </w:rPr>
        <w:t>, intermittently during al-Ḥakim’s reign; at least one major shortfall took place during al-Ẓahir</w:t>
      </w:r>
      <w:r>
        <w:rPr>
          <w:rFonts w:ascii="Gentium Basic" w:eastAsia="Times New Roman" w:hAnsi="Gentium Basic" w:cs="Times New Roman"/>
          <w:sz w:val="24"/>
          <w:szCs w:val="24"/>
          <w:lang w:eastAsia="en-GB"/>
        </w:rPr>
        <w:t xml:space="preserve">’s </w:t>
      </w:r>
      <w:r w:rsidRPr="004C4FE6">
        <w:rPr>
          <w:rFonts w:ascii="Gentium Basic" w:eastAsia="Times New Roman" w:hAnsi="Gentium Basic" w:cs="Times New Roman"/>
          <w:sz w:val="24"/>
          <w:szCs w:val="24"/>
          <w:lang w:eastAsia="en-GB"/>
        </w:rPr>
        <w:t xml:space="preserve">reign; a low Nile </w:t>
      </w:r>
      <w:r>
        <w:rPr>
          <w:rFonts w:ascii="Gentium Basic" w:eastAsia="Times New Roman" w:hAnsi="Gentium Basic" w:cs="Times New Roman"/>
          <w:sz w:val="24"/>
          <w:szCs w:val="24"/>
          <w:lang w:eastAsia="en-GB"/>
        </w:rPr>
        <w:t xml:space="preserve">occurred </w:t>
      </w:r>
      <w:r w:rsidRPr="004C4FE6">
        <w:rPr>
          <w:rFonts w:ascii="Gentium Basic" w:eastAsia="Times New Roman" w:hAnsi="Gentium Basic" w:cs="Times New Roman"/>
          <w:sz w:val="24"/>
          <w:szCs w:val="24"/>
          <w:lang w:eastAsia="en-GB"/>
        </w:rPr>
        <w:t>in the early years of al-Mustanṣir’s r</w:t>
      </w:r>
      <w:r>
        <w:rPr>
          <w:rFonts w:ascii="Gentium Basic" w:eastAsia="Times New Roman" w:hAnsi="Gentium Basic" w:cs="Times New Roman"/>
          <w:sz w:val="24"/>
          <w:szCs w:val="24"/>
          <w:lang w:eastAsia="en-GB"/>
        </w:rPr>
        <w:t>ule (427/1036 -487’/1094).</w:t>
      </w:r>
      <w:r w:rsidRPr="004C4FE6">
        <w:rPr>
          <w:rFonts w:ascii="Gentium Basic" w:eastAsia="Times New Roman" w:hAnsi="Gentium Basic" w:cs="Times New Roman"/>
          <w:sz w:val="24"/>
          <w:szCs w:val="24"/>
          <w:lang w:eastAsia="en-GB"/>
        </w:rPr>
        <w:t xml:space="preserve"> On all these occasions, famine, plagues, price inflation and widespread death occurred. </w:t>
      </w:r>
      <w:r>
        <w:rPr>
          <w:rFonts w:ascii="Gentium Basic" w:eastAsia="Times New Roman" w:hAnsi="Gentium Basic" w:cs="Times New Roman"/>
          <w:sz w:val="24"/>
          <w:szCs w:val="24"/>
          <w:lang w:eastAsia="en-GB"/>
        </w:rPr>
        <w:t xml:space="preserve">None of </w:t>
      </w:r>
      <w:r w:rsidRPr="004C4FE6">
        <w:rPr>
          <w:rFonts w:ascii="Gentium Basic" w:eastAsia="Times New Roman" w:hAnsi="Gentium Basic" w:cs="Times New Roman"/>
          <w:sz w:val="24"/>
          <w:szCs w:val="24"/>
          <w:lang w:eastAsia="en-GB"/>
        </w:rPr>
        <w:t>these events</w:t>
      </w:r>
      <w:r>
        <w:rPr>
          <w:rFonts w:ascii="Gentium Basic" w:eastAsia="Times New Roman" w:hAnsi="Gentium Basic" w:cs="Times New Roman"/>
          <w:sz w:val="24"/>
          <w:szCs w:val="24"/>
          <w:lang w:eastAsia="en-GB"/>
        </w:rPr>
        <w:t>, though,</w:t>
      </w:r>
      <w:r w:rsidRPr="004C4FE6">
        <w:rPr>
          <w:rFonts w:ascii="Gentium Basic" w:eastAsia="Times New Roman" w:hAnsi="Gentium Basic" w:cs="Times New Roman"/>
          <w:sz w:val="24"/>
          <w:szCs w:val="24"/>
          <w:lang w:eastAsia="en-GB"/>
        </w:rPr>
        <w:t xml:space="preserve"> compared with the total economic, social and political collapse </w:t>
      </w:r>
      <w:r>
        <w:rPr>
          <w:rFonts w:ascii="Gentium Basic" w:eastAsia="Times New Roman" w:hAnsi="Gentium Basic" w:cs="Times New Roman"/>
          <w:sz w:val="24"/>
          <w:szCs w:val="24"/>
          <w:lang w:eastAsia="en-GB"/>
        </w:rPr>
        <w:t>that coincided with</w:t>
      </w:r>
      <w:r w:rsidRPr="004C4FE6">
        <w:rPr>
          <w:rFonts w:ascii="Gentium Basic" w:eastAsia="Times New Roman" w:hAnsi="Gentium Basic" w:cs="Times New Roman"/>
          <w:sz w:val="24"/>
          <w:szCs w:val="24"/>
          <w:lang w:eastAsia="en-GB"/>
        </w:rPr>
        <w:t xml:space="preserve"> a catastrophic uninterrupted sequence of low Nile years, from 457/1063 to 464/1072.</w:t>
      </w:r>
      <w:r w:rsidRPr="004C4FE6">
        <w:rPr>
          <w:rStyle w:val="FootnoteReference"/>
          <w:rFonts w:ascii="Gentium Basic" w:eastAsia="Times New Roman" w:hAnsi="Gentium Basic" w:cs="Times New Roman"/>
          <w:sz w:val="24"/>
          <w:szCs w:val="24"/>
          <w:lang w:eastAsia="en-GB"/>
        </w:rPr>
        <w:footnoteReference w:id="47"/>
      </w:r>
      <w:r w:rsidRPr="004C4FE6">
        <w:rPr>
          <w:rFonts w:ascii="Gentium Basic" w:eastAsia="Times New Roman" w:hAnsi="Gentium Basic" w:cs="Times New Roman"/>
          <w:sz w:val="24"/>
          <w:szCs w:val="24"/>
          <w:lang w:eastAsia="en-GB"/>
        </w:rPr>
        <w:t xml:space="preserve"> This period, known as the </w:t>
      </w:r>
      <w:r w:rsidRPr="004C4FE6">
        <w:rPr>
          <w:rFonts w:ascii="Gentium Basic" w:eastAsia="Times New Roman" w:hAnsi="Gentium Basic" w:cs="Times New Roman"/>
          <w:i/>
          <w:sz w:val="24"/>
          <w:szCs w:val="24"/>
          <w:lang w:eastAsia="en-GB"/>
        </w:rPr>
        <w:t>shidda</w:t>
      </w:r>
      <w:r w:rsidRPr="004C4FE6">
        <w:rPr>
          <w:rFonts w:ascii="Gentium Basic" w:eastAsia="Times New Roman" w:hAnsi="Gentium Basic" w:cs="Times New Roman"/>
          <w:sz w:val="24"/>
          <w:szCs w:val="24"/>
          <w:lang w:eastAsia="en-GB"/>
        </w:rPr>
        <w:t>,</w:t>
      </w:r>
      <w:r>
        <w:rPr>
          <w:rFonts w:ascii="Gentium Basic" w:eastAsia="Times New Roman" w:hAnsi="Gentium Basic" w:cs="Times New Roman"/>
          <w:sz w:val="24"/>
          <w:szCs w:val="24"/>
          <w:lang w:eastAsia="en-GB"/>
        </w:rPr>
        <w:t xml:space="preserve"> featured the</w:t>
      </w:r>
      <w:r w:rsidRPr="004C4FE6">
        <w:rPr>
          <w:rFonts w:ascii="Gentium Basic" w:eastAsia="Times New Roman" w:hAnsi="Gentium Basic" w:cs="Times New Roman"/>
          <w:sz w:val="24"/>
          <w:szCs w:val="24"/>
          <w:lang w:eastAsia="en-GB"/>
        </w:rPr>
        <w:t xml:space="preserve"> worst ever performance in the entire recorded history of the river. On occasions the imam-caliphs addressed these crises with drastic policies on the distribution of commodities such as wheat of which, by the way, they were the wholesalers. In 399/1009 al-Ḥakim - typically vilified in anti-Fatimid sources - was hailed as </w:t>
      </w:r>
      <w:r>
        <w:rPr>
          <w:rFonts w:ascii="Gentium Basic" w:eastAsia="Times New Roman" w:hAnsi="Gentium Basic" w:cs="Times New Roman"/>
          <w:sz w:val="24"/>
          <w:szCs w:val="24"/>
          <w:lang w:eastAsia="en-GB"/>
        </w:rPr>
        <w:t xml:space="preserve">the people’s </w:t>
      </w:r>
      <w:r w:rsidRPr="004C4FE6">
        <w:rPr>
          <w:rFonts w:ascii="Gentium Basic" w:eastAsia="Times New Roman" w:hAnsi="Gentium Basic" w:cs="Times New Roman"/>
          <w:sz w:val="24"/>
          <w:szCs w:val="24"/>
          <w:lang w:eastAsia="en-GB"/>
        </w:rPr>
        <w:t xml:space="preserve">saviour for devising a system that ensured equal distribution of wheat while preventing price </w:t>
      </w:r>
      <w:r w:rsidRPr="004C4FE6">
        <w:rPr>
          <w:rFonts w:ascii="Gentium Basic" w:eastAsia="Times New Roman" w:hAnsi="Gentium Basic" w:cs="Times New Roman"/>
          <w:sz w:val="24"/>
          <w:szCs w:val="24"/>
          <w:lang w:eastAsia="en-GB"/>
        </w:rPr>
        <w:lastRenderedPageBreak/>
        <w:t>speculation.</w:t>
      </w:r>
      <w:r w:rsidRPr="004C4FE6">
        <w:rPr>
          <w:rStyle w:val="FootnoteReference"/>
          <w:rFonts w:ascii="Gentium Basic" w:eastAsia="Times New Roman" w:hAnsi="Gentium Basic" w:cs="Times New Roman"/>
          <w:sz w:val="24"/>
          <w:szCs w:val="24"/>
          <w:lang w:eastAsia="en-GB"/>
        </w:rPr>
        <w:footnoteReference w:id="48"/>
      </w:r>
      <w:r w:rsidRPr="004C4FE6">
        <w:rPr>
          <w:rFonts w:ascii="Gentium Basic" w:eastAsia="Times New Roman" w:hAnsi="Gentium Basic" w:cs="Times New Roman"/>
          <w:sz w:val="24"/>
          <w:szCs w:val="24"/>
          <w:lang w:eastAsia="en-GB"/>
        </w:rPr>
        <w:t xml:space="preserve"> Al-Mustanṣir’s policies were not so effective: in </w:t>
      </w:r>
      <w:r w:rsidRPr="004C4FE6">
        <w:rPr>
          <w:rFonts w:ascii="Gentium Basic" w:hAnsi="Gentium Basic" w:cs="Times New Roman"/>
          <w:sz w:val="24"/>
          <w:szCs w:val="24"/>
        </w:rPr>
        <w:t>444/1052</w:t>
      </w:r>
      <w:r w:rsidRPr="004C4FE6">
        <w:rPr>
          <w:rFonts w:ascii="Gentium Basic" w:eastAsia="Times New Roman" w:hAnsi="Gentium Basic" w:cs="Times New Roman"/>
          <w:sz w:val="24"/>
          <w:szCs w:val="24"/>
          <w:lang w:eastAsia="en-GB"/>
        </w:rPr>
        <w:t xml:space="preserve"> for example a price reduction battle erupted between traders in the market </w:t>
      </w:r>
      <w:r>
        <w:rPr>
          <w:rFonts w:ascii="Gentium Basic" w:eastAsia="Times New Roman" w:hAnsi="Gentium Basic" w:cs="Times New Roman"/>
          <w:sz w:val="24"/>
          <w:szCs w:val="24"/>
          <w:lang w:eastAsia="en-GB"/>
        </w:rPr>
        <w:t xml:space="preserve">that </w:t>
      </w:r>
      <w:r w:rsidRPr="004C4FE6">
        <w:rPr>
          <w:rFonts w:ascii="Gentium Basic" w:eastAsia="Times New Roman" w:hAnsi="Gentium Basic" w:cs="Times New Roman"/>
          <w:sz w:val="24"/>
          <w:szCs w:val="24"/>
          <w:lang w:eastAsia="en-GB"/>
        </w:rPr>
        <w:t xml:space="preserve">caused a deflation in the value of wheat </w:t>
      </w:r>
      <w:r>
        <w:rPr>
          <w:rFonts w:ascii="Gentium Basic" w:eastAsia="Times New Roman" w:hAnsi="Gentium Basic" w:cs="Times New Roman"/>
          <w:sz w:val="24"/>
          <w:szCs w:val="24"/>
          <w:lang w:eastAsia="en-GB"/>
        </w:rPr>
        <w:t>resulting</w:t>
      </w:r>
      <w:r w:rsidRPr="004C4FE6">
        <w:rPr>
          <w:rFonts w:ascii="Gentium Basic" w:eastAsia="Times New Roman" w:hAnsi="Gentium Basic" w:cs="Times New Roman"/>
          <w:sz w:val="24"/>
          <w:szCs w:val="24"/>
          <w:lang w:eastAsia="en-GB"/>
        </w:rPr>
        <w:t xml:space="preserve"> in major shortages.</w:t>
      </w:r>
      <w:r w:rsidRPr="004C4FE6">
        <w:rPr>
          <w:rStyle w:val="FootnoteReference"/>
          <w:rFonts w:ascii="Gentium Basic" w:eastAsia="Times New Roman" w:hAnsi="Gentium Basic" w:cs="Times New Roman"/>
          <w:sz w:val="24"/>
          <w:szCs w:val="24"/>
          <w:lang w:eastAsia="en-GB"/>
        </w:rPr>
        <w:footnoteReference w:id="49"/>
      </w:r>
    </w:p>
    <w:p w:rsidR="006D4166" w:rsidRPr="004C4FE6" w:rsidRDefault="006D4166" w:rsidP="006D4166">
      <w:pPr>
        <w:spacing w:after="0"/>
        <w:ind w:firstLine="720"/>
        <w:rPr>
          <w:rFonts w:ascii="Gentium Basic" w:eastAsia="Times New Roman" w:hAnsi="Gentium Basic" w:cs="Times New Roman"/>
          <w:sz w:val="24"/>
          <w:szCs w:val="24"/>
          <w:lang w:eastAsia="en-GB"/>
        </w:rPr>
      </w:pPr>
      <w:r w:rsidRPr="004C4FE6">
        <w:rPr>
          <w:rFonts w:ascii="Gentium Basic" w:eastAsia="Times New Roman" w:hAnsi="Gentium Basic" w:cs="Times New Roman"/>
          <w:sz w:val="24"/>
          <w:szCs w:val="24"/>
          <w:lang w:eastAsia="en-GB"/>
        </w:rPr>
        <w:t>Th</w:t>
      </w:r>
      <w:r>
        <w:rPr>
          <w:rFonts w:ascii="Gentium Basic" w:eastAsia="Times New Roman" w:hAnsi="Gentium Basic" w:cs="Times New Roman"/>
          <w:sz w:val="24"/>
          <w:szCs w:val="24"/>
          <w:lang w:eastAsia="en-GB"/>
        </w:rPr>
        <w:t>ese</w:t>
      </w:r>
      <w:r w:rsidRPr="004C4FE6">
        <w:rPr>
          <w:rFonts w:ascii="Gentium Basic" w:eastAsia="Times New Roman" w:hAnsi="Gentium Basic" w:cs="Times New Roman"/>
          <w:sz w:val="24"/>
          <w:szCs w:val="24"/>
          <w:lang w:eastAsia="en-GB"/>
        </w:rPr>
        <w:t xml:space="preserve"> incident</w:t>
      </w:r>
      <w:r>
        <w:rPr>
          <w:rFonts w:ascii="Gentium Basic" w:eastAsia="Times New Roman" w:hAnsi="Gentium Basic" w:cs="Times New Roman"/>
          <w:sz w:val="24"/>
          <w:szCs w:val="24"/>
          <w:lang w:eastAsia="en-GB"/>
        </w:rPr>
        <w:t>s are</w:t>
      </w:r>
      <w:r w:rsidRPr="004C4FE6">
        <w:rPr>
          <w:rFonts w:ascii="Gentium Basic" w:eastAsia="Times New Roman" w:hAnsi="Gentium Basic" w:cs="Times New Roman"/>
          <w:sz w:val="24"/>
          <w:szCs w:val="24"/>
          <w:lang w:eastAsia="en-GB"/>
        </w:rPr>
        <w:t xml:space="preserve"> revealing because </w:t>
      </w:r>
      <w:r>
        <w:rPr>
          <w:rFonts w:ascii="Gentium Basic" w:eastAsia="Times New Roman" w:hAnsi="Gentium Basic" w:cs="Times New Roman"/>
          <w:sz w:val="24"/>
          <w:szCs w:val="24"/>
          <w:lang w:eastAsia="en-GB"/>
        </w:rPr>
        <w:t>they</w:t>
      </w:r>
      <w:r w:rsidRPr="004C4FE6">
        <w:rPr>
          <w:rFonts w:ascii="Gentium Basic" w:eastAsia="Times New Roman" w:hAnsi="Gentium Basic" w:cs="Times New Roman"/>
          <w:sz w:val="24"/>
          <w:szCs w:val="24"/>
          <w:lang w:eastAsia="en-GB"/>
        </w:rPr>
        <w:t xml:space="preserve"> tells us something about </w:t>
      </w:r>
      <w:r>
        <w:rPr>
          <w:rFonts w:ascii="Gentium Basic" w:eastAsia="Times New Roman" w:hAnsi="Gentium Basic" w:cs="Times New Roman"/>
          <w:sz w:val="24"/>
          <w:szCs w:val="24"/>
          <w:lang w:eastAsia="en-GB"/>
        </w:rPr>
        <w:t xml:space="preserve">the consequences of </w:t>
      </w:r>
      <w:r w:rsidRPr="004C4FE6">
        <w:rPr>
          <w:rFonts w:ascii="Gentium Basic" w:eastAsia="Times New Roman" w:hAnsi="Gentium Basic" w:cs="Times New Roman"/>
          <w:sz w:val="24"/>
          <w:szCs w:val="24"/>
          <w:lang w:eastAsia="en-GB"/>
        </w:rPr>
        <w:t xml:space="preserve">a crucial investment strategy that the Fatimids adopted upon becoming rulers in Egypt. </w:t>
      </w:r>
      <w:r>
        <w:rPr>
          <w:rFonts w:ascii="Gentium Basic" w:eastAsia="Times New Roman" w:hAnsi="Gentium Basic" w:cs="Times New Roman"/>
          <w:sz w:val="24"/>
          <w:szCs w:val="24"/>
          <w:lang w:eastAsia="en-GB"/>
        </w:rPr>
        <w:t>T</w:t>
      </w:r>
      <w:r w:rsidRPr="004C4FE6">
        <w:rPr>
          <w:rFonts w:ascii="Gentium Basic" w:eastAsia="Times New Roman" w:hAnsi="Gentium Basic" w:cs="Times New Roman"/>
          <w:sz w:val="24"/>
          <w:szCs w:val="24"/>
          <w:lang w:eastAsia="en-GB"/>
        </w:rPr>
        <w:t>he Fatimids increasingly limited the growth of wheat in favour of flax crops.</w:t>
      </w:r>
      <w:r w:rsidRPr="004C4FE6">
        <w:rPr>
          <w:rStyle w:val="FootnoteReference"/>
          <w:rFonts w:ascii="Gentium Basic" w:eastAsia="Times New Roman" w:hAnsi="Gentium Basic" w:cs="Times New Roman"/>
          <w:sz w:val="24"/>
          <w:szCs w:val="24"/>
          <w:lang w:eastAsia="en-GB"/>
        </w:rPr>
        <w:footnoteReference w:id="50"/>
      </w:r>
      <w:r w:rsidRPr="004C4FE6">
        <w:rPr>
          <w:rFonts w:ascii="Gentium Basic" w:eastAsia="Times New Roman" w:hAnsi="Gentium Basic" w:cs="Times New Roman"/>
          <w:sz w:val="24"/>
          <w:szCs w:val="24"/>
          <w:lang w:eastAsia="en-GB"/>
        </w:rPr>
        <w:t xml:space="preserve"> While domestic wheat cultivation did not stop completely,</w:t>
      </w:r>
      <w:r w:rsidRPr="004C4FE6">
        <w:rPr>
          <w:rStyle w:val="FootnoteReference"/>
          <w:rFonts w:ascii="Gentium Basic" w:eastAsia="Times New Roman" w:hAnsi="Gentium Basic" w:cs="Times New Roman"/>
          <w:sz w:val="24"/>
          <w:szCs w:val="24"/>
          <w:lang w:eastAsia="en-GB"/>
        </w:rPr>
        <w:footnoteReference w:id="51"/>
      </w:r>
      <w:r w:rsidRPr="004C4FE6">
        <w:rPr>
          <w:rFonts w:ascii="Gentium Basic" w:eastAsia="Times New Roman" w:hAnsi="Gentium Basic" w:cs="Times New Roman"/>
          <w:sz w:val="24"/>
          <w:szCs w:val="24"/>
          <w:lang w:eastAsia="en-GB"/>
        </w:rPr>
        <w:t xml:space="preserve"> extensive land previously used for grain came to be used to farm mostly flax (and other industrial crops like sugar</w:t>
      </w:r>
      <w:r w:rsidRPr="004C4FE6">
        <w:rPr>
          <w:rStyle w:val="FootnoteReference"/>
          <w:rFonts w:ascii="Gentium Basic" w:eastAsia="Times New Roman" w:hAnsi="Gentium Basic" w:cs="Times New Roman"/>
          <w:sz w:val="24"/>
          <w:szCs w:val="24"/>
          <w:lang w:eastAsia="en-GB"/>
        </w:rPr>
        <w:footnoteReference w:id="52"/>
      </w:r>
      <w:r w:rsidRPr="004C4FE6">
        <w:rPr>
          <w:rFonts w:ascii="Gentium Basic" w:eastAsia="Times New Roman" w:hAnsi="Gentium Basic" w:cs="Times New Roman"/>
          <w:sz w:val="24"/>
          <w:szCs w:val="24"/>
          <w:lang w:eastAsia="en-GB"/>
        </w:rPr>
        <w:t>) to supply the regime-owned profitable textile industry and export in general.</w:t>
      </w:r>
      <w:r w:rsidRPr="004C4FE6">
        <w:rPr>
          <w:rStyle w:val="FootnoteReference"/>
          <w:rFonts w:ascii="Gentium Basic" w:eastAsia="Times New Roman" w:hAnsi="Gentium Basic" w:cs="Times New Roman"/>
          <w:sz w:val="24"/>
          <w:szCs w:val="24"/>
          <w:lang w:eastAsia="en-GB"/>
        </w:rPr>
        <w:footnoteReference w:id="53"/>
      </w:r>
      <w:r w:rsidRPr="004C4FE6">
        <w:rPr>
          <w:rFonts w:ascii="Gentium Basic" w:eastAsia="Times New Roman" w:hAnsi="Gentium Basic" w:cs="Times New Roman"/>
          <w:sz w:val="24"/>
          <w:szCs w:val="24"/>
          <w:lang w:eastAsia="en-GB"/>
        </w:rPr>
        <w:t xml:space="preserve"> In principle this policy made sense as, in theory, it freed the regime cultivation programme from its dependency on the unpredictability of the river and consequent market instability as supplier of the main staple food. Industrial crops could guarantee a regular flow of money to the </w:t>
      </w:r>
      <w:r>
        <w:rPr>
          <w:rFonts w:ascii="Gentium Basic" w:eastAsia="Times New Roman" w:hAnsi="Gentium Basic" w:cs="Times New Roman"/>
          <w:sz w:val="24"/>
          <w:szCs w:val="24"/>
          <w:lang w:eastAsia="en-GB"/>
        </w:rPr>
        <w:t>regime</w:t>
      </w:r>
      <w:r w:rsidRPr="004C4FE6">
        <w:rPr>
          <w:rFonts w:ascii="Gentium Basic" w:eastAsia="Times New Roman" w:hAnsi="Gentium Basic" w:cs="Times New Roman"/>
          <w:sz w:val="24"/>
          <w:szCs w:val="24"/>
          <w:lang w:eastAsia="en-GB"/>
        </w:rPr>
        <w:t xml:space="preserve">, part of which the </w:t>
      </w:r>
      <w:r>
        <w:rPr>
          <w:rFonts w:ascii="Gentium Basic" w:eastAsia="Times New Roman" w:hAnsi="Gentium Basic" w:cs="Times New Roman"/>
          <w:sz w:val="24"/>
          <w:szCs w:val="24"/>
          <w:lang w:eastAsia="en-GB"/>
        </w:rPr>
        <w:t>ruler</w:t>
      </w:r>
      <w:r w:rsidRPr="004C4FE6">
        <w:rPr>
          <w:rFonts w:ascii="Gentium Basic" w:eastAsia="Times New Roman" w:hAnsi="Gentium Basic" w:cs="Times New Roman"/>
          <w:sz w:val="24"/>
          <w:szCs w:val="24"/>
          <w:lang w:eastAsia="en-GB"/>
        </w:rPr>
        <w:t xml:space="preserve"> could use to import extra wheat when needed by retaining, consolidating and perpetuating control of North Africa, Sicily, Syria and trade treaties with Byzantium. </w:t>
      </w:r>
      <w:r>
        <w:rPr>
          <w:rFonts w:ascii="Gentium Basic" w:eastAsia="Times New Roman" w:hAnsi="Gentium Basic" w:cs="Times New Roman"/>
          <w:sz w:val="24"/>
          <w:szCs w:val="24"/>
          <w:lang w:eastAsia="en-GB"/>
        </w:rPr>
        <w:t>P</w:t>
      </w:r>
      <w:r w:rsidRPr="004C4FE6">
        <w:rPr>
          <w:rFonts w:ascii="Gentium Basic" w:eastAsia="Times New Roman" w:hAnsi="Gentium Basic" w:cs="Times New Roman"/>
          <w:sz w:val="24"/>
          <w:szCs w:val="24"/>
          <w:lang w:eastAsia="en-GB"/>
        </w:rPr>
        <w:t xml:space="preserve">rivileging industrial crops paid off as it favoured farmers while procuring the regime revenues from land tax, retailing of crops and exports of finished products, </w:t>
      </w:r>
      <w:r>
        <w:rPr>
          <w:rFonts w:ascii="Gentium Basic" w:eastAsia="Times New Roman" w:hAnsi="Gentium Basic" w:cs="Times New Roman"/>
          <w:sz w:val="24"/>
          <w:szCs w:val="24"/>
          <w:lang w:eastAsia="en-GB"/>
        </w:rPr>
        <w:t xml:space="preserve">but </w:t>
      </w:r>
      <w:r w:rsidRPr="004C4FE6">
        <w:rPr>
          <w:rFonts w:ascii="Gentium Basic" w:eastAsia="Times New Roman" w:hAnsi="Gentium Basic" w:cs="Times New Roman"/>
          <w:sz w:val="24"/>
          <w:szCs w:val="24"/>
          <w:lang w:eastAsia="en-GB"/>
        </w:rPr>
        <w:t>it also meant that when the Nile was low and the arable land at disposal was limited famine erupted because no sufficient land was made available for growing wheat. Lack of grain meant insufficient fodder for farming animals</w:t>
      </w:r>
      <w:r>
        <w:rPr>
          <w:rFonts w:ascii="Gentium Basic" w:eastAsia="Times New Roman" w:hAnsi="Gentium Basic" w:cs="Times New Roman"/>
          <w:sz w:val="24"/>
          <w:szCs w:val="24"/>
          <w:lang w:eastAsia="en-GB"/>
        </w:rPr>
        <w:t>, setting off</w:t>
      </w:r>
      <w:r w:rsidRPr="004C4FE6">
        <w:rPr>
          <w:rFonts w:ascii="Gentium Basic" w:eastAsia="Times New Roman" w:hAnsi="Gentium Basic" w:cs="Times New Roman"/>
          <w:sz w:val="24"/>
          <w:szCs w:val="24"/>
          <w:lang w:eastAsia="en-GB"/>
        </w:rPr>
        <w:t xml:space="preserve"> a vicious cycle. High mortality meant that even when land would become available, there would be insufficient people to farm it as indeed al-Maqrizi had observed. When phases of low Nile coincided with poor state planning of wheat stock reserves, adverse geo-climatic conditions across the eastern Mediterranean regions and volatility in geopolitical relations between the Fatimids and their rival dynasties in the Mediterranean (e.g. loss of influence in North Africa</w:t>
      </w:r>
      <w:r>
        <w:rPr>
          <w:rFonts w:ascii="Gentium Basic" w:eastAsia="Times New Roman" w:hAnsi="Gentium Basic" w:cs="Times New Roman"/>
          <w:sz w:val="24"/>
          <w:szCs w:val="24"/>
          <w:lang w:eastAsia="en-GB"/>
        </w:rPr>
        <w:t xml:space="preserve"> as well as loss of </w:t>
      </w:r>
      <w:r w:rsidRPr="004C4FE6">
        <w:rPr>
          <w:rFonts w:ascii="Gentium Basic" w:eastAsia="Times New Roman" w:hAnsi="Gentium Basic" w:cs="Times New Roman"/>
          <w:sz w:val="24"/>
          <w:szCs w:val="24"/>
          <w:lang w:eastAsia="en-GB"/>
        </w:rPr>
        <w:t xml:space="preserve">control of Sicily and Syria and </w:t>
      </w:r>
      <w:r>
        <w:rPr>
          <w:rFonts w:ascii="Gentium Basic" w:eastAsia="Times New Roman" w:hAnsi="Gentium Basic" w:cs="Times New Roman"/>
          <w:sz w:val="24"/>
          <w:szCs w:val="24"/>
          <w:lang w:eastAsia="en-GB"/>
        </w:rPr>
        <w:t xml:space="preserve">the </w:t>
      </w:r>
      <w:r w:rsidRPr="004C4FE6">
        <w:rPr>
          <w:rFonts w:ascii="Gentium Basic" w:eastAsia="Times New Roman" w:hAnsi="Gentium Basic" w:cs="Times New Roman"/>
          <w:sz w:val="24"/>
          <w:szCs w:val="24"/>
          <w:lang w:eastAsia="en-GB"/>
        </w:rPr>
        <w:t xml:space="preserve">breakdown of trade alliances with Byzantium, as for example in 447/1055) hampered </w:t>
      </w:r>
      <w:r>
        <w:rPr>
          <w:rFonts w:ascii="Gentium Basic" w:eastAsia="Times New Roman" w:hAnsi="Gentium Basic" w:cs="Times New Roman"/>
          <w:sz w:val="24"/>
          <w:szCs w:val="24"/>
          <w:lang w:eastAsia="en-GB"/>
        </w:rPr>
        <w:t xml:space="preserve">grain </w:t>
      </w:r>
      <w:r w:rsidRPr="004C4FE6">
        <w:rPr>
          <w:rFonts w:ascii="Gentium Basic" w:eastAsia="Times New Roman" w:hAnsi="Gentium Basic" w:cs="Times New Roman"/>
          <w:sz w:val="24"/>
          <w:szCs w:val="24"/>
          <w:lang w:eastAsia="en-GB"/>
        </w:rPr>
        <w:t>import into Egypt, the consequences for the people were catastrophic.</w:t>
      </w:r>
      <w:r w:rsidRPr="004C4FE6">
        <w:rPr>
          <w:rStyle w:val="FootnoteReference"/>
          <w:rFonts w:ascii="Gentium Basic" w:eastAsia="Times New Roman" w:hAnsi="Gentium Basic" w:cs="Times New Roman"/>
          <w:sz w:val="24"/>
          <w:szCs w:val="24"/>
          <w:lang w:eastAsia="en-GB"/>
        </w:rPr>
        <w:footnoteReference w:id="54"/>
      </w:r>
    </w:p>
    <w:p w:rsidR="006D4166" w:rsidRPr="004C4FE6" w:rsidRDefault="006D4166" w:rsidP="006D4166">
      <w:pPr>
        <w:spacing w:after="0"/>
        <w:ind w:firstLine="720"/>
        <w:rPr>
          <w:rFonts w:ascii="Gentium Basic" w:eastAsia="Times New Roman" w:hAnsi="Gentium Basic" w:cs="Times New Roman"/>
          <w:sz w:val="24"/>
          <w:szCs w:val="24"/>
          <w:lang w:eastAsia="en-GB"/>
        </w:rPr>
      </w:pPr>
      <w:r w:rsidRPr="004C4FE6">
        <w:rPr>
          <w:rFonts w:ascii="Gentium Basic" w:eastAsia="Times New Roman" w:hAnsi="Gentium Basic" w:cs="Times New Roman"/>
          <w:sz w:val="24"/>
          <w:szCs w:val="24"/>
          <w:lang w:eastAsia="en-GB"/>
        </w:rPr>
        <w:t>A low Nile certainly ha</w:t>
      </w:r>
      <w:r>
        <w:rPr>
          <w:rFonts w:ascii="Gentium Basic" w:eastAsia="Times New Roman" w:hAnsi="Gentium Basic" w:cs="Times New Roman"/>
          <w:sz w:val="24"/>
          <w:szCs w:val="24"/>
          <w:lang w:eastAsia="en-GB"/>
        </w:rPr>
        <w:t>d</w:t>
      </w:r>
      <w:r w:rsidRPr="004C4FE6">
        <w:rPr>
          <w:rFonts w:ascii="Gentium Basic" w:eastAsia="Times New Roman" w:hAnsi="Gentium Basic" w:cs="Times New Roman"/>
          <w:sz w:val="24"/>
          <w:szCs w:val="24"/>
          <w:lang w:eastAsia="en-GB"/>
        </w:rPr>
        <w:t xml:space="preserve"> negative repercussions on the economy as a whole</w:t>
      </w:r>
      <w:r>
        <w:rPr>
          <w:rFonts w:ascii="Gentium Basic" w:eastAsia="Times New Roman" w:hAnsi="Gentium Basic" w:cs="Times New Roman"/>
          <w:sz w:val="24"/>
          <w:szCs w:val="24"/>
          <w:lang w:eastAsia="en-GB"/>
        </w:rPr>
        <w:t>.</w:t>
      </w:r>
      <w:r w:rsidRPr="004C4FE6">
        <w:rPr>
          <w:rFonts w:ascii="Gentium Basic" w:eastAsia="Times New Roman" w:hAnsi="Gentium Basic" w:cs="Times New Roman"/>
          <w:sz w:val="24"/>
          <w:szCs w:val="24"/>
          <w:lang w:eastAsia="en-GB"/>
        </w:rPr>
        <w:t xml:space="preserve"> </w:t>
      </w:r>
      <w:r>
        <w:rPr>
          <w:rFonts w:ascii="Gentium Basic" w:eastAsia="Times New Roman" w:hAnsi="Gentium Basic" w:cs="Times New Roman"/>
          <w:sz w:val="24"/>
          <w:szCs w:val="24"/>
          <w:lang w:eastAsia="en-GB"/>
        </w:rPr>
        <w:t>B</w:t>
      </w:r>
      <w:r w:rsidRPr="004C4FE6">
        <w:rPr>
          <w:rFonts w:ascii="Gentium Basic" w:eastAsia="Times New Roman" w:hAnsi="Gentium Basic" w:cs="Times New Roman"/>
          <w:sz w:val="24"/>
          <w:szCs w:val="24"/>
          <w:lang w:eastAsia="en-GB"/>
        </w:rPr>
        <w:t>ut as the decision of what</w:t>
      </w:r>
      <w:r>
        <w:rPr>
          <w:rFonts w:ascii="Gentium Basic" w:eastAsia="Times New Roman" w:hAnsi="Gentium Basic" w:cs="Times New Roman"/>
          <w:sz w:val="24"/>
          <w:szCs w:val="24"/>
          <w:lang w:eastAsia="en-GB"/>
        </w:rPr>
        <w:t>, where and how much</w:t>
      </w:r>
      <w:r w:rsidRPr="004C4FE6">
        <w:rPr>
          <w:rFonts w:ascii="Gentium Basic" w:eastAsia="Times New Roman" w:hAnsi="Gentium Basic" w:cs="Times New Roman"/>
          <w:sz w:val="24"/>
          <w:szCs w:val="24"/>
          <w:lang w:eastAsia="en-GB"/>
        </w:rPr>
        <w:t xml:space="preserve"> to grow was determined in advance</w:t>
      </w:r>
      <w:r>
        <w:rPr>
          <w:rFonts w:ascii="Gentium Basic" w:eastAsia="Times New Roman" w:hAnsi="Gentium Basic" w:cs="Times New Roman"/>
          <w:sz w:val="24"/>
          <w:szCs w:val="24"/>
          <w:lang w:eastAsia="en-GB"/>
        </w:rPr>
        <w:t xml:space="preserve">, </w:t>
      </w:r>
      <w:r w:rsidRPr="004C4FE6">
        <w:rPr>
          <w:rFonts w:ascii="Gentium Basic" w:eastAsia="Times New Roman" w:hAnsi="Gentium Basic" w:cs="Times New Roman"/>
          <w:sz w:val="24"/>
          <w:szCs w:val="24"/>
          <w:lang w:eastAsia="en-GB"/>
        </w:rPr>
        <w:t>it is evident that the regime chose to give precedence to industrial crops that were not perishable and generated money even when, for the sake of public welfare, food crops should have been favoured. Ultimately, it was the regime</w:t>
      </w:r>
      <w:r>
        <w:rPr>
          <w:rFonts w:ascii="Gentium Basic" w:eastAsia="Times New Roman" w:hAnsi="Gentium Basic" w:cs="Times New Roman"/>
          <w:sz w:val="24"/>
          <w:szCs w:val="24"/>
          <w:lang w:eastAsia="en-GB"/>
        </w:rPr>
        <w:t>’s</w:t>
      </w:r>
      <w:r w:rsidRPr="004C4FE6">
        <w:rPr>
          <w:rFonts w:ascii="Gentium Basic" w:eastAsia="Times New Roman" w:hAnsi="Gentium Basic" w:cs="Times New Roman"/>
          <w:sz w:val="24"/>
          <w:szCs w:val="24"/>
          <w:lang w:eastAsia="en-GB"/>
        </w:rPr>
        <w:t xml:space="preserve"> self-interest and short-termism that generated long term damage rather than the river poor performance alone. That trading interest prevailed over public welfare is indicated by the fact that in the aftermath </w:t>
      </w:r>
      <w:r w:rsidRPr="004C4FE6">
        <w:rPr>
          <w:rFonts w:ascii="Gentium Basic" w:eastAsia="Times New Roman" w:hAnsi="Gentium Basic" w:cs="Times New Roman"/>
          <w:sz w:val="24"/>
          <w:szCs w:val="24"/>
          <w:lang w:eastAsia="en-GB"/>
        </w:rPr>
        <w:lastRenderedPageBreak/>
        <w:t>of ‘bad’ Nile years the production and trading of flax and its finished products as well as other industrial crops do not appear to have been majorly affected, as one can infer, for example, from the lack of reference to this predicament in the Geniza documents.</w:t>
      </w:r>
      <w:r w:rsidRPr="004C4FE6">
        <w:rPr>
          <w:rStyle w:val="FootnoteReference"/>
          <w:rFonts w:ascii="Gentium Basic" w:eastAsia="Times New Roman" w:hAnsi="Gentium Basic" w:cs="Times New Roman"/>
          <w:sz w:val="24"/>
          <w:szCs w:val="24"/>
          <w:lang w:eastAsia="en-GB"/>
        </w:rPr>
        <w:footnoteReference w:id="55"/>
      </w:r>
    </w:p>
    <w:p w:rsidR="006D4166" w:rsidRPr="004C4FE6" w:rsidRDefault="006D4166" w:rsidP="006D4166">
      <w:pPr>
        <w:spacing w:after="0"/>
        <w:ind w:firstLine="720"/>
        <w:rPr>
          <w:rFonts w:ascii="Gentium Basic" w:hAnsi="Gentium Basic" w:cs="Times New Roman"/>
          <w:sz w:val="24"/>
          <w:szCs w:val="24"/>
        </w:rPr>
      </w:pPr>
      <w:r w:rsidRPr="004C4FE6">
        <w:rPr>
          <w:rFonts w:ascii="Gentium Basic" w:eastAsia="Times New Roman" w:hAnsi="Gentium Basic" w:cs="Times New Roman"/>
          <w:sz w:val="24"/>
          <w:szCs w:val="24"/>
          <w:lang w:eastAsia="en-GB"/>
        </w:rPr>
        <w:t>To the Fatimid</w:t>
      </w:r>
      <w:r>
        <w:rPr>
          <w:rFonts w:ascii="Gentium Basic" w:eastAsia="Times New Roman" w:hAnsi="Gentium Basic" w:cs="Times New Roman"/>
          <w:sz w:val="24"/>
          <w:szCs w:val="24"/>
          <w:lang w:eastAsia="en-GB"/>
        </w:rPr>
        <w:t>s</w:t>
      </w:r>
      <w:r w:rsidRPr="004C4FE6">
        <w:rPr>
          <w:rFonts w:ascii="Gentium Basic" w:eastAsia="Times New Roman" w:hAnsi="Gentium Basic" w:cs="Times New Roman"/>
          <w:sz w:val="24"/>
          <w:szCs w:val="24"/>
          <w:lang w:eastAsia="en-GB"/>
        </w:rPr>
        <w:t>, the Nile was not so much the ‘bread basket of Egypt’ but rather the north-south highway that allowed them to be strong international commercial players</w:t>
      </w:r>
      <w:r>
        <w:rPr>
          <w:rFonts w:ascii="Gentium Basic" w:eastAsia="Times New Roman" w:hAnsi="Gentium Basic" w:cs="Times New Roman"/>
          <w:sz w:val="24"/>
          <w:szCs w:val="24"/>
          <w:lang w:eastAsia="en-GB"/>
        </w:rPr>
        <w:t>.</w:t>
      </w:r>
      <w:r w:rsidRPr="004C4FE6">
        <w:rPr>
          <w:rFonts w:ascii="Gentium Basic" w:eastAsia="Times New Roman" w:hAnsi="Gentium Basic" w:cs="Times New Roman"/>
          <w:sz w:val="24"/>
          <w:szCs w:val="24"/>
          <w:lang w:eastAsia="en-GB"/>
        </w:rPr>
        <w:t xml:space="preserve"> </w:t>
      </w:r>
      <w:r>
        <w:rPr>
          <w:rFonts w:ascii="Gentium Basic" w:eastAsia="Times New Roman" w:hAnsi="Gentium Basic" w:cs="Times New Roman"/>
          <w:sz w:val="24"/>
          <w:szCs w:val="24"/>
          <w:lang w:eastAsia="en-GB"/>
        </w:rPr>
        <w:t>They became</w:t>
      </w:r>
      <w:r w:rsidRPr="004C4FE6">
        <w:rPr>
          <w:rFonts w:ascii="Gentium Basic" w:eastAsia="Times New Roman" w:hAnsi="Gentium Basic" w:cs="Times New Roman"/>
          <w:sz w:val="24"/>
          <w:szCs w:val="24"/>
          <w:lang w:eastAsia="en-GB"/>
        </w:rPr>
        <w:t xml:space="preserve"> suppliers of desirable goods and holders of the monopoly on the trade transiting between Indian </w:t>
      </w:r>
      <w:r>
        <w:rPr>
          <w:rFonts w:ascii="Gentium Basic" w:eastAsia="Times New Roman" w:hAnsi="Gentium Basic" w:cs="Times New Roman"/>
          <w:sz w:val="24"/>
          <w:szCs w:val="24"/>
          <w:lang w:eastAsia="en-GB"/>
        </w:rPr>
        <w:t>O</w:t>
      </w:r>
      <w:r w:rsidRPr="004C4FE6">
        <w:rPr>
          <w:rFonts w:ascii="Gentium Basic" w:eastAsia="Times New Roman" w:hAnsi="Gentium Basic" w:cs="Times New Roman"/>
          <w:sz w:val="24"/>
          <w:szCs w:val="24"/>
          <w:lang w:eastAsia="en-GB"/>
        </w:rPr>
        <w:t xml:space="preserve">cean ports, East African trading posts </w:t>
      </w:r>
      <w:r w:rsidR="00132C74">
        <w:rPr>
          <w:rFonts w:ascii="Gentium Basic" w:eastAsia="Times New Roman" w:hAnsi="Gentium Basic" w:cs="Times New Roman"/>
          <w:sz w:val="24"/>
          <w:szCs w:val="24"/>
          <w:lang w:eastAsia="en-GB"/>
        </w:rPr>
        <w:t xml:space="preserve">and the Mediterranean regions. </w:t>
      </w:r>
      <w:r w:rsidRPr="004C4FE6">
        <w:rPr>
          <w:rFonts w:ascii="Gentium Basic" w:eastAsia="Times New Roman" w:hAnsi="Gentium Basic" w:cs="Times New Roman"/>
          <w:sz w:val="24"/>
          <w:szCs w:val="24"/>
          <w:lang w:eastAsia="en-GB"/>
        </w:rPr>
        <w:t xml:space="preserve">Archaeological evidence shows, for example, that </w:t>
      </w:r>
      <w:r w:rsidRPr="004C4FE6">
        <w:rPr>
          <w:rFonts w:ascii="Gentium Basic" w:hAnsi="Gentium Basic" w:cs="Times New Roman"/>
          <w:sz w:val="24"/>
          <w:szCs w:val="24"/>
        </w:rPr>
        <w:t xml:space="preserve">direct and intense trade occurred between Fatimid and Swahili traders during the tenth and eleventh centuries. Fatimid merchants were mainly interested in the Swahili’s supply of gold, ivory and rock crystal. </w:t>
      </w:r>
      <w:r>
        <w:rPr>
          <w:rFonts w:ascii="Gentium Basic" w:hAnsi="Gentium Basic" w:cs="Times New Roman"/>
          <w:sz w:val="24"/>
          <w:szCs w:val="24"/>
        </w:rPr>
        <w:t>The</w:t>
      </w:r>
      <w:r w:rsidRPr="004C4FE6">
        <w:rPr>
          <w:rFonts w:ascii="Gentium Basic" w:hAnsi="Gentium Basic" w:cs="Times New Roman"/>
          <w:sz w:val="24"/>
          <w:szCs w:val="24"/>
        </w:rPr>
        <w:t xml:space="preserve"> Fatimid</w:t>
      </w:r>
      <w:r>
        <w:rPr>
          <w:rFonts w:ascii="Gentium Basic" w:hAnsi="Gentium Basic" w:cs="Times New Roman"/>
          <w:sz w:val="24"/>
          <w:szCs w:val="24"/>
        </w:rPr>
        <w:t>’s</w:t>
      </w:r>
      <w:r w:rsidRPr="004C4FE6">
        <w:rPr>
          <w:rFonts w:ascii="Gentium Basic" w:hAnsi="Gentium Basic" w:cs="Times New Roman"/>
          <w:sz w:val="24"/>
          <w:szCs w:val="24"/>
        </w:rPr>
        <w:t xml:space="preserve"> access to ivory contributed to a flourishing of Egyptian ivory carving </w:t>
      </w:r>
      <w:r>
        <w:rPr>
          <w:rFonts w:ascii="Gentium Basic" w:hAnsi="Gentium Basic" w:cs="Times New Roman"/>
          <w:sz w:val="24"/>
          <w:szCs w:val="24"/>
        </w:rPr>
        <w:t xml:space="preserve">and, by default, </w:t>
      </w:r>
      <w:r w:rsidRPr="004C4FE6">
        <w:rPr>
          <w:rFonts w:ascii="Gentium Basic" w:hAnsi="Gentium Basic" w:cs="Times New Roman"/>
          <w:sz w:val="24"/>
          <w:szCs w:val="24"/>
        </w:rPr>
        <w:t>to a similar blossoming in Byzantium, Norman Sicily and al-Andalus.</w:t>
      </w:r>
      <w:r w:rsidRPr="004C4FE6">
        <w:rPr>
          <w:rStyle w:val="FootnoteReference"/>
          <w:rFonts w:ascii="Gentium Basic" w:hAnsi="Gentium Basic" w:cs="Times New Roman"/>
          <w:sz w:val="24"/>
          <w:szCs w:val="24"/>
        </w:rPr>
        <w:footnoteReference w:id="56"/>
      </w:r>
    </w:p>
    <w:p w:rsidR="006D4166" w:rsidRDefault="006D4166" w:rsidP="006D4166">
      <w:pPr>
        <w:spacing w:after="0"/>
        <w:ind w:firstLine="720"/>
        <w:rPr>
          <w:rFonts w:ascii="Gentium Basic" w:hAnsi="Gentium Basic" w:cs="Times New Roman"/>
          <w:sz w:val="24"/>
          <w:szCs w:val="24"/>
        </w:rPr>
      </w:pPr>
      <w:r w:rsidRPr="004C4FE6">
        <w:rPr>
          <w:rFonts w:ascii="Gentium Basic" w:hAnsi="Gentium Basic" w:cs="Times New Roman"/>
          <w:sz w:val="24"/>
          <w:szCs w:val="24"/>
        </w:rPr>
        <w:t>The Fatimid rule in Egypt coincided (or generated) therefore with the considerable expansion of the commercial axis that led from Fusṭaṭ, via the Nile, to the Red Sea ports such as ‘Aydhab (and later Qusair al-Qadim) and then to Aden and beyond.</w:t>
      </w:r>
      <w:r w:rsidRPr="004C4FE6">
        <w:rPr>
          <w:rStyle w:val="FootnoteReference"/>
          <w:rFonts w:ascii="Gentium Basic" w:hAnsi="Gentium Basic" w:cs="Times New Roman"/>
          <w:sz w:val="24"/>
          <w:szCs w:val="24"/>
        </w:rPr>
        <w:footnoteReference w:id="57"/>
      </w:r>
      <w:r w:rsidRPr="004C4FE6">
        <w:rPr>
          <w:rFonts w:ascii="Gentium Basic" w:hAnsi="Gentium Basic" w:cs="Times New Roman"/>
          <w:sz w:val="24"/>
          <w:szCs w:val="24"/>
        </w:rPr>
        <w:t xml:space="preserve"> By combining economic and political pressures, with the adoption of an enticing custom duties policy that treated non-Muslims traders as equals to their Muslims counterparts, the Fatimids ostensibly managed to divert the trade away from the alternative ‘Abbasid-controlled Persian Gulf route. Even if this rival route to Iraq along the Persian Gulf did not totally disappear, it declined when compared with the Fatimid-controlled one which benefitted from (or contributed to?) a simultaneous commercial resurgence of both the Mediterranean and Indian Ocean spheres.</w:t>
      </w:r>
      <w:r w:rsidRPr="004C4FE6">
        <w:rPr>
          <w:rStyle w:val="FootnoteReference"/>
          <w:rFonts w:ascii="Gentium Basic" w:hAnsi="Gentium Basic" w:cs="Times New Roman"/>
          <w:sz w:val="24"/>
          <w:szCs w:val="24"/>
        </w:rPr>
        <w:footnoteReference w:id="58"/>
      </w:r>
      <w:r w:rsidRPr="004C4FE6">
        <w:rPr>
          <w:rFonts w:ascii="Gentium Basic" w:hAnsi="Gentium Basic" w:cs="Times New Roman"/>
          <w:sz w:val="24"/>
          <w:szCs w:val="24"/>
        </w:rPr>
        <w:t xml:space="preserve"> The Fatimid capital became the nerve centre of the commercial exchange for goods to and from the Mediterranean, via Alexandria, thanks to the Nile harbours of Fusṭaṭ and Cairo</w:t>
      </w:r>
      <w:r>
        <w:rPr>
          <w:rFonts w:ascii="Gentium Basic" w:hAnsi="Gentium Basic" w:cs="Times New Roman"/>
          <w:sz w:val="24"/>
          <w:szCs w:val="24"/>
        </w:rPr>
        <w:t>.</w:t>
      </w:r>
      <w:r w:rsidRPr="004C4FE6">
        <w:rPr>
          <w:rStyle w:val="FootnoteReference"/>
          <w:rFonts w:ascii="Gentium Basic" w:hAnsi="Gentium Basic" w:cs="Times New Roman"/>
          <w:sz w:val="24"/>
          <w:szCs w:val="24"/>
        </w:rPr>
        <w:footnoteReference w:id="59"/>
      </w:r>
      <w:r w:rsidRPr="004C4FE6">
        <w:rPr>
          <w:rFonts w:ascii="Gentium Basic" w:hAnsi="Gentium Basic" w:cs="Times New Roman"/>
          <w:sz w:val="24"/>
          <w:szCs w:val="24"/>
        </w:rPr>
        <w:t xml:space="preserve"> In Upper Egypt, the Nile main commercial terminals were Aswan first and, later, Quṣ. The Fatimids’ efforts in securing administrative and military control of these commercial stations in the south</w:t>
      </w:r>
      <w:r>
        <w:rPr>
          <w:rFonts w:ascii="Gentium Basic" w:hAnsi="Gentium Basic" w:cs="Times New Roman"/>
          <w:sz w:val="24"/>
          <w:szCs w:val="24"/>
        </w:rPr>
        <w:t xml:space="preserve"> c</w:t>
      </w:r>
      <w:r w:rsidRPr="004C4FE6">
        <w:rPr>
          <w:rFonts w:ascii="Gentium Basic" w:hAnsi="Gentium Basic" w:cs="Times New Roman"/>
          <w:sz w:val="24"/>
          <w:szCs w:val="24"/>
        </w:rPr>
        <w:t>hanged the role that the river would play in Egypt as a whole: the upper stretch of Nile valley was no longer left to its own devices as it had been mostly the case until the 4</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/10</w:t>
      </w:r>
      <w:r w:rsidRPr="004C4FE6">
        <w:rPr>
          <w:rFonts w:ascii="Gentium Basic" w:hAnsi="Gentium Basic" w:cs="Times New Roman"/>
          <w:sz w:val="24"/>
          <w:szCs w:val="24"/>
          <w:vertAlign w:val="superscript"/>
        </w:rPr>
        <w:t>th</w:t>
      </w:r>
      <w:r w:rsidR="00132C74">
        <w:rPr>
          <w:rFonts w:ascii="Gentium Basic" w:hAnsi="Gentium Basic" w:cs="Times New Roman"/>
          <w:sz w:val="24"/>
          <w:szCs w:val="24"/>
        </w:rPr>
        <w:t xml:space="preserve"> century.</w:t>
      </w:r>
    </w:p>
    <w:p w:rsidR="001219E5" w:rsidRPr="004C4FE6" w:rsidRDefault="001219E5" w:rsidP="006D4166">
      <w:pPr>
        <w:spacing w:after="0"/>
        <w:ind w:firstLine="720"/>
        <w:rPr>
          <w:rFonts w:ascii="Gentium Basic" w:hAnsi="Gentium Basic" w:cs="Times New Roman"/>
          <w:sz w:val="24"/>
          <w:szCs w:val="24"/>
        </w:rPr>
      </w:pPr>
    </w:p>
    <w:p w:rsidR="006D4166" w:rsidRDefault="006D4166" w:rsidP="006D4166">
      <w:pPr>
        <w:spacing w:after="0"/>
        <w:ind w:firstLine="720"/>
        <w:rPr>
          <w:rFonts w:ascii="Gentium Basic" w:hAnsi="Gentium Basic" w:cs="Times New Roman"/>
          <w:sz w:val="24"/>
          <w:szCs w:val="24"/>
        </w:rPr>
      </w:pPr>
      <w:r>
        <w:rPr>
          <w:rFonts w:ascii="Gentium Basic" w:hAnsi="Gentium Basic" w:cs="Times New Roman"/>
          <w:sz w:val="24"/>
          <w:szCs w:val="24"/>
        </w:rPr>
        <w:t>Conclusions</w:t>
      </w:r>
    </w:p>
    <w:p w:rsidR="006D4166" w:rsidRDefault="006D4166" w:rsidP="006D4166">
      <w:pPr>
        <w:spacing w:after="0"/>
        <w:ind w:firstLine="720"/>
        <w:rPr>
          <w:rFonts w:ascii="Gentium Basic" w:hAnsi="Gentium Basic" w:cs="Times New Roman"/>
          <w:sz w:val="24"/>
          <w:szCs w:val="24"/>
        </w:rPr>
      </w:pPr>
    </w:p>
    <w:p w:rsidR="006D4166" w:rsidRPr="004C4FE6" w:rsidRDefault="006D4166" w:rsidP="006D4166">
      <w:pPr>
        <w:spacing w:after="0"/>
        <w:ind w:firstLine="720"/>
        <w:rPr>
          <w:rFonts w:ascii="Gentium Basic" w:eastAsia="Times New Roman" w:hAnsi="Gentium Basic" w:cs="Times New Roman"/>
          <w:sz w:val="24"/>
          <w:szCs w:val="24"/>
          <w:lang w:eastAsia="en-GB"/>
        </w:rPr>
      </w:pPr>
      <w:r w:rsidRPr="004C4FE6">
        <w:rPr>
          <w:rFonts w:ascii="Gentium Basic" w:eastAsia="Times New Roman" w:hAnsi="Gentium Basic" w:cs="Times New Roman"/>
          <w:sz w:val="24"/>
          <w:szCs w:val="24"/>
          <w:lang w:eastAsia="en-GB"/>
        </w:rPr>
        <w:t xml:space="preserve">The Fatimids endured the worst performances of the Nile ever recorded in history, yet managed to turn the river into an avenue for international commercial success. In the midst of this natural calamity, the Fatimids mixed misjudgement in agricultural policies for the exploitation of the land along the Nile valley with shrewd trading tactics that enabled them to overshadow their ‘Abbasid rivals. The story of the Fatimids and the Nile resonates </w:t>
      </w:r>
      <w:r w:rsidRPr="004C4FE6">
        <w:rPr>
          <w:rFonts w:ascii="Gentium Basic" w:eastAsia="Times New Roman" w:hAnsi="Gentium Basic" w:cs="Times New Roman"/>
          <w:sz w:val="24"/>
          <w:szCs w:val="24"/>
          <w:lang w:eastAsia="en-GB"/>
        </w:rPr>
        <w:lastRenderedPageBreak/>
        <w:t>with current concerns about the interrelation between the rise and fall of political powers vis-à-vis the effects of climate change</w:t>
      </w:r>
      <w:r w:rsidRPr="004C4FE6">
        <w:rPr>
          <w:rStyle w:val="FootnoteReference"/>
          <w:rFonts w:ascii="Gentium Basic" w:eastAsia="Times New Roman" w:hAnsi="Gentium Basic" w:cs="Times New Roman"/>
          <w:sz w:val="24"/>
          <w:szCs w:val="24"/>
          <w:lang w:eastAsia="en-GB"/>
        </w:rPr>
        <w:footnoteReference w:id="60"/>
      </w:r>
      <w:r w:rsidR="00132C74">
        <w:rPr>
          <w:rFonts w:ascii="Gentium Basic" w:eastAsia="Times New Roman" w:hAnsi="Gentium Basic" w:cs="Times New Roman"/>
          <w:sz w:val="24"/>
          <w:szCs w:val="24"/>
          <w:lang w:eastAsia="en-GB"/>
        </w:rPr>
        <w:t xml:space="preserve">; </w:t>
      </w:r>
      <w:r w:rsidRPr="004C4FE6">
        <w:rPr>
          <w:rFonts w:ascii="Gentium Basic" w:eastAsia="Times New Roman" w:hAnsi="Gentium Basic" w:cs="Times New Roman"/>
          <w:sz w:val="24"/>
          <w:szCs w:val="24"/>
          <w:lang w:eastAsia="en-GB"/>
        </w:rPr>
        <w:t>the impact of financial risk-taking on the general public; the logic behind decision-making on matters of land management and water reso</w:t>
      </w:r>
      <w:r w:rsidR="00132C74">
        <w:rPr>
          <w:rFonts w:ascii="Gentium Basic" w:eastAsia="Times New Roman" w:hAnsi="Gentium Basic" w:cs="Times New Roman"/>
          <w:sz w:val="24"/>
          <w:szCs w:val="24"/>
          <w:lang w:eastAsia="en-GB"/>
        </w:rPr>
        <w:t xml:space="preserve">urces; the dilemma of choosing </w:t>
      </w:r>
      <w:r w:rsidRPr="004C4FE6">
        <w:rPr>
          <w:rFonts w:ascii="Gentium Basic" w:eastAsia="Times New Roman" w:hAnsi="Gentium Basic" w:cs="Times New Roman"/>
          <w:sz w:val="24"/>
          <w:szCs w:val="24"/>
          <w:lang w:eastAsia="en-GB"/>
        </w:rPr>
        <w:t xml:space="preserve">between free trade and protectionism; the opportunities but also challenges </w:t>
      </w:r>
      <w:r>
        <w:rPr>
          <w:rFonts w:ascii="Gentium Basic" w:eastAsia="Times New Roman" w:hAnsi="Gentium Basic" w:cs="Times New Roman"/>
          <w:sz w:val="24"/>
          <w:szCs w:val="24"/>
          <w:lang w:eastAsia="en-GB"/>
        </w:rPr>
        <w:t>of</w:t>
      </w:r>
      <w:r w:rsidRPr="004C4FE6">
        <w:rPr>
          <w:rFonts w:ascii="Gentium Basic" w:eastAsia="Times New Roman" w:hAnsi="Gentium Basic" w:cs="Times New Roman"/>
          <w:sz w:val="24"/>
          <w:szCs w:val="24"/>
          <w:lang w:eastAsia="en-GB"/>
        </w:rPr>
        <w:t xml:space="preserve"> adopti</w:t>
      </w:r>
      <w:r>
        <w:rPr>
          <w:rFonts w:ascii="Gentium Basic" w:eastAsia="Times New Roman" w:hAnsi="Gentium Basic" w:cs="Times New Roman"/>
          <w:sz w:val="24"/>
          <w:szCs w:val="24"/>
          <w:lang w:eastAsia="en-GB"/>
        </w:rPr>
        <w:t>ng</w:t>
      </w:r>
      <w:r w:rsidRPr="004C4FE6">
        <w:rPr>
          <w:rFonts w:ascii="Gentium Basic" w:eastAsia="Times New Roman" w:hAnsi="Gentium Basic" w:cs="Times New Roman"/>
          <w:sz w:val="24"/>
          <w:szCs w:val="24"/>
          <w:lang w:eastAsia="en-GB"/>
        </w:rPr>
        <w:t xml:space="preserve"> </w:t>
      </w:r>
      <w:r>
        <w:rPr>
          <w:rFonts w:ascii="Gentium Basic" w:eastAsia="Times New Roman" w:hAnsi="Gentium Basic" w:cs="Times New Roman"/>
          <w:sz w:val="24"/>
          <w:szCs w:val="24"/>
          <w:lang w:eastAsia="en-GB"/>
        </w:rPr>
        <w:t>socio-</w:t>
      </w:r>
      <w:r w:rsidRPr="004C4FE6">
        <w:rPr>
          <w:rFonts w:ascii="Gentium Basic" w:eastAsia="Times New Roman" w:hAnsi="Gentium Basic" w:cs="Times New Roman"/>
          <w:sz w:val="24"/>
          <w:szCs w:val="24"/>
          <w:lang w:eastAsia="en-GB"/>
        </w:rPr>
        <w:t>political</w:t>
      </w:r>
      <w:r>
        <w:rPr>
          <w:rFonts w:ascii="Gentium Basic" w:eastAsia="Times New Roman" w:hAnsi="Gentium Basic" w:cs="Times New Roman"/>
          <w:sz w:val="24"/>
          <w:szCs w:val="24"/>
          <w:lang w:eastAsia="en-GB"/>
        </w:rPr>
        <w:t xml:space="preserve"> and </w:t>
      </w:r>
      <w:r w:rsidRPr="004C4FE6">
        <w:rPr>
          <w:rFonts w:ascii="Gentium Basic" w:eastAsia="Times New Roman" w:hAnsi="Gentium Basic" w:cs="Times New Roman"/>
          <w:sz w:val="24"/>
          <w:szCs w:val="24"/>
          <w:lang w:eastAsia="en-GB"/>
        </w:rPr>
        <w:t>econo</w:t>
      </w:r>
      <w:r w:rsidR="00132C74">
        <w:rPr>
          <w:rFonts w:ascii="Gentium Basic" w:eastAsia="Times New Roman" w:hAnsi="Gentium Basic" w:cs="Times New Roman"/>
          <w:sz w:val="24"/>
          <w:szCs w:val="24"/>
          <w:lang w:eastAsia="en-GB"/>
        </w:rPr>
        <w:t xml:space="preserve">mic systems that favour </w:t>
      </w:r>
      <w:r w:rsidRPr="004C4FE6">
        <w:rPr>
          <w:rFonts w:ascii="Gentium Basic" w:eastAsia="Times New Roman" w:hAnsi="Gentium Basic" w:cs="Times New Roman"/>
          <w:sz w:val="24"/>
          <w:szCs w:val="24"/>
          <w:lang w:eastAsia="en-GB"/>
        </w:rPr>
        <w:t xml:space="preserve">international mobility of human resources. The Fatimids faced these challenges with whatever instruments we are told were available to them be they perfuming rituals or sophisticated know-how. The history of Egypt under the Fatimids coincides with a unique convergence of events over a span of some 200 years in the pre-modern Islamic period: ruled by a unique Shi‘i dynasty, operating in a unique geographical setting, faced with a unique climatic/hydrological predicament and uniquely placed as intermediary between the Mediterranean and Indian Ocean worlds. </w:t>
      </w:r>
      <w:r>
        <w:rPr>
          <w:rFonts w:ascii="Gentium Basic" w:eastAsia="Times New Roman" w:hAnsi="Gentium Basic" w:cs="Times New Roman"/>
          <w:sz w:val="24"/>
          <w:szCs w:val="24"/>
          <w:lang w:eastAsia="en-GB"/>
        </w:rPr>
        <w:t xml:space="preserve">Further interdisciplinary investigation into the role of the Nile in the life of the dynasty </w:t>
      </w:r>
      <w:r w:rsidRPr="004C4FE6">
        <w:rPr>
          <w:rFonts w:ascii="Gentium Basic" w:eastAsia="Times New Roman" w:hAnsi="Gentium Basic" w:cs="Times New Roman"/>
          <w:sz w:val="24"/>
          <w:szCs w:val="24"/>
          <w:lang w:eastAsia="en-GB"/>
        </w:rPr>
        <w:t xml:space="preserve">may well yield a significant re-appraisal of </w:t>
      </w:r>
      <w:r>
        <w:rPr>
          <w:rFonts w:ascii="Gentium Basic" w:eastAsia="Times New Roman" w:hAnsi="Gentium Basic" w:cs="Times New Roman"/>
          <w:sz w:val="24"/>
          <w:szCs w:val="24"/>
          <w:lang w:eastAsia="en-GB"/>
        </w:rPr>
        <w:t>the Fatimids</w:t>
      </w:r>
      <w:r w:rsidRPr="004C4FE6">
        <w:rPr>
          <w:rFonts w:ascii="Gentium Basic" w:eastAsia="Times New Roman" w:hAnsi="Gentium Basic" w:cs="Times New Roman"/>
          <w:sz w:val="24"/>
          <w:szCs w:val="24"/>
          <w:lang w:eastAsia="en-GB"/>
        </w:rPr>
        <w:t xml:space="preserve"> and </w:t>
      </w:r>
      <w:r>
        <w:rPr>
          <w:rFonts w:ascii="Gentium Basic" w:eastAsia="Times New Roman" w:hAnsi="Gentium Basic" w:cs="Times New Roman"/>
          <w:sz w:val="24"/>
          <w:szCs w:val="24"/>
          <w:lang w:eastAsia="en-GB"/>
        </w:rPr>
        <w:t>their</w:t>
      </w:r>
      <w:r w:rsidRPr="004C4FE6">
        <w:rPr>
          <w:rFonts w:ascii="Gentium Basic" w:eastAsia="Times New Roman" w:hAnsi="Gentium Basic" w:cs="Times New Roman"/>
          <w:sz w:val="24"/>
          <w:szCs w:val="24"/>
          <w:lang w:eastAsia="en-GB"/>
        </w:rPr>
        <w:t xml:space="preserve"> role in Islamic history as a whole.</w:t>
      </w:r>
    </w:p>
    <w:p w:rsidR="006D4166" w:rsidRPr="004C4FE6" w:rsidRDefault="006D4166" w:rsidP="006D4166">
      <w:pPr>
        <w:spacing w:after="0"/>
        <w:ind w:firstLine="720"/>
        <w:rPr>
          <w:rFonts w:ascii="Gentium Basic" w:eastAsia="Times New Roman" w:hAnsi="Gentium Basic" w:cs="Times New Roman"/>
          <w:sz w:val="24"/>
          <w:szCs w:val="24"/>
          <w:lang w:eastAsia="en-GB"/>
        </w:rPr>
      </w:pPr>
    </w:p>
    <w:p w:rsidR="006D4166" w:rsidRDefault="006D4166" w:rsidP="006D4166">
      <w:pPr>
        <w:spacing w:after="0"/>
        <w:rPr>
          <w:rFonts w:ascii="Gentium Basic" w:eastAsia="Times New Roman" w:hAnsi="Gentium Basic" w:cs="Times New Roman"/>
          <w:sz w:val="24"/>
          <w:szCs w:val="24"/>
          <w:lang w:eastAsia="en-GB"/>
        </w:rPr>
      </w:pPr>
      <w:r w:rsidRPr="004C4FE6">
        <w:rPr>
          <w:rFonts w:ascii="Gentium Basic" w:eastAsia="Times New Roman" w:hAnsi="Gentium Basic" w:cs="Times New Roman"/>
          <w:sz w:val="24"/>
          <w:szCs w:val="24"/>
          <w:lang w:eastAsia="en-GB"/>
        </w:rPr>
        <w:t>Bibliography</w:t>
      </w:r>
    </w:p>
    <w:p w:rsidR="001219E5" w:rsidRPr="004C4FE6" w:rsidRDefault="001219E5" w:rsidP="006D4166">
      <w:pPr>
        <w:spacing w:after="0"/>
        <w:rPr>
          <w:rFonts w:ascii="Gentium Basic" w:eastAsia="Times New Roman" w:hAnsi="Gentium Basic" w:cs="Times New Roman"/>
          <w:sz w:val="24"/>
          <w:szCs w:val="24"/>
          <w:lang w:eastAsia="en-GB"/>
        </w:rPr>
      </w:pPr>
    </w:p>
    <w:p w:rsidR="006D4166" w:rsidRPr="004C4FE6" w:rsidRDefault="006D4166" w:rsidP="006D4166">
      <w:pPr>
        <w:spacing w:after="0"/>
        <w:rPr>
          <w:rFonts w:ascii="Gentium Basic" w:eastAsia="Times New Roman" w:hAnsi="Gentium Basic" w:cs="Times New Roman"/>
          <w:sz w:val="24"/>
          <w:szCs w:val="24"/>
          <w:lang w:eastAsia="en-GB"/>
        </w:rPr>
      </w:pPr>
      <w:r w:rsidRPr="004C4FE6">
        <w:rPr>
          <w:rFonts w:ascii="Gentium Basic" w:eastAsia="Times New Roman" w:hAnsi="Gentium Basic" w:cs="Times New Roman"/>
          <w:sz w:val="24"/>
          <w:szCs w:val="24"/>
          <w:lang w:eastAsia="en-GB"/>
        </w:rPr>
        <w:t>Primary sources</w:t>
      </w:r>
    </w:p>
    <w:p w:rsidR="006D4166" w:rsidRPr="004C4FE6" w:rsidRDefault="006D4166" w:rsidP="006D4166">
      <w:pPr>
        <w:pStyle w:val="FootnoteText"/>
        <w:spacing w:line="276" w:lineRule="auto"/>
        <w:rPr>
          <w:rFonts w:ascii="Gentium Basic" w:hAnsi="Gentium Basic" w:cs="Times New Roman"/>
          <w:sz w:val="24"/>
          <w:szCs w:val="24"/>
        </w:rPr>
      </w:pPr>
      <w:proofErr w:type="gramStart"/>
      <w:r w:rsidRPr="004C4FE6">
        <w:rPr>
          <w:rFonts w:ascii="Gentium Basic" w:hAnsi="Gentium Basic" w:cs="Times New Roman"/>
          <w:sz w:val="24"/>
          <w:szCs w:val="24"/>
        </w:rPr>
        <w:t>al-Aqfahsi</w:t>
      </w:r>
      <w:proofErr w:type="gramEnd"/>
      <w:r w:rsidRPr="004C4FE6">
        <w:rPr>
          <w:rFonts w:ascii="Gentium Basic" w:hAnsi="Gentium Basic" w:cs="Times New Roman"/>
          <w:sz w:val="24"/>
          <w:szCs w:val="24"/>
        </w:rPr>
        <w:t xml:space="preserve">, Shihab al-Din b. al-‘Imad, </w:t>
      </w:r>
      <w:r w:rsidRPr="004C4FE6">
        <w:rPr>
          <w:rFonts w:ascii="Gentium Basic" w:hAnsi="Gentium Basic" w:cs="Times New Roman"/>
          <w:i/>
          <w:sz w:val="24"/>
          <w:szCs w:val="24"/>
        </w:rPr>
        <w:t>Akhbar Nil Miṣr</w:t>
      </w:r>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Labiba</w:t>
      </w:r>
      <w:proofErr w:type="spellEnd"/>
      <w:r w:rsidRPr="004C4FE6">
        <w:rPr>
          <w:rFonts w:ascii="Gentium Basic" w:hAnsi="Gentium Basic" w:cs="Times New Roman"/>
          <w:sz w:val="24"/>
          <w:szCs w:val="24"/>
        </w:rPr>
        <w:t xml:space="preserve"> Ibrahim </w:t>
      </w:r>
      <w:proofErr w:type="spellStart"/>
      <w:r w:rsidRPr="004C4FE6">
        <w:rPr>
          <w:rFonts w:ascii="Gentium Basic" w:hAnsi="Gentium Basic" w:cs="Times New Roman"/>
          <w:sz w:val="24"/>
          <w:szCs w:val="24"/>
        </w:rPr>
        <w:t>Muṣṭafa</w:t>
      </w:r>
      <w:proofErr w:type="spellEnd"/>
      <w:r w:rsidRPr="004C4FE6">
        <w:rPr>
          <w:rFonts w:ascii="Gentium Basic" w:hAnsi="Gentium Basic" w:cs="Times New Roman"/>
          <w:sz w:val="24"/>
          <w:szCs w:val="24"/>
        </w:rPr>
        <w:t xml:space="preserve"> and </w:t>
      </w:r>
      <w:proofErr w:type="spellStart"/>
      <w:r w:rsidRPr="004C4FE6">
        <w:rPr>
          <w:rFonts w:ascii="Gentium Basic" w:hAnsi="Gentium Basic" w:cs="Times New Roman"/>
          <w:sz w:val="24"/>
          <w:szCs w:val="24"/>
        </w:rPr>
        <w:t>Ni‘mat</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Abbas</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Muḥammad</w:t>
      </w:r>
      <w:proofErr w:type="spellEnd"/>
      <w:r w:rsidRPr="004C4FE6">
        <w:rPr>
          <w:rFonts w:ascii="Gentium Basic" w:hAnsi="Gentium Basic" w:cs="Times New Roman"/>
          <w:sz w:val="24"/>
          <w:szCs w:val="24"/>
        </w:rPr>
        <w:t xml:space="preserve"> (eds.), (Cairo: </w:t>
      </w:r>
      <w:proofErr w:type="spellStart"/>
      <w:r w:rsidRPr="004C4FE6">
        <w:rPr>
          <w:rFonts w:ascii="Gentium Basic" w:hAnsi="Gentium Basic" w:cs="Times New Roman"/>
          <w:sz w:val="24"/>
          <w:szCs w:val="24"/>
        </w:rPr>
        <w:t>Maktaba</w:t>
      </w:r>
      <w:proofErr w:type="spellEnd"/>
      <w:r w:rsidRPr="004C4FE6">
        <w:rPr>
          <w:rFonts w:ascii="Gentium Basic" w:hAnsi="Gentium Basic" w:cs="Times New Roman"/>
          <w:sz w:val="24"/>
          <w:szCs w:val="24"/>
        </w:rPr>
        <w:t xml:space="preserve"> Dar al-</w:t>
      </w:r>
      <w:proofErr w:type="spellStart"/>
      <w:r w:rsidRPr="004C4FE6">
        <w:rPr>
          <w:rFonts w:ascii="Gentium Basic" w:hAnsi="Gentium Basic" w:cs="Times New Roman"/>
          <w:sz w:val="24"/>
          <w:szCs w:val="24"/>
        </w:rPr>
        <w:t>Kutub</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wa</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watha’iq</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qawmiyya</w:t>
      </w:r>
      <w:proofErr w:type="spellEnd"/>
      <w:r w:rsidRPr="004C4FE6">
        <w:rPr>
          <w:rFonts w:ascii="Gentium Basic" w:hAnsi="Gentium Basic" w:cs="Times New Roman"/>
          <w:sz w:val="24"/>
          <w:szCs w:val="24"/>
        </w:rPr>
        <w:t xml:space="preserve"> bi-‘l-</w:t>
      </w:r>
      <w:proofErr w:type="spellStart"/>
      <w:r w:rsidRPr="004C4FE6">
        <w:rPr>
          <w:rFonts w:ascii="Gentium Basic" w:hAnsi="Gentium Basic" w:cs="Times New Roman"/>
          <w:sz w:val="24"/>
          <w:szCs w:val="24"/>
        </w:rPr>
        <w:t>Qahira</w:t>
      </w:r>
      <w:proofErr w:type="spellEnd"/>
      <w:r w:rsidRPr="004C4FE6">
        <w:rPr>
          <w:rFonts w:ascii="Gentium Basic" w:hAnsi="Gentium Basic" w:cs="Times New Roman"/>
          <w:sz w:val="24"/>
          <w:szCs w:val="24"/>
        </w:rPr>
        <w:t>, 1427/2006)</w:t>
      </w:r>
      <w:r>
        <w:rPr>
          <w:rFonts w:ascii="Gentium Basic" w:hAnsi="Gentium Basic" w:cs="Times New Roman"/>
          <w:sz w:val="24"/>
          <w:szCs w:val="24"/>
        </w:rPr>
        <w:t>.</w:t>
      </w:r>
    </w:p>
    <w:p w:rsidR="006D4166" w:rsidRPr="004C4FE6" w:rsidRDefault="006D4166" w:rsidP="006D4166">
      <w:pPr>
        <w:rPr>
          <w:rFonts w:ascii="Gentium Basic" w:hAnsi="Gentium Basic" w:cs="Times New Roman"/>
          <w:sz w:val="24"/>
          <w:szCs w:val="24"/>
        </w:rPr>
      </w:pPr>
      <w:proofErr w:type="spellStart"/>
      <w:r w:rsidRPr="004C4FE6">
        <w:rPr>
          <w:rFonts w:ascii="Gentium Basic" w:hAnsi="Gentium Basic" w:cs="Times New Roman"/>
          <w:sz w:val="24"/>
          <w:szCs w:val="24"/>
        </w:rPr>
        <w:t>Ibn</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Abi</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Uṣaybi‘a</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Aḥmad</w:t>
      </w:r>
      <w:proofErr w:type="spellEnd"/>
      <w:r w:rsidRPr="004C4FE6">
        <w:rPr>
          <w:rFonts w:ascii="Gentium Basic" w:hAnsi="Gentium Basic" w:cs="Times New Roman"/>
          <w:sz w:val="24"/>
          <w:szCs w:val="24"/>
        </w:rPr>
        <w:t xml:space="preserve"> b. </w:t>
      </w:r>
      <w:proofErr w:type="spellStart"/>
      <w:r w:rsidRPr="004C4FE6">
        <w:rPr>
          <w:rFonts w:ascii="Gentium Basic" w:hAnsi="Gentium Basic" w:cs="Times New Roman"/>
          <w:sz w:val="24"/>
          <w:szCs w:val="24"/>
        </w:rPr>
        <w:t>Qasim</w:t>
      </w:r>
      <w:proofErr w:type="spellEnd"/>
      <w:r w:rsidRPr="004C4FE6">
        <w:rPr>
          <w:rFonts w:ascii="Gentium Basic" w:hAnsi="Gentium Basic" w:cs="Times New Roman"/>
          <w:sz w:val="24"/>
          <w:szCs w:val="24"/>
        </w:rPr>
        <w:t>, ‘</w:t>
      </w:r>
      <w:proofErr w:type="spellStart"/>
      <w:r w:rsidRPr="004C4FE6">
        <w:rPr>
          <w:rFonts w:ascii="Gentium Basic" w:hAnsi="Gentium Basic" w:cs="Times New Roman"/>
          <w:i/>
          <w:sz w:val="24"/>
          <w:szCs w:val="24"/>
        </w:rPr>
        <w:t>Uyun</w:t>
      </w:r>
      <w:proofErr w:type="spellEnd"/>
      <w:r w:rsidRPr="004C4FE6">
        <w:rPr>
          <w:rFonts w:ascii="Gentium Basic" w:hAnsi="Gentium Basic" w:cs="Times New Roman"/>
          <w:i/>
          <w:sz w:val="24"/>
          <w:szCs w:val="24"/>
        </w:rPr>
        <w:t xml:space="preserve"> al-</w:t>
      </w:r>
      <w:proofErr w:type="spellStart"/>
      <w:r w:rsidRPr="004C4FE6">
        <w:rPr>
          <w:rFonts w:ascii="Gentium Basic" w:hAnsi="Gentium Basic" w:cs="Times New Roman"/>
          <w:i/>
          <w:sz w:val="24"/>
          <w:szCs w:val="24"/>
        </w:rPr>
        <w:t>anba</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fi</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ṭabaqat</w:t>
      </w:r>
      <w:proofErr w:type="spellEnd"/>
      <w:r w:rsidRPr="004C4FE6">
        <w:rPr>
          <w:rFonts w:ascii="Gentium Basic" w:hAnsi="Gentium Basic" w:cs="Times New Roman"/>
          <w:i/>
          <w:sz w:val="24"/>
          <w:szCs w:val="24"/>
        </w:rPr>
        <w:t xml:space="preserve"> al-</w:t>
      </w:r>
      <w:proofErr w:type="spellStart"/>
      <w:r w:rsidRPr="004C4FE6">
        <w:rPr>
          <w:rFonts w:ascii="Gentium Basic" w:hAnsi="Gentium Basic" w:cs="Times New Roman"/>
          <w:i/>
          <w:sz w:val="24"/>
          <w:szCs w:val="24"/>
        </w:rPr>
        <w:t>aṭibba</w:t>
      </w:r>
      <w:proofErr w:type="spellEnd"/>
      <w:r w:rsidRPr="004C4FE6">
        <w:rPr>
          <w:rFonts w:ascii="Gentium Basic" w:hAnsi="Gentium Basic" w:cs="Times New Roman"/>
          <w:i/>
          <w:sz w:val="24"/>
          <w:szCs w:val="24"/>
        </w:rPr>
        <w:t>’</w:t>
      </w:r>
      <w:r w:rsidRPr="004C4FE6">
        <w:rPr>
          <w:rFonts w:ascii="Gentium Basic" w:hAnsi="Gentium Basic" w:cs="Times New Roman"/>
          <w:sz w:val="24"/>
          <w:szCs w:val="24"/>
        </w:rPr>
        <w:t>, (Cairo: 1882).</w:t>
      </w:r>
    </w:p>
    <w:p w:rsidR="006D4166" w:rsidRPr="004C4FE6" w:rsidRDefault="006D4166" w:rsidP="006D4166">
      <w:pPr>
        <w:rPr>
          <w:rFonts w:ascii="Gentium Basic" w:eastAsia="Times New Roman" w:hAnsi="Gentium Basic" w:cs="Times New Roman"/>
          <w:sz w:val="24"/>
          <w:szCs w:val="24"/>
          <w:lang w:eastAsia="en-GB"/>
        </w:rPr>
      </w:pPr>
      <w:proofErr w:type="spellStart"/>
      <w:proofErr w:type="gramStart"/>
      <w:r w:rsidRPr="004C4FE6">
        <w:rPr>
          <w:rFonts w:ascii="Gentium Basic" w:eastAsia="Times New Roman" w:hAnsi="Gentium Basic" w:cs="Times New Roman"/>
          <w:sz w:val="24"/>
          <w:szCs w:val="24"/>
          <w:lang w:eastAsia="en-GB"/>
        </w:rPr>
        <w:t>Ibn</w:t>
      </w:r>
      <w:proofErr w:type="spellEnd"/>
      <w:r w:rsidRPr="004C4FE6">
        <w:rPr>
          <w:rFonts w:ascii="Gentium Basic" w:eastAsia="Times New Roman" w:hAnsi="Gentium Basic" w:cs="Times New Roman"/>
          <w:sz w:val="24"/>
          <w:szCs w:val="24"/>
          <w:lang w:eastAsia="en-GB"/>
        </w:rPr>
        <w:t xml:space="preserve"> </w:t>
      </w:r>
      <w:proofErr w:type="spellStart"/>
      <w:r w:rsidRPr="004C4FE6">
        <w:rPr>
          <w:rFonts w:ascii="Gentium Basic" w:eastAsia="Times New Roman" w:hAnsi="Gentium Basic" w:cs="Times New Roman"/>
          <w:sz w:val="24"/>
          <w:szCs w:val="24"/>
          <w:lang w:eastAsia="en-GB"/>
        </w:rPr>
        <w:t>Ḥawqal</w:t>
      </w:r>
      <w:proofErr w:type="spellEnd"/>
      <w:r w:rsidRPr="004C4FE6">
        <w:rPr>
          <w:rFonts w:ascii="Gentium Basic" w:eastAsia="Times New Roman" w:hAnsi="Gentium Basic" w:cs="Times New Roman"/>
          <w:sz w:val="24"/>
          <w:szCs w:val="24"/>
          <w:lang w:eastAsia="en-GB"/>
        </w:rPr>
        <w:t xml:space="preserve">, </w:t>
      </w:r>
      <w:proofErr w:type="spellStart"/>
      <w:r w:rsidRPr="004C4FE6">
        <w:rPr>
          <w:rFonts w:ascii="Gentium Basic" w:hAnsi="Gentium Basic" w:cs="Times New Roman"/>
          <w:sz w:val="24"/>
          <w:szCs w:val="24"/>
        </w:rPr>
        <w:t>Abu’l-Qasim</w:t>
      </w:r>
      <w:proofErr w:type="spellEnd"/>
      <w:r w:rsidRPr="004C4FE6">
        <w:rPr>
          <w:rFonts w:ascii="Gentium Basic" w:hAnsi="Gentium Basic" w:cs="Times New Roman"/>
          <w:sz w:val="24"/>
          <w:szCs w:val="24"/>
        </w:rPr>
        <w:t xml:space="preserve">, </w:t>
      </w:r>
      <w:proofErr w:type="spellStart"/>
      <w:r w:rsidRPr="004C4FE6">
        <w:rPr>
          <w:rFonts w:ascii="Gentium Basic" w:eastAsia="Times New Roman" w:hAnsi="Gentium Basic" w:cs="Times New Roman"/>
          <w:i/>
          <w:sz w:val="24"/>
          <w:szCs w:val="24"/>
          <w:lang w:eastAsia="en-GB"/>
        </w:rPr>
        <w:t>Kitab</w:t>
      </w:r>
      <w:proofErr w:type="spellEnd"/>
      <w:r w:rsidRPr="004C4FE6">
        <w:rPr>
          <w:rFonts w:ascii="Gentium Basic" w:eastAsia="Times New Roman" w:hAnsi="Gentium Basic" w:cs="Times New Roman"/>
          <w:i/>
          <w:sz w:val="24"/>
          <w:szCs w:val="24"/>
          <w:lang w:eastAsia="en-GB"/>
        </w:rPr>
        <w:t xml:space="preserve"> </w:t>
      </w:r>
      <w:proofErr w:type="spellStart"/>
      <w:r w:rsidRPr="004C4FE6">
        <w:rPr>
          <w:rFonts w:ascii="Gentium Basic" w:eastAsia="Times New Roman" w:hAnsi="Gentium Basic" w:cs="Times New Roman"/>
          <w:i/>
          <w:sz w:val="24"/>
          <w:szCs w:val="24"/>
          <w:lang w:eastAsia="en-GB"/>
        </w:rPr>
        <w:t>Ṣurat</w:t>
      </w:r>
      <w:proofErr w:type="spellEnd"/>
      <w:r w:rsidRPr="004C4FE6">
        <w:rPr>
          <w:rFonts w:ascii="Gentium Basic" w:eastAsia="Times New Roman" w:hAnsi="Gentium Basic" w:cs="Times New Roman"/>
          <w:i/>
          <w:sz w:val="24"/>
          <w:szCs w:val="24"/>
          <w:lang w:eastAsia="en-GB"/>
        </w:rPr>
        <w:t xml:space="preserve"> al-</w:t>
      </w:r>
      <w:proofErr w:type="spellStart"/>
      <w:r w:rsidRPr="004C4FE6">
        <w:rPr>
          <w:rFonts w:ascii="Gentium Basic" w:eastAsia="Times New Roman" w:hAnsi="Gentium Basic" w:cs="Times New Roman"/>
          <w:i/>
          <w:sz w:val="24"/>
          <w:szCs w:val="24"/>
          <w:lang w:eastAsia="en-GB"/>
        </w:rPr>
        <w:t>arḍ</w:t>
      </w:r>
      <w:proofErr w:type="spellEnd"/>
      <w:r w:rsidRPr="004C4FE6">
        <w:rPr>
          <w:rFonts w:ascii="Gentium Basic" w:eastAsia="Times New Roman" w:hAnsi="Gentium Basic" w:cs="Times New Roman"/>
          <w:sz w:val="24"/>
          <w:szCs w:val="24"/>
          <w:lang w:eastAsia="en-GB"/>
        </w:rPr>
        <w:t>.</w:t>
      </w:r>
      <w:proofErr w:type="gramEnd"/>
      <w:r w:rsidRPr="004C4FE6">
        <w:rPr>
          <w:rFonts w:ascii="Gentium Basic" w:eastAsia="Times New Roman" w:hAnsi="Gentium Basic" w:cs="Times New Roman"/>
          <w:sz w:val="24"/>
          <w:szCs w:val="24"/>
          <w:lang w:eastAsia="en-GB"/>
        </w:rPr>
        <w:t xml:space="preserve"> </w:t>
      </w:r>
      <w:proofErr w:type="gramStart"/>
      <w:r w:rsidRPr="004C4FE6">
        <w:rPr>
          <w:rFonts w:ascii="Gentium Basic" w:eastAsia="Times New Roman" w:hAnsi="Gentium Basic" w:cs="Times New Roman"/>
          <w:sz w:val="24"/>
          <w:szCs w:val="24"/>
          <w:lang w:eastAsia="en-GB"/>
        </w:rPr>
        <w:t xml:space="preserve">(Beirut: </w:t>
      </w:r>
      <w:proofErr w:type="spellStart"/>
      <w:r w:rsidRPr="004C4FE6">
        <w:rPr>
          <w:rFonts w:ascii="Gentium Basic" w:hAnsi="Gentium Basic"/>
          <w:sz w:val="24"/>
          <w:szCs w:val="24"/>
        </w:rPr>
        <w:t>Maktabat</w:t>
      </w:r>
      <w:proofErr w:type="spellEnd"/>
      <w:r w:rsidRPr="004C4FE6">
        <w:rPr>
          <w:rFonts w:ascii="Gentium Basic" w:hAnsi="Gentium Basic"/>
          <w:sz w:val="24"/>
          <w:szCs w:val="24"/>
        </w:rPr>
        <w:t xml:space="preserve"> al-</w:t>
      </w:r>
      <w:proofErr w:type="spellStart"/>
      <w:r w:rsidRPr="004C4FE6">
        <w:rPr>
          <w:rFonts w:ascii="Gentium Basic" w:hAnsi="Gentium Basic"/>
          <w:sz w:val="24"/>
          <w:szCs w:val="24"/>
        </w:rPr>
        <w:t>Ḥayah</w:t>
      </w:r>
      <w:proofErr w:type="spellEnd"/>
      <w:r w:rsidRPr="004C4FE6">
        <w:rPr>
          <w:rFonts w:ascii="Gentium Basic" w:eastAsia="Times New Roman" w:hAnsi="Gentium Basic" w:cs="Times New Roman"/>
          <w:sz w:val="24"/>
          <w:szCs w:val="24"/>
          <w:lang w:eastAsia="en-GB"/>
        </w:rPr>
        <w:t>, 1979).</w:t>
      </w:r>
      <w:proofErr w:type="gramEnd"/>
    </w:p>
    <w:p w:rsidR="006D4166" w:rsidRPr="004C4FE6" w:rsidRDefault="006D4166" w:rsidP="006D4166">
      <w:pPr>
        <w:pStyle w:val="FootnoteText"/>
        <w:spacing w:line="276" w:lineRule="auto"/>
        <w:rPr>
          <w:rFonts w:ascii="Gentium Basic" w:hAnsi="Gentium Basic" w:cs="Times New Roman"/>
          <w:sz w:val="24"/>
          <w:szCs w:val="24"/>
        </w:rPr>
      </w:pPr>
      <w:proofErr w:type="gramStart"/>
      <w:r w:rsidRPr="004C4FE6">
        <w:rPr>
          <w:rFonts w:ascii="Gentium Basic" w:hAnsi="Gentium Basic" w:cs="Times New Roman"/>
          <w:sz w:val="24"/>
          <w:szCs w:val="24"/>
        </w:rPr>
        <w:t>[</w:t>
      </w:r>
      <w:proofErr w:type="spellStart"/>
      <w:r w:rsidRPr="004C4FE6">
        <w:rPr>
          <w:rFonts w:ascii="Gentium Basic" w:hAnsi="Gentium Basic" w:cs="Times New Roman"/>
          <w:sz w:val="24"/>
          <w:szCs w:val="24"/>
        </w:rPr>
        <w:t>Ibn</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Qif</w:t>
      </w:r>
      <w:r>
        <w:rPr>
          <w:rFonts w:ascii="Gentium Basic" w:hAnsi="Gentium Basic" w:cs="Times New Roman"/>
          <w:sz w:val="24"/>
          <w:szCs w:val="24"/>
        </w:rPr>
        <w:t>ṭ</w:t>
      </w:r>
      <w:r w:rsidRPr="004C4FE6">
        <w:rPr>
          <w:rFonts w:ascii="Gentium Basic" w:hAnsi="Gentium Basic" w:cs="Times New Roman"/>
          <w:sz w:val="24"/>
          <w:szCs w:val="24"/>
        </w:rPr>
        <w:t>ī</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i/>
          <w:sz w:val="24"/>
          <w:szCs w:val="24"/>
        </w:rPr>
        <w:t>Ibn</w:t>
      </w:r>
      <w:proofErr w:type="spellEnd"/>
      <w:r w:rsidRPr="004C4FE6">
        <w:rPr>
          <w:rFonts w:ascii="Gentium Basic" w:hAnsi="Gentium Basic" w:cs="Times New Roman"/>
          <w:i/>
          <w:sz w:val="24"/>
          <w:szCs w:val="24"/>
        </w:rPr>
        <w:t xml:space="preserve"> al-</w:t>
      </w:r>
      <w:proofErr w:type="spellStart"/>
      <w:r w:rsidRPr="004C4FE6">
        <w:rPr>
          <w:rFonts w:ascii="Gentium Basic" w:hAnsi="Gentium Basic" w:cs="Times New Roman"/>
          <w:i/>
          <w:sz w:val="24"/>
          <w:szCs w:val="24"/>
        </w:rPr>
        <w:t>Qif</w:t>
      </w:r>
      <w:r>
        <w:rPr>
          <w:rFonts w:ascii="Gentium Basic" w:hAnsi="Gentium Basic" w:cs="Times New Roman"/>
          <w:i/>
          <w:sz w:val="24"/>
          <w:szCs w:val="24"/>
        </w:rPr>
        <w:t>ṭi</w:t>
      </w:r>
      <w:r w:rsidRPr="004C4FE6">
        <w:rPr>
          <w:rFonts w:ascii="Gentium Basic" w:hAnsi="Gentium Basic" w:cs="Times New Roman"/>
          <w:i/>
          <w:sz w:val="24"/>
          <w:szCs w:val="24"/>
        </w:rPr>
        <w:t>’s</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Ta’r</w:t>
      </w:r>
      <w:r>
        <w:rPr>
          <w:rFonts w:ascii="Gentium Basic" w:hAnsi="Gentium Basic" w:cs="Times New Roman"/>
          <w:i/>
          <w:sz w:val="24"/>
          <w:szCs w:val="24"/>
        </w:rPr>
        <w:t>i</w:t>
      </w:r>
      <w:r w:rsidRPr="004C4FE6">
        <w:rPr>
          <w:rFonts w:ascii="Gentium Basic" w:hAnsi="Gentium Basic" w:cs="Times New Roman"/>
          <w:i/>
          <w:sz w:val="24"/>
          <w:szCs w:val="24"/>
        </w:rPr>
        <w:t>kh</w:t>
      </w:r>
      <w:proofErr w:type="spellEnd"/>
      <w:r w:rsidRPr="004C4FE6">
        <w:rPr>
          <w:rFonts w:ascii="Gentium Basic" w:hAnsi="Gentium Basic" w:cs="Times New Roman"/>
          <w:i/>
          <w:sz w:val="24"/>
          <w:szCs w:val="24"/>
        </w:rPr>
        <w:t xml:space="preserve"> al-</w:t>
      </w:r>
      <w:proofErr w:type="spellStart"/>
      <w:r w:rsidRPr="004C4FE6">
        <w:rPr>
          <w:rFonts w:ascii="Gentium Basic" w:hAnsi="Gentium Basic" w:cs="Times New Roman"/>
          <w:i/>
          <w:sz w:val="24"/>
          <w:szCs w:val="24"/>
        </w:rPr>
        <w:t>Ḥukam</w:t>
      </w:r>
      <w:r>
        <w:rPr>
          <w:rFonts w:ascii="Gentium Basic" w:hAnsi="Gentium Basic" w:cs="Times New Roman"/>
          <w:i/>
          <w:sz w:val="24"/>
          <w:szCs w:val="24"/>
        </w:rPr>
        <w:t>a</w:t>
      </w:r>
      <w:proofErr w:type="spellEnd"/>
      <w:r w:rsidRPr="004C4FE6">
        <w:rPr>
          <w:rFonts w:ascii="Gentium Basic" w:hAnsi="Gentium Basic" w:cs="Times New Roman"/>
          <w:i/>
          <w:sz w:val="24"/>
          <w:szCs w:val="24"/>
        </w:rPr>
        <w:t>’</w:t>
      </w:r>
      <w:r w:rsidRPr="004C4FE6">
        <w:rPr>
          <w:rFonts w:ascii="Gentium Basic" w:hAnsi="Gentium Basic" w:cs="Times New Roman"/>
          <w:sz w:val="24"/>
          <w:szCs w:val="24"/>
        </w:rPr>
        <w:t xml:space="preserve">, J. </w:t>
      </w:r>
      <w:proofErr w:type="spellStart"/>
      <w:r w:rsidRPr="004C4FE6">
        <w:rPr>
          <w:rFonts w:ascii="Gentium Basic" w:hAnsi="Gentium Basic" w:cs="Times New Roman"/>
          <w:sz w:val="24"/>
          <w:szCs w:val="24"/>
        </w:rPr>
        <w:t>Lippert</w:t>
      </w:r>
      <w:proofErr w:type="spellEnd"/>
      <w:r w:rsidRPr="004C4FE6">
        <w:rPr>
          <w:rFonts w:ascii="Gentium Basic" w:hAnsi="Gentium Basic" w:cs="Times New Roman"/>
          <w:sz w:val="24"/>
          <w:szCs w:val="24"/>
        </w:rPr>
        <w:t xml:space="preserve"> (ed.), (Leipzig: </w:t>
      </w:r>
      <w:proofErr w:type="spellStart"/>
      <w:r w:rsidRPr="004C4FE6">
        <w:rPr>
          <w:rFonts w:ascii="Gentium Basic" w:hAnsi="Gentium Basic" w:cs="Times New Roman"/>
          <w:sz w:val="24"/>
          <w:szCs w:val="24"/>
        </w:rPr>
        <w:t>Dieterich’sche</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Verlagsbuchhandlung</w:t>
      </w:r>
      <w:proofErr w:type="spellEnd"/>
      <w:r w:rsidRPr="004C4FE6">
        <w:rPr>
          <w:rFonts w:ascii="Gentium Basic" w:hAnsi="Gentium Basic" w:cs="Times New Roman"/>
          <w:sz w:val="24"/>
          <w:szCs w:val="24"/>
        </w:rPr>
        <w:t>, 1903)</w:t>
      </w:r>
      <w:r>
        <w:rPr>
          <w:rFonts w:ascii="Gentium Basic" w:hAnsi="Gentium Basic" w:cs="Times New Roman"/>
          <w:sz w:val="24"/>
          <w:szCs w:val="24"/>
        </w:rPr>
        <w:t>.</w:t>
      </w:r>
      <w:proofErr w:type="gramEnd"/>
    </w:p>
    <w:p w:rsidR="006D4166" w:rsidRPr="004C4FE6" w:rsidRDefault="006D4166" w:rsidP="00933BFE">
      <w:pPr>
        <w:autoSpaceDE w:val="0"/>
        <w:autoSpaceDN w:val="0"/>
        <w:adjustRightInd w:val="0"/>
        <w:spacing w:after="0"/>
        <w:rPr>
          <w:rFonts w:ascii="Gentium Basic" w:hAnsi="Gentium Basic" w:cs="Times New Roman"/>
          <w:sz w:val="24"/>
          <w:szCs w:val="24"/>
        </w:rPr>
      </w:pPr>
      <w:proofErr w:type="spellStart"/>
      <w:r w:rsidRPr="004C4FE6">
        <w:rPr>
          <w:rFonts w:ascii="Gentium Basic" w:hAnsi="Gentium Basic" w:cs="Times New Roman"/>
          <w:sz w:val="24"/>
          <w:szCs w:val="24"/>
        </w:rPr>
        <w:t>Ibn</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Taghri</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Birdi</w:t>
      </w:r>
      <w:proofErr w:type="spellEnd"/>
      <w:r w:rsidRPr="004C4FE6">
        <w:rPr>
          <w:rFonts w:ascii="Gentium Basic" w:hAnsi="Gentium Basic" w:cs="Times New Roman"/>
          <w:sz w:val="24"/>
          <w:szCs w:val="24"/>
        </w:rPr>
        <w:t xml:space="preserve">, </w:t>
      </w:r>
      <w:proofErr w:type="spellStart"/>
      <w:r w:rsidRPr="004C4FE6">
        <w:rPr>
          <w:rFonts w:ascii="Gentium Basic" w:hAnsi="Gentium Basic" w:cs="Bembo"/>
          <w:sz w:val="24"/>
          <w:szCs w:val="24"/>
        </w:rPr>
        <w:t>Abu’l-Maḥasin</w:t>
      </w:r>
      <w:proofErr w:type="spellEnd"/>
      <w:r w:rsidRPr="004C4FE6">
        <w:rPr>
          <w:rFonts w:ascii="Gentium Basic" w:hAnsi="Gentium Basic" w:cs="Bembo"/>
          <w:sz w:val="24"/>
          <w:szCs w:val="24"/>
        </w:rPr>
        <w:t xml:space="preserve"> Jamal al-Din Yusuf</w:t>
      </w:r>
      <w:r w:rsidRPr="004C4FE6">
        <w:rPr>
          <w:rFonts w:ascii="Gentium Basic" w:hAnsi="Gentium Basic" w:cs="Times New Roman"/>
          <w:sz w:val="24"/>
          <w:szCs w:val="24"/>
        </w:rPr>
        <w:t xml:space="preserve">, </w:t>
      </w:r>
      <w:r w:rsidRPr="004C4FE6">
        <w:rPr>
          <w:rFonts w:ascii="Gentium Basic" w:hAnsi="Gentium Basic" w:cs="Bembo-Italic"/>
          <w:i/>
          <w:iCs/>
          <w:sz w:val="24"/>
          <w:szCs w:val="24"/>
        </w:rPr>
        <w:t>al-</w:t>
      </w:r>
      <w:proofErr w:type="spellStart"/>
      <w:r w:rsidRPr="004C4FE6">
        <w:rPr>
          <w:rFonts w:ascii="Gentium Basic" w:hAnsi="Gentium Basic" w:cs="Bembo-Italic"/>
          <w:i/>
          <w:iCs/>
          <w:sz w:val="24"/>
          <w:szCs w:val="24"/>
        </w:rPr>
        <w:t>Nujum</w:t>
      </w:r>
      <w:proofErr w:type="spellEnd"/>
      <w:r w:rsidRPr="004C4FE6">
        <w:rPr>
          <w:rFonts w:ascii="Gentium Basic" w:hAnsi="Gentium Basic" w:cs="Bembo-Italic"/>
          <w:i/>
          <w:iCs/>
          <w:sz w:val="24"/>
          <w:szCs w:val="24"/>
        </w:rPr>
        <w:t xml:space="preserve"> al-</w:t>
      </w:r>
      <w:proofErr w:type="spellStart"/>
      <w:r w:rsidRPr="004C4FE6">
        <w:rPr>
          <w:rFonts w:ascii="Gentium Basic" w:hAnsi="Gentium Basic" w:cs="Bembo-Italic"/>
          <w:i/>
          <w:iCs/>
          <w:sz w:val="24"/>
          <w:szCs w:val="24"/>
        </w:rPr>
        <w:t>Ẓahira</w:t>
      </w:r>
      <w:proofErr w:type="spellEnd"/>
      <w:r w:rsidRPr="004C4FE6">
        <w:rPr>
          <w:rFonts w:ascii="Gentium Basic" w:hAnsi="Gentium Basic" w:cs="Bembo-Italic"/>
          <w:i/>
          <w:iCs/>
          <w:sz w:val="24"/>
          <w:szCs w:val="24"/>
        </w:rPr>
        <w:t xml:space="preserve"> </w:t>
      </w:r>
      <w:proofErr w:type="spellStart"/>
      <w:r w:rsidRPr="004C4FE6">
        <w:rPr>
          <w:rFonts w:ascii="Gentium Basic" w:hAnsi="Gentium Basic" w:cs="Bembo-Italic"/>
          <w:i/>
          <w:iCs/>
          <w:sz w:val="24"/>
          <w:szCs w:val="24"/>
        </w:rPr>
        <w:t>fi</w:t>
      </w:r>
      <w:proofErr w:type="spellEnd"/>
      <w:r w:rsidRPr="004C4FE6">
        <w:rPr>
          <w:rFonts w:ascii="Gentium Basic" w:hAnsi="Gentium Basic" w:cs="Bembo-Italic"/>
          <w:i/>
          <w:iCs/>
          <w:sz w:val="24"/>
          <w:szCs w:val="24"/>
        </w:rPr>
        <w:t xml:space="preserve"> </w:t>
      </w:r>
      <w:proofErr w:type="spellStart"/>
      <w:r w:rsidRPr="004C4FE6">
        <w:rPr>
          <w:rFonts w:ascii="Gentium Basic" w:hAnsi="Gentium Basic" w:cs="Bembo-Italic"/>
          <w:i/>
          <w:iCs/>
          <w:sz w:val="24"/>
          <w:szCs w:val="24"/>
        </w:rPr>
        <w:t>Muluk</w:t>
      </w:r>
      <w:proofErr w:type="spellEnd"/>
      <w:r w:rsidRPr="004C4FE6">
        <w:rPr>
          <w:rFonts w:ascii="Gentium Basic" w:hAnsi="Gentium Basic" w:cs="Bembo-Italic"/>
          <w:i/>
          <w:iCs/>
          <w:sz w:val="24"/>
          <w:szCs w:val="24"/>
        </w:rPr>
        <w:t xml:space="preserve"> </w:t>
      </w:r>
      <w:proofErr w:type="spellStart"/>
      <w:r w:rsidRPr="004C4FE6">
        <w:rPr>
          <w:rFonts w:ascii="Gentium Basic" w:hAnsi="Gentium Basic" w:cs="Bembo-Italic"/>
          <w:i/>
          <w:iCs/>
          <w:sz w:val="24"/>
          <w:szCs w:val="24"/>
        </w:rPr>
        <w:t>Miṣr</w:t>
      </w:r>
      <w:proofErr w:type="spellEnd"/>
      <w:r w:rsidR="00933BFE">
        <w:rPr>
          <w:rFonts w:ascii="Gentium Basic" w:hAnsi="Gentium Basic" w:cs="Bembo-Italic"/>
          <w:i/>
          <w:iCs/>
          <w:sz w:val="24"/>
          <w:szCs w:val="24"/>
        </w:rPr>
        <w:t xml:space="preserve"> </w:t>
      </w:r>
      <w:proofErr w:type="spellStart"/>
      <w:r w:rsidRPr="004C4FE6">
        <w:rPr>
          <w:rFonts w:ascii="Gentium Basic" w:hAnsi="Gentium Basic" w:cs="Bembo-Italic"/>
          <w:i/>
          <w:iCs/>
          <w:sz w:val="24"/>
          <w:szCs w:val="24"/>
        </w:rPr>
        <w:t>wa</w:t>
      </w:r>
      <w:proofErr w:type="spellEnd"/>
      <w:r w:rsidRPr="004C4FE6">
        <w:rPr>
          <w:rFonts w:ascii="Gentium Basic" w:hAnsi="Gentium Basic" w:cs="Bembo-Italic"/>
          <w:i/>
          <w:iCs/>
          <w:sz w:val="24"/>
          <w:szCs w:val="24"/>
        </w:rPr>
        <w:t>-al-</w:t>
      </w:r>
      <w:proofErr w:type="spellStart"/>
      <w:r w:rsidRPr="004C4FE6">
        <w:rPr>
          <w:rFonts w:ascii="Gentium Basic" w:hAnsi="Gentium Basic" w:cs="Bembo-Italic"/>
          <w:i/>
          <w:iCs/>
          <w:sz w:val="24"/>
          <w:szCs w:val="24"/>
        </w:rPr>
        <w:t>Qahira</w:t>
      </w:r>
      <w:proofErr w:type="spellEnd"/>
      <w:r w:rsidRPr="004C4FE6">
        <w:rPr>
          <w:rFonts w:ascii="Gentium Basic" w:hAnsi="Gentium Basic" w:cs="Times New Roman"/>
          <w:sz w:val="24"/>
          <w:szCs w:val="24"/>
        </w:rPr>
        <w:t xml:space="preserve">, (Cairo: </w:t>
      </w:r>
      <w:proofErr w:type="spellStart"/>
      <w:r w:rsidRPr="004C4FE6">
        <w:rPr>
          <w:rFonts w:ascii="Gentium Basic" w:hAnsi="Gentium Basic" w:cs="Times New Roman"/>
          <w:sz w:val="24"/>
          <w:szCs w:val="24"/>
        </w:rPr>
        <w:t>Wizarat</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thaqafa</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wa</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irshad</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qawmi</w:t>
      </w:r>
      <w:proofErr w:type="spellEnd"/>
      <w:r w:rsidRPr="004C4FE6">
        <w:rPr>
          <w:rFonts w:ascii="Gentium Basic" w:hAnsi="Gentium Basic" w:cs="Times New Roman"/>
          <w:sz w:val="24"/>
          <w:szCs w:val="24"/>
        </w:rPr>
        <w:t>, 1963-72), vols. 4 and 5.</w:t>
      </w:r>
    </w:p>
    <w:p w:rsidR="006D4166" w:rsidRPr="004C4FE6" w:rsidRDefault="006D4166" w:rsidP="006D4166">
      <w:pPr>
        <w:pStyle w:val="FootnoteText"/>
        <w:spacing w:line="276" w:lineRule="auto"/>
        <w:rPr>
          <w:rFonts w:ascii="Gentium Basic" w:hAnsi="Gentium Basic" w:cs="Times New Roman"/>
          <w:sz w:val="24"/>
          <w:szCs w:val="24"/>
        </w:rPr>
      </w:pPr>
      <w:proofErr w:type="spellStart"/>
      <w:r w:rsidRPr="004C4FE6">
        <w:rPr>
          <w:rFonts w:ascii="Gentium Basic" w:hAnsi="Gentium Basic" w:cs="Times New Roman"/>
          <w:sz w:val="24"/>
          <w:szCs w:val="24"/>
        </w:rPr>
        <w:t>Ibn</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Ẓahira</w:t>
      </w:r>
      <w:proofErr w:type="spellEnd"/>
      <w:r w:rsidRPr="004C4FE6">
        <w:rPr>
          <w:rFonts w:ascii="Gentium Basic" w:hAnsi="Gentium Basic" w:cs="Times New Roman"/>
          <w:sz w:val="24"/>
          <w:szCs w:val="24"/>
        </w:rPr>
        <w:t xml:space="preserve">, </w:t>
      </w:r>
      <w:r w:rsidRPr="004C4FE6">
        <w:rPr>
          <w:rFonts w:ascii="Gentium Basic" w:hAnsi="Gentium Basic" w:cs="Times New Roman"/>
          <w:i/>
          <w:sz w:val="24"/>
          <w:szCs w:val="24"/>
        </w:rPr>
        <w:t>al-</w:t>
      </w:r>
      <w:proofErr w:type="spellStart"/>
      <w:proofErr w:type="gramStart"/>
      <w:r w:rsidRPr="004C4FE6">
        <w:rPr>
          <w:rFonts w:ascii="Gentium Basic" w:hAnsi="Gentium Basic" w:cs="Times New Roman"/>
          <w:i/>
          <w:sz w:val="24"/>
          <w:szCs w:val="24"/>
        </w:rPr>
        <w:t>Faḍa’il</w:t>
      </w:r>
      <w:proofErr w:type="spellEnd"/>
      <w:proofErr w:type="gramEnd"/>
      <w:r w:rsidRPr="004C4FE6">
        <w:rPr>
          <w:rFonts w:ascii="Gentium Basic" w:hAnsi="Gentium Basic" w:cs="Times New Roman"/>
          <w:i/>
          <w:sz w:val="24"/>
          <w:szCs w:val="24"/>
        </w:rPr>
        <w:t xml:space="preserve"> al-</w:t>
      </w:r>
      <w:proofErr w:type="spellStart"/>
      <w:r w:rsidRPr="004C4FE6">
        <w:rPr>
          <w:rFonts w:ascii="Gentium Basic" w:hAnsi="Gentium Basic" w:cs="Times New Roman"/>
          <w:i/>
          <w:sz w:val="24"/>
          <w:szCs w:val="24"/>
        </w:rPr>
        <w:t>Bahira</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fi</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maḥasin</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Miṣr</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wa’l-Qahira</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Muṣṭafa</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Saqqa</w:t>
      </w:r>
      <w:proofErr w:type="spellEnd"/>
      <w:r w:rsidRPr="004C4FE6">
        <w:rPr>
          <w:rFonts w:ascii="Gentium Basic" w:hAnsi="Gentium Basic" w:cs="Times New Roman"/>
          <w:sz w:val="24"/>
          <w:szCs w:val="24"/>
        </w:rPr>
        <w:t xml:space="preserve"> and </w:t>
      </w:r>
      <w:proofErr w:type="spellStart"/>
      <w:r w:rsidRPr="004C4FE6">
        <w:rPr>
          <w:rFonts w:ascii="Gentium Basic" w:hAnsi="Gentium Basic" w:cs="Times New Roman"/>
          <w:sz w:val="24"/>
          <w:szCs w:val="24"/>
        </w:rPr>
        <w:t>Kamil</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Muhandis</w:t>
      </w:r>
      <w:proofErr w:type="spellEnd"/>
      <w:r w:rsidRPr="004C4FE6">
        <w:rPr>
          <w:rFonts w:ascii="Gentium Basic" w:hAnsi="Gentium Basic" w:cs="Times New Roman"/>
          <w:sz w:val="24"/>
          <w:szCs w:val="24"/>
        </w:rPr>
        <w:t xml:space="preserve"> (ed.), (Cairo: The National Library Press, 1969)</w:t>
      </w:r>
      <w:r>
        <w:rPr>
          <w:rFonts w:ascii="Gentium Basic" w:hAnsi="Gentium Basic" w:cs="Times New Roman"/>
          <w:sz w:val="24"/>
          <w:szCs w:val="24"/>
        </w:rPr>
        <w:t>.</w:t>
      </w:r>
    </w:p>
    <w:p w:rsidR="006D4166" w:rsidRPr="004C4FE6" w:rsidRDefault="006D4166" w:rsidP="006D4166">
      <w:pPr>
        <w:spacing w:after="0"/>
        <w:rPr>
          <w:rFonts w:ascii="Gentium Basic" w:eastAsia="Times New Roman" w:hAnsi="Gentium Basic" w:cs="Times New Roman"/>
          <w:sz w:val="24"/>
          <w:szCs w:val="24"/>
          <w:lang w:eastAsia="en-GB"/>
        </w:rPr>
      </w:pPr>
      <w:proofErr w:type="gramStart"/>
      <w:r w:rsidRPr="004C4FE6">
        <w:rPr>
          <w:rFonts w:ascii="Gentium Basic" w:hAnsi="Gentium Basic"/>
          <w:sz w:val="24"/>
          <w:szCs w:val="24"/>
        </w:rPr>
        <w:t>al-</w:t>
      </w:r>
      <w:proofErr w:type="spellStart"/>
      <w:r w:rsidRPr="004C4FE6">
        <w:rPr>
          <w:rFonts w:ascii="Gentium Basic" w:eastAsia="Times New Roman" w:hAnsi="Gentium Basic" w:cs="Times New Roman"/>
          <w:sz w:val="24"/>
          <w:szCs w:val="24"/>
          <w:lang w:eastAsia="en-GB"/>
        </w:rPr>
        <w:t>Idrisi</w:t>
      </w:r>
      <w:proofErr w:type="spellEnd"/>
      <w:proofErr w:type="gramEnd"/>
      <w:r w:rsidRPr="004C4FE6">
        <w:rPr>
          <w:rFonts w:ascii="Gentium Basic" w:eastAsia="Times New Roman" w:hAnsi="Gentium Basic" w:cs="Times New Roman"/>
          <w:sz w:val="24"/>
          <w:szCs w:val="24"/>
          <w:lang w:eastAsia="en-GB"/>
        </w:rPr>
        <w:t xml:space="preserve">, </w:t>
      </w:r>
      <w:r w:rsidRPr="004C4FE6">
        <w:rPr>
          <w:rFonts w:ascii="Gentium Basic" w:hAnsi="Gentium Basic" w:cs="Times New Roman"/>
          <w:sz w:val="24"/>
          <w:szCs w:val="24"/>
        </w:rPr>
        <w:t>Abu ‘</w:t>
      </w:r>
      <w:proofErr w:type="spellStart"/>
      <w:r w:rsidRPr="004C4FE6">
        <w:rPr>
          <w:rFonts w:ascii="Gentium Basic" w:hAnsi="Gentium Basic" w:cs="Times New Roman"/>
          <w:sz w:val="24"/>
          <w:szCs w:val="24"/>
        </w:rPr>
        <w:t>Abd</w:t>
      </w:r>
      <w:proofErr w:type="spellEnd"/>
      <w:r w:rsidRPr="004C4FE6">
        <w:rPr>
          <w:rFonts w:ascii="Gentium Basic" w:hAnsi="Gentium Basic" w:cs="Times New Roman"/>
          <w:sz w:val="24"/>
          <w:szCs w:val="24"/>
        </w:rPr>
        <w:t xml:space="preserve"> Allah </w:t>
      </w:r>
      <w:proofErr w:type="spellStart"/>
      <w:r w:rsidRPr="004C4FE6">
        <w:rPr>
          <w:rFonts w:ascii="Gentium Basic" w:hAnsi="Gentium Basic" w:cs="Times New Roman"/>
          <w:sz w:val="24"/>
          <w:szCs w:val="24"/>
        </w:rPr>
        <w:t>Muḥammad</w:t>
      </w:r>
      <w:proofErr w:type="spellEnd"/>
      <w:r w:rsidRPr="004C4FE6">
        <w:rPr>
          <w:rFonts w:ascii="Gentium Basic" w:hAnsi="Gentium Basic" w:cs="Times New Roman"/>
          <w:sz w:val="24"/>
          <w:szCs w:val="24"/>
        </w:rPr>
        <w:t xml:space="preserve">, </w:t>
      </w:r>
      <w:r w:rsidRPr="004C4FE6">
        <w:rPr>
          <w:rFonts w:ascii="Gentium Basic" w:eastAsia="Times New Roman" w:hAnsi="Gentium Basic" w:cs="Times New Roman"/>
          <w:i/>
          <w:sz w:val="24"/>
          <w:szCs w:val="24"/>
          <w:lang w:eastAsia="en-GB"/>
        </w:rPr>
        <w:t xml:space="preserve">La </w:t>
      </w:r>
      <w:proofErr w:type="spellStart"/>
      <w:r w:rsidRPr="004C4FE6">
        <w:rPr>
          <w:rFonts w:ascii="Gentium Basic" w:eastAsia="Times New Roman" w:hAnsi="Gentium Basic" w:cs="Times New Roman"/>
          <w:i/>
          <w:sz w:val="24"/>
          <w:szCs w:val="24"/>
          <w:lang w:eastAsia="en-GB"/>
        </w:rPr>
        <w:t>geographie</w:t>
      </w:r>
      <w:proofErr w:type="spellEnd"/>
      <w:r w:rsidRPr="004C4FE6">
        <w:rPr>
          <w:rFonts w:ascii="Gentium Basic" w:eastAsia="Times New Roman" w:hAnsi="Gentium Basic" w:cs="Times New Roman"/>
          <w:i/>
          <w:sz w:val="24"/>
          <w:szCs w:val="24"/>
          <w:lang w:eastAsia="en-GB"/>
        </w:rPr>
        <w:t xml:space="preserve"> </w:t>
      </w:r>
      <w:proofErr w:type="spellStart"/>
      <w:r w:rsidRPr="004C4FE6">
        <w:rPr>
          <w:rFonts w:ascii="Gentium Basic" w:eastAsia="Times New Roman" w:hAnsi="Gentium Basic" w:cs="Times New Roman"/>
          <w:i/>
          <w:sz w:val="24"/>
          <w:szCs w:val="24"/>
          <w:lang w:eastAsia="en-GB"/>
        </w:rPr>
        <w:t>d'Edrisi</w:t>
      </w:r>
      <w:proofErr w:type="spellEnd"/>
      <w:r w:rsidRPr="004C4FE6">
        <w:rPr>
          <w:rFonts w:ascii="Gentium Basic" w:eastAsia="Times New Roman" w:hAnsi="Gentium Basic" w:cs="Times New Roman"/>
          <w:sz w:val="24"/>
          <w:szCs w:val="24"/>
          <w:lang w:eastAsia="en-GB"/>
        </w:rPr>
        <w:t xml:space="preserve">. </w:t>
      </w:r>
      <w:proofErr w:type="gramStart"/>
      <w:r w:rsidRPr="004C4FE6">
        <w:rPr>
          <w:rFonts w:ascii="Gentium Basic" w:eastAsia="Times New Roman" w:hAnsi="Gentium Basic" w:cs="Times New Roman"/>
          <w:sz w:val="24"/>
          <w:szCs w:val="24"/>
          <w:lang w:eastAsia="en-GB"/>
        </w:rPr>
        <w:t xml:space="preserve">P.-A. </w:t>
      </w:r>
      <w:proofErr w:type="spellStart"/>
      <w:r w:rsidRPr="004C4FE6">
        <w:rPr>
          <w:rFonts w:ascii="Gentium Basic" w:eastAsia="Times New Roman" w:hAnsi="Gentium Basic" w:cs="Times New Roman"/>
          <w:sz w:val="24"/>
          <w:szCs w:val="24"/>
          <w:lang w:eastAsia="en-GB"/>
        </w:rPr>
        <w:t>Joubert</w:t>
      </w:r>
      <w:proofErr w:type="spellEnd"/>
      <w:r w:rsidRPr="004C4FE6">
        <w:rPr>
          <w:rFonts w:ascii="Gentium Basic" w:eastAsia="Times New Roman" w:hAnsi="Gentium Basic" w:cs="Times New Roman"/>
          <w:sz w:val="24"/>
          <w:szCs w:val="24"/>
          <w:lang w:eastAsia="en-GB"/>
        </w:rPr>
        <w:t xml:space="preserve"> (tr.), (Amsterdam: Philo Press, 1975).</w:t>
      </w:r>
      <w:proofErr w:type="gramEnd"/>
    </w:p>
    <w:p w:rsidR="006D4166" w:rsidRPr="004C4FE6" w:rsidRDefault="006D4166" w:rsidP="006D4166">
      <w:pPr>
        <w:pStyle w:val="FootnoteText"/>
        <w:spacing w:line="276" w:lineRule="auto"/>
        <w:rPr>
          <w:rFonts w:ascii="Gentium Basic" w:hAnsi="Gentium Basic" w:cs="Times New Roman"/>
          <w:sz w:val="24"/>
          <w:szCs w:val="24"/>
        </w:rPr>
      </w:pPr>
      <w:proofErr w:type="gramStart"/>
      <w:r w:rsidRPr="004C4FE6">
        <w:rPr>
          <w:rFonts w:ascii="Gentium Basic" w:hAnsi="Gentium Basic" w:cs="Times New Roman"/>
          <w:sz w:val="24"/>
          <w:szCs w:val="24"/>
        </w:rPr>
        <w:t>al-</w:t>
      </w:r>
      <w:proofErr w:type="spellStart"/>
      <w:r w:rsidRPr="004C4FE6">
        <w:rPr>
          <w:rFonts w:ascii="Gentium Basic" w:hAnsi="Gentium Basic" w:cs="Times New Roman"/>
          <w:sz w:val="24"/>
          <w:szCs w:val="24"/>
        </w:rPr>
        <w:t>Kindi</w:t>
      </w:r>
      <w:proofErr w:type="spellEnd"/>
      <w:proofErr w:type="gramEnd"/>
      <w:r w:rsidRPr="004C4FE6">
        <w:rPr>
          <w:rFonts w:ascii="Gentium Basic" w:hAnsi="Gentium Basic" w:cs="Times New Roman"/>
          <w:sz w:val="24"/>
          <w:szCs w:val="24"/>
        </w:rPr>
        <w:t>, ‘</w:t>
      </w:r>
      <w:proofErr w:type="spellStart"/>
      <w:r w:rsidRPr="004C4FE6">
        <w:rPr>
          <w:rFonts w:ascii="Gentium Basic" w:hAnsi="Gentium Basic" w:cs="Times New Roman"/>
          <w:sz w:val="24"/>
          <w:szCs w:val="24"/>
        </w:rPr>
        <w:t>Umar</w:t>
      </w:r>
      <w:proofErr w:type="spellEnd"/>
      <w:r w:rsidRPr="004C4FE6">
        <w:rPr>
          <w:rFonts w:ascii="Gentium Basic" w:hAnsi="Gentium Basic" w:cs="Times New Roman"/>
          <w:sz w:val="24"/>
          <w:szCs w:val="24"/>
        </w:rPr>
        <w:t xml:space="preserve"> b. </w:t>
      </w:r>
      <w:proofErr w:type="spellStart"/>
      <w:r w:rsidRPr="004C4FE6">
        <w:rPr>
          <w:rFonts w:ascii="Gentium Basic" w:hAnsi="Gentium Basic" w:cs="Times New Roman"/>
          <w:sz w:val="24"/>
          <w:szCs w:val="24"/>
        </w:rPr>
        <w:t>Abi</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Umar</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i/>
          <w:sz w:val="24"/>
          <w:szCs w:val="24"/>
        </w:rPr>
        <w:t>Faḍa’il</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Miṣr</w:t>
      </w:r>
      <w:proofErr w:type="spellEnd"/>
      <w:r w:rsidRPr="004C4FE6">
        <w:rPr>
          <w:rFonts w:ascii="Gentium Basic" w:hAnsi="Gentium Basic" w:cs="Times New Roman"/>
          <w:i/>
          <w:sz w:val="24"/>
          <w:szCs w:val="24"/>
        </w:rPr>
        <w:t xml:space="preserve"> al-</w:t>
      </w:r>
      <w:proofErr w:type="spellStart"/>
      <w:r w:rsidRPr="004C4FE6">
        <w:rPr>
          <w:rFonts w:ascii="Gentium Basic" w:hAnsi="Gentium Basic" w:cs="Times New Roman"/>
          <w:i/>
          <w:sz w:val="24"/>
          <w:szCs w:val="24"/>
        </w:rPr>
        <w:t>marsus</w:t>
      </w:r>
      <w:proofErr w:type="spellEnd"/>
      <w:r w:rsidRPr="004C4FE6">
        <w:rPr>
          <w:rFonts w:ascii="Gentium Basic" w:hAnsi="Gentium Basic" w:cs="Times New Roman"/>
          <w:i/>
          <w:sz w:val="24"/>
          <w:szCs w:val="24"/>
        </w:rPr>
        <w:t>, ‘</w:t>
      </w:r>
      <w:r w:rsidRPr="004C4FE6">
        <w:rPr>
          <w:rFonts w:ascii="Gentium Basic" w:hAnsi="Gentium Basic" w:cs="Times New Roman"/>
          <w:sz w:val="24"/>
          <w:szCs w:val="24"/>
        </w:rPr>
        <w:t xml:space="preserve">Ali </w:t>
      </w:r>
      <w:proofErr w:type="spellStart"/>
      <w:r w:rsidRPr="004C4FE6">
        <w:rPr>
          <w:rFonts w:ascii="Gentium Basic" w:hAnsi="Gentium Basic" w:cs="Times New Roman"/>
          <w:sz w:val="24"/>
          <w:szCs w:val="24"/>
        </w:rPr>
        <w:t>Muḥammad</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Umar</w:t>
      </w:r>
      <w:proofErr w:type="spellEnd"/>
      <w:r w:rsidRPr="004C4FE6">
        <w:rPr>
          <w:rFonts w:ascii="Gentium Basic" w:hAnsi="Gentium Basic" w:cs="Times New Roman"/>
          <w:sz w:val="24"/>
          <w:szCs w:val="24"/>
        </w:rPr>
        <w:t xml:space="preserve"> (ed.), (Cairo: </w:t>
      </w:r>
      <w:proofErr w:type="spellStart"/>
      <w:r w:rsidRPr="004C4FE6">
        <w:rPr>
          <w:rFonts w:ascii="Gentium Basic" w:hAnsi="Gentium Basic" w:cs="Times New Roman"/>
          <w:sz w:val="24"/>
          <w:szCs w:val="24"/>
        </w:rPr>
        <w:t>Maktaba</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Khanji</w:t>
      </w:r>
      <w:proofErr w:type="spellEnd"/>
      <w:r w:rsidRPr="004C4FE6">
        <w:rPr>
          <w:rFonts w:ascii="Gentium Basic" w:hAnsi="Gentium Basic" w:cs="Times New Roman"/>
          <w:sz w:val="24"/>
          <w:szCs w:val="24"/>
        </w:rPr>
        <w:t>, 1417/1997)</w:t>
      </w:r>
      <w:r>
        <w:rPr>
          <w:rFonts w:ascii="Gentium Basic" w:hAnsi="Gentium Basic" w:cs="Times New Roman"/>
          <w:sz w:val="24"/>
          <w:szCs w:val="24"/>
        </w:rPr>
        <w:t>.</w:t>
      </w:r>
    </w:p>
    <w:p w:rsidR="006D4166" w:rsidRPr="004C4FE6" w:rsidRDefault="006D4166" w:rsidP="006D4166">
      <w:pPr>
        <w:spacing w:after="0"/>
        <w:rPr>
          <w:rFonts w:ascii="Gentium Basic" w:hAnsi="Gentium Basic" w:cs="Times New Roman"/>
          <w:sz w:val="24"/>
          <w:szCs w:val="24"/>
        </w:rPr>
      </w:pPr>
      <w:proofErr w:type="gramStart"/>
      <w:r w:rsidRPr="004C4FE6">
        <w:rPr>
          <w:rFonts w:ascii="Gentium Basic" w:hAnsi="Gentium Basic" w:cs="Times New Roman"/>
          <w:sz w:val="24"/>
          <w:szCs w:val="24"/>
        </w:rPr>
        <w:t>al-</w:t>
      </w:r>
      <w:proofErr w:type="spellStart"/>
      <w:r w:rsidRPr="004C4FE6">
        <w:rPr>
          <w:rFonts w:ascii="Gentium Basic" w:hAnsi="Gentium Basic" w:cs="Times New Roman"/>
          <w:sz w:val="24"/>
          <w:szCs w:val="24"/>
        </w:rPr>
        <w:t>Maqrizi</w:t>
      </w:r>
      <w:proofErr w:type="spellEnd"/>
      <w:proofErr w:type="gram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Taqi</w:t>
      </w:r>
      <w:proofErr w:type="spellEnd"/>
      <w:r w:rsidRPr="004C4FE6">
        <w:rPr>
          <w:rFonts w:ascii="Gentium Basic" w:hAnsi="Gentium Basic" w:cs="Times New Roman"/>
          <w:sz w:val="24"/>
          <w:szCs w:val="24"/>
        </w:rPr>
        <w:t xml:space="preserve"> al-Din, </w:t>
      </w:r>
      <w:r w:rsidRPr="004C4FE6">
        <w:rPr>
          <w:rFonts w:ascii="Gentium Basic" w:hAnsi="Gentium Basic" w:cs="Times New Roman"/>
          <w:i/>
          <w:sz w:val="24"/>
          <w:szCs w:val="24"/>
        </w:rPr>
        <w:t xml:space="preserve">Le </w:t>
      </w:r>
      <w:proofErr w:type="spellStart"/>
      <w:r w:rsidRPr="004C4FE6">
        <w:rPr>
          <w:rFonts w:ascii="Gentium Basic" w:hAnsi="Gentium Basic" w:cs="Times New Roman"/>
          <w:i/>
          <w:sz w:val="24"/>
          <w:szCs w:val="24"/>
        </w:rPr>
        <w:t>Traité</w:t>
      </w:r>
      <w:proofErr w:type="spellEnd"/>
      <w:r w:rsidRPr="004C4FE6">
        <w:rPr>
          <w:rFonts w:ascii="Gentium Basic" w:hAnsi="Gentium Basic" w:cs="Times New Roman"/>
          <w:i/>
          <w:sz w:val="24"/>
          <w:szCs w:val="24"/>
        </w:rPr>
        <w:t xml:space="preserve"> des Famines de </w:t>
      </w:r>
      <w:proofErr w:type="spellStart"/>
      <w:r w:rsidRPr="004C4FE6">
        <w:rPr>
          <w:rFonts w:ascii="Gentium Basic" w:hAnsi="Gentium Basic" w:cs="Times New Roman"/>
          <w:i/>
          <w:sz w:val="24"/>
          <w:szCs w:val="24"/>
        </w:rPr>
        <w:t>Maqrizi</w:t>
      </w:r>
      <w:proofErr w:type="spellEnd"/>
      <w:r w:rsidRPr="004C4FE6">
        <w:rPr>
          <w:rFonts w:ascii="Gentium Basic" w:hAnsi="Gentium Basic" w:cs="Times New Roman"/>
          <w:sz w:val="24"/>
          <w:szCs w:val="24"/>
        </w:rPr>
        <w:t xml:space="preserve">. G. </w:t>
      </w:r>
      <w:proofErr w:type="spellStart"/>
      <w:r w:rsidRPr="004C4FE6">
        <w:rPr>
          <w:rFonts w:ascii="Gentium Basic" w:hAnsi="Gentium Basic" w:cs="Times New Roman"/>
          <w:sz w:val="24"/>
          <w:szCs w:val="24"/>
        </w:rPr>
        <w:t>Wiet</w:t>
      </w:r>
      <w:proofErr w:type="spellEnd"/>
      <w:r w:rsidRPr="004C4FE6">
        <w:rPr>
          <w:rFonts w:ascii="Gentium Basic" w:hAnsi="Gentium Basic" w:cs="Times New Roman"/>
          <w:sz w:val="24"/>
          <w:szCs w:val="24"/>
        </w:rPr>
        <w:t xml:space="preserve"> (tr.), (Leiden: E.J. Brill, 1962).</w:t>
      </w:r>
    </w:p>
    <w:p w:rsidR="006D4166" w:rsidRPr="004C4FE6" w:rsidRDefault="006D4166" w:rsidP="006D4166">
      <w:pPr>
        <w:pStyle w:val="FootnoteText"/>
        <w:spacing w:line="276" w:lineRule="auto"/>
        <w:rPr>
          <w:rFonts w:ascii="Gentium Basic" w:hAnsi="Gentium Basic" w:cs="Times New Roman"/>
          <w:sz w:val="24"/>
          <w:szCs w:val="24"/>
        </w:rPr>
      </w:pPr>
      <w:r w:rsidRPr="004C4FE6">
        <w:rPr>
          <w:rFonts w:ascii="Gentium Basic" w:hAnsi="Gentium Basic" w:cs="Times New Roman"/>
          <w:sz w:val="24"/>
          <w:szCs w:val="24"/>
        </w:rPr>
        <w:t>[</w:t>
      </w:r>
      <w:proofErr w:type="gramStart"/>
      <w:r w:rsidRPr="004C4FE6">
        <w:rPr>
          <w:rFonts w:ascii="Gentium Basic" w:hAnsi="Gentium Basic" w:cs="Times New Roman"/>
          <w:sz w:val="24"/>
          <w:szCs w:val="24"/>
        </w:rPr>
        <w:t>al-</w:t>
      </w:r>
      <w:proofErr w:type="spellStart"/>
      <w:r w:rsidRPr="004C4FE6">
        <w:rPr>
          <w:rFonts w:ascii="Gentium Basic" w:hAnsi="Gentium Basic" w:cs="Times New Roman"/>
          <w:sz w:val="24"/>
          <w:szCs w:val="24"/>
        </w:rPr>
        <w:t>Maqrizi</w:t>
      </w:r>
      <w:proofErr w:type="spellEnd"/>
      <w:proofErr w:type="gram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Taqi</w:t>
      </w:r>
      <w:proofErr w:type="spellEnd"/>
      <w:r w:rsidRPr="004C4FE6">
        <w:rPr>
          <w:rFonts w:ascii="Gentium Basic" w:hAnsi="Gentium Basic" w:cs="Times New Roman"/>
          <w:sz w:val="24"/>
          <w:szCs w:val="24"/>
        </w:rPr>
        <w:t xml:space="preserve"> al-Din] </w:t>
      </w:r>
      <w:proofErr w:type="spellStart"/>
      <w:proofErr w:type="gramStart"/>
      <w:r w:rsidRPr="004C4FE6">
        <w:rPr>
          <w:rFonts w:ascii="Gentium Basic" w:hAnsi="Gentium Basic" w:cs="Times New Roman"/>
          <w:sz w:val="24"/>
          <w:szCs w:val="24"/>
        </w:rPr>
        <w:t>Jiwa</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Shainool</w:t>
      </w:r>
      <w:proofErr w:type="spellEnd"/>
      <w:r w:rsidRPr="004C4FE6">
        <w:rPr>
          <w:rFonts w:ascii="Gentium Basic" w:hAnsi="Gentium Basic" w:cs="Times New Roman"/>
          <w:sz w:val="24"/>
          <w:szCs w:val="24"/>
        </w:rPr>
        <w:t xml:space="preserve"> (tr.), </w:t>
      </w:r>
      <w:r w:rsidR="00933BFE">
        <w:rPr>
          <w:rFonts w:ascii="Gentium Basic" w:hAnsi="Gentium Basic" w:cs="Times New Roman"/>
          <w:i/>
          <w:sz w:val="24"/>
          <w:szCs w:val="24"/>
        </w:rPr>
        <w:t xml:space="preserve">Towards a </w:t>
      </w:r>
      <w:proofErr w:type="spellStart"/>
      <w:r w:rsidR="00933BFE">
        <w:rPr>
          <w:rFonts w:ascii="Gentium Basic" w:hAnsi="Gentium Basic" w:cs="Times New Roman"/>
          <w:i/>
          <w:sz w:val="24"/>
          <w:szCs w:val="24"/>
        </w:rPr>
        <w:t>Shi‘i</w:t>
      </w:r>
      <w:proofErr w:type="spellEnd"/>
      <w:r w:rsidRPr="004C4FE6">
        <w:rPr>
          <w:rFonts w:ascii="Gentium Basic" w:hAnsi="Gentium Basic" w:cs="Times New Roman"/>
          <w:i/>
          <w:sz w:val="24"/>
          <w:szCs w:val="24"/>
        </w:rPr>
        <w:t xml:space="preserve"> Mediterranean Empire.</w:t>
      </w:r>
      <w:proofErr w:type="gramEnd"/>
      <w:r w:rsidRPr="004C4FE6">
        <w:rPr>
          <w:rFonts w:ascii="Gentium Basic" w:hAnsi="Gentium Basic" w:cs="Times New Roman"/>
          <w:i/>
          <w:sz w:val="24"/>
          <w:szCs w:val="24"/>
        </w:rPr>
        <w:t xml:space="preserve"> </w:t>
      </w:r>
      <w:proofErr w:type="gramStart"/>
      <w:r w:rsidRPr="004C4FE6">
        <w:rPr>
          <w:rFonts w:ascii="Gentium Basic" w:hAnsi="Gentium Basic" w:cs="Times New Roman"/>
          <w:i/>
          <w:sz w:val="24"/>
          <w:szCs w:val="24"/>
        </w:rPr>
        <w:t>F</w:t>
      </w:r>
      <w:r>
        <w:rPr>
          <w:rFonts w:ascii="Gentium Basic" w:hAnsi="Gentium Basic" w:cs="Times New Roman"/>
          <w:i/>
          <w:sz w:val="24"/>
          <w:szCs w:val="24"/>
        </w:rPr>
        <w:t>a</w:t>
      </w:r>
      <w:r w:rsidR="00933BFE">
        <w:rPr>
          <w:rFonts w:ascii="Gentium Basic" w:hAnsi="Gentium Basic" w:cs="Times New Roman"/>
          <w:i/>
          <w:sz w:val="24"/>
          <w:szCs w:val="24"/>
        </w:rPr>
        <w:t>t</w:t>
      </w:r>
      <w:r w:rsidRPr="004C4FE6">
        <w:rPr>
          <w:rFonts w:ascii="Gentium Basic" w:hAnsi="Gentium Basic" w:cs="Times New Roman"/>
          <w:i/>
          <w:sz w:val="24"/>
          <w:szCs w:val="24"/>
        </w:rPr>
        <w:t>imid Egypt and the Founding of Cairo.</w:t>
      </w:r>
      <w:proofErr w:type="gramEnd"/>
      <w:r w:rsidRPr="004C4FE6">
        <w:rPr>
          <w:rFonts w:ascii="Gentium Basic" w:hAnsi="Gentium Basic" w:cs="Times New Roman"/>
          <w:i/>
          <w:sz w:val="24"/>
          <w:szCs w:val="24"/>
        </w:rPr>
        <w:t xml:space="preserve"> The reign of the Imam-caliph al-</w:t>
      </w:r>
      <w:proofErr w:type="spellStart"/>
      <w:r w:rsidRPr="004C4FE6">
        <w:rPr>
          <w:rFonts w:ascii="Gentium Basic" w:hAnsi="Gentium Basic" w:cs="Times New Roman"/>
          <w:i/>
          <w:sz w:val="24"/>
          <w:szCs w:val="24"/>
        </w:rPr>
        <w:t>Mu‘izz</w:t>
      </w:r>
      <w:proofErr w:type="spellEnd"/>
      <w:r w:rsidRPr="004C4FE6">
        <w:rPr>
          <w:rFonts w:ascii="Gentium Basic" w:hAnsi="Gentium Basic" w:cs="Times New Roman"/>
          <w:i/>
          <w:sz w:val="24"/>
          <w:szCs w:val="24"/>
        </w:rPr>
        <w:t xml:space="preserve"> from al-</w:t>
      </w:r>
      <w:proofErr w:type="spellStart"/>
      <w:r w:rsidRPr="004C4FE6">
        <w:rPr>
          <w:rFonts w:ascii="Gentium Basic" w:hAnsi="Gentium Basic" w:cs="Times New Roman"/>
          <w:i/>
          <w:sz w:val="24"/>
          <w:szCs w:val="24"/>
        </w:rPr>
        <w:t>Maqr</w:t>
      </w:r>
      <w:r>
        <w:rPr>
          <w:rFonts w:ascii="Gentium Basic" w:hAnsi="Gentium Basic" w:cs="Times New Roman"/>
          <w:i/>
          <w:sz w:val="24"/>
          <w:szCs w:val="24"/>
        </w:rPr>
        <w:t>i</w:t>
      </w:r>
      <w:r w:rsidRPr="004C4FE6">
        <w:rPr>
          <w:rFonts w:ascii="Gentium Basic" w:hAnsi="Gentium Basic" w:cs="Times New Roman"/>
          <w:i/>
          <w:sz w:val="24"/>
          <w:szCs w:val="24"/>
        </w:rPr>
        <w:t>z</w:t>
      </w:r>
      <w:r>
        <w:rPr>
          <w:rFonts w:ascii="Gentium Basic" w:hAnsi="Gentium Basic" w:cs="Times New Roman"/>
          <w:i/>
          <w:sz w:val="24"/>
          <w:szCs w:val="24"/>
        </w:rPr>
        <w:t>i</w:t>
      </w:r>
      <w:r w:rsidRPr="004C4FE6">
        <w:rPr>
          <w:rFonts w:ascii="Gentium Basic" w:hAnsi="Gentium Basic" w:cs="Times New Roman"/>
          <w:i/>
          <w:sz w:val="24"/>
          <w:szCs w:val="24"/>
        </w:rPr>
        <w:t>’s</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Itti‘</w:t>
      </w:r>
      <w:r>
        <w:rPr>
          <w:rFonts w:ascii="Gentium Basic" w:hAnsi="Gentium Basic" w:cs="Times New Roman"/>
          <w:i/>
          <w:sz w:val="24"/>
          <w:szCs w:val="24"/>
        </w:rPr>
        <w:t>a</w:t>
      </w:r>
      <w:r w:rsidRPr="004C4FE6">
        <w:rPr>
          <w:rFonts w:ascii="Gentium Basic" w:hAnsi="Gentium Basic" w:cs="Times New Roman"/>
          <w:i/>
          <w:sz w:val="24"/>
          <w:szCs w:val="24"/>
        </w:rPr>
        <w:t>ẓ</w:t>
      </w:r>
      <w:proofErr w:type="spellEnd"/>
      <w:r w:rsidRPr="004C4FE6">
        <w:rPr>
          <w:rFonts w:ascii="Gentium Basic" w:hAnsi="Gentium Basic" w:cs="Times New Roman"/>
          <w:i/>
          <w:sz w:val="24"/>
          <w:szCs w:val="24"/>
        </w:rPr>
        <w:t xml:space="preserve"> al-</w:t>
      </w:r>
      <w:proofErr w:type="spellStart"/>
      <w:r w:rsidRPr="004C4FE6">
        <w:rPr>
          <w:rFonts w:ascii="Gentium Basic" w:hAnsi="Gentium Basic" w:cs="Times New Roman"/>
          <w:i/>
          <w:sz w:val="24"/>
          <w:szCs w:val="24"/>
        </w:rPr>
        <w:t>ḥunaf</w:t>
      </w:r>
      <w:r>
        <w:rPr>
          <w:rFonts w:ascii="Gentium Basic" w:hAnsi="Gentium Basic" w:cs="Times New Roman"/>
          <w:i/>
          <w:sz w:val="24"/>
          <w:szCs w:val="24"/>
        </w:rPr>
        <w:t>a</w:t>
      </w:r>
      <w:proofErr w:type="spellEnd"/>
      <w:r w:rsidRPr="004C4FE6">
        <w:rPr>
          <w:rFonts w:ascii="Gentium Basic" w:hAnsi="Gentium Basic" w:cs="Times New Roman"/>
          <w:i/>
          <w:sz w:val="24"/>
          <w:szCs w:val="24"/>
        </w:rPr>
        <w:t>’</w:t>
      </w:r>
      <w:r w:rsidRPr="004C4FE6">
        <w:rPr>
          <w:rFonts w:ascii="Gentium Basic" w:hAnsi="Gentium Basic" w:cs="Times New Roman"/>
          <w:sz w:val="24"/>
          <w:szCs w:val="24"/>
        </w:rPr>
        <w:t xml:space="preserve">. (London, New York: I.B. </w:t>
      </w:r>
      <w:proofErr w:type="spellStart"/>
      <w:r w:rsidRPr="004C4FE6">
        <w:rPr>
          <w:rFonts w:ascii="Gentium Basic" w:hAnsi="Gentium Basic" w:cs="Times New Roman"/>
          <w:sz w:val="24"/>
          <w:szCs w:val="24"/>
        </w:rPr>
        <w:t>Tauris</w:t>
      </w:r>
      <w:proofErr w:type="spellEnd"/>
      <w:r w:rsidRPr="004C4FE6">
        <w:rPr>
          <w:rFonts w:ascii="Gentium Basic" w:hAnsi="Gentium Basic" w:cs="Times New Roman"/>
          <w:sz w:val="24"/>
          <w:szCs w:val="24"/>
        </w:rPr>
        <w:t>, 2009).</w:t>
      </w:r>
    </w:p>
    <w:p w:rsidR="006D4166" w:rsidRPr="004C4FE6" w:rsidRDefault="006D4166" w:rsidP="006D4166">
      <w:pPr>
        <w:spacing w:after="0"/>
        <w:rPr>
          <w:rFonts w:ascii="Gentium Basic" w:hAnsi="Gentium Basic" w:cs="Times New Roman"/>
          <w:sz w:val="24"/>
          <w:szCs w:val="24"/>
        </w:rPr>
      </w:pPr>
      <w:r w:rsidRPr="004C4FE6">
        <w:rPr>
          <w:rFonts w:ascii="Gentium Basic" w:hAnsi="Gentium Basic"/>
          <w:sz w:val="24"/>
          <w:szCs w:val="24"/>
        </w:rPr>
        <w:t xml:space="preserve"> [</w:t>
      </w:r>
      <w:r w:rsidRPr="004C4FE6">
        <w:rPr>
          <w:rFonts w:ascii="Gentium Basic" w:hAnsi="Gentium Basic" w:cs="Times New Roman"/>
          <w:sz w:val="24"/>
          <w:szCs w:val="24"/>
        </w:rPr>
        <w:t>al-</w:t>
      </w:r>
      <w:proofErr w:type="spellStart"/>
      <w:r w:rsidRPr="004C4FE6">
        <w:rPr>
          <w:rFonts w:ascii="Gentium Basic" w:hAnsi="Gentium Basic" w:cs="Times New Roman"/>
          <w:sz w:val="24"/>
          <w:szCs w:val="24"/>
        </w:rPr>
        <w:t>Muqaddasi</w:t>
      </w:r>
      <w:proofErr w:type="spellEnd"/>
      <w:r w:rsidRPr="004C4FE6">
        <w:rPr>
          <w:rFonts w:ascii="Gentium Basic" w:hAnsi="Gentium Basic" w:cs="Times New Roman"/>
          <w:sz w:val="24"/>
          <w:szCs w:val="24"/>
        </w:rPr>
        <w:t xml:space="preserve">, Shams al-Din], </w:t>
      </w:r>
      <w:r w:rsidRPr="00933BFE">
        <w:rPr>
          <w:rStyle w:val="Strong"/>
          <w:rFonts w:ascii="Gentium Basic" w:hAnsi="Gentium Basic"/>
          <w:b w:val="0"/>
          <w:i/>
          <w:sz w:val="24"/>
          <w:szCs w:val="24"/>
        </w:rPr>
        <w:t xml:space="preserve">The Best Divisions for Knowledge of the Regions: a translation of </w:t>
      </w:r>
      <w:proofErr w:type="spellStart"/>
      <w:r w:rsidRPr="00933BFE">
        <w:rPr>
          <w:rStyle w:val="Strong"/>
          <w:rFonts w:ascii="Gentium Basic" w:hAnsi="Gentium Basic"/>
          <w:b w:val="0"/>
          <w:i/>
          <w:sz w:val="24"/>
          <w:szCs w:val="24"/>
        </w:rPr>
        <w:t>Aḥasan</w:t>
      </w:r>
      <w:proofErr w:type="spellEnd"/>
      <w:r w:rsidRPr="00933BFE">
        <w:rPr>
          <w:rStyle w:val="Strong"/>
          <w:rFonts w:ascii="Gentium Basic" w:hAnsi="Gentium Basic"/>
          <w:b w:val="0"/>
          <w:i/>
          <w:sz w:val="24"/>
          <w:szCs w:val="24"/>
        </w:rPr>
        <w:t xml:space="preserve"> al-</w:t>
      </w:r>
      <w:proofErr w:type="spellStart"/>
      <w:r w:rsidRPr="00933BFE">
        <w:rPr>
          <w:rStyle w:val="Strong"/>
          <w:rFonts w:ascii="Gentium Basic" w:hAnsi="Gentium Basic"/>
          <w:b w:val="0"/>
          <w:i/>
          <w:sz w:val="24"/>
          <w:szCs w:val="24"/>
        </w:rPr>
        <w:t>taqasim</w:t>
      </w:r>
      <w:proofErr w:type="spellEnd"/>
      <w:r w:rsidRPr="00933BFE">
        <w:rPr>
          <w:rStyle w:val="Strong"/>
          <w:rFonts w:ascii="Gentium Basic" w:hAnsi="Gentium Basic"/>
          <w:b w:val="0"/>
          <w:i/>
          <w:sz w:val="24"/>
          <w:szCs w:val="24"/>
        </w:rPr>
        <w:t xml:space="preserve"> </w:t>
      </w:r>
      <w:proofErr w:type="spellStart"/>
      <w:r w:rsidRPr="00933BFE">
        <w:rPr>
          <w:rStyle w:val="Strong"/>
          <w:rFonts w:ascii="Gentium Basic" w:hAnsi="Gentium Basic"/>
          <w:b w:val="0"/>
          <w:i/>
          <w:sz w:val="24"/>
          <w:szCs w:val="24"/>
        </w:rPr>
        <w:t>fi</w:t>
      </w:r>
      <w:proofErr w:type="spellEnd"/>
      <w:r w:rsidRPr="00933BFE">
        <w:rPr>
          <w:rStyle w:val="Strong"/>
          <w:rFonts w:ascii="Gentium Basic" w:hAnsi="Gentium Basic"/>
          <w:b w:val="0"/>
          <w:i/>
          <w:sz w:val="24"/>
          <w:szCs w:val="24"/>
        </w:rPr>
        <w:t xml:space="preserve"> </w:t>
      </w:r>
      <w:proofErr w:type="spellStart"/>
      <w:r w:rsidRPr="00933BFE">
        <w:rPr>
          <w:rStyle w:val="Strong"/>
          <w:rFonts w:ascii="Gentium Basic" w:hAnsi="Gentium Basic"/>
          <w:b w:val="0"/>
          <w:i/>
          <w:sz w:val="24"/>
          <w:szCs w:val="24"/>
        </w:rPr>
        <w:t>ma</w:t>
      </w:r>
      <w:r w:rsidRPr="00933BFE">
        <w:rPr>
          <w:rStyle w:val="Strong"/>
          <w:rFonts w:ascii="Gentium Basic" w:hAnsi="Arial" w:cs="Arial"/>
          <w:b w:val="0"/>
          <w:i/>
          <w:sz w:val="24"/>
          <w:szCs w:val="24"/>
        </w:rPr>
        <w:t>ʻ</w:t>
      </w:r>
      <w:r w:rsidRPr="00933BFE">
        <w:rPr>
          <w:rStyle w:val="Strong"/>
          <w:rFonts w:ascii="Gentium Basic" w:hAnsi="Gentium Basic" w:cs="Verdana"/>
          <w:b w:val="0"/>
          <w:i/>
          <w:sz w:val="24"/>
          <w:szCs w:val="24"/>
        </w:rPr>
        <w:t>rifat</w:t>
      </w:r>
      <w:proofErr w:type="spellEnd"/>
      <w:r w:rsidRPr="00933BFE">
        <w:rPr>
          <w:rStyle w:val="Strong"/>
          <w:rFonts w:ascii="Gentium Basic" w:hAnsi="Gentium Basic" w:cs="Verdana"/>
          <w:b w:val="0"/>
          <w:i/>
          <w:sz w:val="24"/>
          <w:szCs w:val="24"/>
        </w:rPr>
        <w:t xml:space="preserve"> al-</w:t>
      </w:r>
      <w:proofErr w:type="spellStart"/>
      <w:r w:rsidRPr="00933BFE">
        <w:rPr>
          <w:rStyle w:val="Strong"/>
          <w:rFonts w:ascii="Gentium Basic" w:hAnsi="Gentium Basic" w:cs="Verdana"/>
          <w:b w:val="0"/>
          <w:i/>
          <w:sz w:val="24"/>
          <w:szCs w:val="24"/>
        </w:rPr>
        <w:t>aqa</w:t>
      </w:r>
      <w:r w:rsidRPr="00933BFE">
        <w:rPr>
          <w:rStyle w:val="Strong"/>
          <w:rFonts w:ascii="Gentium Basic" w:hAnsi="Gentium Basic"/>
          <w:b w:val="0"/>
          <w:i/>
          <w:sz w:val="24"/>
          <w:szCs w:val="24"/>
        </w:rPr>
        <w:t>l</w:t>
      </w:r>
      <w:r w:rsidRPr="004C4FE6">
        <w:rPr>
          <w:rFonts w:ascii="Gentium Basic" w:hAnsi="Gentium Basic" w:cs="Times New Roman"/>
          <w:i/>
          <w:sz w:val="24"/>
          <w:szCs w:val="24"/>
        </w:rPr>
        <w:t>im</w:t>
      </w:r>
      <w:proofErr w:type="spellEnd"/>
      <w:r w:rsidRPr="004C4FE6">
        <w:rPr>
          <w:rFonts w:ascii="Gentium Basic" w:hAnsi="Gentium Basic" w:cs="Times New Roman"/>
          <w:i/>
          <w:sz w:val="24"/>
          <w:szCs w:val="24"/>
        </w:rPr>
        <w:t xml:space="preserve">. </w:t>
      </w:r>
      <w:r w:rsidRPr="004C4FE6">
        <w:rPr>
          <w:rFonts w:ascii="Gentium Basic" w:hAnsi="Gentium Basic" w:cs="Times New Roman"/>
          <w:sz w:val="24"/>
          <w:szCs w:val="24"/>
        </w:rPr>
        <w:t>B. A. Collins (tr.), (Reading: Garnet, 2001).</w:t>
      </w:r>
    </w:p>
    <w:p w:rsidR="006D4166" w:rsidRPr="004C4FE6" w:rsidRDefault="006D4166" w:rsidP="006D4166">
      <w:pPr>
        <w:spacing w:after="0"/>
        <w:rPr>
          <w:rFonts w:ascii="Gentium Basic" w:hAnsi="Gentium Basic" w:cs="Times New Roman"/>
          <w:sz w:val="24"/>
          <w:szCs w:val="24"/>
        </w:rPr>
      </w:pPr>
      <w:proofErr w:type="spellStart"/>
      <w:r w:rsidRPr="004C4FE6">
        <w:rPr>
          <w:rFonts w:ascii="Gentium Basic" w:eastAsia="Times New Roman" w:hAnsi="Gentium Basic" w:cs="Times New Roman"/>
          <w:sz w:val="24"/>
          <w:szCs w:val="24"/>
          <w:lang w:eastAsia="en-GB"/>
        </w:rPr>
        <w:lastRenderedPageBreak/>
        <w:t>Naṣir-i</w:t>
      </w:r>
      <w:proofErr w:type="spellEnd"/>
      <w:r w:rsidRPr="004C4FE6">
        <w:rPr>
          <w:rFonts w:ascii="Gentium Basic" w:eastAsia="Times New Roman" w:hAnsi="Gentium Basic" w:cs="Times New Roman"/>
          <w:sz w:val="24"/>
          <w:szCs w:val="24"/>
          <w:lang w:eastAsia="en-GB"/>
        </w:rPr>
        <w:t xml:space="preserve"> </w:t>
      </w:r>
      <w:proofErr w:type="spellStart"/>
      <w:r w:rsidRPr="004C4FE6">
        <w:rPr>
          <w:rFonts w:ascii="Gentium Basic" w:eastAsia="Times New Roman" w:hAnsi="Gentium Basic" w:cs="Times New Roman"/>
          <w:sz w:val="24"/>
          <w:szCs w:val="24"/>
          <w:lang w:eastAsia="en-GB"/>
        </w:rPr>
        <w:t>Khusraw</w:t>
      </w:r>
      <w:proofErr w:type="spellEnd"/>
      <w:r w:rsidRPr="004C4FE6">
        <w:rPr>
          <w:rFonts w:ascii="Gentium Basic" w:eastAsia="Times New Roman" w:hAnsi="Gentium Basic" w:cs="Times New Roman"/>
          <w:sz w:val="24"/>
          <w:szCs w:val="24"/>
          <w:lang w:eastAsia="en-GB"/>
        </w:rPr>
        <w:t xml:space="preserve">, </w:t>
      </w:r>
      <w:proofErr w:type="spellStart"/>
      <w:r w:rsidRPr="004C4FE6">
        <w:rPr>
          <w:rFonts w:ascii="Gentium Basic" w:hAnsi="Gentium Basic" w:cs="Times New Roman"/>
          <w:i/>
          <w:sz w:val="24"/>
          <w:szCs w:val="24"/>
        </w:rPr>
        <w:t>Sefer</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nameh</w:t>
      </w:r>
      <w:proofErr w:type="spellEnd"/>
      <w:r w:rsidRPr="004C4FE6">
        <w:rPr>
          <w:rFonts w:ascii="Gentium Basic" w:hAnsi="Gentium Basic" w:cs="Times New Roman"/>
          <w:i/>
          <w:sz w:val="24"/>
          <w:szCs w:val="24"/>
        </w:rPr>
        <w:t xml:space="preserve">; relation du voyage de </w:t>
      </w:r>
      <w:proofErr w:type="spellStart"/>
      <w:r w:rsidRPr="004C4FE6">
        <w:rPr>
          <w:rFonts w:ascii="Gentium Basic" w:hAnsi="Gentium Basic" w:cs="Times New Roman"/>
          <w:i/>
          <w:sz w:val="24"/>
          <w:szCs w:val="24"/>
        </w:rPr>
        <w:t>Nassiri</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Khosrau</w:t>
      </w:r>
      <w:proofErr w:type="spellEnd"/>
      <w:r w:rsidRPr="004C4FE6">
        <w:rPr>
          <w:rFonts w:ascii="Gentium Basic" w:hAnsi="Gentium Basic" w:cs="Times New Roman"/>
          <w:i/>
          <w:sz w:val="24"/>
          <w:szCs w:val="24"/>
        </w:rPr>
        <w:t xml:space="preserve"> en </w:t>
      </w:r>
      <w:proofErr w:type="spellStart"/>
      <w:r w:rsidRPr="004C4FE6">
        <w:rPr>
          <w:rFonts w:ascii="Gentium Basic" w:hAnsi="Gentium Basic" w:cs="Times New Roman"/>
          <w:i/>
          <w:sz w:val="24"/>
          <w:szCs w:val="24"/>
        </w:rPr>
        <w:t>Syrie</w:t>
      </w:r>
      <w:proofErr w:type="spellEnd"/>
      <w:r w:rsidRPr="004C4FE6">
        <w:rPr>
          <w:rFonts w:ascii="Gentium Basic" w:hAnsi="Gentium Basic" w:cs="Times New Roman"/>
          <w:i/>
          <w:sz w:val="24"/>
          <w:szCs w:val="24"/>
        </w:rPr>
        <w:t xml:space="preserve">, en Palestine, en </w:t>
      </w:r>
      <w:proofErr w:type="spellStart"/>
      <w:r w:rsidRPr="004C4FE6">
        <w:rPr>
          <w:rFonts w:ascii="Gentium Basic" w:hAnsi="Gentium Basic" w:cs="Times New Roman"/>
          <w:i/>
          <w:sz w:val="24"/>
          <w:szCs w:val="24"/>
        </w:rPr>
        <w:t>Égypte</w:t>
      </w:r>
      <w:proofErr w:type="spellEnd"/>
      <w:r w:rsidRPr="004C4FE6">
        <w:rPr>
          <w:rFonts w:ascii="Gentium Basic" w:hAnsi="Gentium Basic" w:cs="Times New Roman"/>
          <w:i/>
          <w:sz w:val="24"/>
          <w:szCs w:val="24"/>
        </w:rPr>
        <w:t xml:space="preserve">, en </w:t>
      </w:r>
      <w:proofErr w:type="spellStart"/>
      <w:r w:rsidRPr="004C4FE6">
        <w:rPr>
          <w:rFonts w:ascii="Gentium Basic" w:hAnsi="Gentium Basic" w:cs="Times New Roman"/>
          <w:i/>
          <w:sz w:val="24"/>
          <w:szCs w:val="24"/>
        </w:rPr>
        <w:t>Arabie</w:t>
      </w:r>
      <w:proofErr w:type="spellEnd"/>
      <w:r w:rsidRPr="004C4FE6">
        <w:rPr>
          <w:rFonts w:ascii="Gentium Basic" w:hAnsi="Gentium Basic" w:cs="Times New Roman"/>
          <w:i/>
          <w:sz w:val="24"/>
          <w:szCs w:val="24"/>
        </w:rPr>
        <w:t xml:space="preserve"> et en </w:t>
      </w:r>
      <w:proofErr w:type="spellStart"/>
      <w:r w:rsidRPr="004C4FE6">
        <w:rPr>
          <w:rFonts w:ascii="Gentium Basic" w:hAnsi="Gentium Basic" w:cs="Times New Roman"/>
          <w:i/>
          <w:sz w:val="24"/>
          <w:szCs w:val="24"/>
        </w:rPr>
        <w:t>Perse</w:t>
      </w:r>
      <w:proofErr w:type="spellEnd"/>
      <w:r w:rsidRPr="004C4FE6">
        <w:rPr>
          <w:rFonts w:ascii="Gentium Basic" w:hAnsi="Gentium Basic" w:cs="Times New Roman"/>
          <w:i/>
          <w:sz w:val="24"/>
          <w:szCs w:val="24"/>
        </w:rPr>
        <w:t xml:space="preserve">, pendant les </w:t>
      </w:r>
      <w:proofErr w:type="spellStart"/>
      <w:r w:rsidRPr="004C4FE6">
        <w:rPr>
          <w:rFonts w:ascii="Gentium Basic" w:hAnsi="Gentium Basic" w:cs="Times New Roman"/>
          <w:i/>
          <w:sz w:val="24"/>
          <w:szCs w:val="24"/>
        </w:rPr>
        <w:t>années</w:t>
      </w:r>
      <w:proofErr w:type="spellEnd"/>
      <w:r w:rsidRPr="004C4FE6">
        <w:rPr>
          <w:rFonts w:ascii="Gentium Basic" w:hAnsi="Gentium Basic" w:cs="Times New Roman"/>
          <w:i/>
          <w:sz w:val="24"/>
          <w:szCs w:val="24"/>
        </w:rPr>
        <w:t xml:space="preserve"> de </w:t>
      </w:r>
      <w:proofErr w:type="spellStart"/>
      <w:r w:rsidRPr="004C4FE6">
        <w:rPr>
          <w:rFonts w:ascii="Gentium Basic" w:hAnsi="Gentium Basic" w:cs="Times New Roman"/>
          <w:i/>
          <w:sz w:val="24"/>
          <w:szCs w:val="24"/>
        </w:rPr>
        <w:t>l'hégire</w:t>
      </w:r>
      <w:proofErr w:type="spellEnd"/>
      <w:r w:rsidRPr="004C4FE6">
        <w:rPr>
          <w:rFonts w:ascii="Gentium Basic" w:hAnsi="Gentium Basic" w:cs="Times New Roman"/>
          <w:i/>
          <w:sz w:val="24"/>
          <w:szCs w:val="24"/>
        </w:rPr>
        <w:t xml:space="preserve"> 437-444 (A.D. 1045-1052)</w:t>
      </w:r>
      <w:r w:rsidRPr="004C4FE6">
        <w:rPr>
          <w:rFonts w:ascii="Gentium Basic" w:hAnsi="Gentium Basic" w:cs="Times New Roman"/>
          <w:sz w:val="24"/>
          <w:szCs w:val="24"/>
        </w:rPr>
        <w:t xml:space="preserve">. Ch. </w:t>
      </w:r>
      <w:proofErr w:type="spellStart"/>
      <w:r w:rsidRPr="004C4FE6">
        <w:rPr>
          <w:rFonts w:ascii="Gentium Basic" w:hAnsi="Gentium Basic" w:cs="Times New Roman"/>
          <w:sz w:val="24"/>
          <w:szCs w:val="24"/>
        </w:rPr>
        <w:t>Schefer</w:t>
      </w:r>
      <w:proofErr w:type="spellEnd"/>
      <w:r w:rsidRPr="004C4FE6">
        <w:rPr>
          <w:rFonts w:ascii="Gentium Basic" w:hAnsi="Gentium Basic" w:cs="Times New Roman"/>
          <w:sz w:val="24"/>
          <w:szCs w:val="24"/>
        </w:rPr>
        <w:t xml:space="preserve"> (tr.), (Amsterdam: Philo Press, 1970).</w:t>
      </w:r>
    </w:p>
    <w:p w:rsidR="006D4166" w:rsidRPr="004C4FE6" w:rsidRDefault="006D4166" w:rsidP="006D4166">
      <w:pPr>
        <w:spacing w:after="0"/>
        <w:rPr>
          <w:rFonts w:ascii="Gentium Basic" w:hAnsi="Gentium Basic" w:cs="Times New Roman"/>
          <w:sz w:val="24"/>
          <w:szCs w:val="24"/>
        </w:rPr>
      </w:pPr>
      <w:proofErr w:type="spellStart"/>
      <w:r w:rsidRPr="004C4FE6">
        <w:rPr>
          <w:rFonts w:ascii="Gentium Basic" w:hAnsi="Gentium Basic" w:cs="Times New Roman"/>
          <w:sz w:val="24"/>
          <w:szCs w:val="24"/>
        </w:rPr>
        <w:t>Rapoport</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Yossef</w:t>
      </w:r>
      <w:proofErr w:type="spellEnd"/>
      <w:r w:rsidRPr="004C4FE6">
        <w:rPr>
          <w:rFonts w:ascii="Gentium Basic" w:hAnsi="Gentium Basic" w:cs="Times New Roman"/>
          <w:sz w:val="24"/>
          <w:szCs w:val="24"/>
        </w:rPr>
        <w:t xml:space="preserve"> and Emilie Savage-Smith, </w:t>
      </w:r>
      <w:proofErr w:type="gramStart"/>
      <w:r w:rsidRPr="004C4FE6">
        <w:rPr>
          <w:rFonts w:ascii="Gentium Basic" w:hAnsi="Gentium Basic" w:cs="Times New Roman"/>
          <w:i/>
          <w:sz w:val="24"/>
          <w:szCs w:val="24"/>
        </w:rPr>
        <w:t>An</w:t>
      </w:r>
      <w:proofErr w:type="gramEnd"/>
      <w:r w:rsidRPr="004C4FE6">
        <w:rPr>
          <w:rFonts w:ascii="Gentium Basic" w:hAnsi="Gentium Basic" w:cs="Times New Roman"/>
          <w:i/>
          <w:sz w:val="24"/>
          <w:szCs w:val="24"/>
        </w:rPr>
        <w:t xml:space="preserve"> Eleven-Century Egyptian Guide to the Universe. </w:t>
      </w:r>
      <w:proofErr w:type="gramStart"/>
      <w:r w:rsidRPr="004C4FE6">
        <w:rPr>
          <w:rFonts w:ascii="Gentium Basic" w:hAnsi="Gentium Basic" w:cs="Times New Roman"/>
          <w:i/>
          <w:sz w:val="24"/>
          <w:szCs w:val="24"/>
        </w:rPr>
        <w:t>The Book of Curiosities</w:t>
      </w:r>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(Leiden: E.J. Brill, 2014).</w:t>
      </w:r>
    </w:p>
    <w:p w:rsidR="006D4166" w:rsidRPr="004C4FE6" w:rsidRDefault="006D4166" w:rsidP="006D4166">
      <w:pPr>
        <w:pStyle w:val="FootnoteText"/>
        <w:spacing w:line="276" w:lineRule="auto"/>
        <w:rPr>
          <w:rFonts w:ascii="Gentium Basic" w:hAnsi="Gentium Basic" w:cs="Times New Roman"/>
          <w:sz w:val="24"/>
          <w:szCs w:val="24"/>
        </w:rPr>
      </w:pPr>
    </w:p>
    <w:p w:rsidR="006D4166" w:rsidRDefault="006D4166" w:rsidP="006D4166">
      <w:pPr>
        <w:rPr>
          <w:rFonts w:ascii="Gentium Basic" w:hAnsi="Gentium Basic" w:cs="Times New Roman"/>
          <w:sz w:val="24"/>
          <w:szCs w:val="24"/>
        </w:rPr>
      </w:pPr>
      <w:r w:rsidRPr="004C4FE6">
        <w:rPr>
          <w:rFonts w:ascii="Gentium Basic" w:hAnsi="Gentium Basic" w:cs="Times New Roman"/>
          <w:sz w:val="24"/>
          <w:szCs w:val="24"/>
        </w:rPr>
        <w:t>Studies</w:t>
      </w:r>
    </w:p>
    <w:p w:rsidR="006D4166" w:rsidRPr="004C4FE6" w:rsidRDefault="006D4166" w:rsidP="006D4166">
      <w:pPr>
        <w:pStyle w:val="FootnoteText"/>
        <w:spacing w:line="276" w:lineRule="auto"/>
        <w:rPr>
          <w:rFonts w:ascii="Gentium Basic" w:hAnsi="Gentium Basic" w:cs="Times New Roman"/>
          <w:sz w:val="24"/>
          <w:szCs w:val="24"/>
        </w:rPr>
      </w:pPr>
      <w:proofErr w:type="spellStart"/>
      <w:r w:rsidRPr="004C4FE6">
        <w:rPr>
          <w:rFonts w:ascii="Gentium Basic" w:hAnsi="Gentium Basic" w:cs="Times New Roman"/>
          <w:sz w:val="24"/>
          <w:szCs w:val="24"/>
        </w:rPr>
        <w:t>Agius</w:t>
      </w:r>
      <w:proofErr w:type="spellEnd"/>
      <w:r w:rsidRPr="004C4FE6">
        <w:rPr>
          <w:rFonts w:ascii="Gentium Basic" w:hAnsi="Gentium Basic" w:cs="Times New Roman"/>
          <w:sz w:val="24"/>
          <w:szCs w:val="24"/>
        </w:rPr>
        <w:t xml:space="preserve">, </w:t>
      </w:r>
      <w:proofErr w:type="spellStart"/>
      <w:r w:rsidRPr="004C4FE6">
        <w:rPr>
          <w:rFonts w:ascii="Gentium Basic" w:hAnsi="Gentium Basic"/>
          <w:sz w:val="24"/>
          <w:szCs w:val="24"/>
        </w:rPr>
        <w:t>Dionisius</w:t>
      </w:r>
      <w:proofErr w:type="spellEnd"/>
      <w:r w:rsidRPr="004C4FE6">
        <w:rPr>
          <w:rFonts w:ascii="Gentium Basic" w:hAnsi="Gentium Basic"/>
          <w:sz w:val="24"/>
          <w:szCs w:val="24"/>
        </w:rPr>
        <w:t xml:space="preserve">, </w:t>
      </w:r>
      <w:r w:rsidRPr="004C4FE6">
        <w:rPr>
          <w:rFonts w:ascii="Gentium Basic" w:hAnsi="Gentium Basic" w:cs="Times New Roman"/>
          <w:i/>
          <w:sz w:val="24"/>
          <w:szCs w:val="24"/>
        </w:rPr>
        <w:t>Classic Ships of Islam, From Mesopotamia to the Indian Ocean</w:t>
      </w:r>
      <w:r w:rsidRPr="004C4FE6">
        <w:rPr>
          <w:rFonts w:ascii="Gentium Basic" w:hAnsi="Gentium Basic" w:cs="Times New Roman"/>
          <w:sz w:val="24"/>
          <w:szCs w:val="24"/>
        </w:rPr>
        <w:t>. (Leiden: E.J. Brill, 2008).</w:t>
      </w:r>
    </w:p>
    <w:p w:rsidR="006D4166" w:rsidRPr="004C4FE6" w:rsidRDefault="006D4166" w:rsidP="006D4166">
      <w:pPr>
        <w:pStyle w:val="FootnoteText"/>
        <w:spacing w:line="276" w:lineRule="auto"/>
        <w:rPr>
          <w:rFonts w:ascii="Gentium Basic" w:hAnsi="Gentium Basic"/>
          <w:sz w:val="24"/>
          <w:szCs w:val="24"/>
        </w:rPr>
      </w:pPr>
      <w:proofErr w:type="spellStart"/>
      <w:r w:rsidRPr="004C4FE6">
        <w:rPr>
          <w:rFonts w:ascii="Gentium Basic" w:hAnsi="Gentium Basic"/>
          <w:sz w:val="24"/>
          <w:szCs w:val="24"/>
        </w:rPr>
        <w:t>Ashtor</w:t>
      </w:r>
      <w:proofErr w:type="spellEnd"/>
      <w:r w:rsidRPr="004C4FE6">
        <w:rPr>
          <w:rFonts w:ascii="Gentium Basic" w:hAnsi="Gentium Basic"/>
          <w:sz w:val="24"/>
          <w:szCs w:val="24"/>
        </w:rPr>
        <w:t xml:space="preserve">, </w:t>
      </w:r>
      <w:proofErr w:type="spellStart"/>
      <w:r w:rsidRPr="004C4FE6">
        <w:rPr>
          <w:rFonts w:ascii="Gentium Basic" w:hAnsi="Gentium Basic"/>
          <w:sz w:val="24"/>
          <w:szCs w:val="24"/>
        </w:rPr>
        <w:t>Elyahu</w:t>
      </w:r>
      <w:proofErr w:type="spellEnd"/>
      <w:r w:rsidRPr="004C4FE6">
        <w:rPr>
          <w:rFonts w:ascii="Gentium Basic" w:hAnsi="Gentium Basic"/>
          <w:sz w:val="24"/>
          <w:szCs w:val="24"/>
        </w:rPr>
        <w:t xml:space="preserve">, </w:t>
      </w:r>
      <w:proofErr w:type="gramStart"/>
      <w:r w:rsidRPr="004C4FE6">
        <w:rPr>
          <w:rFonts w:ascii="Gentium Basic" w:hAnsi="Gentium Basic"/>
          <w:i/>
          <w:sz w:val="24"/>
          <w:szCs w:val="24"/>
        </w:rPr>
        <w:t>A</w:t>
      </w:r>
      <w:proofErr w:type="gramEnd"/>
      <w:r w:rsidRPr="004C4FE6">
        <w:rPr>
          <w:rFonts w:ascii="Gentium Basic" w:hAnsi="Gentium Basic"/>
          <w:i/>
          <w:sz w:val="24"/>
          <w:szCs w:val="24"/>
        </w:rPr>
        <w:t xml:space="preserve"> Social and Economic History of the Near East in the Middle Ages</w:t>
      </w:r>
      <w:r w:rsidRPr="004C4FE6">
        <w:rPr>
          <w:rFonts w:ascii="Gentium Basic" w:hAnsi="Gentium Basic"/>
          <w:sz w:val="24"/>
          <w:szCs w:val="24"/>
        </w:rPr>
        <w:t xml:space="preserve">. </w:t>
      </w:r>
      <w:proofErr w:type="gramStart"/>
      <w:r w:rsidRPr="004C4FE6">
        <w:rPr>
          <w:rFonts w:ascii="Gentium Basic" w:hAnsi="Gentium Basic"/>
          <w:sz w:val="24"/>
          <w:szCs w:val="24"/>
        </w:rPr>
        <w:t>(London: Collins, 1976).</w:t>
      </w:r>
      <w:proofErr w:type="gramEnd"/>
    </w:p>
    <w:p w:rsidR="006D4166" w:rsidRPr="004C4FE6" w:rsidRDefault="006D4166" w:rsidP="006D4166">
      <w:pPr>
        <w:rPr>
          <w:rFonts w:ascii="Gentium Basic" w:hAnsi="Gentium Basic" w:cs="Times New Roman"/>
          <w:sz w:val="24"/>
          <w:szCs w:val="24"/>
        </w:rPr>
      </w:pPr>
      <w:proofErr w:type="spellStart"/>
      <w:r w:rsidRPr="004C4FE6">
        <w:rPr>
          <w:rFonts w:ascii="Gentium Basic" w:hAnsi="Gentium Basic" w:cs="Times New Roman"/>
          <w:sz w:val="24"/>
          <w:szCs w:val="24"/>
        </w:rPr>
        <w:t>Beshir</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Beshir</w:t>
      </w:r>
      <w:proofErr w:type="spellEnd"/>
      <w:r w:rsidRPr="004C4FE6">
        <w:rPr>
          <w:rFonts w:ascii="Gentium Basic" w:hAnsi="Gentium Basic" w:cs="Times New Roman"/>
          <w:sz w:val="24"/>
          <w:szCs w:val="24"/>
        </w:rPr>
        <w:t xml:space="preserve"> Ibrahim, </w:t>
      </w:r>
      <w:proofErr w:type="gramStart"/>
      <w:r w:rsidRPr="004C4FE6">
        <w:rPr>
          <w:rFonts w:ascii="Gentium Basic" w:hAnsi="Gentium Basic" w:cs="Times New Roman"/>
          <w:i/>
          <w:sz w:val="24"/>
          <w:szCs w:val="24"/>
        </w:rPr>
        <w:t>The</w:t>
      </w:r>
      <w:proofErr w:type="gramEnd"/>
      <w:r w:rsidRPr="004C4FE6">
        <w:rPr>
          <w:rFonts w:ascii="Gentium Basic" w:hAnsi="Gentium Basic" w:cs="Times New Roman"/>
          <w:i/>
          <w:sz w:val="24"/>
          <w:szCs w:val="24"/>
        </w:rPr>
        <w:t xml:space="preserve"> Fatimid Caliphate 386-487 A.H./996-1094 A.D.</w:t>
      </w:r>
      <w:r w:rsidRPr="004C4FE6">
        <w:rPr>
          <w:rFonts w:ascii="Gentium Basic" w:hAnsi="Gentium Basic" w:cs="Times New Roman"/>
          <w:sz w:val="24"/>
          <w:szCs w:val="24"/>
        </w:rPr>
        <w:t>, (London: School of Oriental and African Studies, 1970), PhD thesis.</w:t>
      </w:r>
    </w:p>
    <w:p w:rsidR="006D4166" w:rsidRPr="004C4FE6" w:rsidRDefault="006D4166" w:rsidP="006D4166">
      <w:pPr>
        <w:pStyle w:val="FootnoteText"/>
        <w:spacing w:line="276" w:lineRule="auto"/>
        <w:rPr>
          <w:rFonts w:ascii="Gentium Basic" w:hAnsi="Gentium Basic" w:cs="Times New Roman"/>
          <w:sz w:val="24"/>
          <w:szCs w:val="24"/>
        </w:rPr>
      </w:pPr>
      <w:proofErr w:type="spellStart"/>
      <w:r w:rsidRPr="004C4FE6">
        <w:rPr>
          <w:rFonts w:ascii="Gentium Basic" w:hAnsi="Gentium Basic" w:cs="Times New Roman"/>
          <w:sz w:val="24"/>
          <w:szCs w:val="24"/>
        </w:rPr>
        <w:t>Bianquis</w:t>
      </w:r>
      <w:proofErr w:type="spellEnd"/>
      <w:r w:rsidRPr="004C4FE6">
        <w:rPr>
          <w:rFonts w:ascii="Gentium Basic" w:hAnsi="Gentium Basic" w:cs="Times New Roman"/>
          <w:sz w:val="24"/>
          <w:szCs w:val="24"/>
        </w:rPr>
        <w:t>, Thierry, ‘</w:t>
      </w:r>
      <w:proofErr w:type="spellStart"/>
      <w:r w:rsidRPr="004C4FE6">
        <w:rPr>
          <w:rFonts w:ascii="Gentium Basic" w:hAnsi="Gentium Basic" w:cs="Times New Roman"/>
          <w:sz w:val="24"/>
          <w:szCs w:val="24"/>
        </w:rPr>
        <w:t>Une</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Crise</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frumentaire</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dans</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l’Egypte</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fatimide</w:t>
      </w:r>
      <w:proofErr w:type="spellEnd"/>
      <w:r w:rsidRPr="004C4FE6">
        <w:rPr>
          <w:rFonts w:ascii="Gentium Basic" w:hAnsi="Gentium Basic" w:cs="Times New Roman"/>
          <w:sz w:val="24"/>
          <w:szCs w:val="24"/>
        </w:rPr>
        <w:t xml:space="preserve">’. </w:t>
      </w:r>
      <w:r w:rsidRPr="004C4FE6">
        <w:rPr>
          <w:rFonts w:ascii="Gentium Basic" w:hAnsi="Gentium Basic" w:cs="Times New Roman"/>
          <w:i/>
          <w:sz w:val="24"/>
          <w:szCs w:val="24"/>
        </w:rPr>
        <w:t>Journal of the Economic and Social History of the Orient</w:t>
      </w:r>
      <w:r w:rsidRPr="004C4FE6">
        <w:rPr>
          <w:rFonts w:ascii="Gentium Basic" w:hAnsi="Gentium Basic" w:cs="Times New Roman"/>
          <w:sz w:val="24"/>
          <w:szCs w:val="24"/>
        </w:rPr>
        <w:t>, 23 (1980): 67-101.</w:t>
      </w:r>
    </w:p>
    <w:p w:rsidR="006D4166" w:rsidRPr="004C4FE6" w:rsidRDefault="006D4166" w:rsidP="006D4166">
      <w:pPr>
        <w:spacing w:after="0"/>
        <w:rPr>
          <w:rFonts w:ascii="Gentium Basic" w:hAnsi="Gentium Basic" w:cs="AdvPSBEM"/>
          <w:sz w:val="24"/>
          <w:szCs w:val="24"/>
        </w:rPr>
      </w:pPr>
      <w:proofErr w:type="spellStart"/>
      <w:r w:rsidRPr="004C4FE6">
        <w:rPr>
          <w:rFonts w:ascii="Gentium Basic" w:hAnsi="Gentium Basic" w:cs="AdvPSBEM"/>
          <w:sz w:val="24"/>
          <w:szCs w:val="24"/>
        </w:rPr>
        <w:t>Bulliet</w:t>
      </w:r>
      <w:proofErr w:type="spellEnd"/>
      <w:r w:rsidRPr="004C4FE6">
        <w:rPr>
          <w:rFonts w:ascii="Gentium Basic" w:hAnsi="Gentium Basic" w:cs="AdvPSBEM"/>
          <w:sz w:val="24"/>
          <w:szCs w:val="24"/>
        </w:rPr>
        <w:t>,</w:t>
      </w:r>
      <w:r w:rsidRPr="004C4FE6">
        <w:rPr>
          <w:rFonts w:ascii="Gentium Basic" w:hAnsi="Gentium Basic" w:cs="AdvPSBEMI"/>
          <w:sz w:val="24"/>
          <w:szCs w:val="24"/>
        </w:rPr>
        <w:t xml:space="preserve"> </w:t>
      </w:r>
      <w:r w:rsidRPr="004C4FE6">
        <w:rPr>
          <w:rFonts w:ascii="Gentium Basic" w:hAnsi="Gentium Basic" w:cs="AdvPSBEM"/>
          <w:sz w:val="24"/>
          <w:szCs w:val="24"/>
        </w:rPr>
        <w:t xml:space="preserve">Richard W., </w:t>
      </w:r>
      <w:r w:rsidRPr="004C4FE6">
        <w:rPr>
          <w:rFonts w:ascii="Gentium Basic" w:hAnsi="Gentium Basic" w:cs="AdvPSBEMI"/>
          <w:i/>
          <w:sz w:val="24"/>
          <w:szCs w:val="24"/>
        </w:rPr>
        <w:t>Cotton, Climate, and Camels in Early Islamic Iran: A Moment in World History</w:t>
      </w:r>
      <w:r w:rsidRPr="004C4FE6">
        <w:rPr>
          <w:rFonts w:ascii="Gentium Basic" w:hAnsi="Gentium Basic" w:cs="AdvPSBEMI"/>
          <w:sz w:val="24"/>
          <w:szCs w:val="24"/>
        </w:rPr>
        <w:t xml:space="preserve"> </w:t>
      </w:r>
      <w:r w:rsidRPr="004C4FE6">
        <w:rPr>
          <w:rFonts w:ascii="Gentium Basic" w:hAnsi="Gentium Basic" w:cs="AdvPSBEM"/>
          <w:sz w:val="24"/>
          <w:szCs w:val="24"/>
        </w:rPr>
        <w:t>(New York: Columbia University Press, 2009).</w:t>
      </w:r>
    </w:p>
    <w:p w:rsidR="006D4166" w:rsidRDefault="006D4166" w:rsidP="006D4166">
      <w:pPr>
        <w:pStyle w:val="FootnoteText"/>
        <w:spacing w:line="276" w:lineRule="auto"/>
        <w:rPr>
          <w:rFonts w:ascii="Gentium Basic" w:hAnsi="Gentium Basic" w:cs="Times New Roman"/>
          <w:sz w:val="24"/>
          <w:szCs w:val="24"/>
        </w:rPr>
      </w:pPr>
      <w:r w:rsidRPr="004C4FE6">
        <w:rPr>
          <w:rFonts w:ascii="Gentium Basic" w:hAnsi="Gentium Basic" w:cs="Times New Roman"/>
          <w:sz w:val="24"/>
          <w:szCs w:val="24"/>
        </w:rPr>
        <w:t xml:space="preserve">Chaney, Eric, ‘Revolt on the Nile: Economic Shocks, Religion and Political Influence’. </w:t>
      </w:r>
      <w:proofErr w:type="gramStart"/>
      <w:r w:rsidRPr="004C4FE6">
        <w:rPr>
          <w:rFonts w:ascii="Gentium Basic" w:hAnsi="Gentium Basic" w:cs="Times New Roman"/>
          <w:i/>
          <w:sz w:val="24"/>
          <w:szCs w:val="24"/>
        </w:rPr>
        <w:t>Topics in Middle Eastern and North African Economies</w:t>
      </w:r>
      <w:r w:rsidRPr="004C4FE6">
        <w:rPr>
          <w:rFonts w:ascii="Gentium Basic" w:hAnsi="Gentium Basic" w:cs="Times New Roman"/>
          <w:sz w:val="24"/>
          <w:szCs w:val="24"/>
        </w:rPr>
        <w:t>, 13 (2011).</w:t>
      </w:r>
      <w:proofErr w:type="gramEnd"/>
      <w:r w:rsidRPr="004C4FE6">
        <w:rPr>
          <w:rFonts w:ascii="Gentium Basic" w:hAnsi="Gentium Basic" w:cs="Times New Roman"/>
          <w:sz w:val="24"/>
          <w:szCs w:val="24"/>
        </w:rPr>
        <w:t xml:space="preserve"> </w:t>
      </w:r>
      <w:hyperlink r:id="rId6" w:history="1">
        <w:r w:rsidR="00CA7C5D" w:rsidRPr="001219E5">
          <w:rPr>
            <w:rStyle w:val="Hyperlink"/>
            <w:rFonts w:ascii="Gentium Basic" w:hAnsi="Gentium Basic" w:cs="Times New Roman"/>
            <w:color w:val="auto"/>
            <w:sz w:val="24"/>
            <w:szCs w:val="24"/>
          </w:rPr>
          <w:t>http://www.luc.edu/orgs/meea/</w:t>
        </w:r>
      </w:hyperlink>
      <w:r w:rsidR="00933BFE" w:rsidRPr="001219E5">
        <w:rPr>
          <w:rFonts w:ascii="Gentium Basic" w:hAnsi="Gentium Basic" w:cs="Times New Roman"/>
          <w:sz w:val="24"/>
          <w:szCs w:val="24"/>
        </w:rPr>
        <w:t>.</w:t>
      </w:r>
    </w:p>
    <w:p w:rsidR="00CA7C5D" w:rsidRPr="004C4FE6" w:rsidRDefault="00CA7C5D" w:rsidP="00CA7C5D">
      <w:pPr>
        <w:rPr>
          <w:rFonts w:ascii="Gentium Basic" w:hAnsi="Gentium Basic" w:cs="Times New Roman"/>
          <w:sz w:val="24"/>
          <w:szCs w:val="24"/>
        </w:rPr>
      </w:pPr>
      <w:r>
        <w:rPr>
          <w:rFonts w:ascii="Gentium Basic" w:hAnsi="Gentium Basic" w:cs="Times New Roman"/>
          <w:sz w:val="24"/>
          <w:szCs w:val="24"/>
        </w:rPr>
        <w:t xml:space="preserve">Cooper, </w:t>
      </w:r>
      <w:r w:rsidRPr="004C4FE6">
        <w:rPr>
          <w:rFonts w:ascii="Gentium Basic" w:hAnsi="Gentium Basic" w:cs="Times New Roman"/>
          <w:sz w:val="24"/>
          <w:szCs w:val="24"/>
        </w:rPr>
        <w:t>Richard S.</w:t>
      </w:r>
      <w:r>
        <w:rPr>
          <w:rFonts w:ascii="Gentium Basic" w:hAnsi="Gentium Basic" w:cs="Times New Roman"/>
          <w:sz w:val="24"/>
          <w:szCs w:val="24"/>
        </w:rPr>
        <w:t>,</w:t>
      </w:r>
      <w:r w:rsidRPr="004C4FE6">
        <w:rPr>
          <w:rFonts w:ascii="Gentium Basic" w:hAnsi="Gentium Basic" w:cs="Times New Roman"/>
          <w:sz w:val="24"/>
          <w:szCs w:val="24"/>
        </w:rPr>
        <w:t xml:space="preserve"> </w:t>
      </w:r>
      <w:r>
        <w:rPr>
          <w:rFonts w:ascii="Gentium Basic" w:hAnsi="Gentium Basic" w:cs="Times New Roman"/>
          <w:sz w:val="24"/>
          <w:szCs w:val="24"/>
        </w:rPr>
        <w:t>‘</w:t>
      </w:r>
      <w:r w:rsidRPr="004C4FE6">
        <w:rPr>
          <w:rFonts w:ascii="Gentium Basic" w:hAnsi="Gentium Basic" w:cs="Times New Roman"/>
          <w:sz w:val="24"/>
          <w:szCs w:val="24"/>
        </w:rPr>
        <w:t>The As</w:t>
      </w:r>
      <w:r>
        <w:rPr>
          <w:rFonts w:ascii="Gentium Basic" w:hAnsi="Gentium Basic" w:cs="Times New Roman"/>
          <w:sz w:val="24"/>
          <w:szCs w:val="24"/>
        </w:rPr>
        <w:t xml:space="preserve">sessment and Collection of </w:t>
      </w:r>
      <w:proofErr w:type="spellStart"/>
      <w:r>
        <w:rPr>
          <w:rFonts w:ascii="Gentium Basic" w:hAnsi="Gentium Basic" w:cs="Times New Roman"/>
          <w:sz w:val="24"/>
          <w:szCs w:val="24"/>
        </w:rPr>
        <w:t>Khara</w:t>
      </w:r>
      <w:r w:rsidRPr="004C4FE6">
        <w:rPr>
          <w:rFonts w:ascii="Gentium Basic" w:hAnsi="Gentium Basic" w:cs="Times New Roman"/>
          <w:sz w:val="24"/>
          <w:szCs w:val="24"/>
        </w:rPr>
        <w:t>j</w:t>
      </w:r>
      <w:proofErr w:type="spellEnd"/>
      <w:r w:rsidRPr="004C4FE6">
        <w:rPr>
          <w:rFonts w:ascii="Gentium Basic" w:hAnsi="Gentium Basic" w:cs="Times New Roman"/>
          <w:sz w:val="24"/>
          <w:szCs w:val="24"/>
        </w:rPr>
        <w:t xml:space="preserve"> Tax in Medieval</w:t>
      </w:r>
      <w:r>
        <w:rPr>
          <w:rFonts w:ascii="Gentium Basic" w:hAnsi="Gentium Basic" w:cs="Times New Roman"/>
          <w:sz w:val="24"/>
          <w:szCs w:val="24"/>
        </w:rPr>
        <w:t xml:space="preserve"> Egypt’</w:t>
      </w:r>
      <w:r w:rsidRPr="004C4FE6">
        <w:rPr>
          <w:rFonts w:ascii="Gentium Basic" w:hAnsi="Gentium Basic" w:cs="Times New Roman"/>
          <w:sz w:val="24"/>
          <w:szCs w:val="24"/>
        </w:rPr>
        <w:t xml:space="preserve">, </w:t>
      </w:r>
      <w:r w:rsidRPr="004C4FE6">
        <w:rPr>
          <w:rFonts w:ascii="Gentium Basic" w:hAnsi="Gentium Basic" w:cs="Times New Roman"/>
          <w:i/>
          <w:sz w:val="24"/>
          <w:szCs w:val="24"/>
        </w:rPr>
        <w:t>Journal of the American Oriental Society</w:t>
      </w:r>
      <w:r w:rsidRPr="004C4FE6">
        <w:rPr>
          <w:rFonts w:ascii="Gentium Basic" w:hAnsi="Gentium Basic" w:cs="Times New Roman"/>
          <w:sz w:val="24"/>
          <w:szCs w:val="24"/>
        </w:rPr>
        <w:t xml:space="preserve"> 96, 3 (1976): 365-382.</w:t>
      </w:r>
    </w:p>
    <w:p w:rsidR="006D4166" w:rsidRPr="004C4FE6" w:rsidRDefault="006D4166" w:rsidP="006D4166">
      <w:pPr>
        <w:spacing w:after="0"/>
        <w:rPr>
          <w:rFonts w:ascii="Gentium Basic" w:hAnsi="Gentium Basic" w:cs="Times New Roman"/>
          <w:sz w:val="24"/>
          <w:szCs w:val="24"/>
        </w:rPr>
      </w:pPr>
      <w:proofErr w:type="spellStart"/>
      <w:r w:rsidRPr="004C4FE6">
        <w:rPr>
          <w:rFonts w:ascii="Gentium Basic" w:hAnsi="Gentium Basic" w:cs="Times New Roman"/>
          <w:sz w:val="24"/>
          <w:szCs w:val="24"/>
        </w:rPr>
        <w:t>Ellenblum</w:t>
      </w:r>
      <w:proofErr w:type="spellEnd"/>
      <w:r w:rsidRPr="004C4FE6">
        <w:rPr>
          <w:rFonts w:ascii="Gentium Basic" w:hAnsi="Gentium Basic" w:cs="Times New Roman"/>
          <w:sz w:val="24"/>
          <w:szCs w:val="24"/>
        </w:rPr>
        <w:t>, Ronni</w:t>
      </w:r>
      <w:r>
        <w:rPr>
          <w:rFonts w:ascii="Gentium Basic" w:hAnsi="Gentium Basic" w:cs="Times New Roman"/>
          <w:sz w:val="24"/>
          <w:szCs w:val="24"/>
        </w:rPr>
        <w:t>e</w:t>
      </w:r>
      <w:r w:rsidRPr="004C4FE6">
        <w:rPr>
          <w:rFonts w:ascii="Gentium Basic" w:hAnsi="Gentium Basic" w:cs="Times New Roman"/>
          <w:sz w:val="24"/>
          <w:szCs w:val="24"/>
        </w:rPr>
        <w:t xml:space="preserve">, </w:t>
      </w:r>
      <w:r w:rsidRPr="004C4FE6">
        <w:rPr>
          <w:rFonts w:ascii="Gentium Basic" w:hAnsi="Gentium Basic" w:cs="Times New Roman"/>
          <w:i/>
          <w:sz w:val="24"/>
          <w:szCs w:val="24"/>
        </w:rPr>
        <w:t>The collapse of the Eastern Mediterranean: climate change and the decline of the East, 950-1072</w:t>
      </w:r>
      <w:r w:rsidRPr="004C4FE6">
        <w:rPr>
          <w:rFonts w:ascii="Gentium Basic" w:hAnsi="Gentium Basic" w:cs="Times New Roman"/>
          <w:sz w:val="24"/>
          <w:szCs w:val="24"/>
        </w:rPr>
        <w:t xml:space="preserve"> (Cambridge: Cambridge University Press, 2012).</w:t>
      </w:r>
    </w:p>
    <w:p w:rsidR="006D4166" w:rsidRPr="004C4FE6" w:rsidRDefault="006D4166" w:rsidP="006D4166">
      <w:pPr>
        <w:spacing w:after="0"/>
        <w:rPr>
          <w:rFonts w:ascii="Gentium Basic" w:hAnsi="Gentium Basic" w:cs="Times New Roman"/>
          <w:sz w:val="24"/>
          <w:szCs w:val="24"/>
        </w:rPr>
      </w:pPr>
      <w:r w:rsidRPr="004C4FE6">
        <w:rPr>
          <w:rFonts w:ascii="Gentium Basic" w:hAnsi="Gentium Basic" w:cs="Times New Roman"/>
          <w:sz w:val="24"/>
          <w:szCs w:val="24"/>
        </w:rPr>
        <w:t>Franz-Murphy, Gladys, ‘</w:t>
      </w:r>
      <w:proofErr w:type="gramStart"/>
      <w:r w:rsidRPr="004C4FE6">
        <w:rPr>
          <w:rFonts w:ascii="Gentium Basic" w:hAnsi="Gentium Basic" w:cs="Times New Roman"/>
          <w:sz w:val="24"/>
          <w:szCs w:val="24"/>
        </w:rPr>
        <w:t>A</w:t>
      </w:r>
      <w:proofErr w:type="gramEnd"/>
      <w:r w:rsidRPr="004C4FE6">
        <w:rPr>
          <w:rFonts w:ascii="Gentium Basic" w:hAnsi="Gentium Basic" w:cs="Times New Roman"/>
          <w:sz w:val="24"/>
          <w:szCs w:val="24"/>
        </w:rPr>
        <w:t xml:space="preserve"> New Interpretation of the Economic History of Medieval Egypt: The Role of the Textile Industry, 254-567/868-1171’. </w:t>
      </w:r>
      <w:r w:rsidRPr="004C4FE6">
        <w:rPr>
          <w:rFonts w:ascii="Gentium Basic" w:hAnsi="Gentium Basic" w:cs="Times New Roman"/>
          <w:i/>
          <w:sz w:val="24"/>
          <w:szCs w:val="24"/>
        </w:rPr>
        <w:t>Journal of the Economic and Social History of the Orient,</w:t>
      </w:r>
      <w:r w:rsidRPr="004C4FE6">
        <w:rPr>
          <w:rFonts w:ascii="Gentium Basic" w:hAnsi="Gentium Basic" w:cs="Times New Roman"/>
          <w:sz w:val="24"/>
          <w:szCs w:val="24"/>
        </w:rPr>
        <w:t xml:space="preserve"> 24, 3 (1981): 274-97.</w:t>
      </w:r>
    </w:p>
    <w:p w:rsidR="006D4166" w:rsidRDefault="006D4166" w:rsidP="006D4166">
      <w:pPr>
        <w:rPr>
          <w:rFonts w:ascii="Gentium Basic" w:hAnsi="Gentium Basic" w:cs="Times New Roman"/>
          <w:sz w:val="24"/>
          <w:szCs w:val="24"/>
        </w:rPr>
      </w:pPr>
      <w:proofErr w:type="spellStart"/>
      <w:r w:rsidRPr="004C4FE6">
        <w:rPr>
          <w:rFonts w:ascii="Gentium Basic" w:hAnsi="Gentium Basic" w:cs="Frutiger-Light"/>
          <w:sz w:val="24"/>
          <w:szCs w:val="24"/>
        </w:rPr>
        <w:t>Frenkel</w:t>
      </w:r>
      <w:proofErr w:type="spellEnd"/>
      <w:r w:rsidRPr="004C4FE6">
        <w:rPr>
          <w:rFonts w:ascii="Gentium Basic" w:hAnsi="Gentium Basic" w:cs="Frutiger-Light"/>
          <w:sz w:val="24"/>
          <w:szCs w:val="24"/>
        </w:rPr>
        <w:t xml:space="preserve">, </w:t>
      </w:r>
      <w:proofErr w:type="spellStart"/>
      <w:r w:rsidRPr="004C4FE6">
        <w:rPr>
          <w:rFonts w:ascii="Gentium Basic" w:hAnsi="Gentium Basic" w:cs="Frutiger-Light"/>
          <w:sz w:val="24"/>
          <w:szCs w:val="24"/>
        </w:rPr>
        <w:t>Yehoshua</w:t>
      </w:r>
      <w:proofErr w:type="spellEnd"/>
      <w:r w:rsidRPr="004C4FE6">
        <w:rPr>
          <w:rFonts w:ascii="Gentium Basic" w:hAnsi="Gentium Basic" w:cs="Frutiger-Light"/>
          <w:sz w:val="24"/>
          <w:szCs w:val="24"/>
        </w:rPr>
        <w:t xml:space="preserve">, ‘Popular Culture (Islam, Early and Middle Periods)’. </w:t>
      </w:r>
      <w:r w:rsidRPr="004C4FE6">
        <w:rPr>
          <w:rFonts w:ascii="Gentium Basic" w:hAnsi="Gentium Basic" w:cs="Frutiger-Light"/>
          <w:i/>
          <w:sz w:val="24"/>
          <w:szCs w:val="24"/>
        </w:rPr>
        <w:t>Religion Compass</w:t>
      </w:r>
      <w:r w:rsidRPr="004C4FE6">
        <w:rPr>
          <w:rFonts w:ascii="Gentium Basic" w:hAnsi="Gentium Basic" w:cs="Frutiger-Light"/>
          <w:sz w:val="24"/>
          <w:szCs w:val="24"/>
        </w:rPr>
        <w:t xml:space="preserve"> 2/2 (2008): 203-207.</w:t>
      </w:r>
    </w:p>
    <w:p w:rsidR="006D4166" w:rsidRPr="00933BFE" w:rsidRDefault="006D4166" w:rsidP="006D4166">
      <w:pPr>
        <w:autoSpaceDE w:val="0"/>
        <w:autoSpaceDN w:val="0"/>
        <w:adjustRightInd w:val="0"/>
        <w:spacing w:after="0" w:line="240" w:lineRule="auto"/>
        <w:rPr>
          <w:rFonts w:ascii="Gentium" w:hAnsi="Gentium" w:cs="Times New Roman"/>
          <w:i/>
          <w:sz w:val="24"/>
          <w:szCs w:val="24"/>
        </w:rPr>
      </w:pPr>
      <w:proofErr w:type="spellStart"/>
      <w:r w:rsidRPr="00933BFE">
        <w:rPr>
          <w:rFonts w:ascii="Gentium" w:hAnsi="Gentium" w:cs="Calibri"/>
          <w:sz w:val="24"/>
          <w:szCs w:val="24"/>
        </w:rPr>
        <w:t>Frenkel</w:t>
      </w:r>
      <w:proofErr w:type="spellEnd"/>
      <w:r w:rsidRPr="00933BFE">
        <w:rPr>
          <w:rFonts w:ascii="Gentium" w:hAnsi="Gentium" w:cs="Calibri"/>
          <w:sz w:val="24"/>
          <w:szCs w:val="24"/>
        </w:rPr>
        <w:t xml:space="preserve">, </w:t>
      </w:r>
      <w:proofErr w:type="spellStart"/>
      <w:r w:rsidRPr="00933BFE">
        <w:rPr>
          <w:rFonts w:ascii="Gentium Basic" w:hAnsi="Gentium Basic" w:cs="Frutiger-Light"/>
          <w:sz w:val="24"/>
          <w:szCs w:val="24"/>
        </w:rPr>
        <w:t>Yehoshua</w:t>
      </w:r>
      <w:proofErr w:type="spellEnd"/>
      <w:r w:rsidRPr="00933BFE">
        <w:rPr>
          <w:rFonts w:ascii="Gentium Basic" w:hAnsi="Gentium Basic" w:cs="Frutiger-Light"/>
          <w:sz w:val="24"/>
          <w:szCs w:val="24"/>
        </w:rPr>
        <w:t>,</w:t>
      </w:r>
      <w:r w:rsidRPr="00933BFE">
        <w:rPr>
          <w:rFonts w:ascii="Gentium" w:hAnsi="Gentium" w:cs="Calibri"/>
          <w:sz w:val="24"/>
          <w:szCs w:val="24"/>
        </w:rPr>
        <w:t xml:space="preserve"> ‘</w:t>
      </w:r>
      <w:proofErr w:type="gramStart"/>
      <w:r w:rsidRPr="00933BFE">
        <w:rPr>
          <w:rFonts w:ascii="Gentium" w:hAnsi="Gentium" w:cs="Calibri"/>
          <w:sz w:val="24"/>
          <w:szCs w:val="24"/>
        </w:rPr>
        <w:t>An</w:t>
      </w:r>
      <w:proofErr w:type="gramEnd"/>
      <w:r w:rsidRPr="00933BFE">
        <w:rPr>
          <w:rFonts w:ascii="Gentium" w:hAnsi="Gentium" w:cs="Calibri"/>
          <w:sz w:val="24"/>
          <w:szCs w:val="24"/>
        </w:rPr>
        <w:t xml:space="preserve"> introduction to</w:t>
      </w:r>
      <w:r w:rsidR="00933BFE">
        <w:rPr>
          <w:rFonts w:ascii="Gentium" w:hAnsi="Gentium" w:cs="Calibri"/>
          <w:sz w:val="24"/>
          <w:szCs w:val="24"/>
        </w:rPr>
        <w:t xml:space="preserve"> </w:t>
      </w:r>
      <w:r w:rsidRPr="00933BFE">
        <w:rPr>
          <w:rFonts w:ascii="Gentium" w:hAnsi="Gentium" w:cs="Calibri"/>
          <w:sz w:val="24"/>
          <w:szCs w:val="24"/>
        </w:rPr>
        <w:t xml:space="preserve">the environmental history of the </w:t>
      </w:r>
      <w:proofErr w:type="spellStart"/>
      <w:r w:rsidRPr="00933BFE">
        <w:rPr>
          <w:rFonts w:ascii="Gentium" w:hAnsi="Gentium" w:cs="Calibri"/>
          <w:sz w:val="24"/>
          <w:szCs w:val="24"/>
        </w:rPr>
        <w:t>Mamluk</w:t>
      </w:r>
      <w:proofErr w:type="spellEnd"/>
      <w:r w:rsidRPr="00933BFE">
        <w:rPr>
          <w:rFonts w:ascii="Gentium" w:hAnsi="Gentium" w:cs="Calibri"/>
          <w:sz w:val="24"/>
          <w:szCs w:val="24"/>
        </w:rPr>
        <w:t xml:space="preserve"> </w:t>
      </w:r>
      <w:proofErr w:type="spellStart"/>
      <w:r w:rsidRPr="00933BFE">
        <w:rPr>
          <w:rFonts w:ascii="Gentium" w:hAnsi="Gentium" w:cs="Calibri"/>
          <w:sz w:val="24"/>
          <w:szCs w:val="24"/>
        </w:rPr>
        <w:t>Sultanate.’</w:t>
      </w:r>
      <w:r w:rsidRPr="00933BFE">
        <w:rPr>
          <w:rFonts w:ascii="Gentium" w:hAnsi="Gentium" w:cs="Calibri"/>
          <w:i/>
          <w:sz w:val="24"/>
          <w:szCs w:val="24"/>
        </w:rPr>
        <w:t>History</w:t>
      </w:r>
      <w:proofErr w:type="spellEnd"/>
      <w:r w:rsidRPr="00933BFE">
        <w:rPr>
          <w:rFonts w:ascii="Gentium" w:hAnsi="Gentium" w:cs="Calibri"/>
          <w:i/>
          <w:sz w:val="24"/>
          <w:szCs w:val="24"/>
        </w:rPr>
        <w:t xml:space="preserve"> Compass, </w:t>
      </w:r>
      <w:r w:rsidRPr="00933BFE">
        <w:rPr>
          <w:rFonts w:ascii="Gentium" w:hAnsi="Gentium" w:cs="Calibri"/>
          <w:sz w:val="24"/>
          <w:szCs w:val="24"/>
        </w:rPr>
        <w:t>current issue</w:t>
      </w:r>
      <w:r w:rsidRPr="00933BFE">
        <w:rPr>
          <w:rFonts w:ascii="Gentium" w:hAnsi="Gentium" w:cs="Calibri"/>
          <w:i/>
          <w:sz w:val="24"/>
          <w:szCs w:val="24"/>
        </w:rPr>
        <w:t>.</w:t>
      </w:r>
    </w:p>
    <w:p w:rsidR="006D4166" w:rsidRPr="004C4FE6" w:rsidRDefault="006D4166" w:rsidP="006D4166">
      <w:pPr>
        <w:pStyle w:val="FootnoteText"/>
        <w:spacing w:line="276" w:lineRule="auto"/>
        <w:rPr>
          <w:rFonts w:ascii="Gentium Basic" w:hAnsi="Gentium Basic" w:cs="Times New Roman"/>
          <w:bCs/>
          <w:sz w:val="24"/>
          <w:szCs w:val="24"/>
        </w:rPr>
      </w:pPr>
      <w:proofErr w:type="spellStart"/>
      <w:r w:rsidRPr="004C4FE6">
        <w:rPr>
          <w:rFonts w:ascii="Gentium Basic" w:hAnsi="Gentium Basic" w:cs="Times New Roman"/>
          <w:bCs/>
          <w:sz w:val="24"/>
          <w:szCs w:val="24"/>
        </w:rPr>
        <w:t>Garçin</w:t>
      </w:r>
      <w:proofErr w:type="spellEnd"/>
      <w:r w:rsidRPr="004C4FE6">
        <w:rPr>
          <w:rFonts w:ascii="Gentium Basic" w:hAnsi="Gentium Basic" w:cs="Times New Roman"/>
          <w:bCs/>
          <w:sz w:val="24"/>
          <w:szCs w:val="24"/>
        </w:rPr>
        <w:t xml:space="preserve">, </w:t>
      </w:r>
      <w:r w:rsidRPr="004C4FE6">
        <w:rPr>
          <w:rFonts w:ascii="Gentium Basic" w:hAnsi="Gentium Basic"/>
          <w:sz w:val="24"/>
          <w:szCs w:val="24"/>
        </w:rPr>
        <w:t xml:space="preserve">Jean-Claude, </w:t>
      </w:r>
      <w:proofErr w:type="gramStart"/>
      <w:r w:rsidRPr="004C4FE6">
        <w:rPr>
          <w:rFonts w:ascii="Gentium Basic" w:hAnsi="Gentium Basic" w:cs="Times New Roman"/>
          <w:bCs/>
          <w:i/>
          <w:sz w:val="24"/>
          <w:szCs w:val="24"/>
        </w:rPr>
        <w:t>Un</w:t>
      </w:r>
      <w:proofErr w:type="gramEnd"/>
      <w:r w:rsidRPr="004C4FE6">
        <w:rPr>
          <w:rFonts w:ascii="Gentium Basic" w:hAnsi="Gentium Basic" w:cs="Times New Roman"/>
          <w:bCs/>
          <w:i/>
          <w:sz w:val="24"/>
          <w:szCs w:val="24"/>
        </w:rPr>
        <w:t xml:space="preserve"> centre </w:t>
      </w:r>
      <w:proofErr w:type="spellStart"/>
      <w:r w:rsidRPr="004C4FE6">
        <w:rPr>
          <w:rFonts w:ascii="Gentium Basic" w:hAnsi="Gentium Basic" w:cs="Times New Roman"/>
          <w:bCs/>
          <w:i/>
          <w:sz w:val="24"/>
          <w:szCs w:val="24"/>
        </w:rPr>
        <w:t>musulman</w:t>
      </w:r>
      <w:proofErr w:type="spellEnd"/>
      <w:r w:rsidRPr="004C4FE6">
        <w:rPr>
          <w:rFonts w:ascii="Gentium Basic" w:hAnsi="Gentium Basic" w:cs="Times New Roman"/>
          <w:bCs/>
          <w:i/>
          <w:sz w:val="24"/>
          <w:szCs w:val="24"/>
        </w:rPr>
        <w:t xml:space="preserve"> de la Haute-</w:t>
      </w:r>
      <w:proofErr w:type="spellStart"/>
      <w:r w:rsidRPr="004C4FE6">
        <w:rPr>
          <w:rFonts w:ascii="Gentium Basic" w:hAnsi="Gentium Basic" w:cs="Times New Roman"/>
          <w:bCs/>
          <w:i/>
          <w:sz w:val="24"/>
          <w:szCs w:val="24"/>
        </w:rPr>
        <w:t>Egypte</w:t>
      </w:r>
      <w:proofErr w:type="spellEnd"/>
      <w:r w:rsidRPr="004C4FE6">
        <w:rPr>
          <w:rFonts w:ascii="Gentium Basic" w:hAnsi="Gentium Basic" w:cs="Times New Roman"/>
          <w:bCs/>
          <w:i/>
          <w:sz w:val="24"/>
          <w:szCs w:val="24"/>
        </w:rPr>
        <w:t xml:space="preserve"> </w:t>
      </w:r>
      <w:proofErr w:type="spellStart"/>
      <w:r w:rsidRPr="004C4FE6">
        <w:rPr>
          <w:rFonts w:ascii="Gentium Basic" w:hAnsi="Gentium Basic" w:cs="Times New Roman"/>
          <w:bCs/>
          <w:i/>
          <w:sz w:val="24"/>
          <w:szCs w:val="24"/>
        </w:rPr>
        <w:t>medievale</w:t>
      </w:r>
      <w:proofErr w:type="spellEnd"/>
      <w:r w:rsidRPr="004C4FE6">
        <w:rPr>
          <w:rFonts w:ascii="Gentium Basic" w:hAnsi="Gentium Basic" w:cs="Times New Roman"/>
          <w:bCs/>
          <w:i/>
          <w:sz w:val="24"/>
          <w:szCs w:val="24"/>
        </w:rPr>
        <w:t xml:space="preserve">: </w:t>
      </w:r>
      <w:proofErr w:type="spellStart"/>
      <w:r w:rsidRPr="004C4FE6">
        <w:rPr>
          <w:rFonts w:ascii="Gentium Basic" w:hAnsi="Gentium Basic" w:cs="Times New Roman"/>
          <w:bCs/>
          <w:i/>
          <w:sz w:val="24"/>
          <w:szCs w:val="24"/>
        </w:rPr>
        <w:t>Qūṣ</w:t>
      </w:r>
      <w:proofErr w:type="spellEnd"/>
      <w:r w:rsidRPr="004C4FE6">
        <w:rPr>
          <w:rFonts w:ascii="Gentium Basic" w:hAnsi="Gentium Basic" w:cs="Times New Roman"/>
          <w:bCs/>
          <w:sz w:val="24"/>
          <w:szCs w:val="24"/>
        </w:rPr>
        <w:t xml:space="preserve">, (Cairo: </w:t>
      </w:r>
      <w:proofErr w:type="spellStart"/>
      <w:r w:rsidRPr="004C4FE6">
        <w:rPr>
          <w:rFonts w:ascii="Gentium Basic" w:hAnsi="Gentium Basic" w:cs="Times New Roman"/>
          <w:sz w:val="24"/>
          <w:szCs w:val="24"/>
        </w:rPr>
        <w:t>Institut</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français</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d'archéologie</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orientale</w:t>
      </w:r>
      <w:proofErr w:type="spellEnd"/>
      <w:r w:rsidRPr="004C4FE6">
        <w:rPr>
          <w:rFonts w:ascii="Gentium Basic" w:hAnsi="Gentium Basic" w:cs="Times New Roman"/>
          <w:sz w:val="24"/>
          <w:szCs w:val="24"/>
        </w:rPr>
        <w:t xml:space="preserve"> du </w:t>
      </w:r>
      <w:proofErr w:type="spellStart"/>
      <w:r w:rsidRPr="004C4FE6">
        <w:rPr>
          <w:rFonts w:ascii="Gentium Basic" w:hAnsi="Gentium Basic" w:cs="Times New Roman"/>
          <w:sz w:val="24"/>
          <w:szCs w:val="24"/>
        </w:rPr>
        <w:t>Caire</w:t>
      </w:r>
      <w:proofErr w:type="spellEnd"/>
      <w:r w:rsidRPr="004C4FE6">
        <w:rPr>
          <w:rFonts w:ascii="Gentium Basic" w:hAnsi="Gentium Basic" w:cs="Times New Roman"/>
          <w:sz w:val="24"/>
          <w:szCs w:val="24"/>
        </w:rPr>
        <w:t>,</w:t>
      </w:r>
      <w:r w:rsidRPr="004C4FE6">
        <w:rPr>
          <w:rFonts w:ascii="Gentium Basic" w:hAnsi="Gentium Basic" w:cs="Times New Roman"/>
          <w:bCs/>
          <w:sz w:val="24"/>
          <w:szCs w:val="24"/>
        </w:rPr>
        <w:t xml:space="preserve"> 1976).</w:t>
      </w:r>
    </w:p>
    <w:p w:rsidR="006D4166" w:rsidRPr="004C4FE6" w:rsidRDefault="006D4166" w:rsidP="006D4166">
      <w:pPr>
        <w:spacing w:after="0"/>
        <w:rPr>
          <w:rFonts w:ascii="Gentium Basic" w:hAnsi="Gentium Basic" w:cs="Times New Roman"/>
          <w:sz w:val="24"/>
          <w:szCs w:val="24"/>
        </w:rPr>
      </w:pPr>
      <w:proofErr w:type="spellStart"/>
      <w:proofErr w:type="gramStart"/>
      <w:r w:rsidRPr="004C4FE6">
        <w:rPr>
          <w:rFonts w:ascii="Gentium Basic" w:hAnsi="Gentium Basic" w:cs="Times New Roman"/>
          <w:sz w:val="24"/>
          <w:szCs w:val="24"/>
        </w:rPr>
        <w:t>Goitein</w:t>
      </w:r>
      <w:proofErr w:type="spellEnd"/>
      <w:r w:rsidRPr="004C4FE6">
        <w:rPr>
          <w:rFonts w:ascii="Gentium Basic" w:hAnsi="Gentium Basic" w:cs="Times New Roman"/>
          <w:sz w:val="24"/>
          <w:szCs w:val="24"/>
        </w:rPr>
        <w:t xml:space="preserve">, </w:t>
      </w:r>
      <w:proofErr w:type="spellStart"/>
      <w:r w:rsidRPr="004C4FE6">
        <w:rPr>
          <w:rFonts w:ascii="Gentium Basic" w:hAnsi="Gentium Basic"/>
          <w:sz w:val="24"/>
          <w:szCs w:val="24"/>
        </w:rPr>
        <w:t>Shlomo</w:t>
      </w:r>
      <w:proofErr w:type="spellEnd"/>
      <w:r w:rsidRPr="004C4FE6">
        <w:rPr>
          <w:rFonts w:ascii="Gentium Basic" w:hAnsi="Gentium Basic"/>
          <w:sz w:val="24"/>
          <w:szCs w:val="24"/>
        </w:rPr>
        <w:t xml:space="preserve"> D., </w:t>
      </w:r>
      <w:r w:rsidRPr="004C4FE6">
        <w:rPr>
          <w:rFonts w:ascii="Gentium Basic" w:hAnsi="Gentium Basic" w:cs="Times New Roman"/>
          <w:i/>
          <w:sz w:val="24"/>
          <w:szCs w:val="24"/>
        </w:rPr>
        <w:t>A Mediterranean Society.</w:t>
      </w:r>
      <w:proofErr w:type="gramEnd"/>
      <w:r w:rsidRPr="004C4FE6">
        <w:rPr>
          <w:rFonts w:ascii="Gentium Basic" w:hAnsi="Gentium Basic" w:cs="Times New Roman"/>
          <w:i/>
          <w:sz w:val="24"/>
          <w:szCs w:val="24"/>
        </w:rPr>
        <w:t xml:space="preserve"> </w:t>
      </w:r>
      <w:proofErr w:type="gramStart"/>
      <w:r w:rsidRPr="004C4FE6">
        <w:rPr>
          <w:rFonts w:ascii="Gentium Basic" w:hAnsi="Gentium Basic" w:cs="Times New Roman"/>
          <w:i/>
          <w:sz w:val="24"/>
          <w:szCs w:val="24"/>
        </w:rPr>
        <w:t xml:space="preserve">The Jewish Communities of the World as Portrayed in the Documents of the Cairo </w:t>
      </w:r>
      <w:proofErr w:type="spellStart"/>
      <w:r w:rsidRPr="004C4FE6">
        <w:rPr>
          <w:rFonts w:ascii="Gentium Basic" w:hAnsi="Gentium Basic" w:cs="Times New Roman"/>
          <w:i/>
          <w:sz w:val="24"/>
          <w:szCs w:val="24"/>
        </w:rPr>
        <w:t>Geniza</w:t>
      </w:r>
      <w:proofErr w:type="spellEnd"/>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w:t>
      </w:r>
      <w:proofErr w:type="gramStart"/>
      <w:r w:rsidRPr="004C4FE6">
        <w:rPr>
          <w:rFonts w:ascii="Gentium Basic" w:hAnsi="Gentium Basic" w:cs="Times New Roman"/>
          <w:sz w:val="24"/>
          <w:szCs w:val="24"/>
        </w:rPr>
        <w:t xml:space="preserve">(Berkley: </w:t>
      </w:r>
      <w:r w:rsidRPr="004C4FE6">
        <w:rPr>
          <w:rFonts w:ascii="Gentium Basic" w:hAnsi="Gentium Basic"/>
          <w:sz w:val="24"/>
          <w:szCs w:val="24"/>
        </w:rPr>
        <w:t>University of California Press</w:t>
      </w:r>
      <w:r w:rsidRPr="004C4FE6">
        <w:rPr>
          <w:rFonts w:ascii="Gentium Basic" w:hAnsi="Gentium Basic" w:cs="Times New Roman"/>
          <w:sz w:val="24"/>
          <w:szCs w:val="24"/>
        </w:rPr>
        <w:t>, rep. 1999), vol. 1 (the economic foundations) and vol. 4 (daily life).</w:t>
      </w:r>
      <w:proofErr w:type="gramEnd"/>
    </w:p>
    <w:p w:rsidR="006D4166" w:rsidRPr="004C4FE6" w:rsidRDefault="006D4166" w:rsidP="006D4166">
      <w:pPr>
        <w:spacing w:after="0"/>
        <w:rPr>
          <w:rFonts w:ascii="Gentium Basic" w:hAnsi="Gentium Basic" w:cs="AdvOT863180fb"/>
          <w:sz w:val="24"/>
          <w:szCs w:val="24"/>
        </w:rPr>
      </w:pPr>
      <w:proofErr w:type="spellStart"/>
      <w:r w:rsidRPr="004C4FE6">
        <w:rPr>
          <w:rFonts w:ascii="Gentium Basic" w:hAnsi="Gentium Basic" w:cs="Times New Roman"/>
          <w:sz w:val="24"/>
          <w:szCs w:val="24"/>
        </w:rPr>
        <w:t>Guérin</w:t>
      </w:r>
      <w:proofErr w:type="spellEnd"/>
      <w:r w:rsidRPr="004C4FE6">
        <w:rPr>
          <w:rFonts w:ascii="Gentium Basic" w:hAnsi="Gentium Basic" w:cs="Times New Roman"/>
          <w:sz w:val="24"/>
          <w:szCs w:val="24"/>
        </w:rPr>
        <w:t>, Sarah M., ‘</w:t>
      </w:r>
      <w:proofErr w:type="spellStart"/>
      <w:r w:rsidRPr="004C4FE6">
        <w:rPr>
          <w:rFonts w:ascii="Gentium Basic" w:hAnsi="Gentium Basic" w:cs="Times New Roman"/>
          <w:i/>
          <w:sz w:val="24"/>
          <w:szCs w:val="24"/>
        </w:rPr>
        <w:t>Avorio</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d’ogni</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ragione</w:t>
      </w:r>
      <w:proofErr w:type="spellEnd"/>
      <w:r w:rsidRPr="004C4FE6">
        <w:rPr>
          <w:rFonts w:ascii="Gentium Basic" w:hAnsi="Gentium Basic" w:cs="Times New Roman"/>
          <w:sz w:val="24"/>
          <w:szCs w:val="24"/>
        </w:rPr>
        <w:t xml:space="preserve">: the supply of elephant ivory to northern Europe in the Gothic era’. </w:t>
      </w:r>
      <w:r w:rsidRPr="004C4FE6">
        <w:rPr>
          <w:rFonts w:ascii="Gentium Basic" w:hAnsi="Gentium Basic" w:cs="AdvOT863180fb"/>
          <w:i/>
          <w:sz w:val="24"/>
          <w:szCs w:val="24"/>
        </w:rPr>
        <w:t>Journal of Medieval History</w:t>
      </w:r>
      <w:r w:rsidRPr="004C4FE6">
        <w:rPr>
          <w:rFonts w:ascii="Gentium Basic" w:hAnsi="Gentium Basic" w:cs="Times New Roman"/>
          <w:sz w:val="24"/>
          <w:szCs w:val="24"/>
        </w:rPr>
        <w:t xml:space="preserve"> </w:t>
      </w:r>
      <w:r w:rsidRPr="004C4FE6">
        <w:rPr>
          <w:rFonts w:ascii="Gentium Basic" w:hAnsi="Gentium Basic" w:cs="AdvOT863180fb"/>
          <w:sz w:val="24"/>
          <w:szCs w:val="24"/>
        </w:rPr>
        <w:t>36 (2010): 156</w:t>
      </w:r>
      <w:r w:rsidRPr="004C4FE6">
        <w:rPr>
          <w:rFonts w:ascii="Gentium Basic" w:hAnsi="Gentium Basic" w:cs="AdvPS44A44B"/>
          <w:sz w:val="24"/>
          <w:szCs w:val="24"/>
        </w:rPr>
        <w:t>-</w:t>
      </w:r>
      <w:r w:rsidRPr="004C4FE6">
        <w:rPr>
          <w:rFonts w:ascii="Gentium Basic" w:hAnsi="Gentium Basic" w:cs="AdvOT863180fb"/>
          <w:sz w:val="24"/>
          <w:szCs w:val="24"/>
        </w:rPr>
        <w:t>174.</w:t>
      </w:r>
    </w:p>
    <w:p w:rsidR="006D4166" w:rsidRPr="004C4FE6" w:rsidRDefault="006D4166" w:rsidP="006D4166">
      <w:pPr>
        <w:rPr>
          <w:rFonts w:ascii="Gentium Basic" w:hAnsi="Gentium Basic" w:cs="Bembo"/>
          <w:sz w:val="24"/>
          <w:szCs w:val="24"/>
        </w:rPr>
      </w:pPr>
      <w:proofErr w:type="spellStart"/>
      <w:r w:rsidRPr="004C4FE6">
        <w:rPr>
          <w:rStyle w:val="addmd1"/>
          <w:rFonts w:ascii="Gentium Basic" w:hAnsi="Gentium Basic" w:cs="Arial"/>
          <w:sz w:val="24"/>
          <w:szCs w:val="24"/>
        </w:rPr>
        <w:t>Halm</w:t>
      </w:r>
      <w:proofErr w:type="spellEnd"/>
      <w:r w:rsidRPr="004C4FE6">
        <w:rPr>
          <w:rStyle w:val="addmd1"/>
          <w:rFonts w:ascii="Gentium Basic" w:hAnsi="Gentium Basic" w:cs="Arial"/>
          <w:sz w:val="24"/>
          <w:szCs w:val="24"/>
        </w:rPr>
        <w:t xml:space="preserve">, Heinz, </w:t>
      </w:r>
      <w:r w:rsidRPr="004C4FE6">
        <w:rPr>
          <w:rFonts w:ascii="Gentium Basic" w:hAnsi="Gentium Basic" w:cs="Arial"/>
          <w:i/>
          <w:sz w:val="24"/>
          <w:szCs w:val="24"/>
        </w:rPr>
        <w:t xml:space="preserve">Die </w:t>
      </w:r>
      <w:proofErr w:type="spellStart"/>
      <w:r w:rsidRPr="004C4FE6">
        <w:rPr>
          <w:rFonts w:ascii="Gentium Basic" w:hAnsi="Gentium Basic" w:cs="Arial"/>
          <w:i/>
          <w:sz w:val="24"/>
          <w:szCs w:val="24"/>
        </w:rPr>
        <w:t>Kalifen</w:t>
      </w:r>
      <w:proofErr w:type="spellEnd"/>
      <w:r w:rsidRPr="004C4FE6">
        <w:rPr>
          <w:rFonts w:ascii="Gentium Basic" w:hAnsi="Gentium Basic" w:cs="Arial"/>
          <w:i/>
          <w:sz w:val="24"/>
          <w:szCs w:val="24"/>
        </w:rPr>
        <w:t xml:space="preserve"> von </w:t>
      </w:r>
      <w:proofErr w:type="spellStart"/>
      <w:r w:rsidRPr="004C4FE6">
        <w:rPr>
          <w:rFonts w:ascii="Gentium Basic" w:hAnsi="Gentium Basic" w:cs="Arial"/>
          <w:i/>
          <w:sz w:val="24"/>
          <w:szCs w:val="24"/>
        </w:rPr>
        <w:t>Kairo</w:t>
      </w:r>
      <w:proofErr w:type="spellEnd"/>
      <w:r w:rsidRPr="004C4FE6">
        <w:rPr>
          <w:rFonts w:ascii="Gentium Basic" w:hAnsi="Gentium Basic" w:cs="Arial"/>
          <w:i/>
          <w:sz w:val="24"/>
          <w:szCs w:val="24"/>
        </w:rPr>
        <w:t xml:space="preserve">: die </w:t>
      </w:r>
      <w:proofErr w:type="spellStart"/>
      <w:r w:rsidRPr="004C4FE6">
        <w:rPr>
          <w:rFonts w:ascii="Gentium Basic" w:hAnsi="Gentium Basic" w:cs="Arial"/>
          <w:i/>
          <w:sz w:val="24"/>
          <w:szCs w:val="24"/>
        </w:rPr>
        <w:t>Fatimiden</w:t>
      </w:r>
      <w:proofErr w:type="spellEnd"/>
      <w:r w:rsidRPr="004C4FE6">
        <w:rPr>
          <w:rFonts w:ascii="Gentium Basic" w:hAnsi="Gentium Basic" w:cs="Arial"/>
          <w:i/>
          <w:sz w:val="24"/>
          <w:szCs w:val="24"/>
        </w:rPr>
        <w:t xml:space="preserve"> in </w:t>
      </w:r>
      <w:proofErr w:type="spellStart"/>
      <w:r w:rsidRPr="004C4FE6">
        <w:rPr>
          <w:rFonts w:ascii="Gentium Basic" w:hAnsi="Gentium Basic" w:cs="Arial"/>
          <w:i/>
          <w:sz w:val="24"/>
          <w:szCs w:val="24"/>
        </w:rPr>
        <w:t>Ägypten</w:t>
      </w:r>
      <w:proofErr w:type="spellEnd"/>
      <w:r w:rsidRPr="004C4FE6">
        <w:rPr>
          <w:rFonts w:ascii="Gentium Basic" w:hAnsi="Gentium Basic" w:cs="Arial"/>
          <w:i/>
          <w:sz w:val="24"/>
          <w:szCs w:val="24"/>
        </w:rPr>
        <w:t xml:space="preserve"> 973-1074</w:t>
      </w:r>
      <w:r w:rsidRPr="004C4FE6">
        <w:rPr>
          <w:rFonts w:ascii="Gentium Basic" w:hAnsi="Gentium Basic" w:cs="Arial"/>
          <w:sz w:val="24"/>
          <w:szCs w:val="24"/>
        </w:rPr>
        <w:t xml:space="preserve">, (Munich: </w:t>
      </w:r>
      <w:r w:rsidRPr="004C4FE6">
        <w:rPr>
          <w:rFonts w:ascii="Gentium Basic" w:hAnsi="Gentium Basic"/>
          <w:sz w:val="24"/>
          <w:szCs w:val="24"/>
        </w:rPr>
        <w:t>C.</w:t>
      </w:r>
      <w:r w:rsidR="00933BFE">
        <w:rPr>
          <w:rFonts w:ascii="Gentium Basic" w:hAnsi="Gentium Basic"/>
          <w:sz w:val="24"/>
          <w:szCs w:val="24"/>
        </w:rPr>
        <w:t xml:space="preserve"> </w:t>
      </w:r>
      <w:r w:rsidRPr="004C4FE6">
        <w:rPr>
          <w:rFonts w:ascii="Gentium Basic" w:hAnsi="Gentium Basic"/>
          <w:sz w:val="24"/>
          <w:szCs w:val="24"/>
        </w:rPr>
        <w:t>H.</w:t>
      </w:r>
      <w:r w:rsidR="00933BFE">
        <w:rPr>
          <w:rFonts w:ascii="Gentium Basic" w:hAnsi="Gentium Basic"/>
          <w:sz w:val="24"/>
          <w:szCs w:val="24"/>
        </w:rPr>
        <w:t xml:space="preserve"> </w:t>
      </w:r>
      <w:r w:rsidRPr="004C4FE6">
        <w:rPr>
          <w:rFonts w:ascii="Gentium Basic" w:hAnsi="Gentium Basic"/>
          <w:sz w:val="24"/>
          <w:szCs w:val="24"/>
        </w:rPr>
        <w:t>Beck</w:t>
      </w:r>
      <w:r w:rsidRPr="004C4FE6">
        <w:rPr>
          <w:rFonts w:ascii="Gentium Basic" w:hAnsi="Gentium Basic" w:cs="Arial"/>
          <w:sz w:val="24"/>
          <w:szCs w:val="24"/>
        </w:rPr>
        <w:t>, 2003)</w:t>
      </w:r>
      <w:r>
        <w:rPr>
          <w:rFonts w:ascii="Gentium Basic" w:hAnsi="Gentium Basic" w:cs="Arial"/>
          <w:sz w:val="24"/>
          <w:szCs w:val="24"/>
        </w:rPr>
        <w:t>.</w:t>
      </w:r>
    </w:p>
    <w:p w:rsidR="006D4166" w:rsidRPr="004C4FE6" w:rsidRDefault="006D4166" w:rsidP="006D4166">
      <w:pPr>
        <w:spacing w:after="0"/>
        <w:rPr>
          <w:rFonts w:ascii="Gentium Basic" w:hAnsi="Gentium Basic" w:cs="Times New Roman"/>
          <w:sz w:val="24"/>
          <w:szCs w:val="24"/>
        </w:rPr>
      </w:pPr>
      <w:r w:rsidRPr="004C4FE6">
        <w:rPr>
          <w:rFonts w:ascii="Gentium Basic" w:hAnsi="Gentium Basic" w:cs="Times New Roman"/>
          <w:sz w:val="24"/>
          <w:szCs w:val="24"/>
        </w:rPr>
        <w:t xml:space="preserve">Hassan, </w:t>
      </w:r>
      <w:proofErr w:type="spellStart"/>
      <w:r w:rsidRPr="004C4FE6">
        <w:rPr>
          <w:rFonts w:ascii="Gentium Basic" w:hAnsi="Gentium Basic" w:cs="Times New Roman"/>
          <w:sz w:val="24"/>
          <w:szCs w:val="24"/>
        </w:rPr>
        <w:t>Fekri</w:t>
      </w:r>
      <w:proofErr w:type="spellEnd"/>
      <w:r w:rsidRPr="004C4FE6">
        <w:rPr>
          <w:rFonts w:ascii="Gentium Basic" w:hAnsi="Gentium Basic" w:cs="Times New Roman"/>
          <w:sz w:val="24"/>
          <w:szCs w:val="24"/>
        </w:rPr>
        <w:t xml:space="preserve"> A., ‘Extreme Nile floods and Famines in Medieval Egypt (AD 930-1500) and their climatic implications’. </w:t>
      </w:r>
      <w:r w:rsidRPr="004C4FE6">
        <w:rPr>
          <w:rFonts w:ascii="Gentium Basic" w:hAnsi="Gentium Basic" w:cs="Times New Roman"/>
          <w:i/>
          <w:sz w:val="24"/>
          <w:szCs w:val="24"/>
        </w:rPr>
        <w:t>Quaternary International</w:t>
      </w:r>
      <w:r w:rsidRPr="004C4FE6">
        <w:rPr>
          <w:rFonts w:ascii="Gentium Basic" w:hAnsi="Gentium Basic" w:cs="Times New Roman"/>
          <w:sz w:val="24"/>
          <w:szCs w:val="24"/>
        </w:rPr>
        <w:t xml:space="preserve"> 173-174 (2007): 101-112</w:t>
      </w:r>
      <w:r>
        <w:rPr>
          <w:rFonts w:ascii="Gentium Basic" w:hAnsi="Gentium Basic" w:cs="Times New Roman"/>
          <w:sz w:val="24"/>
          <w:szCs w:val="24"/>
        </w:rPr>
        <w:t>.</w:t>
      </w:r>
    </w:p>
    <w:p w:rsidR="006D4166" w:rsidRPr="004C4FE6" w:rsidRDefault="006D4166" w:rsidP="006D4166">
      <w:pPr>
        <w:spacing w:after="0"/>
        <w:rPr>
          <w:rFonts w:ascii="Gentium Basic" w:hAnsi="Gentium Basic" w:cs="Times New Roman"/>
          <w:sz w:val="24"/>
          <w:szCs w:val="24"/>
        </w:rPr>
      </w:pPr>
      <w:proofErr w:type="spellStart"/>
      <w:proofErr w:type="gramStart"/>
      <w:r w:rsidRPr="004C4FE6">
        <w:rPr>
          <w:rFonts w:ascii="Gentium Basic" w:hAnsi="Gentium Basic" w:cs="Times New Roman"/>
          <w:sz w:val="24"/>
          <w:szCs w:val="24"/>
        </w:rPr>
        <w:lastRenderedPageBreak/>
        <w:t>Jianmin</w:t>
      </w:r>
      <w:proofErr w:type="spellEnd"/>
      <w:r w:rsidRPr="004C4FE6">
        <w:rPr>
          <w:rFonts w:ascii="Gentium Basic" w:hAnsi="Gentium Basic" w:cs="Times New Roman"/>
          <w:sz w:val="24"/>
          <w:szCs w:val="24"/>
        </w:rPr>
        <w:t xml:space="preserve"> Jiang, R. Mendelssohn, F. </w:t>
      </w:r>
      <w:proofErr w:type="spellStart"/>
      <w:r w:rsidRPr="004C4FE6">
        <w:rPr>
          <w:rFonts w:ascii="Gentium Basic" w:hAnsi="Gentium Basic" w:cs="Times New Roman"/>
          <w:sz w:val="24"/>
          <w:szCs w:val="24"/>
        </w:rPr>
        <w:t>Schwing</w:t>
      </w:r>
      <w:proofErr w:type="spellEnd"/>
      <w:r w:rsidRPr="004C4FE6">
        <w:rPr>
          <w:rFonts w:ascii="Gentium Basic" w:hAnsi="Gentium Basic" w:cs="Times New Roman"/>
          <w:sz w:val="24"/>
          <w:szCs w:val="24"/>
        </w:rPr>
        <w:t xml:space="preserve">, and F. </w:t>
      </w:r>
      <w:proofErr w:type="spellStart"/>
      <w:r w:rsidRPr="004C4FE6">
        <w:rPr>
          <w:rFonts w:ascii="Gentium Basic" w:hAnsi="Gentium Basic" w:cs="Times New Roman"/>
          <w:sz w:val="24"/>
          <w:szCs w:val="24"/>
        </w:rPr>
        <w:t>Fraedrich</w:t>
      </w:r>
      <w:proofErr w:type="spellEnd"/>
      <w:r w:rsidRPr="004C4FE6">
        <w:rPr>
          <w:rFonts w:ascii="Gentium Basic" w:hAnsi="Gentium Basic" w:cs="Times New Roman"/>
          <w:sz w:val="24"/>
          <w:szCs w:val="24"/>
        </w:rPr>
        <w:t>, ‘Coherency detection of multiple abrupt changes in historic Nile flood levels’.</w:t>
      </w:r>
      <w:proofErr w:type="gramEnd"/>
      <w:r w:rsidRPr="004C4FE6">
        <w:rPr>
          <w:rFonts w:ascii="Gentium Basic" w:hAnsi="Gentium Basic" w:cs="Times New Roman"/>
          <w:sz w:val="24"/>
          <w:szCs w:val="24"/>
        </w:rPr>
        <w:t xml:space="preserve"> </w:t>
      </w:r>
      <w:r w:rsidR="00933BFE">
        <w:rPr>
          <w:rFonts w:ascii="Gentium Basic" w:hAnsi="Gentium Basic" w:cs="Times New Roman"/>
          <w:i/>
          <w:sz w:val="24"/>
          <w:szCs w:val="24"/>
        </w:rPr>
        <w:t>Geographical R</w:t>
      </w:r>
      <w:r w:rsidRPr="004C4FE6">
        <w:rPr>
          <w:rFonts w:ascii="Gentium Basic" w:hAnsi="Gentium Basic" w:cs="Times New Roman"/>
          <w:i/>
          <w:sz w:val="24"/>
          <w:szCs w:val="24"/>
        </w:rPr>
        <w:t xml:space="preserve">esearch Letters </w:t>
      </w:r>
      <w:r w:rsidRPr="004C4FE6">
        <w:rPr>
          <w:rFonts w:ascii="Gentium Basic" w:hAnsi="Gentium Basic" w:cs="Times New Roman"/>
          <w:sz w:val="24"/>
          <w:szCs w:val="24"/>
        </w:rPr>
        <w:t>29 (2002): 1-4.</w:t>
      </w:r>
    </w:p>
    <w:p w:rsidR="006D4166" w:rsidRPr="004C4FE6" w:rsidRDefault="006D4166" w:rsidP="006D4166">
      <w:pPr>
        <w:rPr>
          <w:rFonts w:ascii="Gentium Basic" w:hAnsi="Gentium Basic" w:cs="Times New Roman"/>
          <w:sz w:val="24"/>
          <w:szCs w:val="24"/>
        </w:rPr>
      </w:pPr>
      <w:proofErr w:type="gramStart"/>
      <w:r w:rsidRPr="004C4FE6">
        <w:rPr>
          <w:rFonts w:ascii="Gentium Basic" w:hAnsi="Gentium Basic" w:cs="Times New Roman"/>
          <w:sz w:val="24"/>
          <w:szCs w:val="24"/>
        </w:rPr>
        <w:t xml:space="preserve">Lev, </w:t>
      </w:r>
      <w:proofErr w:type="spellStart"/>
      <w:r w:rsidRPr="004C4FE6">
        <w:rPr>
          <w:rFonts w:ascii="Gentium Basic" w:hAnsi="Gentium Basic" w:cs="Times New Roman"/>
          <w:sz w:val="24"/>
          <w:szCs w:val="24"/>
        </w:rPr>
        <w:t>Yaacov</w:t>
      </w:r>
      <w:proofErr w:type="spellEnd"/>
      <w:r w:rsidRPr="004C4FE6">
        <w:rPr>
          <w:rFonts w:ascii="Gentium Basic" w:hAnsi="Gentium Basic" w:cs="Times New Roman"/>
          <w:sz w:val="24"/>
          <w:szCs w:val="24"/>
        </w:rPr>
        <w:t xml:space="preserve">, </w:t>
      </w:r>
      <w:r w:rsidRPr="004C4FE6">
        <w:rPr>
          <w:rFonts w:ascii="Gentium Basic" w:hAnsi="Gentium Basic" w:cs="Times New Roman"/>
          <w:i/>
          <w:sz w:val="24"/>
          <w:szCs w:val="24"/>
        </w:rPr>
        <w:t>State and Society in Fatimid Egypt</w:t>
      </w:r>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w:t>
      </w:r>
      <w:proofErr w:type="gramStart"/>
      <w:r w:rsidRPr="004C4FE6">
        <w:rPr>
          <w:rFonts w:ascii="Gentium Basic" w:hAnsi="Gentium Basic" w:cs="Times New Roman"/>
          <w:sz w:val="24"/>
          <w:szCs w:val="24"/>
        </w:rPr>
        <w:t>(Leiden: E.J. Brill, 1991)</w:t>
      </w:r>
      <w:r>
        <w:rPr>
          <w:rFonts w:ascii="Gentium Basic" w:hAnsi="Gentium Basic" w:cs="Times New Roman"/>
          <w:sz w:val="24"/>
          <w:szCs w:val="24"/>
        </w:rPr>
        <w:t>.</w:t>
      </w:r>
      <w:proofErr w:type="gramEnd"/>
    </w:p>
    <w:p w:rsidR="006D4166" w:rsidRPr="004C4FE6" w:rsidRDefault="006D4166" w:rsidP="006D4166">
      <w:pPr>
        <w:rPr>
          <w:rFonts w:ascii="Gentium Basic" w:hAnsi="Gentium Basic" w:cs="Bembo"/>
          <w:sz w:val="24"/>
          <w:szCs w:val="24"/>
        </w:rPr>
      </w:pPr>
      <w:proofErr w:type="spellStart"/>
      <w:r w:rsidRPr="004C4FE6">
        <w:rPr>
          <w:rFonts w:ascii="Gentium Basic" w:hAnsi="Gentium Basic" w:cs="Bembo"/>
          <w:sz w:val="24"/>
          <w:szCs w:val="24"/>
        </w:rPr>
        <w:t>Lutfi</w:t>
      </w:r>
      <w:proofErr w:type="spellEnd"/>
      <w:r w:rsidRPr="004C4FE6">
        <w:rPr>
          <w:rFonts w:ascii="Gentium Basic" w:hAnsi="Gentium Basic" w:cs="Bembo"/>
          <w:sz w:val="24"/>
          <w:szCs w:val="24"/>
        </w:rPr>
        <w:t xml:space="preserve">, </w:t>
      </w:r>
      <w:r w:rsidRPr="004C4FE6">
        <w:rPr>
          <w:rFonts w:ascii="Gentium Basic" w:hAnsi="Gentium Basic" w:cs="Times New Roman"/>
          <w:sz w:val="24"/>
          <w:szCs w:val="24"/>
        </w:rPr>
        <w:t>Huda,</w:t>
      </w:r>
      <w:r w:rsidRPr="004C4FE6">
        <w:rPr>
          <w:rFonts w:ascii="Gentium Basic" w:hAnsi="Gentium Basic" w:cs="Bembo"/>
          <w:sz w:val="24"/>
          <w:szCs w:val="24"/>
        </w:rPr>
        <w:t xml:space="preserve"> ‘Coptic festivals of the Nile: aberration of the past?’ Thomas Philipp and Ulrich </w:t>
      </w:r>
      <w:proofErr w:type="spellStart"/>
      <w:r w:rsidRPr="004C4FE6">
        <w:rPr>
          <w:rFonts w:ascii="Gentium Basic" w:hAnsi="Gentium Basic" w:cs="Bembo"/>
          <w:sz w:val="24"/>
          <w:szCs w:val="24"/>
        </w:rPr>
        <w:t>Haarmann</w:t>
      </w:r>
      <w:proofErr w:type="spellEnd"/>
      <w:r w:rsidRPr="004C4FE6">
        <w:rPr>
          <w:rFonts w:ascii="Gentium Basic" w:hAnsi="Gentium Basic" w:cs="Bembo"/>
          <w:sz w:val="24"/>
          <w:szCs w:val="24"/>
        </w:rPr>
        <w:t xml:space="preserve"> (eds.), </w:t>
      </w:r>
      <w:proofErr w:type="gramStart"/>
      <w:r w:rsidRPr="004C4FE6">
        <w:rPr>
          <w:rFonts w:ascii="Gentium Basic" w:hAnsi="Gentium Basic" w:cs="Bembo-Italic"/>
          <w:i/>
          <w:iCs/>
          <w:sz w:val="24"/>
          <w:szCs w:val="24"/>
        </w:rPr>
        <w:t>The</w:t>
      </w:r>
      <w:proofErr w:type="gramEnd"/>
      <w:r w:rsidRPr="004C4FE6">
        <w:rPr>
          <w:rFonts w:ascii="Gentium Basic" w:hAnsi="Gentium Basic" w:cs="Bembo-Italic"/>
          <w:i/>
          <w:iCs/>
          <w:sz w:val="24"/>
          <w:szCs w:val="24"/>
        </w:rPr>
        <w:t xml:space="preserve"> </w:t>
      </w:r>
      <w:proofErr w:type="spellStart"/>
      <w:r w:rsidRPr="004C4FE6">
        <w:rPr>
          <w:rFonts w:ascii="Gentium Basic" w:hAnsi="Gentium Basic" w:cs="Bembo-Italic"/>
          <w:i/>
          <w:iCs/>
          <w:sz w:val="24"/>
          <w:szCs w:val="24"/>
        </w:rPr>
        <w:t>Mamluks</w:t>
      </w:r>
      <w:proofErr w:type="spellEnd"/>
      <w:r w:rsidRPr="004C4FE6">
        <w:rPr>
          <w:rFonts w:ascii="Gentium Basic" w:hAnsi="Gentium Basic" w:cs="Bembo-Italic"/>
          <w:i/>
          <w:iCs/>
          <w:sz w:val="24"/>
          <w:szCs w:val="24"/>
        </w:rPr>
        <w:t xml:space="preserve"> in Egyptian Politics and Society</w:t>
      </w:r>
      <w:r w:rsidRPr="004C4FE6">
        <w:rPr>
          <w:rFonts w:ascii="Gentium Basic" w:hAnsi="Gentium Basic" w:cs="Bembo"/>
          <w:sz w:val="24"/>
          <w:szCs w:val="24"/>
        </w:rPr>
        <w:t>, (Cambridge: Cambridge University Press, 1998), 254-282.</w:t>
      </w:r>
    </w:p>
    <w:p w:rsidR="006D4166" w:rsidRPr="004C4FE6" w:rsidRDefault="006D4166" w:rsidP="006D4166">
      <w:pPr>
        <w:spacing w:after="0"/>
        <w:rPr>
          <w:rFonts w:ascii="Gentium Basic" w:hAnsi="Gentium Basic" w:cs="Times New Roman"/>
          <w:sz w:val="24"/>
          <w:szCs w:val="24"/>
        </w:rPr>
      </w:pPr>
      <w:proofErr w:type="spellStart"/>
      <w:r w:rsidRPr="004C4FE6">
        <w:rPr>
          <w:rFonts w:ascii="Gentium Basic" w:hAnsi="Gentium Basic" w:cs="Times New Roman"/>
          <w:sz w:val="24"/>
          <w:szCs w:val="24"/>
        </w:rPr>
        <w:t>Mayerson</w:t>
      </w:r>
      <w:proofErr w:type="spellEnd"/>
      <w:r w:rsidRPr="004C4FE6">
        <w:rPr>
          <w:rFonts w:ascii="Gentium Basic" w:hAnsi="Gentium Basic" w:cs="Times New Roman"/>
          <w:sz w:val="24"/>
          <w:szCs w:val="24"/>
        </w:rPr>
        <w:t xml:space="preserve">, Philip, ‘The Role of Flax in Roman and Fatimid Egypt’. </w:t>
      </w:r>
      <w:r w:rsidRPr="004C4FE6">
        <w:rPr>
          <w:rFonts w:ascii="Gentium Basic" w:hAnsi="Gentium Basic" w:cs="Times New Roman"/>
          <w:i/>
          <w:sz w:val="24"/>
          <w:szCs w:val="24"/>
        </w:rPr>
        <w:t>Journal of Near Eastern Studies</w:t>
      </w:r>
      <w:r w:rsidRPr="004C4FE6">
        <w:rPr>
          <w:rFonts w:ascii="Gentium Basic" w:hAnsi="Gentium Basic" w:cs="Times New Roman"/>
          <w:sz w:val="24"/>
          <w:szCs w:val="24"/>
        </w:rPr>
        <w:t xml:space="preserve"> 56, 3 (1997): 201-207.</w:t>
      </w:r>
    </w:p>
    <w:p w:rsidR="006D4166" w:rsidRPr="004C4FE6" w:rsidRDefault="006D4166" w:rsidP="006D4166">
      <w:pPr>
        <w:spacing w:after="0"/>
        <w:rPr>
          <w:rFonts w:ascii="Gentium Basic" w:hAnsi="Gentium Basic" w:cs="Times New Roman"/>
          <w:sz w:val="24"/>
          <w:szCs w:val="24"/>
        </w:rPr>
      </w:pPr>
      <w:r w:rsidRPr="004C4FE6">
        <w:rPr>
          <w:rFonts w:ascii="Gentium Basic" w:hAnsi="Gentium Basic" w:cs="Times New Roman"/>
          <w:sz w:val="24"/>
          <w:szCs w:val="24"/>
        </w:rPr>
        <w:t>Mikhail, Alan, ‘</w:t>
      </w:r>
      <w:r w:rsidRPr="004C4FE6">
        <w:rPr>
          <w:rStyle w:val="maintitle"/>
          <w:rFonts w:ascii="Gentium Basic" w:hAnsi="Gentium Basic" w:cs="Times New Roman"/>
          <w:sz w:val="24"/>
          <w:szCs w:val="24"/>
        </w:rPr>
        <w:t>Global Implications of the Middle Eastern Environment</w:t>
      </w:r>
      <w:r w:rsidRPr="004C4FE6">
        <w:rPr>
          <w:rStyle w:val="maintitle"/>
          <w:rFonts w:ascii="Gentium Basic" w:hAnsi="Gentium Basic" w:cs="Times New Roman"/>
          <w:i/>
          <w:sz w:val="24"/>
          <w:szCs w:val="24"/>
        </w:rPr>
        <w:t>’. History Compass</w:t>
      </w:r>
      <w:r w:rsidRPr="004C4FE6">
        <w:rPr>
          <w:rStyle w:val="maintitle"/>
          <w:rFonts w:ascii="Gentium Basic" w:hAnsi="Gentium Basic" w:cs="Times New Roman"/>
          <w:sz w:val="24"/>
          <w:szCs w:val="24"/>
        </w:rPr>
        <w:t>, 9 (2011):</w:t>
      </w:r>
      <w:r w:rsidRPr="004C4FE6">
        <w:rPr>
          <w:rFonts w:ascii="Gentium Basic" w:hAnsi="Gentium Basic" w:cs="Times New Roman"/>
          <w:sz w:val="24"/>
          <w:szCs w:val="24"/>
        </w:rPr>
        <w:t xml:space="preserve"> 952–970.</w:t>
      </w:r>
    </w:p>
    <w:p w:rsidR="006D4166" w:rsidRPr="004C4FE6" w:rsidRDefault="006D4166" w:rsidP="006D4166">
      <w:pPr>
        <w:rPr>
          <w:rFonts w:ascii="Gentium Basic" w:hAnsi="Gentium Basic" w:cs="Times New Roman"/>
          <w:sz w:val="24"/>
          <w:szCs w:val="24"/>
        </w:rPr>
      </w:pPr>
      <w:r w:rsidRPr="004C4FE6">
        <w:rPr>
          <w:rFonts w:ascii="Gentium Basic" w:hAnsi="Gentium Basic" w:cs="Times New Roman"/>
          <w:sz w:val="24"/>
          <w:szCs w:val="24"/>
        </w:rPr>
        <w:t xml:space="preserve">Popper, William, </w:t>
      </w:r>
      <w:proofErr w:type="gramStart"/>
      <w:r w:rsidRPr="004C4FE6">
        <w:rPr>
          <w:rFonts w:ascii="Gentium Basic" w:hAnsi="Gentium Basic" w:cs="Times New Roman"/>
          <w:i/>
          <w:sz w:val="24"/>
          <w:szCs w:val="24"/>
        </w:rPr>
        <w:t>The</w:t>
      </w:r>
      <w:proofErr w:type="gramEnd"/>
      <w:r w:rsidRPr="004C4FE6">
        <w:rPr>
          <w:rFonts w:ascii="Gentium Basic" w:hAnsi="Gentium Basic" w:cs="Times New Roman"/>
          <w:i/>
          <w:sz w:val="24"/>
          <w:szCs w:val="24"/>
        </w:rPr>
        <w:t xml:space="preserve"> Cairo </w:t>
      </w:r>
      <w:proofErr w:type="spellStart"/>
      <w:r w:rsidRPr="004C4FE6">
        <w:rPr>
          <w:rFonts w:ascii="Gentium Basic" w:hAnsi="Gentium Basic" w:cs="Times New Roman"/>
          <w:i/>
          <w:sz w:val="24"/>
          <w:szCs w:val="24"/>
        </w:rPr>
        <w:t>Nilometer</w:t>
      </w:r>
      <w:proofErr w:type="spellEnd"/>
      <w:r w:rsidRPr="004C4FE6">
        <w:rPr>
          <w:rFonts w:ascii="Gentium Basic" w:hAnsi="Gentium Basic" w:cs="Times New Roman"/>
          <w:sz w:val="24"/>
          <w:szCs w:val="24"/>
        </w:rPr>
        <w:t xml:space="preserve">. </w:t>
      </w:r>
      <w:proofErr w:type="gramStart"/>
      <w:r w:rsidRPr="004C4FE6">
        <w:rPr>
          <w:rFonts w:ascii="Gentium Basic" w:hAnsi="Gentium Basic" w:cs="Times New Roman"/>
          <w:sz w:val="24"/>
          <w:szCs w:val="24"/>
        </w:rPr>
        <w:t>(Berkley: Univers</w:t>
      </w:r>
      <w:r w:rsidR="00CA7C5D">
        <w:rPr>
          <w:rFonts w:ascii="Gentium Basic" w:hAnsi="Gentium Basic" w:cs="Times New Roman"/>
          <w:sz w:val="24"/>
          <w:szCs w:val="24"/>
        </w:rPr>
        <w:t>ity of California Press, 1951).</w:t>
      </w:r>
      <w:proofErr w:type="gramEnd"/>
    </w:p>
    <w:p w:rsidR="006D4166" w:rsidRPr="004C4FE6" w:rsidRDefault="006D4166" w:rsidP="006D4166">
      <w:pPr>
        <w:spacing w:after="0"/>
        <w:rPr>
          <w:rFonts w:ascii="Gentium Basic" w:hAnsi="Gentium Basic" w:cs="Times New Roman"/>
          <w:sz w:val="24"/>
          <w:szCs w:val="24"/>
        </w:rPr>
      </w:pPr>
      <w:r w:rsidRPr="004C4FE6">
        <w:rPr>
          <w:rFonts w:ascii="Gentium Basic" w:hAnsi="Gentium Basic" w:cs="Times New Roman"/>
          <w:sz w:val="24"/>
          <w:szCs w:val="24"/>
        </w:rPr>
        <w:t xml:space="preserve">Power, Timothy, ‘The Expansion of Muslim Commerce in the Red Sea Basin, c. AD 833-969’. Lucy Blue, J. Cooper, R. Thomas, J. Whitewright (eds.), </w:t>
      </w:r>
      <w:r w:rsidRPr="004C4FE6">
        <w:rPr>
          <w:rFonts w:ascii="Gentium Basic" w:hAnsi="Gentium Basic" w:cs="Times New Roman"/>
          <w:i/>
          <w:sz w:val="24"/>
          <w:szCs w:val="24"/>
        </w:rPr>
        <w:t xml:space="preserve">Connected Hinterlands. </w:t>
      </w:r>
      <w:proofErr w:type="gramStart"/>
      <w:r w:rsidRPr="004C4FE6">
        <w:rPr>
          <w:rFonts w:ascii="Gentium Basic" w:hAnsi="Gentium Basic" w:cs="Times New Roman"/>
          <w:i/>
          <w:sz w:val="24"/>
          <w:szCs w:val="24"/>
        </w:rPr>
        <w:t>Proceedings of the Red Sea Project IV.</w:t>
      </w:r>
      <w:proofErr w:type="gramEnd"/>
      <w:r w:rsidRPr="004C4FE6">
        <w:rPr>
          <w:rFonts w:ascii="Gentium Basic" w:hAnsi="Gentium Basic" w:cs="Times New Roman"/>
          <w:i/>
          <w:sz w:val="24"/>
          <w:szCs w:val="24"/>
        </w:rPr>
        <w:t xml:space="preserve"> Held at the University of Southampton September 2008</w:t>
      </w:r>
      <w:r w:rsidRPr="004C4FE6">
        <w:rPr>
          <w:rFonts w:ascii="Gentium Basic" w:hAnsi="Gentium Basic" w:cs="Times New Roman"/>
          <w:sz w:val="24"/>
          <w:szCs w:val="24"/>
        </w:rPr>
        <w:t xml:space="preserve">, (Oxford: </w:t>
      </w:r>
      <w:proofErr w:type="spellStart"/>
      <w:r w:rsidRPr="004C4FE6">
        <w:rPr>
          <w:rFonts w:ascii="Gentium Basic" w:hAnsi="Gentium Basic" w:cs="Times New Roman"/>
          <w:sz w:val="24"/>
          <w:szCs w:val="24"/>
        </w:rPr>
        <w:t>Archeopress</w:t>
      </w:r>
      <w:proofErr w:type="spellEnd"/>
      <w:r w:rsidRPr="004C4FE6">
        <w:rPr>
          <w:rFonts w:ascii="Gentium Basic" w:hAnsi="Gentium Basic" w:cs="Times New Roman"/>
          <w:sz w:val="24"/>
          <w:szCs w:val="24"/>
        </w:rPr>
        <w:t>, 2009), 111-118.</w:t>
      </w:r>
    </w:p>
    <w:p w:rsidR="006D4166" w:rsidRPr="004C4FE6" w:rsidRDefault="006D4166" w:rsidP="006D4166">
      <w:pPr>
        <w:spacing w:after="0"/>
        <w:rPr>
          <w:rStyle w:val="Emphasis"/>
          <w:rFonts w:ascii="Gentium Basic" w:hAnsi="Gentium Basic"/>
          <w:i w:val="0"/>
          <w:sz w:val="24"/>
          <w:szCs w:val="24"/>
        </w:rPr>
      </w:pPr>
      <w:r w:rsidRPr="004C4FE6">
        <w:rPr>
          <w:rFonts w:ascii="Gentium Basic" w:hAnsi="Gentium Basic" w:cs="Times New Roman"/>
          <w:sz w:val="24"/>
          <w:szCs w:val="24"/>
        </w:rPr>
        <w:t xml:space="preserve">Raphael, Kate, </w:t>
      </w:r>
      <w:r w:rsidRPr="004C4FE6">
        <w:rPr>
          <w:rStyle w:val="Emphasis"/>
          <w:rFonts w:ascii="Gentium Basic" w:hAnsi="Gentium Basic"/>
          <w:sz w:val="24"/>
          <w:szCs w:val="24"/>
        </w:rPr>
        <w:t xml:space="preserve">Climate and Political Climate: Environmental Calamities in the Medieval Levant, </w:t>
      </w:r>
      <w:r w:rsidRPr="00CA7C5D">
        <w:rPr>
          <w:rStyle w:val="Emphasis"/>
          <w:rFonts w:ascii="Gentium Basic" w:hAnsi="Gentium Basic"/>
          <w:i w:val="0"/>
          <w:sz w:val="24"/>
          <w:szCs w:val="24"/>
        </w:rPr>
        <w:t>(Leiden: E.J. Brill, 2014).</w:t>
      </w:r>
    </w:p>
    <w:p w:rsidR="006D4166" w:rsidRPr="004C4FE6" w:rsidRDefault="006D4166" w:rsidP="006D4166">
      <w:pPr>
        <w:spacing w:after="0"/>
        <w:rPr>
          <w:rFonts w:ascii="Gentium Basic" w:hAnsi="Gentium Basic" w:cs="Times New Roman"/>
          <w:sz w:val="24"/>
          <w:szCs w:val="24"/>
        </w:rPr>
      </w:pPr>
      <w:proofErr w:type="gramStart"/>
      <w:r w:rsidRPr="004C4FE6">
        <w:rPr>
          <w:rFonts w:ascii="Gentium Basic" w:hAnsi="Gentium Basic" w:cs="Times New Roman"/>
          <w:sz w:val="24"/>
          <w:szCs w:val="24"/>
        </w:rPr>
        <w:t xml:space="preserve">Said, </w:t>
      </w:r>
      <w:proofErr w:type="spellStart"/>
      <w:r w:rsidRPr="004C4FE6">
        <w:rPr>
          <w:rFonts w:ascii="Gentium Basic" w:hAnsi="Gentium Basic"/>
          <w:sz w:val="24"/>
          <w:szCs w:val="24"/>
        </w:rPr>
        <w:t>Rushdi</w:t>
      </w:r>
      <w:proofErr w:type="spellEnd"/>
      <w:r w:rsidRPr="004C4FE6">
        <w:rPr>
          <w:rFonts w:ascii="Gentium Basic" w:hAnsi="Gentium Basic"/>
          <w:sz w:val="24"/>
          <w:szCs w:val="24"/>
        </w:rPr>
        <w:t xml:space="preserve">, </w:t>
      </w:r>
      <w:r w:rsidRPr="004C4FE6">
        <w:rPr>
          <w:rFonts w:ascii="Gentium Basic" w:hAnsi="Gentium Basic" w:cs="Times New Roman"/>
          <w:i/>
          <w:sz w:val="24"/>
          <w:szCs w:val="24"/>
        </w:rPr>
        <w:t>The River Nile: Geology, Hydrology and Utilization</w:t>
      </w:r>
      <w:r w:rsidRPr="004C4FE6">
        <w:rPr>
          <w:rFonts w:ascii="Gentium Basic" w:hAnsi="Gentium Basic" w:cs="Times New Roman"/>
          <w:sz w:val="24"/>
          <w:szCs w:val="24"/>
        </w:rPr>
        <w:t xml:space="preserve"> (Oxford: </w:t>
      </w:r>
      <w:proofErr w:type="spellStart"/>
      <w:r w:rsidRPr="004C4FE6">
        <w:rPr>
          <w:rFonts w:ascii="Gentium Basic" w:hAnsi="Gentium Basic" w:cs="Times New Roman"/>
          <w:sz w:val="24"/>
          <w:szCs w:val="24"/>
        </w:rPr>
        <w:t>Pergamon</w:t>
      </w:r>
      <w:proofErr w:type="spellEnd"/>
      <w:r w:rsidRPr="004C4FE6">
        <w:rPr>
          <w:rFonts w:ascii="Gentium Basic" w:hAnsi="Gentium Basic" w:cs="Times New Roman"/>
          <w:sz w:val="24"/>
          <w:szCs w:val="24"/>
        </w:rPr>
        <w:t xml:space="preserve"> Press, 1993).</w:t>
      </w:r>
      <w:proofErr w:type="gramEnd"/>
    </w:p>
    <w:p w:rsidR="006D4166" w:rsidRPr="004C4FE6" w:rsidRDefault="006D4166" w:rsidP="006D4166">
      <w:pPr>
        <w:pStyle w:val="FootnoteText"/>
        <w:spacing w:line="276" w:lineRule="auto"/>
        <w:rPr>
          <w:rFonts w:ascii="Gentium Basic" w:hAnsi="Gentium Basic" w:cs="Times New Roman"/>
          <w:sz w:val="24"/>
          <w:szCs w:val="24"/>
        </w:rPr>
      </w:pPr>
      <w:proofErr w:type="gramStart"/>
      <w:r w:rsidRPr="004C4FE6">
        <w:rPr>
          <w:rFonts w:ascii="Gentium Basic" w:hAnsi="Gentium Basic" w:cs="Times New Roman"/>
          <w:sz w:val="24"/>
          <w:szCs w:val="24"/>
        </w:rPr>
        <w:t xml:space="preserve">Sanders, </w:t>
      </w:r>
      <w:r w:rsidRPr="004C4FE6">
        <w:rPr>
          <w:rFonts w:ascii="Gentium Basic" w:hAnsi="Gentium Basic"/>
          <w:sz w:val="24"/>
          <w:szCs w:val="24"/>
        </w:rPr>
        <w:t xml:space="preserve">Paula, </w:t>
      </w:r>
      <w:r w:rsidRPr="004C4FE6">
        <w:rPr>
          <w:rFonts w:ascii="Gentium Basic" w:hAnsi="Gentium Basic" w:cs="Times New Roman"/>
          <w:i/>
          <w:sz w:val="24"/>
          <w:szCs w:val="24"/>
        </w:rPr>
        <w:t>Ritual, Politics, and the City in Fatimid Cairo</w:t>
      </w:r>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w:t>
      </w:r>
      <w:proofErr w:type="gramStart"/>
      <w:r w:rsidRPr="004C4FE6">
        <w:rPr>
          <w:rFonts w:ascii="Gentium Basic" w:hAnsi="Gentium Basic" w:cs="Times New Roman"/>
          <w:sz w:val="24"/>
          <w:szCs w:val="24"/>
        </w:rPr>
        <w:t>(New York: SUNY, 1994).</w:t>
      </w:r>
      <w:proofErr w:type="gramEnd"/>
    </w:p>
    <w:p w:rsidR="006D4166" w:rsidRPr="004C4FE6" w:rsidRDefault="006D4166" w:rsidP="006D4166">
      <w:pPr>
        <w:pStyle w:val="FootnoteText"/>
        <w:spacing w:line="276" w:lineRule="auto"/>
        <w:rPr>
          <w:rFonts w:ascii="Gentium Basic" w:hAnsi="Gentium Basic" w:cs="Times New Roman"/>
          <w:sz w:val="24"/>
          <w:szCs w:val="24"/>
        </w:rPr>
      </w:pPr>
      <w:proofErr w:type="spellStart"/>
      <w:r w:rsidRPr="004C4FE6">
        <w:rPr>
          <w:rFonts w:ascii="Gentium Basic" w:hAnsi="Gentium Basic" w:cs="Times New Roman"/>
          <w:sz w:val="24"/>
          <w:szCs w:val="24"/>
        </w:rPr>
        <w:t>Troupeau</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Gérard</w:t>
      </w:r>
      <w:proofErr w:type="spellEnd"/>
      <w:r w:rsidRPr="004C4FE6">
        <w:rPr>
          <w:rFonts w:ascii="Gentium Basic" w:hAnsi="Gentium Basic" w:cs="Times New Roman"/>
          <w:sz w:val="24"/>
          <w:szCs w:val="24"/>
        </w:rPr>
        <w:t xml:space="preserve">, ‘La description de la </w:t>
      </w:r>
      <w:proofErr w:type="spellStart"/>
      <w:r w:rsidRPr="004C4FE6">
        <w:rPr>
          <w:rFonts w:ascii="Gentium Basic" w:hAnsi="Gentium Basic" w:cs="Times New Roman"/>
          <w:sz w:val="24"/>
          <w:szCs w:val="24"/>
        </w:rPr>
        <w:t>Nubie</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d’al-Aswani</w:t>
      </w:r>
      <w:proofErr w:type="spellEnd"/>
      <w:r w:rsidRPr="004C4FE6">
        <w:rPr>
          <w:rFonts w:ascii="Gentium Basic" w:hAnsi="Gentium Basic" w:cs="Times New Roman"/>
          <w:sz w:val="24"/>
          <w:szCs w:val="24"/>
        </w:rPr>
        <w:t xml:space="preserve">’. </w:t>
      </w:r>
      <w:r w:rsidRPr="004C4FE6">
        <w:rPr>
          <w:rFonts w:ascii="Gentium Basic" w:hAnsi="Gentium Basic" w:cs="Times New Roman"/>
          <w:i/>
          <w:sz w:val="24"/>
          <w:szCs w:val="24"/>
        </w:rPr>
        <w:t>Arabica</w:t>
      </w:r>
      <w:r w:rsidRPr="004C4FE6">
        <w:rPr>
          <w:rFonts w:ascii="Gentium Basic" w:hAnsi="Gentium Basic" w:cs="Times New Roman"/>
          <w:sz w:val="24"/>
          <w:szCs w:val="24"/>
        </w:rPr>
        <w:t xml:space="preserve"> 1 (1954): 276-88.</w:t>
      </w:r>
    </w:p>
    <w:p w:rsidR="006D4166" w:rsidRPr="004C4FE6" w:rsidRDefault="006D4166" w:rsidP="006D4166">
      <w:pPr>
        <w:pStyle w:val="FootnoteText"/>
        <w:spacing w:line="276" w:lineRule="auto"/>
        <w:rPr>
          <w:rFonts w:ascii="Gentium Basic" w:hAnsi="Gentium Basic" w:cs="Times New Roman"/>
          <w:sz w:val="24"/>
          <w:szCs w:val="24"/>
        </w:rPr>
      </w:pPr>
      <w:proofErr w:type="spellStart"/>
      <w:proofErr w:type="gramStart"/>
      <w:r w:rsidRPr="004C4FE6">
        <w:rPr>
          <w:rFonts w:ascii="Gentium Basic" w:hAnsi="Gentium Basic" w:cs="Times New Roman"/>
          <w:sz w:val="24"/>
          <w:szCs w:val="24"/>
        </w:rPr>
        <w:t>Sabra</w:t>
      </w:r>
      <w:proofErr w:type="spellEnd"/>
      <w:r w:rsidRPr="004C4FE6">
        <w:rPr>
          <w:rFonts w:ascii="Gentium Basic" w:hAnsi="Gentium Basic" w:cs="Times New Roman"/>
          <w:sz w:val="24"/>
          <w:szCs w:val="24"/>
        </w:rPr>
        <w:t>, ‘</w:t>
      </w:r>
      <w:proofErr w:type="spellStart"/>
      <w:r w:rsidRPr="004C4FE6">
        <w:rPr>
          <w:rFonts w:ascii="Gentium Basic" w:hAnsi="Gentium Basic" w:cs="Times New Roman"/>
          <w:sz w:val="24"/>
          <w:szCs w:val="24"/>
        </w:rPr>
        <w:t>Abd</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Ḥamid</w:t>
      </w:r>
      <w:proofErr w:type="spellEnd"/>
      <w:r w:rsidRPr="004C4FE6">
        <w:rPr>
          <w:rFonts w:ascii="Gentium Basic" w:hAnsi="Gentium Basic" w:cs="Times New Roman"/>
          <w:sz w:val="24"/>
          <w:szCs w:val="24"/>
        </w:rPr>
        <w:t>, ‘</w:t>
      </w:r>
      <w:proofErr w:type="spellStart"/>
      <w:r w:rsidRPr="004C4FE6">
        <w:rPr>
          <w:rFonts w:ascii="Gentium Basic" w:hAnsi="Gentium Basic" w:cs="Times New Roman"/>
          <w:sz w:val="24"/>
          <w:szCs w:val="24"/>
        </w:rPr>
        <w:t>Ibn</w:t>
      </w:r>
      <w:proofErr w:type="spellEnd"/>
      <w:r w:rsidRPr="004C4FE6">
        <w:rPr>
          <w:rFonts w:ascii="Gentium Basic" w:hAnsi="Gentium Basic" w:cs="Times New Roman"/>
          <w:sz w:val="24"/>
          <w:szCs w:val="24"/>
        </w:rPr>
        <w:t xml:space="preserve"> al-</w:t>
      </w:r>
      <w:proofErr w:type="spellStart"/>
      <w:r w:rsidRPr="004C4FE6">
        <w:rPr>
          <w:rFonts w:ascii="Gentium Basic" w:hAnsi="Gentium Basic" w:cs="Times New Roman"/>
          <w:sz w:val="24"/>
          <w:szCs w:val="24"/>
        </w:rPr>
        <w:t>Haytham</w:t>
      </w:r>
      <w:proofErr w:type="spellEnd"/>
      <w:r w:rsidRPr="004C4FE6">
        <w:rPr>
          <w:rFonts w:ascii="Gentium Basic" w:hAnsi="Gentium Basic" w:cs="Times New Roman"/>
          <w:sz w:val="24"/>
          <w:szCs w:val="24"/>
        </w:rPr>
        <w:t xml:space="preserve"> and the Visual-Ray Hypothesis’.</w:t>
      </w:r>
      <w:proofErr w:type="gram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Seyyed</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Hossein</w:t>
      </w:r>
      <w:proofErr w:type="spellEnd"/>
      <w:r w:rsidRPr="004C4FE6">
        <w:rPr>
          <w:rFonts w:ascii="Gentium Basic" w:hAnsi="Gentium Basic" w:cs="Times New Roman"/>
          <w:sz w:val="24"/>
          <w:szCs w:val="24"/>
        </w:rPr>
        <w:t xml:space="preserve"> Nasr (ed.), </w:t>
      </w:r>
      <w:proofErr w:type="spellStart"/>
      <w:r w:rsidRPr="004C4FE6">
        <w:rPr>
          <w:rFonts w:ascii="Gentium Basic" w:hAnsi="Gentium Basic" w:cs="Times New Roman"/>
          <w:i/>
          <w:sz w:val="24"/>
          <w:szCs w:val="24"/>
        </w:rPr>
        <w:t>Ismaili</w:t>
      </w:r>
      <w:proofErr w:type="spellEnd"/>
      <w:r w:rsidRPr="004C4FE6">
        <w:rPr>
          <w:rFonts w:ascii="Gentium Basic" w:hAnsi="Gentium Basic" w:cs="Times New Roman"/>
          <w:i/>
          <w:sz w:val="24"/>
          <w:szCs w:val="24"/>
        </w:rPr>
        <w:t xml:space="preserve"> Contributions to Islamic Culture</w:t>
      </w:r>
      <w:r w:rsidRPr="004C4FE6">
        <w:rPr>
          <w:rFonts w:ascii="Gentium Basic" w:hAnsi="Gentium Basic" w:cs="Times New Roman"/>
          <w:sz w:val="24"/>
          <w:szCs w:val="24"/>
        </w:rPr>
        <w:t xml:space="preserve"> (Tehran: </w:t>
      </w:r>
      <w:r w:rsidRPr="004C4FE6">
        <w:rPr>
          <w:rStyle w:val="st1"/>
          <w:rFonts w:ascii="Gentium Basic" w:hAnsi="Gentium Basic" w:cs="Arial"/>
          <w:sz w:val="24"/>
          <w:szCs w:val="24"/>
        </w:rPr>
        <w:t>Imperial Iranian Academy of Philosophy</w:t>
      </w:r>
      <w:r w:rsidRPr="004C4FE6">
        <w:rPr>
          <w:rFonts w:ascii="Gentium Basic" w:hAnsi="Gentium Basic" w:cs="Times New Roman"/>
          <w:sz w:val="24"/>
          <w:szCs w:val="24"/>
        </w:rPr>
        <w:t>, 1977), 189-205.</w:t>
      </w:r>
    </w:p>
    <w:p w:rsidR="006D4166" w:rsidRPr="004C4FE6" w:rsidRDefault="006D4166" w:rsidP="006D4166">
      <w:pPr>
        <w:pStyle w:val="FootnoteText"/>
        <w:spacing w:line="276" w:lineRule="auto"/>
        <w:rPr>
          <w:rFonts w:ascii="Gentium Basic" w:hAnsi="Gentium Basic" w:cs="Times New Roman"/>
          <w:sz w:val="24"/>
          <w:szCs w:val="24"/>
        </w:rPr>
      </w:pPr>
      <w:proofErr w:type="spellStart"/>
      <w:r w:rsidRPr="004C4FE6">
        <w:rPr>
          <w:rFonts w:ascii="Gentium Basic" w:hAnsi="Gentium Basic" w:cs="Times New Roman"/>
          <w:sz w:val="24"/>
          <w:szCs w:val="24"/>
        </w:rPr>
        <w:t>Shatzmiller</w:t>
      </w:r>
      <w:proofErr w:type="spellEnd"/>
      <w:r w:rsidRPr="004C4FE6">
        <w:rPr>
          <w:rFonts w:ascii="Gentium Basic" w:hAnsi="Gentium Basic" w:cs="Times New Roman"/>
          <w:sz w:val="24"/>
          <w:szCs w:val="24"/>
        </w:rPr>
        <w:t>, Maya, ‘Transcontinental Trade and Economic Growth in the Early Islamic Empire: The Red Sea Corridor in the 8</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-10</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Centuries’. Blue et al., </w:t>
      </w:r>
      <w:r w:rsidRPr="004C4FE6">
        <w:rPr>
          <w:rFonts w:ascii="Gentium Basic" w:hAnsi="Gentium Basic" w:cs="Times New Roman"/>
          <w:i/>
          <w:sz w:val="24"/>
          <w:szCs w:val="24"/>
        </w:rPr>
        <w:t>Connected Hinterlands</w:t>
      </w:r>
      <w:r w:rsidRPr="004C4FE6">
        <w:rPr>
          <w:rFonts w:ascii="Gentium Basic" w:hAnsi="Gentium Basic" w:cs="Times New Roman"/>
          <w:sz w:val="24"/>
          <w:szCs w:val="24"/>
        </w:rPr>
        <w:t>, 126-127.</w:t>
      </w:r>
    </w:p>
    <w:p w:rsidR="006D4166" w:rsidRPr="004C4FE6" w:rsidRDefault="006D4166" w:rsidP="006D4166">
      <w:pPr>
        <w:spacing w:after="0"/>
        <w:rPr>
          <w:rFonts w:ascii="Gentium Basic" w:hAnsi="Gentium Basic" w:cs="Times New Roman"/>
          <w:sz w:val="24"/>
          <w:szCs w:val="24"/>
        </w:rPr>
      </w:pPr>
      <w:proofErr w:type="spellStart"/>
      <w:proofErr w:type="gramStart"/>
      <w:r w:rsidRPr="004C4FE6">
        <w:rPr>
          <w:rFonts w:ascii="Gentium Basic" w:hAnsi="Gentium Basic" w:cs="Times New Roman"/>
          <w:sz w:val="24"/>
          <w:szCs w:val="24"/>
        </w:rPr>
        <w:t>Shoshan</w:t>
      </w:r>
      <w:proofErr w:type="spellEnd"/>
      <w:r w:rsidRPr="004C4FE6">
        <w:rPr>
          <w:rFonts w:ascii="Gentium Basic" w:hAnsi="Gentium Basic" w:cs="Times New Roman"/>
          <w:sz w:val="24"/>
          <w:szCs w:val="24"/>
        </w:rPr>
        <w:t xml:space="preserve">, Boaz, ‘Fatimid Grain Policy and the Post of the </w:t>
      </w:r>
      <w:proofErr w:type="spellStart"/>
      <w:r w:rsidRPr="004C4FE6">
        <w:rPr>
          <w:rFonts w:ascii="Gentium Basic" w:hAnsi="Gentium Basic" w:cs="Times New Roman"/>
          <w:sz w:val="24"/>
          <w:szCs w:val="24"/>
        </w:rPr>
        <w:t>Muḥtasib</w:t>
      </w:r>
      <w:proofErr w:type="spellEnd"/>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w:t>
      </w:r>
      <w:r w:rsidRPr="004C4FE6">
        <w:rPr>
          <w:rFonts w:ascii="Gentium Basic" w:hAnsi="Gentium Basic" w:cs="Times New Roman"/>
          <w:i/>
          <w:sz w:val="24"/>
          <w:szCs w:val="24"/>
        </w:rPr>
        <w:t>International Journal of Middle Eastern Studies</w:t>
      </w:r>
      <w:r w:rsidRPr="004C4FE6">
        <w:rPr>
          <w:rFonts w:ascii="Gentium Basic" w:hAnsi="Gentium Basic" w:cs="Times New Roman"/>
          <w:sz w:val="24"/>
          <w:szCs w:val="24"/>
        </w:rPr>
        <w:t>, 13 (1981): 181-189.</w:t>
      </w:r>
    </w:p>
    <w:p w:rsidR="006D4166" w:rsidRPr="004C4FE6" w:rsidRDefault="006D4166" w:rsidP="006D4166">
      <w:pPr>
        <w:spacing w:after="0"/>
        <w:rPr>
          <w:rFonts w:ascii="Gentium Basic" w:hAnsi="Gentium Basic" w:cs="Times New Roman"/>
          <w:sz w:val="24"/>
          <w:szCs w:val="24"/>
        </w:rPr>
      </w:pPr>
      <w:proofErr w:type="spellStart"/>
      <w:r w:rsidRPr="004C4FE6">
        <w:rPr>
          <w:rFonts w:ascii="Gentium Basic" w:hAnsi="Gentium Basic" w:cs="Times New Roman"/>
          <w:sz w:val="24"/>
          <w:szCs w:val="24"/>
        </w:rPr>
        <w:t>Sijpesteijn</w:t>
      </w:r>
      <w:proofErr w:type="spellEnd"/>
      <w:r w:rsidRPr="004C4FE6">
        <w:rPr>
          <w:rFonts w:ascii="Gentium Basic" w:hAnsi="Gentium Basic" w:cs="Times New Roman"/>
          <w:sz w:val="24"/>
          <w:szCs w:val="24"/>
        </w:rPr>
        <w:t xml:space="preserve">, Petra M., </w:t>
      </w:r>
      <w:r w:rsidRPr="004C4FE6">
        <w:rPr>
          <w:rFonts w:ascii="Gentium Basic" w:hAnsi="Gentium Basic" w:cs="Times New Roman"/>
          <w:i/>
          <w:sz w:val="24"/>
          <w:szCs w:val="24"/>
        </w:rPr>
        <w:t xml:space="preserve">Shaping a Muslim State. </w:t>
      </w:r>
      <w:proofErr w:type="gramStart"/>
      <w:r w:rsidRPr="004C4FE6">
        <w:rPr>
          <w:rFonts w:ascii="Gentium Basic" w:hAnsi="Gentium Basic" w:cs="Times New Roman"/>
          <w:i/>
          <w:sz w:val="24"/>
          <w:szCs w:val="24"/>
        </w:rPr>
        <w:t>The World of a Mid-Eight-Century Egyptian Official</w:t>
      </w:r>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(Oxford: Oxford University Press, 2013).</w:t>
      </w:r>
    </w:p>
    <w:p w:rsidR="006D4166" w:rsidRPr="004C4FE6" w:rsidRDefault="006D4166" w:rsidP="006D4166">
      <w:pPr>
        <w:spacing w:after="0"/>
        <w:rPr>
          <w:rFonts w:ascii="Gentium Basic" w:hAnsi="Gentium Basic" w:cs="Times New Roman"/>
          <w:sz w:val="24"/>
          <w:szCs w:val="24"/>
        </w:rPr>
      </w:pPr>
      <w:proofErr w:type="spellStart"/>
      <w:r w:rsidRPr="004C4FE6">
        <w:rPr>
          <w:rFonts w:ascii="Gentium Basic" w:hAnsi="Gentium Basic" w:cs="Times New Roman"/>
          <w:sz w:val="24"/>
          <w:szCs w:val="24"/>
        </w:rPr>
        <w:t>Sijpestteijn</w:t>
      </w:r>
      <w:proofErr w:type="spellEnd"/>
      <w:r w:rsidRPr="004C4FE6">
        <w:rPr>
          <w:rFonts w:ascii="Gentium Basic" w:hAnsi="Gentium Basic" w:cs="Times New Roman"/>
          <w:sz w:val="24"/>
          <w:szCs w:val="24"/>
        </w:rPr>
        <w:t xml:space="preserve">, Petra M., ‘Travel and Trade on the River’. </w:t>
      </w:r>
      <w:proofErr w:type="gramStart"/>
      <w:r w:rsidRPr="004C4FE6">
        <w:rPr>
          <w:rStyle w:val="addmd1"/>
          <w:rFonts w:ascii="Gentium Basic" w:hAnsi="Gentium Basic" w:cs="Times New Roman"/>
          <w:sz w:val="24"/>
          <w:szCs w:val="24"/>
        </w:rPr>
        <w:t xml:space="preserve">Petra A. </w:t>
      </w:r>
      <w:proofErr w:type="spellStart"/>
      <w:r w:rsidRPr="004C4FE6">
        <w:rPr>
          <w:rStyle w:val="addmd1"/>
          <w:rFonts w:ascii="Gentium Basic" w:hAnsi="Gentium Basic" w:cs="Times New Roman"/>
          <w:sz w:val="24"/>
          <w:szCs w:val="24"/>
        </w:rPr>
        <w:t>Sijpesteijn</w:t>
      </w:r>
      <w:proofErr w:type="spellEnd"/>
      <w:r w:rsidRPr="004C4FE6">
        <w:rPr>
          <w:rStyle w:val="addmd1"/>
          <w:rFonts w:ascii="Gentium Basic" w:hAnsi="Gentium Basic" w:cs="Times New Roman"/>
          <w:sz w:val="24"/>
          <w:szCs w:val="24"/>
        </w:rPr>
        <w:t xml:space="preserve"> and </w:t>
      </w:r>
      <w:proofErr w:type="spellStart"/>
      <w:r w:rsidRPr="004C4FE6">
        <w:rPr>
          <w:rStyle w:val="addmd1"/>
          <w:rFonts w:ascii="Gentium Basic" w:hAnsi="Gentium Basic" w:cs="Times New Roman"/>
          <w:sz w:val="24"/>
          <w:szCs w:val="24"/>
        </w:rPr>
        <w:t>Lennart</w:t>
      </w:r>
      <w:proofErr w:type="spellEnd"/>
      <w:r w:rsidRPr="004C4FE6">
        <w:rPr>
          <w:rStyle w:val="addmd1"/>
          <w:rFonts w:ascii="Gentium Basic" w:hAnsi="Gentium Basic" w:cs="Times New Roman"/>
          <w:sz w:val="24"/>
          <w:szCs w:val="24"/>
        </w:rPr>
        <w:t xml:space="preserve"> </w:t>
      </w:r>
      <w:proofErr w:type="spellStart"/>
      <w:r w:rsidRPr="004C4FE6">
        <w:rPr>
          <w:rStyle w:val="addmd1"/>
          <w:rFonts w:ascii="Gentium Basic" w:hAnsi="Gentium Basic" w:cs="Times New Roman"/>
          <w:sz w:val="24"/>
          <w:szCs w:val="24"/>
        </w:rPr>
        <w:t>Sundelin</w:t>
      </w:r>
      <w:proofErr w:type="spellEnd"/>
      <w:r w:rsidRPr="004C4FE6">
        <w:rPr>
          <w:rStyle w:val="addmd1"/>
          <w:rFonts w:ascii="Gentium Basic" w:hAnsi="Gentium Basic" w:cs="Times New Roman"/>
          <w:sz w:val="24"/>
          <w:szCs w:val="24"/>
        </w:rPr>
        <w:t xml:space="preserve"> (eds.), </w:t>
      </w:r>
      <w:proofErr w:type="spellStart"/>
      <w:r w:rsidRPr="004C4FE6">
        <w:rPr>
          <w:rFonts w:ascii="Gentium Basic" w:hAnsi="Gentium Basic" w:cs="Times New Roman"/>
          <w:i/>
          <w:sz w:val="24"/>
          <w:szCs w:val="24"/>
        </w:rPr>
        <w:t>Papyrology</w:t>
      </w:r>
      <w:proofErr w:type="spellEnd"/>
      <w:r w:rsidRPr="004C4FE6">
        <w:rPr>
          <w:rFonts w:ascii="Gentium Basic" w:hAnsi="Gentium Basic" w:cs="Times New Roman"/>
          <w:i/>
          <w:sz w:val="24"/>
          <w:szCs w:val="24"/>
        </w:rPr>
        <w:t xml:space="preserve"> </w:t>
      </w:r>
      <w:r>
        <w:rPr>
          <w:rFonts w:ascii="Gentium Basic" w:hAnsi="Gentium Basic" w:cs="Times New Roman"/>
          <w:i/>
          <w:sz w:val="24"/>
          <w:szCs w:val="24"/>
        </w:rPr>
        <w:t>a</w:t>
      </w:r>
      <w:r w:rsidR="00CA7C5D">
        <w:rPr>
          <w:rFonts w:ascii="Gentium Basic" w:hAnsi="Gentium Basic" w:cs="Times New Roman"/>
          <w:i/>
          <w:sz w:val="24"/>
          <w:szCs w:val="24"/>
        </w:rPr>
        <w:t>nd the History o</w:t>
      </w:r>
      <w:r w:rsidRPr="004C4FE6">
        <w:rPr>
          <w:rFonts w:ascii="Gentium Basic" w:hAnsi="Gentium Basic" w:cs="Times New Roman"/>
          <w:i/>
          <w:sz w:val="24"/>
          <w:szCs w:val="24"/>
        </w:rPr>
        <w:t>f Early Islamic Egypt</w:t>
      </w:r>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(Leiden, Boston: E.J. Brill, 2004).</w:t>
      </w:r>
    </w:p>
    <w:p w:rsidR="006D4166" w:rsidRPr="004C4FE6" w:rsidRDefault="006D4166" w:rsidP="006D4166">
      <w:pPr>
        <w:pStyle w:val="FootnoteText"/>
        <w:spacing w:line="276" w:lineRule="auto"/>
        <w:rPr>
          <w:rFonts w:ascii="Gentium Basic" w:hAnsi="Gentium Basic" w:cs="Times New Roman"/>
          <w:sz w:val="24"/>
          <w:szCs w:val="24"/>
        </w:rPr>
      </w:pPr>
      <w:proofErr w:type="spellStart"/>
      <w:r w:rsidRPr="004C4FE6">
        <w:rPr>
          <w:rFonts w:ascii="Gentium Basic" w:hAnsi="Gentium Basic" w:cs="Times New Roman"/>
          <w:sz w:val="24"/>
          <w:szCs w:val="24"/>
        </w:rPr>
        <w:t>Udovitch</w:t>
      </w:r>
      <w:proofErr w:type="spellEnd"/>
      <w:r w:rsidRPr="004C4FE6">
        <w:rPr>
          <w:rFonts w:ascii="Gentium Basic" w:hAnsi="Gentium Basic" w:cs="Times New Roman"/>
          <w:sz w:val="24"/>
          <w:szCs w:val="24"/>
        </w:rPr>
        <w:t xml:space="preserve">, Abraham L., ‘Fatimid Cairo: Crossroads of World Trade-From Spain to India’. Marianne </w:t>
      </w:r>
      <w:proofErr w:type="spellStart"/>
      <w:r w:rsidRPr="004C4FE6">
        <w:rPr>
          <w:rFonts w:ascii="Gentium Basic" w:hAnsi="Gentium Basic" w:cs="Times New Roman"/>
          <w:sz w:val="24"/>
          <w:szCs w:val="24"/>
        </w:rPr>
        <w:t>Barrucand</w:t>
      </w:r>
      <w:proofErr w:type="spellEnd"/>
      <w:r w:rsidRPr="004C4FE6">
        <w:rPr>
          <w:rFonts w:ascii="Gentium Basic" w:hAnsi="Gentium Basic" w:cs="Times New Roman"/>
          <w:sz w:val="24"/>
          <w:szCs w:val="24"/>
        </w:rPr>
        <w:t xml:space="preserve"> (ed.), </w:t>
      </w:r>
      <w:proofErr w:type="spellStart"/>
      <w:r w:rsidRPr="004C4FE6">
        <w:rPr>
          <w:rFonts w:ascii="Gentium Basic" w:hAnsi="Gentium Basic" w:cs="Times New Roman"/>
          <w:i/>
          <w:sz w:val="24"/>
          <w:szCs w:val="24"/>
        </w:rPr>
        <w:t>L’Égypte</w:t>
      </w:r>
      <w:proofErr w:type="spellEnd"/>
      <w:r w:rsidRPr="004C4FE6">
        <w:rPr>
          <w:rFonts w:ascii="Gentium Basic" w:hAnsi="Gentium Basic" w:cs="Times New Roman"/>
          <w:i/>
          <w:sz w:val="24"/>
          <w:szCs w:val="24"/>
        </w:rPr>
        <w:t xml:space="preserve"> </w:t>
      </w:r>
      <w:proofErr w:type="spellStart"/>
      <w:r w:rsidRPr="004C4FE6">
        <w:rPr>
          <w:rFonts w:ascii="Gentium Basic" w:hAnsi="Gentium Basic" w:cs="Times New Roman"/>
          <w:i/>
          <w:sz w:val="24"/>
          <w:szCs w:val="24"/>
        </w:rPr>
        <w:t>Fatimide</w:t>
      </w:r>
      <w:proofErr w:type="spellEnd"/>
      <w:r w:rsidRPr="004C4FE6">
        <w:rPr>
          <w:rFonts w:ascii="Gentium Basic" w:hAnsi="Gentium Basic" w:cs="Times New Roman"/>
          <w:i/>
          <w:sz w:val="24"/>
          <w:szCs w:val="24"/>
        </w:rPr>
        <w:t xml:space="preserve">: son art </w:t>
      </w:r>
      <w:proofErr w:type="gramStart"/>
      <w:r w:rsidRPr="004C4FE6">
        <w:rPr>
          <w:rFonts w:ascii="Gentium Basic" w:hAnsi="Gentium Basic" w:cs="Times New Roman"/>
          <w:i/>
          <w:sz w:val="24"/>
          <w:szCs w:val="24"/>
        </w:rPr>
        <w:t>et</w:t>
      </w:r>
      <w:proofErr w:type="gramEnd"/>
      <w:r w:rsidRPr="004C4FE6">
        <w:rPr>
          <w:rFonts w:ascii="Gentium Basic" w:hAnsi="Gentium Basic" w:cs="Times New Roman"/>
          <w:i/>
          <w:sz w:val="24"/>
          <w:szCs w:val="24"/>
        </w:rPr>
        <w:t xml:space="preserve"> son </w:t>
      </w:r>
      <w:proofErr w:type="spellStart"/>
      <w:r w:rsidRPr="004C4FE6">
        <w:rPr>
          <w:rFonts w:ascii="Gentium Basic" w:hAnsi="Gentium Basic" w:cs="Times New Roman"/>
          <w:i/>
          <w:sz w:val="24"/>
          <w:szCs w:val="24"/>
        </w:rPr>
        <w:t>histore</w:t>
      </w:r>
      <w:proofErr w:type="spellEnd"/>
      <w:r w:rsidRPr="004C4FE6">
        <w:rPr>
          <w:rFonts w:ascii="Gentium Basic" w:hAnsi="Gentium Basic" w:cs="Times New Roman"/>
          <w:sz w:val="24"/>
          <w:szCs w:val="24"/>
        </w:rPr>
        <w:t xml:space="preserve">. </w:t>
      </w:r>
      <w:proofErr w:type="gramStart"/>
      <w:r w:rsidRPr="004C4FE6">
        <w:rPr>
          <w:rFonts w:ascii="Gentium Basic" w:hAnsi="Gentium Basic" w:cs="Times New Roman"/>
          <w:sz w:val="24"/>
          <w:szCs w:val="24"/>
        </w:rPr>
        <w:t xml:space="preserve">(Paris: Presses de </w:t>
      </w:r>
      <w:proofErr w:type="spellStart"/>
      <w:r w:rsidRPr="004C4FE6">
        <w:rPr>
          <w:rFonts w:ascii="Gentium Basic" w:hAnsi="Gentium Basic" w:cs="Times New Roman"/>
          <w:sz w:val="24"/>
          <w:szCs w:val="24"/>
        </w:rPr>
        <w:t>l’Université</w:t>
      </w:r>
      <w:proofErr w:type="spellEnd"/>
      <w:r w:rsidRPr="004C4FE6">
        <w:rPr>
          <w:rFonts w:ascii="Gentium Basic" w:hAnsi="Gentium Basic" w:cs="Times New Roman"/>
          <w:sz w:val="24"/>
          <w:szCs w:val="24"/>
        </w:rPr>
        <w:t xml:space="preserve"> de Paris-Sorbonne, 1999), 681-691.</w:t>
      </w:r>
      <w:proofErr w:type="gramEnd"/>
    </w:p>
    <w:p w:rsidR="006D4166" w:rsidRPr="004C4FE6" w:rsidRDefault="006D4166" w:rsidP="006D4166">
      <w:pPr>
        <w:pStyle w:val="FootnoteText"/>
        <w:spacing w:line="276" w:lineRule="auto"/>
        <w:rPr>
          <w:rFonts w:ascii="Gentium Basic" w:hAnsi="Gentium Basic" w:cs="Times New Roman"/>
          <w:sz w:val="24"/>
          <w:szCs w:val="24"/>
        </w:rPr>
      </w:pPr>
      <w:proofErr w:type="spellStart"/>
      <w:r w:rsidRPr="004C4FE6">
        <w:rPr>
          <w:rFonts w:ascii="Gentium Basic" w:hAnsi="Gentium Basic" w:cs="Times New Roman"/>
          <w:sz w:val="24"/>
          <w:szCs w:val="24"/>
        </w:rPr>
        <w:t>Ullendorff</w:t>
      </w:r>
      <w:proofErr w:type="spellEnd"/>
      <w:r w:rsidRPr="004C4FE6">
        <w:rPr>
          <w:rFonts w:ascii="Gentium Basic" w:hAnsi="Gentium Basic" w:cs="Times New Roman"/>
          <w:sz w:val="24"/>
          <w:szCs w:val="24"/>
        </w:rPr>
        <w:t>, E., ‘</w:t>
      </w:r>
      <w:proofErr w:type="spellStart"/>
      <w:r w:rsidRPr="004C4FE6">
        <w:rPr>
          <w:rFonts w:ascii="Gentium Basic" w:hAnsi="Gentium Basic" w:cs="Times New Roman"/>
          <w:sz w:val="24"/>
          <w:szCs w:val="24"/>
        </w:rPr>
        <w:t>Ḥabash</w:t>
      </w:r>
      <w:proofErr w:type="spellEnd"/>
      <w:r w:rsidRPr="004C4FE6">
        <w:rPr>
          <w:rFonts w:ascii="Gentium Basic" w:hAnsi="Gentium Basic" w:cs="Times New Roman"/>
          <w:sz w:val="24"/>
          <w:szCs w:val="24"/>
        </w:rPr>
        <w:t xml:space="preserve">, </w:t>
      </w:r>
      <w:proofErr w:type="spellStart"/>
      <w:r w:rsidRPr="004C4FE6">
        <w:rPr>
          <w:rFonts w:ascii="Gentium Basic" w:hAnsi="Gentium Basic" w:cs="Times New Roman"/>
          <w:sz w:val="24"/>
          <w:szCs w:val="24"/>
        </w:rPr>
        <w:t>Ḥabasha</w:t>
      </w:r>
      <w:proofErr w:type="spellEnd"/>
      <w:r w:rsidRPr="004C4FE6">
        <w:rPr>
          <w:rFonts w:ascii="Gentium Basic" w:hAnsi="Gentium Basic" w:cs="Times New Roman"/>
          <w:sz w:val="24"/>
          <w:szCs w:val="24"/>
        </w:rPr>
        <w:t>’, EI2, 2-5.</w:t>
      </w:r>
    </w:p>
    <w:p w:rsidR="006D4166" w:rsidRPr="004C4FE6" w:rsidRDefault="006D4166" w:rsidP="006D4166">
      <w:pPr>
        <w:spacing w:after="0"/>
        <w:rPr>
          <w:rFonts w:ascii="Gentium Basic" w:hAnsi="Gentium Basic" w:cs="Times New Roman"/>
          <w:sz w:val="24"/>
          <w:szCs w:val="24"/>
        </w:rPr>
      </w:pPr>
      <w:r w:rsidRPr="004C4FE6">
        <w:rPr>
          <w:rFonts w:ascii="Gentium Basic" w:hAnsi="Gentium Basic" w:cs="Times New Roman"/>
          <w:sz w:val="24"/>
          <w:szCs w:val="24"/>
        </w:rPr>
        <w:t xml:space="preserve">Watson, Andrew M., </w:t>
      </w:r>
      <w:r w:rsidRPr="004C4FE6">
        <w:rPr>
          <w:rFonts w:ascii="Gentium Basic" w:hAnsi="Gentium Basic" w:cs="Times New Roman"/>
          <w:i/>
          <w:sz w:val="24"/>
          <w:szCs w:val="24"/>
        </w:rPr>
        <w:t xml:space="preserve">Agricultural innovation in the early Islamic World. </w:t>
      </w:r>
      <w:proofErr w:type="gramStart"/>
      <w:r w:rsidRPr="004C4FE6">
        <w:rPr>
          <w:rFonts w:ascii="Gentium Basic" w:hAnsi="Gentium Basic" w:cs="Times New Roman"/>
          <w:i/>
          <w:sz w:val="24"/>
          <w:szCs w:val="24"/>
        </w:rPr>
        <w:t>The diffusion of crops and farming techniques 700-1100</w:t>
      </w:r>
      <w:r w:rsidRPr="004C4FE6">
        <w:rPr>
          <w:rFonts w:ascii="Gentium Basic" w:hAnsi="Gentium Basic" w:cs="Times New Roman"/>
          <w:sz w:val="24"/>
          <w:szCs w:val="24"/>
        </w:rPr>
        <w:t>.</w:t>
      </w:r>
      <w:proofErr w:type="gramEnd"/>
      <w:r w:rsidRPr="004C4FE6">
        <w:rPr>
          <w:rFonts w:ascii="Gentium Basic" w:hAnsi="Gentium Basic" w:cs="Times New Roman"/>
          <w:sz w:val="24"/>
          <w:szCs w:val="24"/>
        </w:rPr>
        <w:t xml:space="preserve"> </w:t>
      </w:r>
      <w:proofErr w:type="gramStart"/>
      <w:r w:rsidRPr="004C4FE6">
        <w:rPr>
          <w:rFonts w:ascii="Gentium Basic" w:hAnsi="Gentium Basic" w:cs="Times New Roman"/>
          <w:sz w:val="24"/>
          <w:szCs w:val="24"/>
        </w:rPr>
        <w:t>(Cambridge: Cambridge University Press, 1983).</w:t>
      </w:r>
      <w:proofErr w:type="gramEnd"/>
    </w:p>
    <w:sectPr w:rsidR="006D4166" w:rsidRPr="004C4FE6" w:rsidSect="00CF274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7E6" w:rsidRDefault="00AD67E6" w:rsidP="006D4166">
      <w:pPr>
        <w:spacing w:after="0" w:line="240" w:lineRule="auto"/>
      </w:pPr>
      <w:r>
        <w:separator/>
      </w:r>
    </w:p>
  </w:endnote>
  <w:endnote w:type="continuationSeparator" w:id="0">
    <w:p w:rsidR="00AD67E6" w:rsidRDefault="00AD67E6" w:rsidP="006D41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de">
    <w:altName w:val="Code"/>
    <w:panose1 w:val="00000000000000000000"/>
    <w:charset w:val="00"/>
    <w:family w:val="swiss"/>
    <w:notTrueType/>
    <w:pitch w:val="default"/>
    <w:sig w:usb0="00000003" w:usb1="00000000" w:usb2="00000000" w:usb3="00000000" w:csb0="00000001" w:csb1="00000000"/>
  </w:font>
  <w:font w:name="Gentium Basic">
    <w:panose1 w:val="02000503060000020004"/>
    <w:charset w:val="00"/>
    <w:family w:val="auto"/>
    <w:pitch w:val="variable"/>
    <w:sig w:usb0="A000007F" w:usb1="4000204A" w:usb2="00000000" w:usb3="00000000" w:csb0="00000013" w:csb1="00000000"/>
  </w:font>
  <w:font w:name="AdvPSBEM">
    <w:panose1 w:val="00000000000000000000"/>
    <w:charset w:val="00"/>
    <w:family w:val="roman"/>
    <w:notTrueType/>
    <w:pitch w:val="default"/>
    <w:sig w:usb0="00000003" w:usb1="00000000" w:usb2="00000000" w:usb3="00000000" w:csb0="00000001" w:csb1="00000000"/>
  </w:font>
  <w:font w:name="AdvPSBEMI">
    <w:panose1 w:val="00000000000000000000"/>
    <w:charset w:val="00"/>
    <w:family w:val="roman"/>
    <w:notTrueType/>
    <w:pitch w:val="default"/>
    <w:sig w:usb0="00000003" w:usb1="00000000" w:usb2="00000000" w:usb3="00000000" w:csb0="00000001" w:csb1="00000000"/>
  </w:font>
  <w:font w:name="Bembo-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A3"/>
    <w:family w:val="auto"/>
    <w:notTrueType/>
    <w:pitch w:val="default"/>
    <w:sig w:usb0="20000001" w:usb1="00000000" w:usb2="00000000" w:usb3="00000000" w:csb0="00000100" w:csb1="00000000"/>
  </w:font>
  <w:font w:name="Arial Unicode MS">
    <w:panose1 w:val="020B0604020202020204"/>
    <w:charset w:val="80"/>
    <w:family w:val="swiss"/>
    <w:pitch w:val="variable"/>
    <w:sig w:usb0="F7FFAFFF" w:usb1="E9DFFFFF" w:usb2="0000003F" w:usb3="00000000" w:csb0="003F01FF" w:csb1="00000000"/>
  </w:font>
  <w:font w:name="Frutiger-Light">
    <w:panose1 w:val="00000000000000000000"/>
    <w:charset w:val="00"/>
    <w:family w:val="swiss"/>
    <w:notTrueType/>
    <w:pitch w:val="default"/>
    <w:sig w:usb0="00000003" w:usb1="00000000" w:usb2="00000000" w:usb3="00000000" w:csb0="00000001" w:csb1="00000000"/>
  </w:font>
  <w:font w:name="Bembo">
    <w:panose1 w:val="00000000000000000000"/>
    <w:charset w:val="00"/>
    <w:family w:val="roman"/>
    <w:notTrueType/>
    <w:pitch w:val="default"/>
    <w:sig w:usb0="00000003" w:usb1="00000000" w:usb2="00000000" w:usb3="00000000" w:csb0="00000001" w:csb1="00000000"/>
  </w:font>
  <w:font w:name="AdvOT863180fb">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ntium">
    <w:panose1 w:val="02000503060000020004"/>
    <w:charset w:val="00"/>
    <w:family w:val="auto"/>
    <w:pitch w:val="variable"/>
    <w:sig w:usb0="E00000FF" w:usb1="00000003" w:usb2="00000000" w:usb3="00000000" w:csb0="0000001B" w:csb1="00000000"/>
  </w:font>
  <w:font w:name="AdvPS44A44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7E6" w:rsidRDefault="00AD67E6" w:rsidP="006D4166">
      <w:pPr>
        <w:spacing w:after="0" w:line="240" w:lineRule="auto"/>
      </w:pPr>
      <w:r>
        <w:separator/>
      </w:r>
    </w:p>
  </w:footnote>
  <w:footnote w:type="continuationSeparator" w:id="0">
    <w:p w:rsidR="00AD67E6" w:rsidRDefault="00AD67E6" w:rsidP="006D4166">
      <w:pPr>
        <w:spacing w:after="0" w:line="240" w:lineRule="auto"/>
      </w:pPr>
      <w:r>
        <w:continuationSeparator/>
      </w:r>
    </w:p>
  </w:footnote>
  <w:footnote w:id="1">
    <w:p w:rsidR="00675726" w:rsidRPr="004C4FE6" w:rsidRDefault="00675726" w:rsidP="006D4166">
      <w:pPr>
        <w:pStyle w:val="FootnoteText"/>
        <w:rPr>
          <w:rFonts w:ascii="Gentium Basic" w:hAnsi="Gentium Basic"/>
          <w:sz w:val="22"/>
          <w:szCs w:val="22"/>
        </w:rPr>
      </w:pPr>
      <w:r w:rsidRPr="004C4FE6">
        <w:rPr>
          <w:rStyle w:val="FootnoteReference"/>
          <w:rFonts w:ascii="Gentium Basic" w:hAnsi="Gentium Basic"/>
          <w:sz w:val="22"/>
          <w:szCs w:val="22"/>
        </w:rPr>
        <w:footnoteRef/>
      </w:r>
      <w:r w:rsidRPr="004C4FE6">
        <w:rPr>
          <w:rFonts w:ascii="Gentium Basic" w:hAnsi="Gentium Basic" w:cs="Times New Roman"/>
          <w:sz w:val="24"/>
          <w:szCs w:val="24"/>
        </w:rPr>
        <w:t xml:space="preserve"> </w:t>
      </w:r>
      <w:r>
        <w:rPr>
          <w:rFonts w:ascii="Gentium Basic" w:hAnsi="Gentium Basic" w:cs="Times New Roman"/>
          <w:sz w:val="24"/>
          <w:szCs w:val="24"/>
        </w:rPr>
        <w:t xml:space="preserve">Based on data, </w:t>
      </w:r>
      <w:r w:rsidRPr="004C4FE6">
        <w:rPr>
          <w:rFonts w:ascii="Gentium Basic" w:hAnsi="Gentium Basic" w:cs="Times New Roman"/>
          <w:sz w:val="24"/>
          <w:szCs w:val="24"/>
        </w:rPr>
        <w:t xml:space="preserve">Rushdi Said </w:t>
      </w:r>
      <w:r>
        <w:rPr>
          <w:rFonts w:ascii="Gentium Basic" w:hAnsi="Gentium Basic" w:cs="Times New Roman"/>
          <w:sz w:val="24"/>
          <w:szCs w:val="24"/>
        </w:rPr>
        <w:t xml:space="preserve">claims that the </w:t>
      </w:r>
      <w:r w:rsidRPr="004C4FE6">
        <w:rPr>
          <w:rFonts w:ascii="Gentium Basic" w:hAnsi="Gentium Basic" w:cs="Times New Roman"/>
          <w:sz w:val="24"/>
          <w:szCs w:val="24"/>
        </w:rPr>
        <w:t>Egypt</w:t>
      </w:r>
      <w:r>
        <w:rPr>
          <w:rFonts w:ascii="Gentium Basic" w:hAnsi="Gentium Basic" w:cs="Times New Roman"/>
          <w:sz w:val="24"/>
          <w:szCs w:val="24"/>
        </w:rPr>
        <w:t>ian population</w:t>
      </w:r>
      <w:r w:rsidRPr="004C4FE6">
        <w:rPr>
          <w:rFonts w:ascii="Gentium Basic" w:hAnsi="Gentium Basic" w:cs="Times New Roman"/>
          <w:sz w:val="24"/>
          <w:szCs w:val="24"/>
        </w:rPr>
        <w:t xml:space="preserve"> declin</w:t>
      </w:r>
      <w:r>
        <w:rPr>
          <w:rFonts w:ascii="Gentium Basic" w:hAnsi="Gentium Basic" w:cs="Times New Roman"/>
          <w:sz w:val="24"/>
          <w:szCs w:val="24"/>
        </w:rPr>
        <w:t>ed from 2.4 million in the</w:t>
      </w:r>
      <w:r w:rsidRPr="004C4FE6">
        <w:rPr>
          <w:rFonts w:ascii="Gentium Basic" w:hAnsi="Gentium Basic" w:cs="Times New Roman"/>
          <w:sz w:val="24"/>
          <w:szCs w:val="24"/>
        </w:rPr>
        <w:t xml:space="preserve"> 4</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/10</w:t>
      </w:r>
      <w:r w:rsidRPr="004C4FE6">
        <w:rPr>
          <w:rFonts w:ascii="Gentium Basic" w:hAnsi="Gentium Basic" w:cs="Times New Roman"/>
          <w:sz w:val="24"/>
          <w:szCs w:val="24"/>
          <w:vertAlign w:val="superscript"/>
        </w:rPr>
        <w:t>th</w:t>
      </w:r>
      <w:r>
        <w:rPr>
          <w:rFonts w:ascii="Gentium Basic" w:hAnsi="Gentium Basic" w:cs="Times New Roman"/>
          <w:sz w:val="24"/>
          <w:szCs w:val="24"/>
        </w:rPr>
        <w:t xml:space="preserve"> to 1.5 million in the</w:t>
      </w:r>
      <w:r w:rsidRPr="004C4FE6">
        <w:rPr>
          <w:rFonts w:ascii="Gentium Basic" w:hAnsi="Gentium Basic" w:cs="Times New Roman"/>
          <w:sz w:val="24"/>
          <w:szCs w:val="24"/>
        </w:rPr>
        <w:t xml:space="preserve"> 5</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/11</w:t>
      </w:r>
      <w:r w:rsidRPr="004C4FE6">
        <w:rPr>
          <w:rFonts w:ascii="Gentium Basic" w:hAnsi="Gentium Basic" w:cs="Times New Roman"/>
          <w:sz w:val="24"/>
          <w:szCs w:val="24"/>
          <w:vertAlign w:val="superscript"/>
        </w:rPr>
        <w:t>th</w:t>
      </w:r>
      <w:r w:rsidRPr="004C4FE6">
        <w:rPr>
          <w:rFonts w:ascii="Gentium Basic" w:hAnsi="Gentium Basic" w:cs="Times New Roman"/>
          <w:sz w:val="24"/>
          <w:szCs w:val="24"/>
        </w:rPr>
        <w:t xml:space="preserve"> century</w:t>
      </w:r>
      <w:r>
        <w:rPr>
          <w:rFonts w:ascii="Gentium Basic" w:hAnsi="Gentium Basic" w:cs="Times New Roman"/>
          <w:sz w:val="24"/>
          <w:szCs w:val="24"/>
        </w:rPr>
        <w:t>.</w:t>
      </w:r>
      <w:r w:rsidRPr="004C4FE6">
        <w:rPr>
          <w:rFonts w:ascii="Gentium Basic" w:hAnsi="Gentium Basic"/>
          <w:sz w:val="22"/>
          <w:szCs w:val="22"/>
        </w:rPr>
        <w:t xml:space="preserve"> </w:t>
      </w:r>
      <w:r w:rsidRPr="004C4FE6">
        <w:rPr>
          <w:rFonts w:ascii="Gentium Basic" w:hAnsi="Gentium Basic" w:cs="Times New Roman"/>
          <w:sz w:val="22"/>
          <w:szCs w:val="22"/>
        </w:rPr>
        <w:t xml:space="preserve">Said, </w:t>
      </w:r>
      <w:r w:rsidRPr="004C4FE6">
        <w:rPr>
          <w:rFonts w:ascii="Gentium Basic" w:hAnsi="Gentium Basic" w:cs="Times New Roman"/>
          <w:i/>
          <w:sz w:val="22"/>
          <w:szCs w:val="22"/>
        </w:rPr>
        <w:t>The River Nile</w:t>
      </w:r>
      <w:r w:rsidRPr="004C4FE6">
        <w:rPr>
          <w:rFonts w:ascii="Gentium Basic" w:hAnsi="Gentium Basic" w:cs="Times New Roman"/>
          <w:sz w:val="22"/>
          <w:szCs w:val="22"/>
        </w:rPr>
        <w:t xml:space="preserve">, 211-12. </w:t>
      </w:r>
      <w:r w:rsidRPr="004C4FE6">
        <w:rPr>
          <w:rFonts w:ascii="Gentium Basic" w:hAnsi="Gentium Basic"/>
          <w:sz w:val="22"/>
          <w:szCs w:val="22"/>
        </w:rPr>
        <w:t xml:space="preserve">See </w:t>
      </w:r>
      <w:r>
        <w:rPr>
          <w:rFonts w:ascii="Gentium Basic" w:hAnsi="Gentium Basic"/>
          <w:sz w:val="22"/>
          <w:szCs w:val="22"/>
        </w:rPr>
        <w:t xml:space="preserve">also </w:t>
      </w:r>
      <w:r w:rsidRPr="004C4FE6">
        <w:rPr>
          <w:rFonts w:ascii="Gentium Basic" w:hAnsi="Gentium Basic"/>
          <w:sz w:val="22"/>
          <w:szCs w:val="22"/>
        </w:rPr>
        <w:t xml:space="preserve">Ashtor, </w:t>
      </w:r>
      <w:r w:rsidRPr="004C4FE6">
        <w:rPr>
          <w:rFonts w:ascii="Gentium Basic" w:hAnsi="Gentium Basic"/>
          <w:i/>
          <w:sz w:val="22"/>
          <w:szCs w:val="22"/>
        </w:rPr>
        <w:t>A Social and Economic History</w:t>
      </w:r>
      <w:r w:rsidRPr="004C4FE6">
        <w:rPr>
          <w:rFonts w:ascii="Gentium Basic" w:hAnsi="Gentium Basic"/>
          <w:sz w:val="22"/>
          <w:szCs w:val="22"/>
        </w:rPr>
        <w:t>, 207-208.</w:t>
      </w:r>
    </w:p>
  </w:footnote>
  <w:footnote w:id="2">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See Hassan, ‘Extreme</w:t>
      </w:r>
      <w:r>
        <w:rPr>
          <w:rFonts w:ascii="Gentium Basic" w:hAnsi="Gentium Basic" w:cs="Times New Roman"/>
        </w:rPr>
        <w:t xml:space="preserve">’, </w:t>
      </w:r>
      <w:r w:rsidRPr="004C4FE6">
        <w:rPr>
          <w:rFonts w:ascii="Gentium Basic" w:hAnsi="Gentium Basic" w:cs="Times New Roman"/>
        </w:rPr>
        <w:t>101-112; Jiang</w:t>
      </w:r>
      <w:r>
        <w:rPr>
          <w:rFonts w:ascii="Gentium Basic" w:hAnsi="Gentium Basic" w:cs="Times New Roman"/>
        </w:rPr>
        <w:t xml:space="preserve"> et al. </w:t>
      </w:r>
      <w:r w:rsidRPr="004C4FE6">
        <w:rPr>
          <w:rFonts w:ascii="Gentium Basic" w:hAnsi="Gentium Basic" w:cs="Times New Roman"/>
        </w:rPr>
        <w:t>‘Coherency</w:t>
      </w:r>
      <w:r>
        <w:rPr>
          <w:rFonts w:ascii="Gentium Basic" w:hAnsi="Gentium Basic" w:cs="Times New Roman"/>
        </w:rPr>
        <w:t xml:space="preserve">’, </w:t>
      </w:r>
      <w:r w:rsidRPr="004C4FE6">
        <w:rPr>
          <w:rFonts w:ascii="Gentium Basic" w:hAnsi="Gentium Basic" w:cs="Times New Roman"/>
        </w:rPr>
        <w:t xml:space="preserve">1-4 and Said, </w:t>
      </w:r>
      <w:r w:rsidRPr="004C4FE6">
        <w:rPr>
          <w:rFonts w:ascii="Gentium Basic" w:hAnsi="Gentium Basic" w:cs="Times New Roman"/>
          <w:i/>
        </w:rPr>
        <w:t>The River Nile</w:t>
      </w:r>
      <w:r w:rsidRPr="004C4FE6">
        <w:rPr>
          <w:rFonts w:ascii="Gentium Basic" w:hAnsi="Gentium Basic" w:cs="Times New Roman"/>
        </w:rPr>
        <w:t xml:space="preserve">, 164-165, 211-12. </w:t>
      </w:r>
      <w:r>
        <w:rPr>
          <w:rFonts w:ascii="Gentium Basic" w:hAnsi="Gentium Basic" w:cs="Times New Roman"/>
        </w:rPr>
        <w:t xml:space="preserve">On the absence of </w:t>
      </w:r>
      <w:r w:rsidRPr="004C4FE6">
        <w:rPr>
          <w:rFonts w:ascii="Gentium Basic" w:hAnsi="Gentium Basic" w:cs="Times New Roman"/>
        </w:rPr>
        <w:t xml:space="preserve">this phenomenon </w:t>
      </w:r>
      <w:r>
        <w:rPr>
          <w:rFonts w:ascii="Gentium Basic" w:hAnsi="Gentium Basic" w:cs="Times New Roman"/>
        </w:rPr>
        <w:t xml:space="preserve">in parts of Asia see </w:t>
      </w:r>
      <w:r w:rsidRPr="004C4FE6">
        <w:rPr>
          <w:rFonts w:ascii="Gentium Basic" w:hAnsi="Gentium Basic" w:cs="AdvPSBEM"/>
        </w:rPr>
        <w:t>Bulliet,</w:t>
      </w:r>
      <w:r w:rsidRPr="004C4FE6">
        <w:rPr>
          <w:rFonts w:ascii="Gentium Basic" w:hAnsi="Gentium Basic" w:cs="AdvPSBEMI"/>
        </w:rPr>
        <w:t xml:space="preserve"> </w:t>
      </w:r>
      <w:r w:rsidRPr="004C4FE6">
        <w:rPr>
          <w:rFonts w:ascii="Gentium Basic" w:hAnsi="Gentium Basic" w:cs="AdvPSBEMI"/>
          <w:i/>
        </w:rPr>
        <w:t>Cotton</w:t>
      </w:r>
      <w:r>
        <w:rPr>
          <w:rFonts w:ascii="Gentium Basic" w:hAnsi="Gentium Basic" w:cs="AdvPSBEMI"/>
          <w:i/>
        </w:rPr>
        <w:t xml:space="preserve">, </w:t>
      </w:r>
      <w:r w:rsidRPr="004C4FE6">
        <w:rPr>
          <w:rFonts w:ascii="Gentium Basic" w:hAnsi="Gentium Basic" w:cs="AdvPSBEM"/>
        </w:rPr>
        <w:t>69–95.</w:t>
      </w:r>
      <w:r w:rsidRPr="004C4FE6" w:rsidDel="00BC4C07">
        <w:rPr>
          <w:rFonts w:ascii="Gentium Basic" w:hAnsi="Gentium Basic" w:cs="Times New Roman"/>
        </w:rPr>
        <w:t xml:space="preserve"> </w:t>
      </w:r>
    </w:p>
  </w:footnote>
  <w:footnote w:id="3">
    <w:p w:rsidR="00675726" w:rsidRDefault="00675726" w:rsidP="006D4166">
      <w:pPr>
        <w:autoSpaceDE w:val="0"/>
        <w:autoSpaceDN w:val="0"/>
        <w:adjustRightInd w:val="0"/>
        <w:spacing w:after="0" w:line="240" w:lineRule="auto"/>
        <w:rPr>
          <w:rFonts w:ascii="Gentium Basic" w:hAnsi="Gentium Basic"/>
        </w:rPr>
      </w:pPr>
      <w:r w:rsidRPr="004C4FE6">
        <w:rPr>
          <w:rStyle w:val="FootnoteReference"/>
          <w:rFonts w:ascii="Gentium Basic" w:hAnsi="Gentium Basic"/>
        </w:rPr>
        <w:footnoteRef/>
      </w:r>
      <w:r w:rsidRPr="004C4FE6">
        <w:rPr>
          <w:rFonts w:ascii="Gentium Basic" w:hAnsi="Gentium Basic"/>
        </w:rPr>
        <w:t xml:space="preserve"> </w:t>
      </w:r>
      <w:r w:rsidRPr="004C4FE6">
        <w:rPr>
          <w:rFonts w:ascii="Gentium Basic" w:hAnsi="Gentium Basic" w:cs="Times New Roman"/>
        </w:rPr>
        <w:t>See Mikhail, ‘</w:t>
      </w:r>
      <w:r w:rsidRPr="004C4FE6">
        <w:rPr>
          <w:rStyle w:val="maintitle"/>
          <w:rFonts w:ascii="Gentium Basic" w:hAnsi="Gentium Basic" w:cs="Times New Roman"/>
        </w:rPr>
        <w:t>Global</w:t>
      </w:r>
      <w:r>
        <w:rPr>
          <w:rStyle w:val="maintitle"/>
          <w:rFonts w:ascii="Gentium Basic" w:hAnsi="Gentium Basic" w:cs="Times New Roman"/>
        </w:rPr>
        <w:t>’</w:t>
      </w:r>
      <w:r>
        <w:rPr>
          <w:rFonts w:ascii="Gentium Basic" w:hAnsi="Gentium Basic" w:cs="Times New Roman"/>
        </w:rPr>
        <w:t xml:space="preserve">, </w:t>
      </w:r>
      <w:r w:rsidRPr="004C4FE6">
        <w:rPr>
          <w:rFonts w:ascii="Gentium Basic" w:hAnsi="Gentium Basic" w:cs="Times New Roman"/>
        </w:rPr>
        <w:t xml:space="preserve">952–970. </w:t>
      </w:r>
      <w:r>
        <w:rPr>
          <w:rFonts w:ascii="Gentium Basic" w:hAnsi="Gentium Basic" w:cs="Times New Roman"/>
        </w:rPr>
        <w:t>The issue 42, no. 4 (</w:t>
      </w:r>
      <w:r w:rsidRPr="004C4FE6">
        <w:rPr>
          <w:rFonts w:ascii="Gentium Basic" w:hAnsi="Gentium Basic" w:cs="Times New Roman"/>
        </w:rPr>
        <w:t>2010</w:t>
      </w:r>
      <w:r>
        <w:rPr>
          <w:rFonts w:ascii="Gentium Basic" w:hAnsi="Gentium Basic" w:cs="Times New Roman"/>
        </w:rPr>
        <w:t>) of</w:t>
      </w:r>
      <w:r w:rsidRPr="004C4FE6">
        <w:rPr>
          <w:rFonts w:ascii="Gentium Basic" w:hAnsi="Gentium Basic" w:cs="Times New Roman"/>
        </w:rPr>
        <w:t xml:space="preserve"> the </w:t>
      </w:r>
      <w:r w:rsidRPr="004C4FE6">
        <w:rPr>
          <w:rFonts w:ascii="Gentium Basic" w:hAnsi="Gentium Basic" w:cs="Times New Roman"/>
          <w:i/>
        </w:rPr>
        <w:t>International Journal of Middle East Studies</w:t>
      </w:r>
      <w:r w:rsidR="001521F7">
        <w:rPr>
          <w:rFonts w:ascii="Gentium Basic" w:hAnsi="Gentium Basic" w:cs="Times New Roman"/>
        </w:rPr>
        <w:t xml:space="preserve"> </w:t>
      </w:r>
      <w:r w:rsidRPr="004C4FE6">
        <w:rPr>
          <w:rFonts w:ascii="Gentium Basic" w:hAnsi="Gentium Basic" w:cs="Times New Roman"/>
        </w:rPr>
        <w:t>feature</w:t>
      </w:r>
      <w:r>
        <w:rPr>
          <w:rFonts w:ascii="Gentium Basic" w:hAnsi="Gentium Basic" w:cs="Times New Roman"/>
        </w:rPr>
        <w:t>s</w:t>
      </w:r>
      <w:r w:rsidRPr="004C4FE6">
        <w:rPr>
          <w:rFonts w:ascii="Gentium Basic" w:hAnsi="Gentium Basic" w:cs="Times New Roman"/>
        </w:rPr>
        <w:t xml:space="preserve"> papers</w:t>
      </w:r>
      <w:r>
        <w:rPr>
          <w:rFonts w:ascii="Gentium Basic" w:hAnsi="Gentium Basic" w:cs="Times New Roman"/>
        </w:rPr>
        <w:t xml:space="preserve"> and discussions</w:t>
      </w:r>
      <w:r w:rsidRPr="004C4FE6">
        <w:rPr>
          <w:rFonts w:ascii="Gentium Basic" w:hAnsi="Gentium Basic" w:cs="Times New Roman"/>
        </w:rPr>
        <w:t xml:space="preserve"> </w:t>
      </w:r>
      <w:r>
        <w:rPr>
          <w:rFonts w:ascii="Gentium Basic" w:hAnsi="Gentium Basic" w:cs="Times New Roman"/>
        </w:rPr>
        <w:t xml:space="preserve">on aspects of </w:t>
      </w:r>
      <w:r w:rsidRPr="004C4FE6">
        <w:rPr>
          <w:rFonts w:ascii="Gentium Basic" w:hAnsi="Gentium Basic" w:cs="Times New Roman"/>
        </w:rPr>
        <w:t>the environmental history of the modern Middle East.</w:t>
      </w:r>
      <w:r w:rsidR="001521F7">
        <w:rPr>
          <w:rFonts w:ascii="Gentium Basic" w:hAnsi="Gentium Basic" w:cs="Times New Roman"/>
        </w:rPr>
        <w:t xml:space="preserve"> </w:t>
      </w:r>
      <w:r w:rsidRPr="00BC4C07">
        <w:rPr>
          <w:rFonts w:ascii="Gentium Basic" w:hAnsi="Gentium Basic" w:cs="Times New Roman"/>
        </w:rPr>
        <w:t>See also Frenkel, ‘</w:t>
      </w:r>
      <w:r w:rsidRPr="00675726">
        <w:rPr>
          <w:rFonts w:ascii="Gentium Basic" w:hAnsi="Gentium Basic" w:cs="Calibri"/>
        </w:rPr>
        <w:t>An introduction’, in this journal.</w:t>
      </w:r>
    </w:p>
  </w:footnote>
  <w:footnote w:id="4">
    <w:p w:rsidR="00675726" w:rsidRPr="004C4FE6" w:rsidRDefault="00675726" w:rsidP="006D4166">
      <w:pPr>
        <w:pStyle w:val="FootnoteText"/>
        <w:rPr>
          <w:rFonts w:ascii="Gentium Basic" w:hAnsi="Gentium Basic"/>
          <w:sz w:val="22"/>
          <w:szCs w:val="22"/>
        </w:rPr>
      </w:pPr>
      <w:r w:rsidRPr="004C4FE6">
        <w:rPr>
          <w:rStyle w:val="FootnoteReference"/>
          <w:rFonts w:ascii="Gentium Basic" w:hAnsi="Gentium Basic"/>
          <w:sz w:val="22"/>
          <w:szCs w:val="22"/>
        </w:rPr>
        <w:footnoteRef/>
      </w:r>
      <w:r w:rsidRPr="004C4FE6">
        <w:rPr>
          <w:rFonts w:ascii="Gentium Basic" w:hAnsi="Gentium Basic"/>
          <w:sz w:val="22"/>
          <w:szCs w:val="22"/>
        </w:rPr>
        <w:t xml:space="preserve"> </w:t>
      </w:r>
      <w:r w:rsidRPr="004C4FE6">
        <w:rPr>
          <w:rFonts w:ascii="Gentium Basic" w:hAnsi="Gentium Basic" w:cs="Times New Roman"/>
          <w:sz w:val="22"/>
          <w:szCs w:val="22"/>
        </w:rPr>
        <w:t xml:space="preserve">See Ellenblum, </w:t>
      </w:r>
      <w:r w:rsidRPr="004C4FE6">
        <w:rPr>
          <w:rFonts w:ascii="Gentium Basic" w:hAnsi="Gentium Basic" w:cs="Times New Roman"/>
          <w:i/>
          <w:sz w:val="22"/>
          <w:szCs w:val="22"/>
        </w:rPr>
        <w:t>The collapse</w:t>
      </w:r>
      <w:r>
        <w:rPr>
          <w:rFonts w:ascii="Gentium Basic" w:hAnsi="Gentium Basic" w:cs="Times New Roman"/>
          <w:i/>
          <w:sz w:val="22"/>
          <w:szCs w:val="22"/>
        </w:rPr>
        <w:t xml:space="preserve">, </w:t>
      </w:r>
      <w:r w:rsidRPr="004C4FE6">
        <w:rPr>
          <w:rFonts w:ascii="Gentium Basic" w:hAnsi="Gentium Basic" w:cs="Times New Roman"/>
          <w:sz w:val="22"/>
          <w:szCs w:val="22"/>
        </w:rPr>
        <w:t xml:space="preserve">and Raphael, </w:t>
      </w:r>
      <w:r w:rsidRPr="004C4FE6">
        <w:rPr>
          <w:rStyle w:val="Emphasis"/>
          <w:rFonts w:ascii="Gentium Basic" w:hAnsi="Gentium Basic"/>
          <w:sz w:val="22"/>
          <w:szCs w:val="22"/>
        </w:rPr>
        <w:t>Climate</w:t>
      </w:r>
      <w:r>
        <w:rPr>
          <w:rStyle w:val="Emphasis"/>
          <w:rFonts w:ascii="Gentium Basic" w:hAnsi="Gentium Basic"/>
          <w:sz w:val="22"/>
          <w:szCs w:val="22"/>
        </w:rPr>
        <w:t>.</w:t>
      </w:r>
    </w:p>
  </w:footnote>
  <w:footnote w:id="5">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00DA5C9D">
        <w:rPr>
          <w:rFonts w:ascii="Gentium Basic" w:hAnsi="Gentium Basic" w:cs="Times New Roman"/>
        </w:rPr>
        <w:t xml:space="preserve"> Cf. the discussion in</w:t>
      </w:r>
      <w:r w:rsidRPr="004C4FE6">
        <w:rPr>
          <w:rFonts w:ascii="Gentium Basic" w:hAnsi="Gentium Basic" w:cs="Times New Roman"/>
        </w:rPr>
        <w:t xml:space="preserve"> Ellenblum, </w:t>
      </w:r>
      <w:r w:rsidRPr="004C4FE6">
        <w:rPr>
          <w:rFonts w:ascii="Gentium Basic" w:hAnsi="Gentium Basic" w:cs="Times New Roman"/>
          <w:i/>
        </w:rPr>
        <w:t>The collapse</w:t>
      </w:r>
      <w:r w:rsidRPr="004C4FE6">
        <w:rPr>
          <w:rFonts w:ascii="Gentium Basic" w:hAnsi="Gentium Basic" w:cs="Times New Roman"/>
        </w:rPr>
        <w:t>, 23-31.</w:t>
      </w:r>
    </w:p>
  </w:footnote>
  <w:footnote w:id="6">
    <w:p w:rsidR="00675726" w:rsidRDefault="00675726" w:rsidP="006D4166">
      <w:pPr>
        <w:autoSpaceDE w:val="0"/>
        <w:autoSpaceDN w:val="0"/>
        <w:adjustRightInd w:val="0"/>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Ibn Taghri Birdi, </w:t>
      </w:r>
      <w:r w:rsidRPr="004C4FE6">
        <w:rPr>
          <w:rFonts w:ascii="Gentium Basic" w:hAnsi="Gentium Basic" w:cs="Bembo-Italic"/>
          <w:i/>
          <w:iCs/>
        </w:rPr>
        <w:t>al-Nujum</w:t>
      </w:r>
      <w:r>
        <w:rPr>
          <w:rFonts w:ascii="Gentium Basic" w:hAnsi="Gentium Basic" w:cs="Bembo-Italic"/>
          <w:i/>
          <w:iCs/>
        </w:rPr>
        <w:t>,</w:t>
      </w:r>
      <w:r w:rsidRPr="004C4FE6">
        <w:rPr>
          <w:rFonts w:ascii="Gentium Basic" w:hAnsi="Gentium Basic" w:cs="Bembo-Italic"/>
          <w:i/>
          <w:iCs/>
        </w:rPr>
        <w:t xml:space="preserve"> </w:t>
      </w:r>
      <w:r>
        <w:rPr>
          <w:rFonts w:ascii="Gentium Basic" w:hAnsi="Gentium Basic" w:cs="Times New Roman"/>
        </w:rPr>
        <w:t>v</w:t>
      </w:r>
      <w:r w:rsidRPr="004C4FE6">
        <w:rPr>
          <w:rFonts w:ascii="Gentium Basic" w:hAnsi="Gentium Basic" w:cs="Times New Roman"/>
        </w:rPr>
        <w:t xml:space="preserve">ols. 4 and 5. For </w:t>
      </w:r>
      <w:r>
        <w:rPr>
          <w:rFonts w:ascii="Gentium Basic" w:hAnsi="Gentium Basic" w:cs="Times New Roman"/>
        </w:rPr>
        <w:t>comparative</w:t>
      </w:r>
      <w:r w:rsidRPr="004C4FE6">
        <w:rPr>
          <w:rFonts w:ascii="Gentium Basic" w:hAnsi="Gentium Basic" w:cs="Times New Roman"/>
        </w:rPr>
        <w:t xml:space="preserve"> data </w:t>
      </w:r>
      <w:r>
        <w:rPr>
          <w:rFonts w:ascii="Gentium Basic" w:hAnsi="Gentium Basic" w:cs="Times New Roman"/>
        </w:rPr>
        <w:t xml:space="preserve">see </w:t>
      </w:r>
      <w:r w:rsidRPr="004C4FE6">
        <w:rPr>
          <w:rFonts w:ascii="Gentium Basic" w:hAnsi="Gentium Basic" w:cs="Times New Roman"/>
        </w:rPr>
        <w:t xml:space="preserve">Said, </w:t>
      </w:r>
      <w:r w:rsidRPr="004C4FE6">
        <w:rPr>
          <w:rFonts w:ascii="Gentium Basic" w:hAnsi="Gentium Basic" w:cs="Times New Roman"/>
          <w:i/>
        </w:rPr>
        <w:t xml:space="preserve">The River Nile, </w:t>
      </w:r>
      <w:r w:rsidRPr="004C4FE6">
        <w:rPr>
          <w:rFonts w:ascii="Gentium Basic" w:hAnsi="Gentium Basic" w:cs="Times New Roman"/>
        </w:rPr>
        <w:t>159-160.</w:t>
      </w:r>
    </w:p>
  </w:footnote>
  <w:footnote w:id="7">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w:t>
      </w:r>
      <w:r>
        <w:rPr>
          <w:rFonts w:ascii="Gentium Basic" w:hAnsi="Gentium Basic" w:cs="Times New Roman"/>
          <w:sz w:val="22"/>
          <w:szCs w:val="22"/>
        </w:rPr>
        <w:t>S</w:t>
      </w:r>
      <w:r w:rsidRPr="004C4FE6">
        <w:rPr>
          <w:rFonts w:ascii="Gentium Basic" w:hAnsi="Gentium Basic" w:cs="Times New Roman"/>
          <w:sz w:val="22"/>
          <w:szCs w:val="22"/>
        </w:rPr>
        <w:t>ee Nazmi, ‘The Nile River</w:t>
      </w:r>
      <w:r>
        <w:rPr>
          <w:rFonts w:ascii="Gentium Basic" w:hAnsi="Gentium Basic" w:cs="Times New Roman"/>
          <w:sz w:val="22"/>
          <w:szCs w:val="22"/>
        </w:rPr>
        <w:t xml:space="preserve">’, </w:t>
      </w:r>
      <w:r w:rsidRPr="004C4FE6">
        <w:rPr>
          <w:rFonts w:ascii="Gentium Basic" w:hAnsi="Gentium Basic" w:cs="Times New Roman"/>
          <w:sz w:val="22"/>
          <w:szCs w:val="22"/>
        </w:rPr>
        <w:t>28-54.</w:t>
      </w:r>
    </w:p>
  </w:footnote>
  <w:footnote w:id="8">
    <w:p w:rsidR="00675726" w:rsidRPr="004C4FE6" w:rsidRDefault="00675726" w:rsidP="006D4166">
      <w:pPr>
        <w:spacing w:line="240" w:lineRule="auto"/>
        <w:rPr>
          <w:rFonts w:ascii="Gentium Basic" w:hAnsi="Gentium Basic"/>
        </w:rPr>
      </w:pPr>
      <w:r w:rsidRPr="004C4FE6">
        <w:rPr>
          <w:rStyle w:val="FootnoteReference"/>
          <w:rFonts w:ascii="Gentium Basic" w:hAnsi="Gentium Basic"/>
        </w:rPr>
        <w:footnoteRef/>
      </w:r>
      <w:r w:rsidRPr="004C4FE6">
        <w:rPr>
          <w:rFonts w:ascii="Gentium Basic" w:hAnsi="Gentium Basic"/>
        </w:rPr>
        <w:t xml:space="preserve"> Cf. [</w:t>
      </w:r>
      <w:r w:rsidRPr="004C4FE6">
        <w:rPr>
          <w:rFonts w:ascii="Gentium Basic" w:hAnsi="Gentium Basic" w:cs="Times New Roman"/>
        </w:rPr>
        <w:t>al-Muqaddasi</w:t>
      </w:r>
      <w:r w:rsidRPr="004F7738">
        <w:rPr>
          <w:rFonts w:ascii="Gentium Basic" w:hAnsi="Gentium Basic" w:cs="Times New Roman"/>
        </w:rPr>
        <w:t>],</w:t>
      </w:r>
      <w:r w:rsidRPr="004F7738">
        <w:rPr>
          <w:rFonts w:ascii="Gentium Basic" w:hAnsi="Gentium Basic"/>
        </w:rPr>
        <w:t xml:space="preserve"> </w:t>
      </w:r>
      <w:r w:rsidRPr="004F7738">
        <w:rPr>
          <w:rStyle w:val="Strong"/>
          <w:rFonts w:ascii="Gentium Basic" w:hAnsi="Gentium Basic"/>
          <w:b w:val="0"/>
          <w:i/>
        </w:rPr>
        <w:t>The Best Division.</w:t>
      </w:r>
    </w:p>
  </w:footnote>
  <w:footnote w:id="9">
    <w:p w:rsidR="00675726" w:rsidRPr="004C4FE6" w:rsidRDefault="00675726" w:rsidP="006D4166">
      <w:pPr>
        <w:pStyle w:val="FootnoteText"/>
        <w:rPr>
          <w:rFonts w:ascii="Gentium Basic" w:hAnsi="Gentium Basic"/>
          <w:sz w:val="22"/>
          <w:szCs w:val="22"/>
        </w:rPr>
      </w:pPr>
      <w:r w:rsidRPr="004C4FE6">
        <w:rPr>
          <w:rStyle w:val="FootnoteReference"/>
          <w:rFonts w:ascii="Gentium Basic" w:hAnsi="Gentium Basic"/>
          <w:sz w:val="22"/>
          <w:szCs w:val="22"/>
        </w:rPr>
        <w:footnoteRef/>
      </w:r>
      <w:r w:rsidRPr="004C4FE6">
        <w:rPr>
          <w:rFonts w:ascii="Gentium Basic" w:hAnsi="Gentium Basic"/>
          <w:sz w:val="22"/>
          <w:szCs w:val="22"/>
        </w:rPr>
        <w:t xml:space="preserve"> </w:t>
      </w:r>
      <w:r>
        <w:rPr>
          <w:rFonts w:ascii="Gentium Basic" w:hAnsi="Gentium Basic"/>
          <w:sz w:val="22"/>
          <w:szCs w:val="22"/>
        </w:rPr>
        <w:t xml:space="preserve">Cf. </w:t>
      </w:r>
      <w:r w:rsidRPr="004C4FE6">
        <w:rPr>
          <w:rFonts w:ascii="Gentium Basic" w:eastAsia="Times New Roman" w:hAnsi="Gentium Basic" w:cs="Times New Roman"/>
          <w:sz w:val="22"/>
          <w:szCs w:val="22"/>
          <w:lang w:eastAsia="en-GB"/>
        </w:rPr>
        <w:t xml:space="preserve">Ibn Ḥawqal, </w:t>
      </w:r>
      <w:r w:rsidRPr="004C4FE6">
        <w:rPr>
          <w:rFonts w:ascii="Gentium Basic" w:eastAsia="Times New Roman" w:hAnsi="Gentium Basic" w:cs="Times New Roman"/>
          <w:i/>
          <w:sz w:val="22"/>
          <w:szCs w:val="22"/>
          <w:lang w:eastAsia="en-GB"/>
        </w:rPr>
        <w:t>Ṣurat al-arḍ</w:t>
      </w:r>
      <w:r w:rsidRPr="004C4FE6">
        <w:rPr>
          <w:rFonts w:ascii="Gentium Basic" w:eastAsia="Times New Roman" w:hAnsi="Gentium Basic" w:cs="Times New Roman"/>
          <w:sz w:val="22"/>
          <w:szCs w:val="22"/>
          <w:lang w:eastAsia="en-GB"/>
        </w:rPr>
        <w:t>, 126-152.</w:t>
      </w:r>
    </w:p>
  </w:footnote>
  <w:footnote w:id="10">
    <w:p w:rsidR="00675726" w:rsidRPr="004C4FE6" w:rsidRDefault="00675726" w:rsidP="006D4166">
      <w:pPr>
        <w:spacing w:after="0" w:line="240" w:lineRule="auto"/>
        <w:rPr>
          <w:rFonts w:ascii="Gentium Basic" w:hAnsi="Gentium Basic"/>
        </w:rPr>
      </w:pPr>
      <w:r w:rsidRPr="004C4FE6">
        <w:rPr>
          <w:rStyle w:val="FootnoteReference"/>
          <w:rFonts w:ascii="Gentium Basic" w:hAnsi="Gentium Basic"/>
        </w:rPr>
        <w:footnoteRef/>
      </w:r>
      <w:r w:rsidRPr="004C4FE6">
        <w:rPr>
          <w:rFonts w:ascii="Gentium Basic" w:hAnsi="Gentium Basic"/>
        </w:rPr>
        <w:t xml:space="preserve"> Cf. </w:t>
      </w:r>
      <w:r w:rsidRPr="004C4FE6">
        <w:rPr>
          <w:rFonts w:ascii="Gentium Basic" w:eastAsia="Times New Roman" w:hAnsi="Gentium Basic" w:cs="Times New Roman"/>
          <w:lang w:eastAsia="en-GB"/>
        </w:rPr>
        <w:t xml:space="preserve">Naṣir-i Khusraw, </w:t>
      </w:r>
      <w:r w:rsidRPr="004C4FE6">
        <w:rPr>
          <w:rFonts w:ascii="Gentium Basic" w:hAnsi="Gentium Basic" w:cs="Times New Roman"/>
          <w:i/>
        </w:rPr>
        <w:t>Sefer nameh</w:t>
      </w:r>
      <w:r w:rsidR="004F7738">
        <w:rPr>
          <w:rFonts w:ascii="Gentium Basic" w:hAnsi="Gentium Basic" w:cs="Times New Roman"/>
          <w:i/>
        </w:rPr>
        <w:t>.</w:t>
      </w:r>
    </w:p>
  </w:footnote>
  <w:footnote w:id="11">
    <w:p w:rsidR="00675726" w:rsidRPr="004C4FE6" w:rsidRDefault="00675726" w:rsidP="006D4166">
      <w:pPr>
        <w:spacing w:after="0" w:line="240" w:lineRule="auto"/>
        <w:rPr>
          <w:rFonts w:ascii="Gentium Basic" w:hAnsi="Gentium Basic"/>
        </w:rPr>
      </w:pPr>
      <w:r w:rsidRPr="004C4FE6">
        <w:rPr>
          <w:rStyle w:val="FootnoteReference"/>
          <w:rFonts w:ascii="Gentium Basic" w:hAnsi="Gentium Basic"/>
        </w:rPr>
        <w:footnoteRef/>
      </w:r>
      <w:r w:rsidRPr="004C4FE6">
        <w:rPr>
          <w:rFonts w:ascii="Gentium Basic" w:hAnsi="Gentium Basic"/>
        </w:rPr>
        <w:t xml:space="preserve"> Cf. al-</w:t>
      </w:r>
      <w:r w:rsidRPr="004C4FE6">
        <w:rPr>
          <w:rFonts w:ascii="Gentium Basic" w:eastAsia="Times New Roman" w:hAnsi="Gentium Basic" w:cs="Times New Roman"/>
          <w:lang w:eastAsia="en-GB"/>
        </w:rPr>
        <w:t xml:space="preserve">Idrisi, </w:t>
      </w:r>
      <w:r w:rsidRPr="004C4FE6">
        <w:rPr>
          <w:rFonts w:ascii="Gentium Basic" w:eastAsia="Times New Roman" w:hAnsi="Gentium Basic" w:cs="Times New Roman"/>
          <w:i/>
          <w:lang w:eastAsia="en-GB"/>
        </w:rPr>
        <w:t>La geographie</w:t>
      </w:r>
      <w:r w:rsidR="004F7738">
        <w:rPr>
          <w:rFonts w:ascii="Gentium Basic" w:eastAsia="Times New Roman" w:hAnsi="Gentium Basic" w:cs="Times New Roman"/>
          <w:lang w:eastAsia="en-GB"/>
        </w:rPr>
        <w:t>.</w:t>
      </w:r>
    </w:p>
  </w:footnote>
  <w:footnote w:id="12">
    <w:p w:rsidR="00675726" w:rsidRPr="00261DCF"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See Ibn Zulaq, </w:t>
      </w:r>
      <w:r w:rsidRPr="004C4FE6">
        <w:rPr>
          <w:rFonts w:ascii="Gentium Basic" w:hAnsi="Gentium Basic" w:cs="Times New Roman"/>
          <w:i/>
          <w:sz w:val="22"/>
          <w:szCs w:val="22"/>
        </w:rPr>
        <w:t>Faḍa’il</w:t>
      </w:r>
      <w:r w:rsidRPr="004C4FE6">
        <w:rPr>
          <w:rFonts w:ascii="Gentium Basic" w:hAnsi="Gentium Basic" w:cs="Times New Roman"/>
          <w:sz w:val="22"/>
          <w:szCs w:val="22"/>
        </w:rPr>
        <w:t xml:space="preserve">. </w:t>
      </w:r>
      <w:r w:rsidR="003C0D6F">
        <w:rPr>
          <w:rFonts w:ascii="Gentium Basic" w:hAnsi="Gentium Basic" w:cs="Times New Roman"/>
          <w:sz w:val="22"/>
          <w:szCs w:val="22"/>
        </w:rPr>
        <w:t xml:space="preserve">Also </w:t>
      </w:r>
      <w:r w:rsidRPr="004C4FE6">
        <w:rPr>
          <w:rFonts w:ascii="Gentium Basic" w:hAnsi="Gentium Basic" w:cs="Times New Roman"/>
          <w:sz w:val="22"/>
          <w:szCs w:val="22"/>
        </w:rPr>
        <w:t xml:space="preserve">quoted </w:t>
      </w:r>
      <w:r>
        <w:rPr>
          <w:rFonts w:ascii="Gentium Basic" w:hAnsi="Gentium Basic" w:cs="Times New Roman"/>
          <w:sz w:val="22"/>
          <w:szCs w:val="22"/>
        </w:rPr>
        <w:t xml:space="preserve">in </w:t>
      </w:r>
      <w:r w:rsidRPr="004C4FE6">
        <w:rPr>
          <w:rFonts w:ascii="Gentium Basic" w:hAnsi="Gentium Basic" w:cs="Times New Roman"/>
          <w:sz w:val="22"/>
          <w:szCs w:val="22"/>
        </w:rPr>
        <w:t xml:space="preserve">al-Aqfahsi </w:t>
      </w:r>
      <w:r>
        <w:rPr>
          <w:rFonts w:ascii="Gentium Basic" w:hAnsi="Gentium Basic" w:cs="Times New Roman"/>
          <w:sz w:val="22"/>
          <w:szCs w:val="22"/>
        </w:rPr>
        <w:t xml:space="preserve">, </w:t>
      </w:r>
      <w:r w:rsidR="00261DCF">
        <w:rPr>
          <w:rFonts w:ascii="Gentium Basic" w:hAnsi="Gentium Basic" w:cs="Times New Roman"/>
          <w:i/>
          <w:sz w:val="22"/>
          <w:szCs w:val="22"/>
        </w:rPr>
        <w:t>Akhbar</w:t>
      </w:r>
      <w:r w:rsidRPr="004C4FE6">
        <w:rPr>
          <w:rFonts w:ascii="Gentium Basic" w:hAnsi="Gentium Basic" w:cs="Times New Roman"/>
          <w:sz w:val="22"/>
          <w:szCs w:val="22"/>
        </w:rPr>
        <w:t xml:space="preserve">, 37, 39, 50, 60, 62. </w:t>
      </w:r>
      <w:r>
        <w:rPr>
          <w:rFonts w:ascii="Gentium Basic" w:hAnsi="Gentium Basic" w:cs="Times New Roman"/>
          <w:sz w:val="22"/>
          <w:szCs w:val="22"/>
        </w:rPr>
        <w:t xml:space="preserve">See also </w:t>
      </w:r>
      <w:r w:rsidR="004F7738">
        <w:rPr>
          <w:rFonts w:ascii="Gentium Basic" w:hAnsi="Gentium Basic" w:cs="Times New Roman"/>
          <w:sz w:val="22"/>
          <w:szCs w:val="22"/>
        </w:rPr>
        <w:t>al-Kindi</w:t>
      </w:r>
      <w:r>
        <w:rPr>
          <w:rFonts w:ascii="Gentium Basic" w:hAnsi="Gentium Basic" w:cs="Times New Roman"/>
          <w:sz w:val="22"/>
          <w:szCs w:val="22"/>
        </w:rPr>
        <w:t xml:space="preserve">, </w:t>
      </w:r>
      <w:r w:rsidRPr="004C4FE6">
        <w:rPr>
          <w:rFonts w:ascii="Gentium Basic" w:hAnsi="Gentium Basic" w:cs="Times New Roman"/>
          <w:i/>
          <w:sz w:val="22"/>
          <w:szCs w:val="22"/>
        </w:rPr>
        <w:t>Faḍa’il</w:t>
      </w:r>
      <w:r>
        <w:rPr>
          <w:rFonts w:ascii="Gentium Basic" w:hAnsi="Gentium Basic" w:cs="Times New Roman"/>
          <w:i/>
          <w:sz w:val="22"/>
          <w:szCs w:val="22"/>
        </w:rPr>
        <w:t xml:space="preserve">, </w:t>
      </w:r>
      <w:r>
        <w:rPr>
          <w:rFonts w:ascii="Gentium Basic" w:hAnsi="Gentium Basic" w:cs="Times New Roman"/>
          <w:sz w:val="22"/>
          <w:szCs w:val="22"/>
        </w:rPr>
        <w:t xml:space="preserve">for the </w:t>
      </w:r>
      <w:r w:rsidRPr="004C4FE6">
        <w:rPr>
          <w:rFonts w:ascii="Gentium Basic" w:hAnsi="Gentium Basic" w:cs="Times New Roman"/>
          <w:sz w:val="22"/>
          <w:szCs w:val="22"/>
        </w:rPr>
        <w:t xml:space="preserve">Ikhshidid period and Ibn Ẓahira, </w:t>
      </w:r>
      <w:r w:rsidRPr="004C4FE6">
        <w:rPr>
          <w:rFonts w:ascii="Gentium Basic" w:hAnsi="Gentium Basic" w:cs="Times New Roman"/>
          <w:i/>
          <w:sz w:val="22"/>
          <w:szCs w:val="22"/>
        </w:rPr>
        <w:t>al-Faḍa’il</w:t>
      </w:r>
      <w:r>
        <w:rPr>
          <w:rFonts w:ascii="Gentium Basic" w:hAnsi="Gentium Basic" w:cs="Times New Roman"/>
          <w:i/>
          <w:sz w:val="22"/>
          <w:szCs w:val="22"/>
        </w:rPr>
        <w:t xml:space="preserve">, </w:t>
      </w:r>
      <w:r>
        <w:rPr>
          <w:rFonts w:ascii="Gentium Basic" w:hAnsi="Gentium Basic" w:cs="Times New Roman"/>
          <w:sz w:val="22"/>
          <w:szCs w:val="22"/>
        </w:rPr>
        <w:t>also quoting</w:t>
      </w:r>
      <w:r w:rsidRPr="004C4FE6">
        <w:rPr>
          <w:rFonts w:ascii="Gentium Basic" w:hAnsi="Gentium Basic" w:cs="Times New Roman"/>
          <w:sz w:val="22"/>
          <w:szCs w:val="22"/>
        </w:rPr>
        <w:t xml:space="preserve"> Ibn Zulaq. </w:t>
      </w:r>
      <w:r>
        <w:rPr>
          <w:rFonts w:ascii="Gentium Basic" w:hAnsi="Gentium Basic" w:cs="Times New Roman"/>
          <w:sz w:val="22"/>
          <w:szCs w:val="22"/>
        </w:rPr>
        <w:t xml:space="preserve">On </w:t>
      </w:r>
      <w:r w:rsidRPr="004C4FE6">
        <w:rPr>
          <w:rFonts w:ascii="Gentium Basic" w:hAnsi="Gentium Basic" w:cs="Times New Roman"/>
          <w:sz w:val="22"/>
          <w:szCs w:val="22"/>
        </w:rPr>
        <w:t xml:space="preserve">grain prices </w:t>
      </w:r>
      <w:r>
        <w:rPr>
          <w:rFonts w:ascii="Gentium Basic" w:hAnsi="Gentium Basic" w:cs="Times New Roman"/>
          <w:sz w:val="22"/>
          <w:szCs w:val="22"/>
        </w:rPr>
        <w:t xml:space="preserve">and </w:t>
      </w:r>
      <w:r w:rsidRPr="004C4FE6">
        <w:rPr>
          <w:rFonts w:ascii="Gentium Basic" w:hAnsi="Gentium Basic" w:cs="Times New Roman"/>
          <w:sz w:val="22"/>
          <w:szCs w:val="22"/>
        </w:rPr>
        <w:t xml:space="preserve">the </w:t>
      </w:r>
      <w:r>
        <w:rPr>
          <w:rFonts w:ascii="Gentium Basic" w:hAnsi="Gentium Basic" w:cs="Times New Roman"/>
          <w:sz w:val="22"/>
          <w:szCs w:val="22"/>
        </w:rPr>
        <w:t xml:space="preserve">Nile </w:t>
      </w:r>
      <w:r w:rsidR="004F7738">
        <w:rPr>
          <w:rFonts w:ascii="Gentium Basic" w:hAnsi="Gentium Basic" w:cs="Times New Roman"/>
          <w:sz w:val="22"/>
          <w:szCs w:val="22"/>
        </w:rPr>
        <w:t xml:space="preserve">rise </w:t>
      </w:r>
      <w:r>
        <w:rPr>
          <w:rFonts w:ascii="Gentium Basic" w:hAnsi="Gentium Basic" w:cs="Times New Roman"/>
          <w:sz w:val="22"/>
          <w:szCs w:val="22"/>
        </w:rPr>
        <w:t xml:space="preserve">up to the start of </w:t>
      </w:r>
      <w:r w:rsidRPr="004C4FE6">
        <w:rPr>
          <w:rFonts w:ascii="Gentium Basic" w:hAnsi="Gentium Basic" w:cs="Times New Roman"/>
          <w:sz w:val="22"/>
          <w:szCs w:val="22"/>
        </w:rPr>
        <w:t>the Fatimid</w:t>
      </w:r>
      <w:r>
        <w:rPr>
          <w:rFonts w:ascii="Gentium Basic" w:hAnsi="Gentium Basic" w:cs="Times New Roman"/>
          <w:sz w:val="22"/>
          <w:szCs w:val="22"/>
        </w:rPr>
        <w:t>s cf. page 161.</w:t>
      </w:r>
    </w:p>
  </w:footnote>
  <w:footnote w:id="13">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w:t>
      </w:r>
      <w:r>
        <w:rPr>
          <w:rFonts w:ascii="Gentium Basic" w:hAnsi="Gentium Basic" w:cs="Times New Roman"/>
        </w:rPr>
        <w:t>S</w:t>
      </w:r>
      <w:r w:rsidRPr="004C4FE6">
        <w:rPr>
          <w:rFonts w:ascii="Gentium Basic" w:hAnsi="Gentium Basic" w:cs="Times New Roman"/>
        </w:rPr>
        <w:t xml:space="preserve">ee Rapoport </w:t>
      </w:r>
      <w:r>
        <w:rPr>
          <w:rFonts w:ascii="Gentium Basic" w:hAnsi="Gentium Basic" w:cs="Times New Roman"/>
        </w:rPr>
        <w:t>et al.</w:t>
      </w:r>
      <w:r w:rsidRPr="004C4FE6">
        <w:rPr>
          <w:rFonts w:ascii="Gentium Basic" w:hAnsi="Gentium Basic" w:cs="Times New Roman"/>
        </w:rPr>
        <w:t xml:space="preserve">, </w:t>
      </w:r>
      <w:r w:rsidRPr="004C4FE6">
        <w:rPr>
          <w:rFonts w:ascii="Gentium Basic" w:hAnsi="Gentium Basic" w:cs="Times New Roman"/>
          <w:i/>
        </w:rPr>
        <w:t>An Eleven-Century</w:t>
      </w:r>
      <w:r w:rsidR="004F7738">
        <w:rPr>
          <w:rFonts w:ascii="Gentium Basic" w:hAnsi="Gentium Basic" w:cs="Times New Roman"/>
        </w:rPr>
        <w:t>.</w:t>
      </w:r>
    </w:p>
  </w:footnote>
  <w:footnote w:id="14">
    <w:p w:rsidR="00675726" w:rsidRPr="004C4FE6" w:rsidRDefault="00675726" w:rsidP="006D4166">
      <w:pPr>
        <w:pStyle w:val="FootnoteText"/>
        <w:rPr>
          <w:rFonts w:ascii="Gentium Basic" w:hAnsi="Gentium Basic"/>
          <w:sz w:val="22"/>
          <w:szCs w:val="22"/>
        </w:rPr>
      </w:pPr>
      <w:r w:rsidRPr="004C4FE6">
        <w:rPr>
          <w:rStyle w:val="FootnoteReference"/>
          <w:rFonts w:ascii="Gentium Basic" w:hAnsi="Gentium Basic"/>
          <w:sz w:val="22"/>
          <w:szCs w:val="22"/>
        </w:rPr>
        <w:footnoteRef/>
      </w:r>
      <w:r w:rsidRPr="004C4FE6">
        <w:rPr>
          <w:rFonts w:ascii="Gentium Basic" w:hAnsi="Gentium Basic"/>
          <w:sz w:val="22"/>
          <w:szCs w:val="22"/>
        </w:rPr>
        <w:t xml:space="preserve"> </w:t>
      </w:r>
      <w:r w:rsidRPr="004C4FE6">
        <w:rPr>
          <w:rFonts w:ascii="Gentium Basic" w:hAnsi="Gentium Basic" w:cs="Times New Roman"/>
          <w:sz w:val="22"/>
          <w:szCs w:val="22"/>
        </w:rPr>
        <w:t xml:space="preserve">al-Maqrizi, </w:t>
      </w:r>
      <w:r w:rsidRPr="004C4FE6">
        <w:rPr>
          <w:rFonts w:ascii="Gentium Basic" w:hAnsi="Gentium Basic" w:cs="Times New Roman"/>
          <w:i/>
          <w:sz w:val="22"/>
          <w:szCs w:val="22"/>
        </w:rPr>
        <w:t>Le Traité</w:t>
      </w:r>
      <w:r w:rsidRPr="004C4FE6">
        <w:rPr>
          <w:rFonts w:ascii="Gentium Basic" w:hAnsi="Gentium Basic" w:cs="Times New Roman"/>
          <w:sz w:val="22"/>
          <w:szCs w:val="22"/>
        </w:rPr>
        <w:t>.</w:t>
      </w:r>
    </w:p>
  </w:footnote>
  <w:footnote w:id="15">
    <w:p w:rsidR="00675726" w:rsidRPr="00AD5DB9" w:rsidRDefault="00675726" w:rsidP="006D4166">
      <w:pPr>
        <w:pStyle w:val="FootnoteText"/>
        <w:rPr>
          <w:rFonts w:ascii="Gentium Basic" w:hAnsi="Gentium Basic"/>
          <w:sz w:val="22"/>
          <w:szCs w:val="22"/>
        </w:rPr>
      </w:pPr>
      <w:r w:rsidRPr="00AD5DB9">
        <w:rPr>
          <w:rStyle w:val="FootnoteReference"/>
          <w:rFonts w:ascii="Gentium Basic" w:hAnsi="Gentium Basic"/>
          <w:sz w:val="22"/>
          <w:szCs w:val="22"/>
        </w:rPr>
        <w:footnoteRef/>
      </w:r>
      <w:r w:rsidRPr="00AD5DB9">
        <w:rPr>
          <w:rFonts w:ascii="Gentium Basic" w:hAnsi="Gentium Basic"/>
          <w:sz w:val="22"/>
          <w:szCs w:val="22"/>
        </w:rPr>
        <w:t xml:space="preserve"> </w:t>
      </w:r>
      <w:r>
        <w:rPr>
          <w:rFonts w:ascii="Gentium Basic" w:hAnsi="Gentium Basic" w:cs="Times New Roman"/>
          <w:sz w:val="22"/>
          <w:szCs w:val="22"/>
        </w:rPr>
        <w:t>For a chapter on</w:t>
      </w:r>
      <w:r w:rsidRPr="00CB4DD7">
        <w:rPr>
          <w:rFonts w:ascii="Gentium Basic" w:hAnsi="Gentium Basic" w:cs="Times New Roman"/>
          <w:sz w:val="22"/>
          <w:szCs w:val="22"/>
        </w:rPr>
        <w:t xml:space="preserve"> </w:t>
      </w:r>
      <w:r w:rsidRPr="00CB4DD7">
        <w:rPr>
          <w:rFonts w:ascii="Gentium Basic" w:hAnsi="Gentium Basic"/>
          <w:sz w:val="22"/>
          <w:szCs w:val="22"/>
        </w:rPr>
        <w:t xml:space="preserve">the Nile in </w:t>
      </w:r>
      <w:r>
        <w:rPr>
          <w:rFonts w:ascii="Gentium Basic" w:hAnsi="Gentium Basic"/>
          <w:sz w:val="22"/>
          <w:szCs w:val="22"/>
        </w:rPr>
        <w:t>the Fatimid period see</w:t>
      </w:r>
      <w:r w:rsidRPr="00CB4DD7">
        <w:rPr>
          <w:rStyle w:val="FootnoteReference"/>
          <w:rFonts w:ascii="Gentium Basic" w:hAnsi="Gentium Basic" w:cs="Times New Roman"/>
          <w:sz w:val="22"/>
          <w:szCs w:val="22"/>
        </w:rPr>
        <w:t xml:space="preserve"> </w:t>
      </w:r>
      <w:r w:rsidRPr="00AD5DB9">
        <w:rPr>
          <w:rStyle w:val="addmd1"/>
          <w:rFonts w:ascii="Gentium Basic" w:hAnsi="Gentium Basic" w:cs="Arial"/>
          <w:sz w:val="22"/>
          <w:szCs w:val="22"/>
        </w:rPr>
        <w:t xml:space="preserve">Halm, </w:t>
      </w:r>
      <w:r w:rsidRPr="00AD5DB9">
        <w:rPr>
          <w:rFonts w:ascii="Gentium Basic" w:hAnsi="Gentium Basic" w:cs="Arial"/>
          <w:i/>
          <w:sz w:val="22"/>
          <w:szCs w:val="22"/>
        </w:rPr>
        <w:t>Die Kalifen</w:t>
      </w:r>
      <w:r w:rsidRPr="00AD5DB9">
        <w:rPr>
          <w:rFonts w:ascii="Gentium Basic" w:hAnsi="Gentium Basic" w:cs="Arial"/>
          <w:sz w:val="22"/>
          <w:szCs w:val="22"/>
        </w:rPr>
        <w:t>, 46-81.</w:t>
      </w:r>
    </w:p>
  </w:footnote>
  <w:footnote w:id="16">
    <w:p w:rsidR="00675726" w:rsidRPr="00AD5DB9" w:rsidRDefault="00675726" w:rsidP="006D4166">
      <w:pPr>
        <w:pStyle w:val="FootnoteText"/>
        <w:rPr>
          <w:rFonts w:ascii="Gentium Basic" w:hAnsi="Gentium Basic"/>
          <w:sz w:val="22"/>
          <w:szCs w:val="22"/>
        </w:rPr>
      </w:pPr>
      <w:r w:rsidRPr="00CB4DD7">
        <w:rPr>
          <w:rStyle w:val="FootnoteReference"/>
          <w:rFonts w:ascii="Gentium Basic" w:hAnsi="Gentium Basic"/>
          <w:sz w:val="22"/>
          <w:szCs w:val="22"/>
        </w:rPr>
        <w:footnoteRef/>
      </w:r>
      <w:r w:rsidRPr="00CB4DD7">
        <w:rPr>
          <w:rFonts w:ascii="Gentium Basic" w:hAnsi="Gentium Basic"/>
          <w:sz w:val="22"/>
          <w:szCs w:val="22"/>
        </w:rPr>
        <w:t xml:space="preserve"> Cf. </w:t>
      </w:r>
      <w:r w:rsidRPr="00CB4DD7">
        <w:rPr>
          <w:rFonts w:ascii="Gentium Basic" w:hAnsi="Gentium Basic" w:cs="Times New Roman"/>
          <w:sz w:val="22"/>
          <w:szCs w:val="22"/>
        </w:rPr>
        <w:t xml:space="preserve">Goitein, </w:t>
      </w:r>
      <w:r w:rsidR="00BF6001">
        <w:rPr>
          <w:rFonts w:ascii="Gentium Basic" w:hAnsi="Gentium Basic" w:cs="Times New Roman"/>
          <w:i/>
          <w:sz w:val="22"/>
          <w:szCs w:val="22"/>
        </w:rPr>
        <w:t xml:space="preserve">A Mediterranean Society, </w:t>
      </w:r>
      <w:r w:rsidRPr="00CB4DD7">
        <w:rPr>
          <w:rFonts w:ascii="Gentium Basic" w:hAnsi="Gentium Basic" w:cs="Times New Roman"/>
          <w:sz w:val="22"/>
          <w:szCs w:val="22"/>
        </w:rPr>
        <w:t>vol. 1 and vol. 4</w:t>
      </w:r>
      <w:r w:rsidR="00BF6001">
        <w:rPr>
          <w:rFonts w:ascii="Gentium Basic" w:hAnsi="Gentium Basic" w:cs="Times New Roman"/>
          <w:sz w:val="22"/>
          <w:szCs w:val="22"/>
        </w:rPr>
        <w:t>.</w:t>
      </w:r>
    </w:p>
  </w:footnote>
  <w:footnote w:id="17">
    <w:p w:rsidR="00675726" w:rsidRPr="00AD5DB9" w:rsidRDefault="00675726" w:rsidP="006D4166">
      <w:pPr>
        <w:pStyle w:val="FootnoteText"/>
        <w:rPr>
          <w:rFonts w:ascii="Gentium Basic" w:hAnsi="Gentium Basic"/>
          <w:sz w:val="22"/>
          <w:szCs w:val="22"/>
        </w:rPr>
      </w:pPr>
      <w:r w:rsidRPr="00AD5DB9">
        <w:rPr>
          <w:rStyle w:val="FootnoteReference"/>
          <w:rFonts w:ascii="Gentium Basic" w:hAnsi="Gentium Basic"/>
          <w:sz w:val="22"/>
          <w:szCs w:val="22"/>
        </w:rPr>
        <w:footnoteRef/>
      </w:r>
      <w:r w:rsidRPr="00AD5DB9">
        <w:rPr>
          <w:rFonts w:ascii="Gentium Basic" w:hAnsi="Gentium Basic"/>
          <w:sz w:val="22"/>
          <w:szCs w:val="22"/>
        </w:rPr>
        <w:t xml:space="preserve"> </w:t>
      </w:r>
      <w:r w:rsidRPr="00AD5DB9">
        <w:rPr>
          <w:rFonts w:ascii="Gentium Basic" w:hAnsi="Gentium Basic" w:cs="Times New Roman"/>
          <w:sz w:val="22"/>
          <w:szCs w:val="22"/>
        </w:rPr>
        <w:t xml:space="preserve">Sanders, </w:t>
      </w:r>
      <w:r w:rsidRPr="00AD5DB9">
        <w:rPr>
          <w:rFonts w:ascii="Gentium Basic" w:hAnsi="Gentium Basic" w:cs="Times New Roman"/>
          <w:i/>
          <w:sz w:val="22"/>
          <w:szCs w:val="22"/>
        </w:rPr>
        <w:t>Ritual</w:t>
      </w:r>
      <w:r w:rsidRPr="00AD5DB9">
        <w:rPr>
          <w:rFonts w:ascii="Gentium Basic" w:hAnsi="Gentium Basic" w:cs="Times New Roman"/>
          <w:sz w:val="22"/>
          <w:szCs w:val="22"/>
        </w:rPr>
        <w:t>.</w:t>
      </w:r>
    </w:p>
  </w:footnote>
  <w:footnote w:id="18">
    <w:p w:rsidR="00675726" w:rsidRPr="002655D1" w:rsidRDefault="00675726" w:rsidP="006D4166">
      <w:pPr>
        <w:spacing w:line="240" w:lineRule="auto"/>
        <w:rPr>
          <w:rFonts w:ascii="Gentium Basic" w:hAnsi="Gentium Basic"/>
        </w:rPr>
      </w:pPr>
      <w:r w:rsidRPr="004C4FE6">
        <w:rPr>
          <w:rStyle w:val="FootnoteReference"/>
          <w:rFonts w:ascii="Gentium Basic" w:hAnsi="Gentium Basic"/>
        </w:rPr>
        <w:footnoteRef/>
      </w:r>
      <w:r w:rsidRPr="004C4FE6">
        <w:rPr>
          <w:rFonts w:ascii="Gentium Basic" w:hAnsi="Gentium Basic"/>
        </w:rPr>
        <w:t xml:space="preserve"> </w:t>
      </w:r>
      <w:r w:rsidRPr="004C4FE6">
        <w:rPr>
          <w:rFonts w:ascii="Gentium Basic" w:hAnsi="Gentium Basic" w:cs="Times New Roman"/>
        </w:rPr>
        <w:t xml:space="preserve">Agius, </w:t>
      </w:r>
      <w:r w:rsidRPr="004C4FE6">
        <w:rPr>
          <w:rFonts w:ascii="Gentium Basic" w:hAnsi="Gentium Basic" w:cs="Times New Roman"/>
          <w:i/>
        </w:rPr>
        <w:t>Classic Ships</w:t>
      </w:r>
      <w:r w:rsidRPr="004C4FE6">
        <w:rPr>
          <w:rFonts w:ascii="Gentium Basic" w:hAnsi="Gentium Basic" w:cs="Times New Roman"/>
        </w:rPr>
        <w:t>.</w:t>
      </w:r>
      <w:r w:rsidR="002655D1">
        <w:rPr>
          <w:rFonts w:ascii="Gentium Basic" w:hAnsi="Gentium Basic" w:cs="Times New Roman"/>
        </w:rPr>
        <w:t xml:space="preserve"> </w:t>
      </w:r>
      <w:r w:rsidR="001219E5">
        <w:rPr>
          <w:rFonts w:ascii="Gentium Basic" w:hAnsi="Gentium Basic" w:cs="Times New Roman"/>
        </w:rPr>
        <w:t>J.</w:t>
      </w:r>
      <w:r w:rsidR="00261DCF">
        <w:rPr>
          <w:rFonts w:ascii="Gentium Basic" w:hAnsi="Gentium Basic" w:cs="Times New Roman"/>
        </w:rPr>
        <w:t xml:space="preserve"> </w:t>
      </w:r>
      <w:r w:rsidR="002655D1">
        <w:rPr>
          <w:rFonts w:ascii="Gentium Basic" w:hAnsi="Gentium Basic" w:cs="Times New Roman"/>
        </w:rPr>
        <w:t xml:space="preserve">Cooper’s </w:t>
      </w:r>
      <w:r w:rsidR="002655D1">
        <w:rPr>
          <w:rFonts w:ascii="Gentium Basic" w:hAnsi="Gentium Basic" w:cs="Times New Roman"/>
          <w:i/>
        </w:rPr>
        <w:t>The Medieval Nile</w:t>
      </w:r>
      <w:r w:rsidR="00103C48" w:rsidRPr="00103C48">
        <w:rPr>
          <w:rFonts w:ascii="Gentium Basic" w:hAnsi="Gentium Basic" w:cs="Times New Roman"/>
        </w:rPr>
        <w:t>:</w:t>
      </w:r>
      <w:r w:rsidR="00103C48" w:rsidRPr="00103C48">
        <w:rPr>
          <w:rFonts w:ascii="Gentium Basic" w:hAnsi="Gentium Basic"/>
        </w:rPr>
        <w:t xml:space="preserve"> </w:t>
      </w:r>
      <w:r w:rsidR="00103C48" w:rsidRPr="00103C48">
        <w:rPr>
          <w:rFonts w:ascii="Gentium Basic" w:hAnsi="Gentium Basic"/>
          <w:i/>
        </w:rPr>
        <w:t>Route, Navigation, and Landscape in Islamic Egypt</w:t>
      </w:r>
      <w:r w:rsidR="00103C48">
        <w:rPr>
          <w:rFonts w:ascii="Gentium Basic" w:hAnsi="Gentium Basic" w:cs="Times New Roman"/>
        </w:rPr>
        <w:t xml:space="preserve"> </w:t>
      </w:r>
      <w:r w:rsidR="001219E5" w:rsidRPr="001219E5">
        <w:rPr>
          <w:rFonts w:ascii="Gentium Basic" w:hAnsi="Gentium Basic" w:cs="Times New Roman"/>
        </w:rPr>
        <w:t>(</w:t>
      </w:r>
      <w:r w:rsidR="00103C48">
        <w:rPr>
          <w:rFonts w:ascii="Gentium Basic" w:hAnsi="Gentium Basic" w:cs="Times New Roman"/>
        </w:rPr>
        <w:t xml:space="preserve">Cairo: A.U.C., </w:t>
      </w:r>
      <w:r w:rsidR="001219E5" w:rsidRPr="001219E5">
        <w:rPr>
          <w:rFonts w:ascii="Gentium Basic" w:hAnsi="Gentium Basic" w:cs="Times New Roman"/>
        </w:rPr>
        <w:t>2014)</w:t>
      </w:r>
      <w:r w:rsidR="001219E5">
        <w:rPr>
          <w:rFonts w:ascii="Gentium Basic" w:hAnsi="Gentium Basic" w:cs="Times New Roman"/>
          <w:i/>
        </w:rPr>
        <w:t xml:space="preserve"> </w:t>
      </w:r>
      <w:r w:rsidR="002655D1" w:rsidRPr="002655D1">
        <w:rPr>
          <w:rFonts w:ascii="Gentium Basic" w:hAnsi="Gentium Basic" w:cs="Times New Roman"/>
        </w:rPr>
        <w:t>was not available at the time of writing.</w:t>
      </w:r>
    </w:p>
  </w:footnote>
  <w:footnote w:id="19">
    <w:p w:rsidR="00675726" w:rsidRPr="004C4FE6" w:rsidRDefault="00675726" w:rsidP="006D4166">
      <w:pPr>
        <w:spacing w:after="0" w:line="240" w:lineRule="auto"/>
        <w:rPr>
          <w:rFonts w:ascii="Gentium Basic" w:hAnsi="Gentium Basic"/>
        </w:rPr>
      </w:pPr>
      <w:r w:rsidRPr="004C4FE6">
        <w:rPr>
          <w:rStyle w:val="FootnoteReference"/>
          <w:rFonts w:ascii="Gentium Basic" w:hAnsi="Gentium Basic"/>
        </w:rPr>
        <w:footnoteRef/>
      </w:r>
      <w:r w:rsidRPr="004C4FE6">
        <w:rPr>
          <w:rFonts w:ascii="Gentium Basic" w:hAnsi="Gentium Basic"/>
        </w:rPr>
        <w:t xml:space="preserve"> </w:t>
      </w:r>
      <w:r w:rsidRPr="004C4FE6">
        <w:rPr>
          <w:rFonts w:ascii="Gentium Basic" w:hAnsi="Gentium Basic" w:cs="Times New Roman"/>
          <w:bCs/>
        </w:rPr>
        <w:t xml:space="preserve">Garçin, </w:t>
      </w:r>
      <w:r w:rsidRPr="004C4FE6">
        <w:rPr>
          <w:rFonts w:ascii="Gentium Basic" w:hAnsi="Gentium Basic" w:cs="Times New Roman"/>
          <w:bCs/>
          <w:i/>
        </w:rPr>
        <w:t>Un centre musulman</w:t>
      </w:r>
      <w:r w:rsidRPr="004C4FE6">
        <w:rPr>
          <w:rFonts w:ascii="Gentium Basic" w:hAnsi="Gentium Basic" w:cs="Times New Roman"/>
          <w:bCs/>
        </w:rPr>
        <w:t>.</w:t>
      </w:r>
    </w:p>
  </w:footnote>
  <w:footnote w:id="20">
    <w:p w:rsidR="00675726" w:rsidRPr="004C4FE6" w:rsidRDefault="00675726" w:rsidP="006D4166">
      <w:pPr>
        <w:pStyle w:val="FootnoteText"/>
        <w:rPr>
          <w:rFonts w:ascii="Gentium Basic" w:hAnsi="Gentium Basic"/>
          <w:sz w:val="22"/>
          <w:szCs w:val="22"/>
        </w:rPr>
      </w:pPr>
      <w:r w:rsidRPr="004C4FE6">
        <w:rPr>
          <w:rStyle w:val="FootnoteReference"/>
          <w:rFonts w:ascii="Gentium Basic" w:hAnsi="Gentium Basic"/>
          <w:sz w:val="22"/>
          <w:szCs w:val="22"/>
        </w:rPr>
        <w:footnoteRef/>
      </w:r>
      <w:r w:rsidRPr="004C4FE6">
        <w:rPr>
          <w:rFonts w:ascii="Gentium Basic" w:hAnsi="Gentium Basic"/>
          <w:sz w:val="22"/>
          <w:szCs w:val="22"/>
        </w:rPr>
        <w:t xml:space="preserve"> </w:t>
      </w:r>
      <w:r w:rsidRPr="004C4FE6">
        <w:rPr>
          <w:rFonts w:ascii="Gentium Basic" w:hAnsi="Gentium Basic" w:cs="Times New Roman"/>
          <w:sz w:val="22"/>
          <w:szCs w:val="22"/>
        </w:rPr>
        <w:t>Bianquis, ‘Une Crise</w:t>
      </w:r>
      <w:r>
        <w:rPr>
          <w:rFonts w:ascii="Gentium Basic" w:hAnsi="Gentium Basic" w:cs="Times New Roman"/>
          <w:sz w:val="22"/>
          <w:szCs w:val="22"/>
        </w:rPr>
        <w:t xml:space="preserve">’, </w:t>
      </w:r>
      <w:r w:rsidRPr="004C4FE6">
        <w:rPr>
          <w:rFonts w:ascii="Gentium Basic" w:hAnsi="Gentium Basic" w:cs="Times New Roman"/>
          <w:sz w:val="22"/>
          <w:szCs w:val="22"/>
        </w:rPr>
        <w:t>67-101.</w:t>
      </w:r>
    </w:p>
  </w:footnote>
  <w:footnote w:id="21">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al-Maqrizi, </w:t>
      </w:r>
      <w:r w:rsidRPr="004C4FE6">
        <w:rPr>
          <w:rFonts w:ascii="Gentium Basic" w:hAnsi="Gentium Basic" w:cs="Times New Roman"/>
          <w:i/>
        </w:rPr>
        <w:t>Le Traité</w:t>
      </w:r>
      <w:r w:rsidR="00BF6001">
        <w:rPr>
          <w:rFonts w:ascii="Gentium Basic" w:hAnsi="Gentium Basic" w:cs="Times New Roman"/>
        </w:rPr>
        <w:t>, 13-15.</w:t>
      </w:r>
    </w:p>
  </w:footnote>
  <w:footnote w:id="22">
    <w:p w:rsidR="00675726" w:rsidRPr="004C4FE6" w:rsidRDefault="00675726" w:rsidP="006D4166">
      <w:pPr>
        <w:pStyle w:val="Default"/>
        <w:rPr>
          <w:rFonts w:ascii="Gentium Basic" w:hAnsi="Gentium Basic" w:cs="Times New Roman"/>
          <w:color w:val="auto"/>
          <w:sz w:val="22"/>
          <w:szCs w:val="22"/>
        </w:rPr>
      </w:pPr>
      <w:r w:rsidRPr="004C4FE6">
        <w:rPr>
          <w:rStyle w:val="FootnoteReference"/>
          <w:rFonts w:ascii="Gentium Basic" w:hAnsi="Gentium Basic" w:cs="Times New Roman"/>
          <w:color w:val="auto"/>
          <w:sz w:val="22"/>
          <w:szCs w:val="22"/>
        </w:rPr>
        <w:footnoteRef/>
      </w:r>
      <w:r w:rsidRPr="004C4FE6">
        <w:rPr>
          <w:rFonts w:ascii="Gentium Basic" w:hAnsi="Gentium Basic" w:cs="Times New Roman"/>
          <w:color w:val="auto"/>
          <w:sz w:val="22"/>
          <w:szCs w:val="22"/>
        </w:rPr>
        <w:t xml:space="preserve"> Troupeau, ‘La description</w:t>
      </w:r>
      <w:r>
        <w:rPr>
          <w:rFonts w:ascii="Gentium Basic" w:hAnsi="Gentium Basic" w:cs="Times New Roman"/>
          <w:color w:val="auto"/>
          <w:sz w:val="22"/>
          <w:szCs w:val="22"/>
        </w:rPr>
        <w:t xml:space="preserve">’, </w:t>
      </w:r>
      <w:r w:rsidRPr="004C4FE6">
        <w:rPr>
          <w:rFonts w:ascii="Gentium Basic" w:hAnsi="Gentium Basic" w:cs="Times New Roman"/>
          <w:color w:val="auto"/>
          <w:sz w:val="22"/>
          <w:szCs w:val="22"/>
        </w:rPr>
        <w:t xml:space="preserve">278-9. See also </w:t>
      </w:r>
      <w:r w:rsidRPr="004C4FE6">
        <w:rPr>
          <w:rStyle w:val="addmd1"/>
          <w:rFonts w:ascii="Gentium Basic" w:hAnsi="Gentium Basic" w:cs="Arial"/>
          <w:color w:val="auto"/>
          <w:sz w:val="22"/>
          <w:szCs w:val="22"/>
        </w:rPr>
        <w:t>Halm</w:t>
      </w:r>
      <w:r w:rsidRPr="004C4FE6">
        <w:rPr>
          <w:rStyle w:val="addmd1"/>
          <w:rFonts w:ascii="Gentium Basic" w:hAnsi="Gentium Basic" w:cs="Arial"/>
          <w:i/>
          <w:color w:val="auto"/>
          <w:sz w:val="22"/>
          <w:szCs w:val="22"/>
        </w:rPr>
        <w:t xml:space="preserve">, </w:t>
      </w:r>
      <w:r w:rsidRPr="004C4FE6">
        <w:rPr>
          <w:rFonts w:ascii="Gentium Basic" w:hAnsi="Gentium Basic" w:cs="Arial"/>
          <w:i/>
          <w:color w:val="auto"/>
          <w:sz w:val="22"/>
          <w:szCs w:val="22"/>
        </w:rPr>
        <w:t>Die Kalifen</w:t>
      </w:r>
      <w:r w:rsidRPr="004C4FE6">
        <w:rPr>
          <w:rFonts w:ascii="Gentium Basic" w:hAnsi="Gentium Basic" w:cs="Times New Roman"/>
          <w:color w:val="auto"/>
          <w:sz w:val="22"/>
          <w:szCs w:val="22"/>
        </w:rPr>
        <w:t>, 49-54</w:t>
      </w:r>
      <w:r>
        <w:rPr>
          <w:rFonts w:ascii="Gentium Basic" w:hAnsi="Gentium Basic" w:cs="Times New Roman"/>
          <w:color w:val="auto"/>
          <w:sz w:val="22"/>
          <w:szCs w:val="22"/>
        </w:rPr>
        <w:t xml:space="preserve"> and</w:t>
      </w:r>
      <w:r w:rsidRPr="004C4FE6">
        <w:rPr>
          <w:rFonts w:ascii="Gentium Basic" w:hAnsi="Gentium Basic" w:cs="Times New Roman"/>
          <w:color w:val="auto"/>
          <w:sz w:val="22"/>
          <w:szCs w:val="22"/>
        </w:rPr>
        <w:t xml:space="preserve"> Beshir, </w:t>
      </w:r>
      <w:r>
        <w:rPr>
          <w:rFonts w:ascii="Gentium Basic" w:hAnsi="Gentium Basic" w:cs="Times New Roman"/>
          <w:color w:val="auto"/>
          <w:sz w:val="22"/>
          <w:szCs w:val="22"/>
        </w:rPr>
        <w:t>‘</w:t>
      </w:r>
      <w:r w:rsidRPr="00CB4DD7">
        <w:rPr>
          <w:rFonts w:ascii="Gentium Basic" w:hAnsi="Gentium Basic" w:cs="Times New Roman"/>
          <w:color w:val="auto"/>
          <w:sz w:val="22"/>
          <w:szCs w:val="22"/>
        </w:rPr>
        <w:t>The Fatimid Caliphate’</w:t>
      </w:r>
      <w:r w:rsidRPr="004C4FE6">
        <w:rPr>
          <w:rFonts w:ascii="Gentium Basic" w:hAnsi="Gentium Basic" w:cs="Times New Roman"/>
          <w:color w:val="auto"/>
          <w:sz w:val="22"/>
          <w:szCs w:val="22"/>
        </w:rPr>
        <w:t>, 87-88.</w:t>
      </w:r>
    </w:p>
  </w:footnote>
  <w:footnote w:id="23">
    <w:p w:rsidR="00675726" w:rsidRPr="004C4FE6" w:rsidRDefault="00675726" w:rsidP="006D4166">
      <w:pPr>
        <w:pStyle w:val="FootnoteText"/>
        <w:rPr>
          <w:rFonts w:ascii="Gentium Basic" w:hAnsi="Gentium Basic"/>
          <w:sz w:val="22"/>
          <w:szCs w:val="22"/>
        </w:rPr>
      </w:pPr>
      <w:r w:rsidRPr="004C4FE6">
        <w:rPr>
          <w:rStyle w:val="FootnoteReference"/>
          <w:rFonts w:ascii="Gentium Basic" w:hAnsi="Gentium Basic"/>
          <w:sz w:val="22"/>
          <w:szCs w:val="22"/>
        </w:rPr>
        <w:footnoteRef/>
      </w:r>
      <w:r w:rsidRPr="004C4FE6">
        <w:rPr>
          <w:rFonts w:ascii="Gentium Basic" w:hAnsi="Gentium Basic"/>
          <w:sz w:val="22"/>
          <w:szCs w:val="22"/>
        </w:rPr>
        <w:t xml:space="preserve"> </w:t>
      </w:r>
      <w:r w:rsidRPr="004C4FE6">
        <w:rPr>
          <w:rFonts w:ascii="Gentium Basic" w:hAnsi="Gentium Basic" w:cs="Times New Roman"/>
          <w:sz w:val="22"/>
          <w:szCs w:val="22"/>
        </w:rPr>
        <w:t xml:space="preserve">Cf. Beshir, </w:t>
      </w:r>
      <w:r>
        <w:rPr>
          <w:rFonts w:ascii="Gentium Basic" w:hAnsi="Gentium Basic" w:cs="Times New Roman"/>
          <w:sz w:val="22"/>
          <w:szCs w:val="22"/>
        </w:rPr>
        <w:t>‘</w:t>
      </w:r>
      <w:r w:rsidRPr="00CB4DD7">
        <w:rPr>
          <w:rFonts w:ascii="Gentium Basic" w:hAnsi="Gentium Basic" w:cs="Times New Roman"/>
          <w:sz w:val="22"/>
          <w:szCs w:val="22"/>
        </w:rPr>
        <w:t>The Fatimid Caliphate’</w:t>
      </w:r>
      <w:r w:rsidRPr="004C4FE6">
        <w:rPr>
          <w:rFonts w:ascii="Gentium Basic" w:hAnsi="Gentium Basic" w:cs="Times New Roman"/>
          <w:i/>
          <w:sz w:val="22"/>
          <w:szCs w:val="22"/>
        </w:rPr>
        <w:t xml:space="preserve">, </w:t>
      </w:r>
      <w:r w:rsidR="002655D1">
        <w:rPr>
          <w:rFonts w:ascii="Gentium Basic" w:hAnsi="Gentium Basic" w:cs="Times New Roman"/>
          <w:sz w:val="22"/>
          <w:szCs w:val="22"/>
        </w:rPr>
        <w:t>89.</w:t>
      </w:r>
    </w:p>
  </w:footnote>
  <w:footnote w:id="24">
    <w:p w:rsidR="00675726" w:rsidRPr="004C4FE6" w:rsidRDefault="00675726" w:rsidP="006D4166">
      <w:pPr>
        <w:spacing w:after="0" w:line="240" w:lineRule="auto"/>
        <w:rPr>
          <w:rFonts w:ascii="Gentium Basic" w:hAnsi="Gentium Basic" w:cs="Times New Roman"/>
        </w:rPr>
      </w:pPr>
      <w:r w:rsidRPr="004C4FE6">
        <w:rPr>
          <w:rStyle w:val="FootnoteReference"/>
          <w:rFonts w:ascii="Gentium Basic" w:hAnsi="Gentium Basic" w:cs="Times New Roman"/>
        </w:rPr>
        <w:footnoteRef/>
      </w:r>
      <w:r>
        <w:rPr>
          <w:rFonts w:ascii="Gentium Basic" w:eastAsia="Times New Roman" w:hAnsi="Gentium Basic" w:cs="Times New Roman"/>
          <w:lang w:eastAsia="en-GB"/>
        </w:rPr>
        <w:t xml:space="preserve"> Cf.</w:t>
      </w:r>
      <w:r w:rsidRPr="004C4FE6">
        <w:rPr>
          <w:rFonts w:ascii="Gentium Basic" w:hAnsi="Gentium Basic" w:cs="Times New Roman"/>
        </w:rPr>
        <w:t xml:space="preserve"> </w:t>
      </w:r>
      <w:r w:rsidRPr="004C4FE6">
        <w:rPr>
          <w:rFonts w:ascii="Gentium Basic" w:eastAsia="Times New Roman" w:hAnsi="Gentium Basic" w:cs="Times New Roman"/>
          <w:lang w:eastAsia="en-GB"/>
        </w:rPr>
        <w:t xml:space="preserve">Naṣir-i Khusraw, </w:t>
      </w:r>
      <w:r w:rsidRPr="004C4FE6">
        <w:rPr>
          <w:rFonts w:ascii="Gentium Basic" w:hAnsi="Gentium Basic" w:cs="Times New Roman"/>
          <w:i/>
        </w:rPr>
        <w:t>Sefer nameh</w:t>
      </w:r>
      <w:r w:rsidRPr="004C4FE6">
        <w:rPr>
          <w:rFonts w:ascii="Gentium Basic" w:eastAsia="Times New Roman" w:hAnsi="Gentium Basic" w:cs="Times New Roman"/>
          <w:lang w:eastAsia="en-GB"/>
        </w:rPr>
        <w:t>, 126.</w:t>
      </w:r>
    </w:p>
  </w:footnote>
  <w:footnote w:id="25">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Jiwa, </w:t>
      </w:r>
      <w:r w:rsidRPr="004C4FE6">
        <w:rPr>
          <w:rFonts w:ascii="Gentium Basic" w:hAnsi="Gentium Basic" w:cs="Times New Roman"/>
          <w:i/>
        </w:rPr>
        <w:t>Towards</w:t>
      </w:r>
      <w:r w:rsidRPr="004C4FE6">
        <w:rPr>
          <w:rFonts w:ascii="Gentium Basic" w:hAnsi="Gentium Basic" w:cs="Times New Roman"/>
        </w:rPr>
        <w:t xml:space="preserve">, </w:t>
      </w:r>
      <w:r w:rsidRPr="004C4FE6">
        <w:rPr>
          <w:rFonts w:ascii="Gentium Basic" w:eastAsia="Times New Roman" w:hAnsi="Gentium Basic" w:cs="Times New Roman"/>
          <w:lang w:eastAsia="en-GB"/>
        </w:rPr>
        <w:t>109-110.</w:t>
      </w:r>
      <w:r w:rsidRPr="004C4FE6">
        <w:rPr>
          <w:rFonts w:ascii="Gentium Basic" w:hAnsi="Gentium Basic" w:cs="Times New Roman"/>
        </w:rPr>
        <w:t xml:space="preserve"> See also al-Muqaddasi, </w:t>
      </w:r>
      <w:r w:rsidRPr="004C4FE6">
        <w:rPr>
          <w:rFonts w:ascii="Gentium Basic" w:hAnsi="Gentium Basic" w:cs="Times New Roman"/>
          <w:i/>
        </w:rPr>
        <w:t>The Best Divisio</w:t>
      </w:r>
      <w:r>
        <w:rPr>
          <w:rFonts w:ascii="Gentium Basic" w:hAnsi="Gentium Basic" w:cs="Times New Roman"/>
          <w:i/>
        </w:rPr>
        <w:t>n</w:t>
      </w:r>
      <w:r w:rsidRPr="004C4FE6">
        <w:rPr>
          <w:rFonts w:ascii="Gentium Basic" w:hAnsi="Gentium Basic" w:cs="Times New Roman"/>
          <w:i/>
        </w:rPr>
        <w:t>,</w:t>
      </w:r>
      <w:r w:rsidRPr="004C4FE6">
        <w:rPr>
          <w:rFonts w:ascii="Gentium Basic" w:hAnsi="Gentium Basic" w:cs="Times New Roman"/>
        </w:rPr>
        <w:t xml:space="preserve"> 174.</w:t>
      </w:r>
    </w:p>
  </w:footnote>
  <w:footnote w:id="26">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Pr>
          <w:rFonts w:ascii="Gentium Basic" w:hAnsi="Gentium Basic" w:cs="Times New Roman"/>
        </w:rPr>
        <w:t xml:space="preserve"> </w:t>
      </w:r>
      <w:r w:rsidRPr="004C4FE6">
        <w:rPr>
          <w:rFonts w:ascii="Gentium Basic" w:hAnsi="Gentium Basic" w:cs="Times New Roman"/>
        </w:rPr>
        <w:t xml:space="preserve">For a full history of this structure see Popper, </w:t>
      </w:r>
      <w:r w:rsidRPr="004C4FE6">
        <w:rPr>
          <w:rFonts w:ascii="Gentium Basic" w:hAnsi="Gentium Basic" w:cs="Times New Roman"/>
          <w:i/>
        </w:rPr>
        <w:t>The Cairo Nilometer</w:t>
      </w:r>
      <w:r w:rsidR="002655D1">
        <w:rPr>
          <w:rFonts w:ascii="Gentium Basic" w:hAnsi="Gentium Basic" w:cs="Times New Roman"/>
        </w:rPr>
        <w:t>.</w:t>
      </w:r>
    </w:p>
  </w:footnote>
  <w:footnote w:id="27">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w:t>
      </w:r>
      <w:r w:rsidRPr="004C4FE6">
        <w:rPr>
          <w:rFonts w:ascii="Gentium Basic" w:hAnsi="Gentium Basic" w:cs="Times New Roman"/>
          <w:sz w:val="24"/>
          <w:szCs w:val="24"/>
        </w:rPr>
        <w:t xml:space="preserve">In 415/1024, </w:t>
      </w:r>
      <w:r>
        <w:rPr>
          <w:rFonts w:ascii="Gentium Basic" w:hAnsi="Gentium Basic" w:cs="Times New Roman"/>
          <w:sz w:val="24"/>
          <w:szCs w:val="24"/>
        </w:rPr>
        <w:t>under</w:t>
      </w:r>
      <w:r w:rsidRPr="004C4FE6">
        <w:rPr>
          <w:rFonts w:ascii="Gentium Basic" w:hAnsi="Gentium Basic" w:cs="Times New Roman"/>
          <w:sz w:val="24"/>
          <w:szCs w:val="24"/>
        </w:rPr>
        <w:t xml:space="preserve"> al-Ẓahir’s caliphate a wall was built around it</w:t>
      </w:r>
      <w:r>
        <w:rPr>
          <w:rFonts w:ascii="Gentium Basic" w:hAnsi="Gentium Basic" w:cs="Times New Roman"/>
          <w:sz w:val="24"/>
          <w:szCs w:val="24"/>
        </w:rPr>
        <w:t xml:space="preserve">. </w:t>
      </w:r>
      <w:r>
        <w:rPr>
          <w:rFonts w:ascii="Gentium Basic" w:hAnsi="Gentium Basic" w:cs="Times New Roman"/>
        </w:rPr>
        <w:t xml:space="preserve">According to </w:t>
      </w:r>
      <w:r w:rsidRPr="004C4FE6">
        <w:rPr>
          <w:rFonts w:ascii="Gentium Basic" w:hAnsi="Gentium Basic" w:cs="Times New Roman"/>
        </w:rPr>
        <w:t>Ibn Abi’l-Raddad</w:t>
      </w:r>
      <w:r w:rsidRPr="004C4FE6" w:rsidDel="003A6ACF">
        <w:rPr>
          <w:rFonts w:ascii="Gentium Basic" w:hAnsi="Gentium Basic" w:cs="Times New Roman"/>
        </w:rPr>
        <w:t xml:space="preserve"> </w:t>
      </w:r>
      <w:r>
        <w:rPr>
          <w:rFonts w:ascii="Gentium Basic" w:hAnsi="Gentium Basic" w:cs="Times New Roman"/>
        </w:rPr>
        <w:t>t</w:t>
      </w:r>
      <w:r w:rsidRPr="004C4FE6">
        <w:rPr>
          <w:rFonts w:ascii="Gentium Basic" w:hAnsi="Gentium Basic" w:cs="Times New Roman"/>
        </w:rPr>
        <w:t xml:space="preserve">he wall, ordered by </w:t>
      </w:r>
      <w:r>
        <w:rPr>
          <w:rFonts w:ascii="Gentium Basic" w:hAnsi="Gentium Basic" w:cs="Times New Roman"/>
        </w:rPr>
        <w:t>a rival dignitary,</w:t>
      </w:r>
      <w:r w:rsidRPr="004C4FE6">
        <w:rPr>
          <w:rFonts w:ascii="Gentium Basic" w:hAnsi="Gentium Basic" w:cs="Times New Roman"/>
        </w:rPr>
        <w:t xml:space="preserve"> obstructed the flow of the water in the Nilometer, causing inaccurate reading</w:t>
      </w:r>
      <w:r>
        <w:rPr>
          <w:rFonts w:ascii="Gentium Basic" w:hAnsi="Gentium Basic" w:cs="Times New Roman"/>
        </w:rPr>
        <w:t>s</w:t>
      </w:r>
      <w:r w:rsidRPr="004C4FE6">
        <w:rPr>
          <w:rFonts w:ascii="Gentium Basic" w:hAnsi="Gentium Basic" w:cs="Times New Roman"/>
        </w:rPr>
        <w:t xml:space="preserve"> of the rise. </w:t>
      </w:r>
      <w:r>
        <w:rPr>
          <w:rFonts w:ascii="Gentium Basic" w:hAnsi="Gentium Basic" w:cs="Times New Roman"/>
        </w:rPr>
        <w:t>The p</w:t>
      </w:r>
      <w:r w:rsidRPr="004C4FE6">
        <w:rPr>
          <w:rFonts w:ascii="Gentium Basic" w:hAnsi="Gentium Basic" w:cs="Times New Roman"/>
        </w:rPr>
        <w:t xml:space="preserve">roblem </w:t>
      </w:r>
      <w:r>
        <w:rPr>
          <w:rFonts w:ascii="Gentium Basic" w:hAnsi="Gentium Basic" w:cs="Times New Roman"/>
        </w:rPr>
        <w:t xml:space="preserve">might have been </w:t>
      </w:r>
      <w:r w:rsidRPr="004C4FE6">
        <w:rPr>
          <w:rFonts w:ascii="Gentium Basic" w:hAnsi="Gentium Basic" w:cs="Times New Roman"/>
        </w:rPr>
        <w:t xml:space="preserve">caused by </w:t>
      </w:r>
      <w:r>
        <w:rPr>
          <w:rFonts w:ascii="Gentium Basic" w:hAnsi="Gentium Basic" w:cs="Times New Roman"/>
        </w:rPr>
        <w:t>poor construction</w:t>
      </w:r>
      <w:r w:rsidRPr="004C4FE6">
        <w:rPr>
          <w:rFonts w:ascii="Gentium Basic" w:hAnsi="Gentium Basic" w:cs="Times New Roman"/>
        </w:rPr>
        <w:t xml:space="preserve">, </w:t>
      </w:r>
      <w:r>
        <w:rPr>
          <w:rFonts w:ascii="Gentium Basic" w:hAnsi="Gentium Basic" w:cs="Times New Roman"/>
        </w:rPr>
        <w:t xml:space="preserve">but </w:t>
      </w:r>
      <w:r w:rsidRPr="004C4FE6">
        <w:rPr>
          <w:rFonts w:ascii="Gentium Basic" w:hAnsi="Gentium Basic" w:cs="Times New Roman"/>
        </w:rPr>
        <w:t xml:space="preserve">Bianquis suggests that the ‘mistake’ might have been intentional and connected to other incidents, moved by speculative tactics </w:t>
      </w:r>
      <w:r>
        <w:rPr>
          <w:rFonts w:ascii="Gentium Basic" w:hAnsi="Gentium Basic" w:cs="Times New Roman"/>
        </w:rPr>
        <w:t>to inflate</w:t>
      </w:r>
      <w:r w:rsidRPr="004C4FE6">
        <w:rPr>
          <w:rFonts w:ascii="Gentium Basic" w:hAnsi="Gentium Basic" w:cs="Times New Roman"/>
        </w:rPr>
        <w:t xml:space="preserve"> the price of whea</w:t>
      </w:r>
      <w:r w:rsidR="002655D1">
        <w:rPr>
          <w:rFonts w:ascii="Gentium Basic" w:hAnsi="Gentium Basic" w:cs="Times New Roman"/>
        </w:rPr>
        <w:t>t. Bianquis, ‘Une crise’, 80-1.</w:t>
      </w:r>
    </w:p>
  </w:footnote>
  <w:footnote w:id="28">
    <w:p w:rsidR="00675726" w:rsidRPr="004C4FE6" w:rsidRDefault="00675726" w:rsidP="006D4166">
      <w:pPr>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Sanders, </w:t>
      </w:r>
      <w:r w:rsidRPr="004C4FE6">
        <w:rPr>
          <w:rFonts w:ascii="Gentium Basic" w:hAnsi="Gentium Basic" w:cs="Times New Roman"/>
          <w:i/>
        </w:rPr>
        <w:t>Ritual</w:t>
      </w:r>
      <w:r w:rsidR="00774A9C">
        <w:rPr>
          <w:rFonts w:ascii="Gentium Basic" w:hAnsi="Gentium Basic" w:cs="Times New Roman"/>
        </w:rPr>
        <w:t xml:space="preserve">, 112-3. </w:t>
      </w:r>
      <w:r w:rsidRPr="004C4FE6">
        <w:rPr>
          <w:rFonts w:ascii="Gentium Basic" w:hAnsi="Gentium Basic" w:cs="Times New Roman"/>
        </w:rPr>
        <w:t>For example</w:t>
      </w:r>
      <w:r w:rsidR="00774A9C">
        <w:rPr>
          <w:rFonts w:ascii="Gentium Basic" w:hAnsi="Gentium Basic" w:cs="Times New Roman"/>
        </w:rPr>
        <w:t>,</w:t>
      </w:r>
      <w:r w:rsidRPr="004C4FE6">
        <w:rPr>
          <w:rFonts w:ascii="Gentium Basic" w:hAnsi="Gentium Basic" w:cs="Times New Roman"/>
        </w:rPr>
        <w:t xml:space="preserve"> the years </w:t>
      </w:r>
      <w:r w:rsidRPr="004C4FE6">
        <w:rPr>
          <w:rFonts w:ascii="Gentium Basic" w:eastAsia="Times New Roman" w:hAnsi="Gentium Basic" w:cs="Times New Roman"/>
          <w:lang w:eastAsia="en-GB"/>
        </w:rPr>
        <w:t>358/969, 362/973, 363/974, 364/974-5</w:t>
      </w:r>
      <w:r>
        <w:rPr>
          <w:rFonts w:ascii="Gentium Basic" w:hAnsi="Gentium Basic" w:cs="Times New Roman"/>
        </w:rPr>
        <w:t>,</w:t>
      </w:r>
      <w:r w:rsidR="00774A9C">
        <w:rPr>
          <w:rFonts w:ascii="Gentium Basic" w:hAnsi="Gentium Basic" w:cs="Times New Roman"/>
        </w:rPr>
        <w:t xml:space="preserve"> cf.</w:t>
      </w:r>
      <w:r>
        <w:rPr>
          <w:rFonts w:ascii="Gentium Basic" w:hAnsi="Gentium Basic" w:cs="Times New Roman"/>
        </w:rPr>
        <w:t xml:space="preserve"> </w:t>
      </w:r>
      <w:r w:rsidRPr="004C4FE6">
        <w:rPr>
          <w:rFonts w:ascii="Gentium Basic" w:hAnsi="Gentium Basic" w:cs="Times New Roman"/>
        </w:rPr>
        <w:t xml:space="preserve">Jiwa, </w:t>
      </w:r>
      <w:r w:rsidRPr="004C4FE6">
        <w:rPr>
          <w:rFonts w:ascii="Gentium Basic" w:hAnsi="Gentium Basic" w:cs="Times New Roman"/>
          <w:i/>
        </w:rPr>
        <w:t xml:space="preserve">Towards, </w:t>
      </w:r>
      <w:r w:rsidRPr="004C4FE6">
        <w:rPr>
          <w:rFonts w:ascii="Gentium Basic" w:eastAsia="Times New Roman" w:hAnsi="Gentium Basic" w:cs="Times New Roman"/>
          <w:lang w:eastAsia="en-GB"/>
        </w:rPr>
        <w:t xml:space="preserve">109-110. The reaching of levels between 16 and 18 cubits did not always or necessarily deliver the abundance typically associated with these measures. </w:t>
      </w:r>
      <w:r>
        <w:rPr>
          <w:rFonts w:ascii="Gentium Basic" w:eastAsia="Times New Roman" w:hAnsi="Gentium Basic" w:cs="Times New Roman"/>
          <w:lang w:eastAsia="en-GB"/>
        </w:rPr>
        <w:t>For t</w:t>
      </w:r>
      <w:r w:rsidRPr="004C4FE6">
        <w:rPr>
          <w:rFonts w:ascii="Gentium Basic" w:eastAsia="Times New Roman" w:hAnsi="Gentium Basic" w:cs="Times New Roman"/>
          <w:lang w:eastAsia="en-GB"/>
        </w:rPr>
        <w:t xml:space="preserve">ables with yearly breakdown of rising level data and consequent river performance </w:t>
      </w:r>
      <w:r>
        <w:rPr>
          <w:rFonts w:ascii="Gentium Basic" w:eastAsia="Times New Roman" w:hAnsi="Gentium Basic" w:cs="Times New Roman"/>
          <w:lang w:eastAsia="en-GB"/>
        </w:rPr>
        <w:t xml:space="preserve">covering also </w:t>
      </w:r>
      <w:r w:rsidRPr="004C4FE6">
        <w:rPr>
          <w:rFonts w:ascii="Gentium Basic" w:eastAsia="Times New Roman" w:hAnsi="Gentium Basic" w:cs="Times New Roman"/>
          <w:lang w:eastAsia="en-GB"/>
        </w:rPr>
        <w:t xml:space="preserve">the Fatimid phase </w:t>
      </w:r>
      <w:r>
        <w:rPr>
          <w:rFonts w:ascii="Gentium Basic" w:eastAsia="Times New Roman" w:hAnsi="Gentium Basic" w:cs="Times New Roman"/>
          <w:lang w:eastAsia="en-GB"/>
        </w:rPr>
        <w:t xml:space="preserve">see </w:t>
      </w:r>
      <w:r w:rsidRPr="004C4FE6">
        <w:rPr>
          <w:rFonts w:ascii="Gentium Basic" w:hAnsi="Gentium Basic" w:cs="Times New Roman"/>
        </w:rPr>
        <w:t>Hassan, ‘Extreme’.</w:t>
      </w:r>
    </w:p>
  </w:footnote>
  <w:footnote w:id="29">
    <w:p w:rsidR="00675726" w:rsidRPr="004C4FE6" w:rsidRDefault="00675726" w:rsidP="006D4166">
      <w:pPr>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w:t>
      </w:r>
      <w:r w:rsidRPr="004C4FE6">
        <w:rPr>
          <w:rFonts w:ascii="Gentium Basic" w:eastAsia="Times New Roman" w:hAnsi="Gentium Basic" w:cs="Times New Roman"/>
          <w:lang w:eastAsia="en-GB"/>
        </w:rPr>
        <w:t xml:space="preserve">Naṣir-i Khusraw, </w:t>
      </w:r>
      <w:r w:rsidRPr="004C4FE6">
        <w:rPr>
          <w:rFonts w:ascii="Gentium Basic" w:hAnsi="Gentium Basic" w:cs="Times New Roman"/>
          <w:i/>
        </w:rPr>
        <w:t>Sefer nameh</w:t>
      </w:r>
      <w:r w:rsidRPr="004C4FE6">
        <w:rPr>
          <w:rFonts w:ascii="Gentium Basic" w:eastAsia="Times New Roman" w:hAnsi="Gentium Basic" w:cs="Times New Roman"/>
          <w:lang w:eastAsia="en-GB"/>
        </w:rPr>
        <w:t>, 117.</w:t>
      </w:r>
    </w:p>
  </w:footnote>
  <w:footnote w:id="30">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Lev, </w:t>
      </w:r>
      <w:r w:rsidRPr="004C4FE6">
        <w:rPr>
          <w:rFonts w:ascii="Gentium Basic" w:hAnsi="Gentium Basic" w:cs="Times New Roman"/>
          <w:i/>
        </w:rPr>
        <w:t>State</w:t>
      </w:r>
      <w:r w:rsidRPr="004C4FE6">
        <w:rPr>
          <w:rFonts w:ascii="Gentium Basic" w:hAnsi="Gentium Basic" w:cs="Times New Roman"/>
        </w:rPr>
        <w:t>, 169.</w:t>
      </w:r>
    </w:p>
  </w:footnote>
  <w:footnote w:id="31">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w:t>
      </w:r>
      <w:r>
        <w:rPr>
          <w:rFonts w:ascii="Gentium Basic" w:hAnsi="Gentium Basic" w:cs="Times New Roman"/>
        </w:rPr>
        <w:t>On</w:t>
      </w:r>
      <w:r w:rsidRPr="004C4FE6">
        <w:rPr>
          <w:rFonts w:ascii="Gentium Basic" w:hAnsi="Gentium Basic" w:cs="Times New Roman"/>
        </w:rPr>
        <w:t xml:space="preserve"> the </w:t>
      </w:r>
      <w:r>
        <w:rPr>
          <w:rFonts w:ascii="Gentium Basic" w:hAnsi="Gentium Basic" w:cs="Times New Roman"/>
        </w:rPr>
        <w:t xml:space="preserve">ensuing </w:t>
      </w:r>
      <w:r w:rsidRPr="004C4FE6">
        <w:rPr>
          <w:rFonts w:ascii="Gentium Basic" w:hAnsi="Gentium Basic" w:cs="Times New Roman"/>
        </w:rPr>
        <w:t>food crisis</w:t>
      </w:r>
      <w:r>
        <w:rPr>
          <w:rFonts w:ascii="Gentium Basic" w:hAnsi="Gentium Basic" w:cs="Times New Roman"/>
        </w:rPr>
        <w:t xml:space="preserve"> </w:t>
      </w:r>
      <w:r w:rsidRPr="004C4FE6">
        <w:rPr>
          <w:rFonts w:ascii="Gentium Basic" w:hAnsi="Gentium Basic" w:cs="Times New Roman"/>
        </w:rPr>
        <w:t>see Bianquis, ‘Une crise’</w:t>
      </w:r>
      <w:r>
        <w:rPr>
          <w:rFonts w:ascii="Gentium Basic" w:hAnsi="Gentium Basic" w:cs="Times New Roman"/>
        </w:rPr>
        <w:t xml:space="preserve">, </w:t>
      </w:r>
      <w:r w:rsidRPr="004C4FE6">
        <w:rPr>
          <w:rFonts w:ascii="Gentium Basic" w:hAnsi="Gentium Basic" w:cs="Times New Roman"/>
        </w:rPr>
        <w:t xml:space="preserve">67-101. </w:t>
      </w:r>
      <w:r>
        <w:rPr>
          <w:rFonts w:ascii="Gentium Basic" w:hAnsi="Gentium Basic" w:cs="Times New Roman"/>
        </w:rPr>
        <w:t xml:space="preserve">On the mass prayers see </w:t>
      </w:r>
      <w:r w:rsidRPr="004C4FE6">
        <w:rPr>
          <w:rFonts w:ascii="Gentium Basic" w:hAnsi="Gentium Basic" w:cs="Times New Roman"/>
        </w:rPr>
        <w:t xml:space="preserve">al-Maqrizi, </w:t>
      </w:r>
      <w:r w:rsidRPr="004C4FE6">
        <w:rPr>
          <w:rFonts w:ascii="Gentium Basic" w:hAnsi="Gentium Basic" w:cs="Times New Roman"/>
          <w:i/>
        </w:rPr>
        <w:t>Le Traité</w:t>
      </w:r>
      <w:r w:rsidRPr="004C4FE6">
        <w:rPr>
          <w:rFonts w:ascii="Gentium Basic" w:hAnsi="Gentium Basic" w:cs="Times New Roman"/>
        </w:rPr>
        <w:t xml:space="preserve">, 17; Lev, </w:t>
      </w:r>
      <w:r w:rsidRPr="004C4FE6">
        <w:rPr>
          <w:rFonts w:ascii="Gentium Basic" w:hAnsi="Gentium Basic" w:cs="Times New Roman"/>
          <w:i/>
        </w:rPr>
        <w:t>State</w:t>
      </w:r>
      <w:r w:rsidRPr="004C4FE6">
        <w:rPr>
          <w:rFonts w:ascii="Gentium Basic" w:hAnsi="Gentium Basic" w:cs="Times New Roman"/>
        </w:rPr>
        <w:t xml:space="preserve">, 169-170; Ibn Taghri Birdi, </w:t>
      </w:r>
      <w:r w:rsidRPr="004C4FE6">
        <w:rPr>
          <w:rFonts w:ascii="Gentium Basic" w:hAnsi="Gentium Basic" w:cs="Times New Roman"/>
          <w:i/>
        </w:rPr>
        <w:t>al-Nujum</w:t>
      </w:r>
      <w:r w:rsidRPr="004C4FE6">
        <w:rPr>
          <w:rFonts w:ascii="Gentium Basic" w:hAnsi="Gentium Basic" w:cs="Times New Roman"/>
        </w:rPr>
        <w:t>, vol. 5, 123.</w:t>
      </w:r>
    </w:p>
  </w:footnote>
  <w:footnote w:id="32">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Sanders, </w:t>
      </w:r>
      <w:r w:rsidRPr="004C4FE6">
        <w:rPr>
          <w:rFonts w:ascii="Gentium Basic" w:hAnsi="Gentium Basic" w:cs="Times New Roman"/>
          <w:i/>
          <w:sz w:val="22"/>
          <w:szCs w:val="22"/>
        </w:rPr>
        <w:t>Ritual</w:t>
      </w:r>
      <w:r w:rsidRPr="004C4FE6">
        <w:rPr>
          <w:rFonts w:ascii="Gentium Basic" w:hAnsi="Gentium Basic" w:cs="Times New Roman"/>
          <w:sz w:val="22"/>
          <w:szCs w:val="22"/>
        </w:rPr>
        <w:t>, 117.</w:t>
      </w:r>
    </w:p>
  </w:footnote>
  <w:footnote w:id="33">
    <w:p w:rsidR="00675726" w:rsidRPr="004C4FE6" w:rsidRDefault="00675726" w:rsidP="006D4166">
      <w:pPr>
        <w:autoSpaceDE w:val="0"/>
        <w:autoSpaceDN w:val="0"/>
        <w:adjustRightInd w:val="0"/>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w:t>
      </w:r>
      <w:r w:rsidR="001219E5">
        <w:rPr>
          <w:rFonts w:ascii="Gentium Basic" w:hAnsi="Gentium Basic" w:cs="Times New Roman"/>
        </w:rPr>
        <w:t>a</w:t>
      </w:r>
      <w:r w:rsidRPr="004C4FE6">
        <w:rPr>
          <w:rFonts w:ascii="Gentium Basic" w:hAnsi="Gentium Basic" w:cs="Times New Roman"/>
        </w:rPr>
        <w:t>l-Maqrizi’s</w:t>
      </w:r>
      <w:r w:rsidRPr="004C4FE6">
        <w:rPr>
          <w:rFonts w:ascii="Gentium Basic" w:eastAsia="Arial Unicode MS" w:hAnsi="Gentium Basic"/>
        </w:rPr>
        <w:t xml:space="preserve"> </w:t>
      </w:r>
      <w:r w:rsidRPr="004C4FE6">
        <w:rPr>
          <w:rFonts w:ascii="Gentium Basic" w:eastAsia="Arial Unicode MS" w:hAnsi="Gentium Basic"/>
          <w:i/>
        </w:rPr>
        <w:t xml:space="preserve">al-Mawa’iẓ wa’l-i‘tibar </w:t>
      </w:r>
      <w:r w:rsidRPr="004C4FE6">
        <w:rPr>
          <w:rFonts w:ascii="Gentium Basic" w:eastAsia="Arial Unicode MS" w:hAnsi="Gentium Basic"/>
        </w:rPr>
        <w:t>(</w:t>
      </w:r>
      <w:r w:rsidRPr="004C4FE6">
        <w:rPr>
          <w:rFonts w:ascii="Gentium Basic" w:eastAsia="Arial Unicode MS" w:hAnsi="Gentium Basic"/>
          <w:i/>
        </w:rPr>
        <w:t>Khiṭaṭ</w:t>
      </w:r>
      <w:r w:rsidRPr="004C4FE6">
        <w:rPr>
          <w:rFonts w:ascii="Gentium Basic" w:eastAsia="Arial Unicode MS" w:hAnsi="Gentium Basic"/>
        </w:rPr>
        <w:t>)</w:t>
      </w:r>
      <w:r w:rsidRPr="004C4FE6">
        <w:rPr>
          <w:rFonts w:ascii="Gentium Basic" w:hAnsi="Gentium Basic" w:cs="Times New Roman"/>
          <w:i/>
        </w:rPr>
        <w:t xml:space="preserve"> </w:t>
      </w:r>
      <w:r>
        <w:rPr>
          <w:rFonts w:ascii="Gentium Basic" w:hAnsi="Gentium Basic" w:cs="Times New Roman"/>
        </w:rPr>
        <w:t>is</w:t>
      </w:r>
      <w:r w:rsidRPr="004C4FE6">
        <w:rPr>
          <w:rFonts w:ascii="Gentium Basic" w:hAnsi="Gentium Basic" w:cs="Times New Roman"/>
        </w:rPr>
        <w:t xml:space="preserve"> the basis for Paula Sanders’s work on Fatimid ceremonials. </w:t>
      </w:r>
      <w:r>
        <w:rPr>
          <w:rFonts w:ascii="Gentium Basic" w:hAnsi="Gentium Basic" w:cs="Times New Roman"/>
        </w:rPr>
        <w:t>On</w:t>
      </w:r>
      <w:r w:rsidRPr="004C4FE6">
        <w:rPr>
          <w:rFonts w:ascii="Gentium Basic" w:hAnsi="Gentium Basic" w:cs="Times New Roman"/>
        </w:rPr>
        <w:t xml:space="preserve"> this ritual in Mamluk times </w:t>
      </w:r>
      <w:r>
        <w:rPr>
          <w:rFonts w:ascii="Gentium Basic" w:hAnsi="Gentium Basic" w:cs="Times New Roman"/>
        </w:rPr>
        <w:t xml:space="preserve">and </w:t>
      </w:r>
      <w:r w:rsidRPr="004C4FE6">
        <w:rPr>
          <w:rFonts w:ascii="Gentium Basic" w:hAnsi="Gentium Basic" w:cs="Times New Roman"/>
        </w:rPr>
        <w:t>o</w:t>
      </w:r>
      <w:r>
        <w:rPr>
          <w:rFonts w:ascii="Gentium Basic" w:hAnsi="Gentium Basic" w:cs="Times New Roman"/>
        </w:rPr>
        <w:t>ther</w:t>
      </w:r>
      <w:r w:rsidRPr="004C4FE6">
        <w:rPr>
          <w:rFonts w:ascii="Gentium Basic" w:hAnsi="Gentium Basic" w:cs="Times New Roman"/>
        </w:rPr>
        <w:t xml:space="preserve"> Nile</w:t>
      </w:r>
      <w:r>
        <w:rPr>
          <w:rFonts w:ascii="Gentium Basic" w:hAnsi="Gentium Basic" w:cs="Times New Roman"/>
        </w:rPr>
        <w:t>-related worship</w:t>
      </w:r>
      <w:r w:rsidRPr="004C4FE6">
        <w:rPr>
          <w:rFonts w:ascii="Gentium Basic" w:hAnsi="Gentium Basic" w:cs="Times New Roman"/>
        </w:rPr>
        <w:t xml:space="preserve"> see </w:t>
      </w:r>
      <w:r w:rsidRPr="004C4FE6">
        <w:rPr>
          <w:rFonts w:ascii="Gentium Basic" w:hAnsi="Gentium Basic" w:cs="Frutiger-Light"/>
        </w:rPr>
        <w:t>Frenkel, ‘Popular Culture</w:t>
      </w:r>
      <w:r>
        <w:rPr>
          <w:rFonts w:ascii="Gentium Basic" w:hAnsi="Gentium Basic" w:cs="Frutiger-Light"/>
        </w:rPr>
        <w:t>’,</w:t>
      </w:r>
      <w:r w:rsidRPr="004C4FE6">
        <w:rPr>
          <w:rFonts w:ascii="Gentium Basic" w:hAnsi="Gentium Basic" w:cs="Frutiger-Light"/>
        </w:rPr>
        <w:t xml:space="preserve"> 203-207. On Coptic Nile festivals </w:t>
      </w:r>
      <w:r>
        <w:rPr>
          <w:rFonts w:ascii="Gentium Basic" w:hAnsi="Gentium Basic" w:cs="Frutiger-Light"/>
        </w:rPr>
        <w:t>under</w:t>
      </w:r>
      <w:r w:rsidRPr="004C4FE6">
        <w:rPr>
          <w:rFonts w:ascii="Gentium Basic" w:hAnsi="Gentium Basic" w:cs="Frutiger-Light"/>
        </w:rPr>
        <w:t xml:space="preserve"> the Mamluk</w:t>
      </w:r>
      <w:r>
        <w:rPr>
          <w:rFonts w:ascii="Gentium Basic" w:hAnsi="Gentium Basic" w:cs="Frutiger-Light"/>
        </w:rPr>
        <w:t xml:space="preserve">s </w:t>
      </w:r>
      <w:r w:rsidRPr="004C4FE6">
        <w:rPr>
          <w:rFonts w:ascii="Gentium Basic" w:hAnsi="Gentium Basic" w:cs="Frutiger-Light"/>
        </w:rPr>
        <w:t xml:space="preserve">see </w:t>
      </w:r>
      <w:r w:rsidRPr="004C4FE6">
        <w:rPr>
          <w:rFonts w:ascii="Gentium Basic" w:hAnsi="Gentium Basic" w:cs="Bembo"/>
        </w:rPr>
        <w:t>Lutfi, ‘Coptic festivals</w:t>
      </w:r>
      <w:r>
        <w:rPr>
          <w:rFonts w:ascii="Gentium Basic" w:hAnsi="Gentium Basic" w:cs="Bembo"/>
        </w:rPr>
        <w:t>’</w:t>
      </w:r>
      <w:r w:rsidRPr="004C4FE6">
        <w:rPr>
          <w:rFonts w:ascii="Gentium Basic" w:hAnsi="Gentium Basic" w:cs="Bembo"/>
        </w:rPr>
        <w:t>, 269-273.</w:t>
      </w:r>
    </w:p>
  </w:footnote>
  <w:footnote w:id="34">
    <w:p w:rsidR="00675726" w:rsidRPr="004C4FE6" w:rsidRDefault="00675726" w:rsidP="006D4166">
      <w:pPr>
        <w:autoSpaceDE w:val="0"/>
        <w:autoSpaceDN w:val="0"/>
        <w:adjustRightInd w:val="0"/>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See Cooper, </w:t>
      </w:r>
      <w:r>
        <w:rPr>
          <w:rFonts w:ascii="Gentium Basic" w:hAnsi="Gentium Basic" w:cs="Times New Roman"/>
        </w:rPr>
        <w:t>‘</w:t>
      </w:r>
      <w:r w:rsidRPr="004C4FE6">
        <w:rPr>
          <w:rFonts w:ascii="Gentium Basic" w:hAnsi="Gentium Basic" w:cs="Times New Roman"/>
        </w:rPr>
        <w:t>The Assessment</w:t>
      </w:r>
      <w:r>
        <w:rPr>
          <w:rFonts w:ascii="Gentium Basic" w:hAnsi="Gentium Basic" w:cs="Times New Roman"/>
        </w:rPr>
        <w:t xml:space="preserve">’, </w:t>
      </w:r>
      <w:r w:rsidRPr="004C4FE6">
        <w:rPr>
          <w:rFonts w:ascii="Gentium Basic" w:hAnsi="Gentium Basic" w:cs="Times New Roman"/>
        </w:rPr>
        <w:t xml:space="preserve">365-382. See also </w:t>
      </w:r>
      <w:r w:rsidRPr="004C4FE6">
        <w:rPr>
          <w:rFonts w:ascii="Gentium Basic" w:eastAsia="Times New Roman" w:hAnsi="Gentium Basic" w:cs="Times New Roman"/>
          <w:lang w:eastAsia="en-GB"/>
        </w:rPr>
        <w:t xml:space="preserve">Ibn Ḥawqal, </w:t>
      </w:r>
      <w:r w:rsidRPr="004C4FE6">
        <w:rPr>
          <w:rFonts w:ascii="Gentium Basic" w:eastAsia="Times New Roman" w:hAnsi="Gentium Basic" w:cs="Times New Roman"/>
          <w:i/>
          <w:lang w:eastAsia="en-GB"/>
        </w:rPr>
        <w:t>Ṣurat al-arḍ</w:t>
      </w:r>
      <w:r w:rsidRPr="004C4FE6">
        <w:rPr>
          <w:rFonts w:ascii="Gentium Basic" w:eastAsia="Times New Roman" w:hAnsi="Gentium Basic" w:cs="Times New Roman"/>
          <w:lang w:eastAsia="en-GB"/>
        </w:rPr>
        <w:t>, 129-130.</w:t>
      </w:r>
    </w:p>
  </w:footnote>
  <w:footnote w:id="35">
    <w:p w:rsidR="00675726" w:rsidRPr="004C4FE6" w:rsidRDefault="00675726" w:rsidP="006D4166">
      <w:pPr>
        <w:autoSpaceDE w:val="0"/>
        <w:autoSpaceDN w:val="0"/>
        <w:adjustRightInd w:val="0"/>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This year consist</w:t>
      </w:r>
      <w:r w:rsidR="00774A9C">
        <w:rPr>
          <w:rFonts w:ascii="Gentium Basic" w:hAnsi="Gentium Basic" w:cs="Times New Roman"/>
        </w:rPr>
        <w:t>s</w:t>
      </w:r>
      <w:r w:rsidRPr="004C4FE6">
        <w:rPr>
          <w:rFonts w:ascii="Gentium Basic" w:hAnsi="Gentium Basic" w:cs="Times New Roman"/>
        </w:rPr>
        <w:t xml:space="preserve"> of</w:t>
      </w:r>
      <w:r w:rsidR="00774A9C">
        <w:rPr>
          <w:rFonts w:ascii="Gentium Basic" w:hAnsi="Gentium Basic" w:cs="Times New Roman"/>
        </w:rPr>
        <w:t xml:space="preserve"> 12 months and 30 days</w:t>
      </w:r>
      <w:r w:rsidRPr="004C4FE6">
        <w:rPr>
          <w:rFonts w:ascii="Gentium Basic" w:hAnsi="Gentium Basic" w:cs="Times New Roman"/>
        </w:rPr>
        <w:t xml:space="preserve"> and added periods of 5 days in three successive years and 6 days in the fourth year. Said, </w:t>
      </w:r>
      <w:r w:rsidRPr="004C4FE6">
        <w:rPr>
          <w:rFonts w:ascii="Gentium Basic" w:hAnsi="Gentium Basic" w:cs="Times New Roman"/>
          <w:i/>
        </w:rPr>
        <w:t>The River Nile</w:t>
      </w:r>
      <w:r w:rsidR="00774A9C">
        <w:rPr>
          <w:rFonts w:ascii="Gentium Basic" w:hAnsi="Gentium Basic" w:cs="Times New Roman"/>
        </w:rPr>
        <w:t>, p.160.</w:t>
      </w:r>
    </w:p>
  </w:footnote>
  <w:footnote w:id="36">
    <w:p w:rsidR="00675726" w:rsidRPr="00796163" w:rsidRDefault="00675726" w:rsidP="006D4166">
      <w:pPr>
        <w:spacing w:after="0" w:line="240" w:lineRule="auto"/>
        <w:rPr>
          <w:rFonts w:ascii="Gentium Basic" w:hAnsi="Gentium Basic" w:cs="Times New Roman"/>
        </w:rPr>
      </w:pPr>
      <w:r w:rsidRPr="00796163">
        <w:rPr>
          <w:rStyle w:val="FootnoteReference"/>
          <w:rFonts w:ascii="Gentium Basic" w:hAnsi="Gentium Basic" w:cs="Times New Roman"/>
        </w:rPr>
        <w:footnoteRef/>
      </w:r>
      <w:r w:rsidRPr="00796163">
        <w:rPr>
          <w:rFonts w:ascii="Gentium Basic" w:hAnsi="Gentium Basic" w:cs="Times New Roman"/>
        </w:rPr>
        <w:t xml:space="preserve"> For </w:t>
      </w:r>
      <w:r w:rsidRPr="00CB4DD7">
        <w:rPr>
          <w:rFonts w:ascii="Gentium Basic" w:eastAsia="Times New Roman" w:hAnsi="Gentium Basic" w:cs="Times New Roman"/>
          <w:lang w:eastAsia="en-GB"/>
        </w:rPr>
        <w:t>monthly taxation of crops in relation to cycles of the Nile</w:t>
      </w:r>
      <w:r w:rsidRPr="00796163">
        <w:rPr>
          <w:rFonts w:ascii="Gentium Basic" w:eastAsia="Times New Roman" w:hAnsi="Gentium Basic" w:cs="Times New Roman"/>
          <w:lang w:eastAsia="en-GB"/>
        </w:rPr>
        <w:t xml:space="preserve"> see Ibn Ḥawqal,</w:t>
      </w:r>
      <w:r w:rsidRPr="00796163">
        <w:rPr>
          <w:rFonts w:ascii="Gentium Basic" w:eastAsia="Times New Roman" w:hAnsi="Gentium Basic" w:cs="Times New Roman"/>
          <w:i/>
          <w:lang w:eastAsia="en-GB"/>
        </w:rPr>
        <w:t xml:space="preserve"> Ṣurat al-arḍ</w:t>
      </w:r>
      <w:r w:rsidR="00774A9C">
        <w:rPr>
          <w:rFonts w:ascii="Gentium Basic" w:eastAsia="Times New Roman" w:hAnsi="Gentium Basic" w:cs="Times New Roman"/>
          <w:lang w:eastAsia="en-GB"/>
        </w:rPr>
        <w:t>, 129-130.</w:t>
      </w:r>
    </w:p>
  </w:footnote>
  <w:footnote w:id="37">
    <w:p w:rsidR="00675726" w:rsidRPr="004C4FE6" w:rsidRDefault="00675726" w:rsidP="006D4166">
      <w:pPr>
        <w:spacing w:after="0" w:line="240" w:lineRule="auto"/>
        <w:rPr>
          <w:rFonts w:ascii="Gentium Basic" w:hAnsi="Gentium Basic" w:cs="Times New Roman"/>
        </w:rPr>
      </w:pPr>
      <w:r w:rsidRPr="004C4FE6">
        <w:rPr>
          <w:rStyle w:val="FootnoteReference"/>
          <w:rFonts w:ascii="Gentium Basic" w:hAnsi="Gentium Basic" w:cs="Times New Roman"/>
        </w:rPr>
        <w:footnoteRef/>
      </w:r>
      <w:r w:rsidR="001219E5">
        <w:rPr>
          <w:rFonts w:ascii="Gentium Basic" w:hAnsi="Gentium Basic" w:cs="Times New Roman"/>
        </w:rPr>
        <w:t xml:space="preserve"> a</w:t>
      </w:r>
      <w:r w:rsidRPr="004C4FE6">
        <w:rPr>
          <w:rFonts w:ascii="Gentium Basic" w:hAnsi="Gentium Basic" w:cs="Times New Roman"/>
        </w:rPr>
        <w:t xml:space="preserve">l-Muqaddasi, </w:t>
      </w:r>
      <w:r w:rsidRPr="004C4FE6">
        <w:rPr>
          <w:rFonts w:ascii="Gentium Basic" w:hAnsi="Gentium Basic" w:cs="Times New Roman"/>
          <w:i/>
        </w:rPr>
        <w:t xml:space="preserve">The Best Division, </w:t>
      </w:r>
      <w:r w:rsidRPr="004C4FE6">
        <w:rPr>
          <w:rFonts w:ascii="Gentium Basic" w:hAnsi="Gentium Basic" w:cs="Times New Roman"/>
        </w:rPr>
        <w:t xml:space="preserve">179-180. See also Sanders, </w:t>
      </w:r>
      <w:r w:rsidRPr="004C4FE6">
        <w:rPr>
          <w:rFonts w:ascii="Gentium Basic" w:hAnsi="Gentium Basic" w:cs="Times New Roman"/>
          <w:i/>
        </w:rPr>
        <w:t>Ritual,</w:t>
      </w:r>
      <w:r w:rsidRPr="004C4FE6">
        <w:rPr>
          <w:rFonts w:ascii="Gentium Basic" w:hAnsi="Gentium Basic" w:cs="Times New Roman"/>
        </w:rPr>
        <w:t xml:space="preserve"> 99;</w:t>
      </w:r>
      <w:r w:rsidRPr="004C4FE6">
        <w:rPr>
          <w:rFonts w:ascii="Gentium Basic" w:eastAsia="Times New Roman" w:hAnsi="Gentium Basic" w:cs="Times New Roman"/>
          <w:lang w:eastAsia="en-GB"/>
        </w:rPr>
        <w:t xml:space="preserve"> Naṣir-i Khusraw, </w:t>
      </w:r>
      <w:r w:rsidRPr="004C4FE6">
        <w:rPr>
          <w:rFonts w:ascii="Gentium Basic" w:hAnsi="Gentium Basic" w:cs="Times New Roman"/>
          <w:i/>
        </w:rPr>
        <w:t>Sefer nameh</w:t>
      </w:r>
      <w:r w:rsidRPr="004C4FE6">
        <w:rPr>
          <w:rFonts w:ascii="Gentium Basic" w:eastAsia="Times New Roman" w:hAnsi="Gentium Basic" w:cs="Times New Roman"/>
          <w:lang w:eastAsia="en-GB"/>
        </w:rPr>
        <w:t>, 115-119.</w:t>
      </w:r>
    </w:p>
  </w:footnote>
  <w:footnote w:id="38">
    <w:p w:rsidR="00675726" w:rsidRPr="004C4FE6" w:rsidRDefault="00675726" w:rsidP="006D4166">
      <w:pPr>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Cf. Ibn Abi Uṣaybi‘a, ‘</w:t>
      </w:r>
      <w:r w:rsidRPr="004C4FE6">
        <w:rPr>
          <w:rFonts w:ascii="Gentium Basic" w:hAnsi="Gentium Basic" w:cs="Times New Roman"/>
          <w:i/>
        </w:rPr>
        <w:t>Uyun</w:t>
      </w:r>
      <w:r w:rsidRPr="004C4FE6">
        <w:rPr>
          <w:rFonts w:ascii="Gentium Basic" w:hAnsi="Gentium Basic" w:cs="Times New Roman"/>
        </w:rPr>
        <w:t xml:space="preserve">, 90-91 and [Ibn al-Qifṭi], </w:t>
      </w:r>
      <w:r w:rsidR="00261DCF">
        <w:rPr>
          <w:rFonts w:ascii="Gentium Basic" w:hAnsi="Gentium Basic" w:cs="Times New Roman"/>
          <w:i/>
        </w:rPr>
        <w:t>Ta’rikh</w:t>
      </w:r>
      <w:r w:rsidR="00774A9C">
        <w:rPr>
          <w:rFonts w:ascii="Gentium Basic" w:hAnsi="Gentium Basic" w:cs="Times New Roman"/>
        </w:rPr>
        <w:t>, 166-167.</w:t>
      </w:r>
    </w:p>
  </w:footnote>
  <w:footnote w:id="39">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eastAsia="Times New Roman" w:hAnsi="Gentium Basic" w:cs="Times New Roman"/>
          <w:sz w:val="22"/>
          <w:szCs w:val="22"/>
          <w:lang w:eastAsia="en-GB"/>
        </w:rPr>
        <w:t xml:space="preserve">Naṣir-i Khusraw, </w:t>
      </w:r>
      <w:r w:rsidRPr="004C4FE6">
        <w:rPr>
          <w:rFonts w:ascii="Gentium Basic" w:hAnsi="Gentium Basic" w:cs="Times New Roman"/>
          <w:i/>
          <w:sz w:val="22"/>
          <w:szCs w:val="22"/>
        </w:rPr>
        <w:t>Sefer nameh</w:t>
      </w:r>
      <w:r w:rsidRPr="004C4FE6">
        <w:rPr>
          <w:rFonts w:ascii="Gentium Basic" w:eastAsia="Times New Roman" w:hAnsi="Gentium Basic" w:cs="Times New Roman"/>
          <w:sz w:val="22"/>
          <w:szCs w:val="22"/>
          <w:lang w:eastAsia="en-GB"/>
        </w:rPr>
        <w:t>, 118.</w:t>
      </w:r>
    </w:p>
  </w:footnote>
  <w:footnote w:id="40">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Cf. Goitein, </w:t>
      </w:r>
      <w:r w:rsidRPr="004C4FE6">
        <w:rPr>
          <w:rFonts w:ascii="Gentium Basic" w:hAnsi="Gentium Basic" w:cs="Times New Roman"/>
          <w:i/>
          <w:sz w:val="22"/>
          <w:szCs w:val="22"/>
        </w:rPr>
        <w:t>A Mediterranean Society</w:t>
      </w:r>
      <w:r w:rsidRPr="004C4FE6">
        <w:rPr>
          <w:rFonts w:ascii="Gentium Basic" w:hAnsi="Gentium Basic" w:cs="Times New Roman"/>
          <w:sz w:val="22"/>
          <w:szCs w:val="22"/>
        </w:rPr>
        <w:t>, vol. 1, 295-31.</w:t>
      </w:r>
    </w:p>
  </w:footnote>
  <w:footnote w:id="41">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Sijpesteijn, </w:t>
      </w:r>
      <w:r w:rsidRPr="004C4FE6">
        <w:rPr>
          <w:rFonts w:ascii="Gentium Basic" w:hAnsi="Gentium Basic" w:cs="Times New Roman"/>
          <w:i/>
          <w:sz w:val="22"/>
          <w:szCs w:val="22"/>
        </w:rPr>
        <w:t>Shaping</w:t>
      </w:r>
      <w:r w:rsidRPr="004C4FE6">
        <w:rPr>
          <w:rFonts w:ascii="Gentium Basic" w:hAnsi="Gentium Basic" w:cs="Times New Roman"/>
          <w:sz w:val="22"/>
          <w:szCs w:val="22"/>
        </w:rPr>
        <w:t>, 29 and Sijpestteijn, ‘Travel’, 128.</w:t>
      </w:r>
    </w:p>
  </w:footnote>
  <w:footnote w:id="42">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w:t>
      </w:r>
      <w:r>
        <w:rPr>
          <w:rFonts w:ascii="Gentium Basic" w:hAnsi="Gentium Basic" w:cs="Times New Roman"/>
          <w:sz w:val="22"/>
          <w:szCs w:val="22"/>
        </w:rPr>
        <w:t>Cf.</w:t>
      </w:r>
      <w:r w:rsidRPr="004C4FE6">
        <w:rPr>
          <w:rFonts w:ascii="Gentium Basic" w:hAnsi="Gentium Basic" w:cs="Times New Roman"/>
          <w:sz w:val="22"/>
          <w:szCs w:val="22"/>
        </w:rPr>
        <w:t xml:space="preserve"> </w:t>
      </w:r>
      <w:r w:rsidRPr="004C4FE6">
        <w:rPr>
          <w:rFonts w:ascii="Gentium Basic" w:eastAsia="Times New Roman" w:hAnsi="Gentium Basic" w:cs="Times New Roman"/>
          <w:sz w:val="22"/>
          <w:szCs w:val="22"/>
          <w:lang w:eastAsia="en-GB"/>
        </w:rPr>
        <w:t xml:space="preserve">Ibn Ḥawqal, </w:t>
      </w:r>
      <w:r w:rsidRPr="004C4FE6">
        <w:rPr>
          <w:rFonts w:ascii="Gentium Basic" w:eastAsia="Times New Roman" w:hAnsi="Gentium Basic" w:cs="Times New Roman"/>
          <w:i/>
          <w:sz w:val="22"/>
          <w:szCs w:val="22"/>
          <w:lang w:eastAsia="en-GB"/>
        </w:rPr>
        <w:t>Ṣurat al-arḍ</w:t>
      </w:r>
      <w:r w:rsidRPr="004C4FE6">
        <w:rPr>
          <w:rFonts w:ascii="Gentium Basic" w:eastAsia="Times New Roman" w:hAnsi="Gentium Basic" w:cs="Times New Roman"/>
          <w:sz w:val="22"/>
          <w:szCs w:val="22"/>
          <w:lang w:eastAsia="en-GB"/>
        </w:rPr>
        <w:t xml:space="preserve">, 149. </w:t>
      </w:r>
      <w:r w:rsidRPr="004C4FE6">
        <w:rPr>
          <w:rFonts w:ascii="Gentium Basic" w:hAnsi="Gentium Basic" w:cs="Times New Roman"/>
          <w:sz w:val="22"/>
          <w:szCs w:val="22"/>
        </w:rPr>
        <w:t>See also Power, ‘The Expansion</w:t>
      </w:r>
      <w:r>
        <w:rPr>
          <w:rFonts w:ascii="Gentium Basic" w:hAnsi="Gentium Basic" w:cs="Times New Roman"/>
          <w:sz w:val="22"/>
          <w:szCs w:val="22"/>
        </w:rPr>
        <w:t>’</w:t>
      </w:r>
      <w:r w:rsidRPr="004C4FE6">
        <w:rPr>
          <w:rFonts w:ascii="Gentium Basic" w:hAnsi="Gentium Basic" w:cs="Times New Roman"/>
          <w:sz w:val="22"/>
          <w:szCs w:val="22"/>
        </w:rPr>
        <w:t>, 114.</w:t>
      </w:r>
    </w:p>
  </w:footnote>
  <w:footnote w:id="43">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w:t>
      </w:r>
      <w:r>
        <w:rPr>
          <w:rFonts w:ascii="Gentium Basic" w:hAnsi="Gentium Basic" w:cs="Times New Roman"/>
        </w:rPr>
        <w:t>S</w:t>
      </w:r>
      <w:r w:rsidRPr="004C4FE6">
        <w:rPr>
          <w:rFonts w:ascii="Gentium Basic" w:hAnsi="Gentium Basic" w:cs="Times New Roman"/>
        </w:rPr>
        <w:t xml:space="preserve">ee Sanders, </w:t>
      </w:r>
      <w:r w:rsidRPr="004C4FE6">
        <w:rPr>
          <w:rFonts w:ascii="Gentium Basic" w:hAnsi="Gentium Basic" w:cs="Times New Roman"/>
          <w:i/>
        </w:rPr>
        <w:t>Ritual</w:t>
      </w:r>
      <w:r w:rsidRPr="004C4FE6">
        <w:rPr>
          <w:rFonts w:ascii="Gentium Basic" w:hAnsi="Gentium Basic" w:cs="Times New Roman"/>
        </w:rPr>
        <w:t>, 99-110.</w:t>
      </w:r>
      <w:r>
        <w:rPr>
          <w:rFonts w:ascii="Gentium Basic" w:hAnsi="Gentium Basic" w:cs="Times New Roman"/>
        </w:rPr>
        <w:t xml:space="preserve"> </w:t>
      </w:r>
      <w:r w:rsidRPr="004C4FE6">
        <w:rPr>
          <w:rFonts w:ascii="Gentium Basic" w:hAnsi="Gentium Basic" w:cs="Times New Roman"/>
        </w:rPr>
        <w:t xml:space="preserve">On </w:t>
      </w:r>
      <w:r>
        <w:rPr>
          <w:rFonts w:ascii="Gentium Basic" w:hAnsi="Gentium Basic" w:cs="Times New Roman"/>
        </w:rPr>
        <w:t xml:space="preserve">pre-Fatimid </w:t>
      </w:r>
      <w:r w:rsidRPr="004C4FE6">
        <w:rPr>
          <w:rFonts w:ascii="Gentium Basic" w:hAnsi="Gentium Basic" w:cs="Times New Roman"/>
        </w:rPr>
        <w:t xml:space="preserve">water management see Sijpestteijn, </w:t>
      </w:r>
      <w:r w:rsidRPr="004C4FE6">
        <w:rPr>
          <w:rFonts w:ascii="Gentium Basic" w:hAnsi="Gentium Basic" w:cs="Times New Roman"/>
          <w:i/>
        </w:rPr>
        <w:t>Shaping,</w:t>
      </w:r>
      <w:r w:rsidRPr="004C4FE6">
        <w:rPr>
          <w:rFonts w:ascii="Gentium Basic" w:hAnsi="Gentium Basic" w:cs="Times New Roman"/>
        </w:rPr>
        <w:t xml:space="preserve"> 21-24.</w:t>
      </w:r>
    </w:p>
  </w:footnote>
  <w:footnote w:id="44">
    <w:p w:rsidR="00675726" w:rsidRPr="004C4FE6" w:rsidRDefault="00675726" w:rsidP="006D4166">
      <w:pPr>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w:t>
      </w:r>
      <w:r w:rsidRPr="004C4FE6">
        <w:rPr>
          <w:rFonts w:ascii="Gentium Basic" w:eastAsia="Times New Roman" w:hAnsi="Gentium Basic" w:cs="Times New Roman"/>
          <w:lang w:eastAsia="en-GB"/>
        </w:rPr>
        <w:t xml:space="preserve">Naṣir-i Khusraw, </w:t>
      </w:r>
      <w:r w:rsidRPr="004C4FE6">
        <w:rPr>
          <w:rFonts w:ascii="Gentium Basic" w:hAnsi="Gentium Basic" w:cs="Times New Roman"/>
          <w:i/>
        </w:rPr>
        <w:t>Sefer nameh</w:t>
      </w:r>
      <w:r w:rsidRPr="004C4FE6">
        <w:rPr>
          <w:rFonts w:ascii="Gentium Basic" w:eastAsia="Times New Roman" w:hAnsi="Gentium Basic" w:cs="Times New Roman"/>
          <w:lang w:eastAsia="en-GB"/>
        </w:rPr>
        <w:t>, 136-142.</w:t>
      </w:r>
    </w:p>
  </w:footnote>
  <w:footnote w:id="45">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00261DCF">
        <w:rPr>
          <w:rFonts w:ascii="Gentium Basic" w:eastAsia="Times New Roman" w:hAnsi="Gentium Basic" w:cs="Times New Roman"/>
          <w:sz w:val="22"/>
          <w:szCs w:val="22"/>
          <w:lang w:eastAsia="en-GB"/>
        </w:rPr>
        <w:t xml:space="preserve"> Translated from French,</w:t>
      </w:r>
      <w:r w:rsidRPr="004C4FE6">
        <w:rPr>
          <w:rFonts w:ascii="Gentium Basic" w:eastAsia="Times New Roman" w:hAnsi="Gentium Basic" w:cs="Times New Roman"/>
          <w:sz w:val="22"/>
          <w:szCs w:val="22"/>
          <w:lang w:eastAsia="en-GB"/>
        </w:rPr>
        <w:t xml:space="preserve"> Naṣir-i Khusraw, </w:t>
      </w:r>
      <w:r w:rsidRPr="004C4FE6">
        <w:rPr>
          <w:rFonts w:ascii="Gentium Basic" w:hAnsi="Gentium Basic" w:cs="Times New Roman"/>
          <w:i/>
          <w:sz w:val="22"/>
          <w:szCs w:val="22"/>
        </w:rPr>
        <w:t>Sefer nameh</w:t>
      </w:r>
      <w:r w:rsidR="0022585D">
        <w:rPr>
          <w:rFonts w:ascii="Gentium Basic" w:eastAsia="Times New Roman" w:hAnsi="Gentium Basic" w:cs="Times New Roman"/>
          <w:sz w:val="22"/>
          <w:szCs w:val="22"/>
          <w:lang w:eastAsia="en-GB"/>
        </w:rPr>
        <w:t>, 141-142.</w:t>
      </w:r>
    </w:p>
  </w:footnote>
  <w:footnote w:id="46">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Cf. Lutfi, ‘Coptic festivals’, 280-282 and Rapoport </w:t>
      </w:r>
      <w:r>
        <w:rPr>
          <w:rFonts w:ascii="Gentium Basic" w:hAnsi="Gentium Basic" w:cs="Times New Roman"/>
        </w:rPr>
        <w:t xml:space="preserve">et al. </w:t>
      </w:r>
      <w:r w:rsidRPr="004C4FE6">
        <w:rPr>
          <w:rFonts w:ascii="Gentium Basic" w:hAnsi="Gentium Basic" w:cs="Times New Roman"/>
        </w:rPr>
        <w:t xml:space="preserve">, </w:t>
      </w:r>
      <w:r w:rsidRPr="004C4FE6">
        <w:rPr>
          <w:rFonts w:ascii="Gentium Basic" w:hAnsi="Gentium Basic" w:cs="Times New Roman"/>
          <w:i/>
        </w:rPr>
        <w:t>An Eleven-Centu</w:t>
      </w:r>
      <w:r>
        <w:rPr>
          <w:rFonts w:ascii="Gentium Basic" w:hAnsi="Gentium Basic" w:cs="Times New Roman"/>
          <w:i/>
        </w:rPr>
        <w:t>ry</w:t>
      </w:r>
      <w:r w:rsidRPr="004C4FE6">
        <w:rPr>
          <w:rFonts w:ascii="Gentium Basic" w:hAnsi="Gentium Basic" w:cs="Times New Roman"/>
        </w:rPr>
        <w:t xml:space="preserve">, 473; see also al-Muqaddasi, </w:t>
      </w:r>
      <w:r w:rsidRPr="004C4FE6">
        <w:rPr>
          <w:rFonts w:ascii="Gentium Basic" w:hAnsi="Gentium Basic" w:cs="Times New Roman"/>
          <w:i/>
        </w:rPr>
        <w:t xml:space="preserve">The Best Division, </w:t>
      </w:r>
      <w:r w:rsidR="0022585D">
        <w:rPr>
          <w:rFonts w:ascii="Gentium Basic" w:hAnsi="Gentium Basic" w:cs="Times New Roman"/>
        </w:rPr>
        <w:t>178.</w:t>
      </w:r>
    </w:p>
  </w:footnote>
  <w:footnote w:id="47">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w:t>
      </w:r>
      <w:r>
        <w:rPr>
          <w:rFonts w:ascii="Gentium Basic" w:hAnsi="Gentium Basic" w:cs="Times New Roman"/>
          <w:sz w:val="22"/>
          <w:szCs w:val="22"/>
        </w:rPr>
        <w:t xml:space="preserve">On </w:t>
      </w:r>
      <w:r w:rsidRPr="004C4FE6">
        <w:rPr>
          <w:rFonts w:ascii="Gentium Basic" w:hAnsi="Gentium Basic" w:cs="Times New Roman"/>
          <w:sz w:val="22"/>
          <w:szCs w:val="22"/>
        </w:rPr>
        <w:t xml:space="preserve">the </w:t>
      </w:r>
      <w:r w:rsidRPr="004C4FE6">
        <w:rPr>
          <w:rFonts w:ascii="Gentium Basic" w:hAnsi="Gentium Basic" w:cs="Times New Roman"/>
          <w:i/>
          <w:sz w:val="22"/>
          <w:szCs w:val="22"/>
        </w:rPr>
        <w:t>shidda</w:t>
      </w:r>
      <w:r w:rsidRPr="004C4FE6">
        <w:rPr>
          <w:rFonts w:ascii="Gentium Basic" w:hAnsi="Gentium Basic" w:cs="Times New Roman"/>
          <w:sz w:val="22"/>
          <w:szCs w:val="22"/>
        </w:rPr>
        <w:t xml:space="preserve"> see Ellenblum, </w:t>
      </w:r>
      <w:r w:rsidRPr="004C4FE6">
        <w:rPr>
          <w:rFonts w:ascii="Gentium Basic" w:hAnsi="Gentium Basic" w:cs="Times New Roman"/>
          <w:i/>
          <w:sz w:val="22"/>
          <w:szCs w:val="22"/>
        </w:rPr>
        <w:t xml:space="preserve">The collapse, </w:t>
      </w:r>
      <w:r w:rsidRPr="004C4FE6">
        <w:rPr>
          <w:rFonts w:ascii="Gentium Basic" w:hAnsi="Gentium Basic" w:cs="Times New Roman"/>
          <w:sz w:val="22"/>
          <w:szCs w:val="22"/>
        </w:rPr>
        <w:t>147-154.</w:t>
      </w:r>
    </w:p>
  </w:footnote>
  <w:footnote w:id="48">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al-Maqrizi, </w:t>
      </w:r>
      <w:r w:rsidRPr="004C4FE6">
        <w:rPr>
          <w:rFonts w:ascii="Gentium Basic" w:hAnsi="Gentium Basic" w:cs="Times New Roman"/>
          <w:i/>
        </w:rPr>
        <w:t>Le Traité</w:t>
      </w:r>
      <w:r w:rsidRPr="004C4FE6">
        <w:rPr>
          <w:rFonts w:ascii="Gentium Basic" w:hAnsi="Gentium Basic" w:cs="Times New Roman"/>
        </w:rPr>
        <w:t>, 17-18. See also Bianquis, ‘Une Crise’, 67-101.</w:t>
      </w:r>
    </w:p>
  </w:footnote>
  <w:footnote w:id="49">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al-Maqrizi, </w:t>
      </w:r>
      <w:r w:rsidRPr="004C4FE6">
        <w:rPr>
          <w:rFonts w:ascii="Gentium Basic" w:hAnsi="Gentium Basic" w:cs="Times New Roman"/>
          <w:i/>
        </w:rPr>
        <w:t>Le Traité</w:t>
      </w:r>
      <w:r w:rsidR="00087DFB">
        <w:rPr>
          <w:rFonts w:ascii="Gentium Basic" w:hAnsi="Gentium Basic" w:cs="Times New Roman"/>
          <w:i/>
        </w:rPr>
        <w:t>,</w:t>
      </w:r>
      <w:r w:rsidRPr="004C4FE6">
        <w:rPr>
          <w:rFonts w:ascii="Gentium Basic" w:hAnsi="Gentium Basic" w:cs="Times New Roman"/>
        </w:rPr>
        <w:t xml:space="preserve"> 22.</w:t>
      </w:r>
    </w:p>
  </w:footnote>
  <w:footnote w:id="50">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w:t>
      </w:r>
      <w:r>
        <w:rPr>
          <w:rFonts w:ascii="Gentium Basic" w:hAnsi="Gentium Basic" w:cs="Times New Roman"/>
          <w:sz w:val="22"/>
          <w:szCs w:val="22"/>
        </w:rPr>
        <w:t>O</w:t>
      </w:r>
      <w:r w:rsidRPr="004C4FE6">
        <w:rPr>
          <w:rFonts w:ascii="Gentium Basic" w:hAnsi="Gentium Basic" w:cs="Times New Roman"/>
          <w:sz w:val="22"/>
          <w:szCs w:val="22"/>
        </w:rPr>
        <w:t xml:space="preserve">n the agricultural </w:t>
      </w:r>
      <w:r>
        <w:rPr>
          <w:rFonts w:ascii="Gentium Basic" w:hAnsi="Gentium Basic" w:cs="Times New Roman"/>
          <w:sz w:val="22"/>
          <w:szCs w:val="22"/>
        </w:rPr>
        <w:t xml:space="preserve">changes brought </w:t>
      </w:r>
      <w:r w:rsidRPr="004C4FE6">
        <w:rPr>
          <w:rFonts w:ascii="Gentium Basic" w:hAnsi="Gentium Basic" w:cs="Times New Roman"/>
          <w:sz w:val="22"/>
          <w:szCs w:val="22"/>
        </w:rPr>
        <w:t xml:space="preserve">by the Arabs see Watson, </w:t>
      </w:r>
      <w:r w:rsidRPr="004C4FE6">
        <w:rPr>
          <w:rFonts w:ascii="Gentium Basic" w:hAnsi="Gentium Basic" w:cs="Times New Roman"/>
          <w:i/>
          <w:sz w:val="22"/>
          <w:szCs w:val="22"/>
        </w:rPr>
        <w:t>Agricultural innovation</w:t>
      </w:r>
      <w:r w:rsidRPr="004C4FE6">
        <w:rPr>
          <w:rFonts w:ascii="Gentium Basic" w:hAnsi="Gentium Basic" w:cs="Times New Roman"/>
          <w:sz w:val="22"/>
          <w:szCs w:val="22"/>
        </w:rPr>
        <w:t>, 40</w:t>
      </w:r>
      <w:r>
        <w:rPr>
          <w:rFonts w:ascii="Gentium Basic" w:hAnsi="Gentium Basic" w:cs="Times New Roman"/>
          <w:sz w:val="22"/>
          <w:szCs w:val="22"/>
        </w:rPr>
        <w:t xml:space="preserve">. </w:t>
      </w:r>
      <w:r w:rsidRPr="004C4FE6">
        <w:rPr>
          <w:rFonts w:ascii="Gentium Basic" w:hAnsi="Gentium Basic" w:cs="Times New Roman"/>
          <w:sz w:val="22"/>
          <w:szCs w:val="22"/>
        </w:rPr>
        <w:t xml:space="preserve">On the flax-based economy </w:t>
      </w:r>
      <w:r>
        <w:rPr>
          <w:rFonts w:ascii="Gentium Basic" w:hAnsi="Gentium Basic" w:cs="Times New Roman"/>
          <w:sz w:val="22"/>
          <w:szCs w:val="22"/>
        </w:rPr>
        <w:t>of</w:t>
      </w:r>
      <w:r w:rsidRPr="004C4FE6">
        <w:rPr>
          <w:rFonts w:ascii="Gentium Basic" w:hAnsi="Gentium Basic" w:cs="Times New Roman"/>
          <w:sz w:val="22"/>
          <w:szCs w:val="22"/>
        </w:rPr>
        <w:t xml:space="preserve"> Egypt see Franz-Murphy, ‘A New Interpretation</w:t>
      </w:r>
      <w:r>
        <w:rPr>
          <w:rFonts w:ascii="Gentium Basic" w:hAnsi="Gentium Basic" w:cs="Times New Roman"/>
          <w:sz w:val="22"/>
          <w:szCs w:val="22"/>
        </w:rPr>
        <w:t xml:space="preserve">’, </w:t>
      </w:r>
      <w:r w:rsidRPr="004C4FE6">
        <w:rPr>
          <w:rFonts w:ascii="Gentium Basic" w:hAnsi="Gentium Basic" w:cs="Times New Roman"/>
          <w:sz w:val="22"/>
          <w:szCs w:val="22"/>
        </w:rPr>
        <w:t>274-97.</w:t>
      </w:r>
    </w:p>
  </w:footnote>
  <w:footnote w:id="51">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w:t>
      </w:r>
      <w:r>
        <w:rPr>
          <w:rFonts w:ascii="Gentium Basic" w:hAnsi="Gentium Basic" w:cs="Times New Roman"/>
          <w:sz w:val="22"/>
          <w:szCs w:val="22"/>
        </w:rPr>
        <w:t>On</w:t>
      </w:r>
      <w:r w:rsidRPr="004C4FE6">
        <w:rPr>
          <w:rFonts w:ascii="Gentium Basic" w:hAnsi="Gentium Basic" w:cs="Times New Roman"/>
          <w:sz w:val="22"/>
          <w:szCs w:val="22"/>
        </w:rPr>
        <w:t xml:space="preserve"> Fatimid</w:t>
      </w:r>
      <w:r>
        <w:rPr>
          <w:rFonts w:ascii="Gentium Basic" w:hAnsi="Gentium Basic" w:cs="Times New Roman"/>
          <w:sz w:val="22"/>
          <w:szCs w:val="22"/>
        </w:rPr>
        <w:t xml:space="preserve"> </w:t>
      </w:r>
      <w:r w:rsidRPr="004C4FE6">
        <w:rPr>
          <w:rFonts w:ascii="Gentium Basic" w:hAnsi="Gentium Basic" w:cs="Times New Roman"/>
          <w:sz w:val="22"/>
          <w:szCs w:val="22"/>
        </w:rPr>
        <w:t xml:space="preserve">grain </w:t>
      </w:r>
      <w:r>
        <w:rPr>
          <w:rFonts w:ascii="Gentium Basic" w:hAnsi="Gentium Basic" w:cs="Times New Roman"/>
          <w:sz w:val="22"/>
          <w:szCs w:val="22"/>
        </w:rPr>
        <w:t xml:space="preserve">management </w:t>
      </w:r>
      <w:r w:rsidR="00087DFB">
        <w:rPr>
          <w:rFonts w:ascii="Gentium Basic" w:hAnsi="Gentium Basic" w:cs="Times New Roman"/>
          <w:sz w:val="22"/>
          <w:szCs w:val="22"/>
        </w:rPr>
        <w:t>see Shoshan, ‘Fat</w:t>
      </w:r>
      <w:r w:rsidRPr="004C4FE6">
        <w:rPr>
          <w:rFonts w:ascii="Gentium Basic" w:hAnsi="Gentium Basic" w:cs="Times New Roman"/>
          <w:sz w:val="22"/>
          <w:szCs w:val="22"/>
        </w:rPr>
        <w:t>imid Grain</w:t>
      </w:r>
      <w:r>
        <w:rPr>
          <w:rFonts w:ascii="Gentium Basic" w:hAnsi="Gentium Basic" w:cs="Times New Roman"/>
          <w:sz w:val="22"/>
          <w:szCs w:val="22"/>
        </w:rPr>
        <w:t>’,</w:t>
      </w:r>
      <w:r w:rsidRPr="004C4FE6">
        <w:rPr>
          <w:rFonts w:ascii="Gentium Basic" w:hAnsi="Gentium Basic" w:cs="Times New Roman"/>
          <w:sz w:val="22"/>
          <w:szCs w:val="22"/>
        </w:rPr>
        <w:t xml:space="preserve"> 181-189, in particular 186. </w:t>
      </w:r>
      <w:r>
        <w:rPr>
          <w:rFonts w:ascii="Gentium Basic" w:hAnsi="Gentium Basic" w:cs="Times New Roman"/>
          <w:sz w:val="22"/>
          <w:szCs w:val="22"/>
        </w:rPr>
        <w:t>On</w:t>
      </w:r>
      <w:r w:rsidRPr="004C4FE6">
        <w:rPr>
          <w:rFonts w:ascii="Gentium Basic" w:hAnsi="Gentium Basic" w:cs="Times New Roman"/>
          <w:sz w:val="22"/>
          <w:szCs w:val="22"/>
        </w:rPr>
        <w:t xml:space="preserve"> flax </w:t>
      </w:r>
      <w:r w:rsidR="00087DFB">
        <w:rPr>
          <w:rFonts w:ascii="Gentium Basic" w:hAnsi="Gentium Basic" w:cs="Times New Roman"/>
          <w:sz w:val="22"/>
          <w:szCs w:val="22"/>
        </w:rPr>
        <w:t xml:space="preserve">in Upper Egypt </w:t>
      </w:r>
      <w:r>
        <w:rPr>
          <w:rFonts w:ascii="Gentium Basic" w:hAnsi="Gentium Basic" w:cs="Times New Roman"/>
          <w:sz w:val="22"/>
          <w:szCs w:val="22"/>
        </w:rPr>
        <w:t xml:space="preserve">see </w:t>
      </w:r>
      <w:r w:rsidRPr="004C4FE6">
        <w:rPr>
          <w:rFonts w:ascii="Gentium Basic" w:hAnsi="Gentium Basic" w:cs="Times New Roman"/>
          <w:sz w:val="22"/>
          <w:szCs w:val="22"/>
        </w:rPr>
        <w:t>Franz-Murphy, ‘A New Interpretation’, 288.</w:t>
      </w:r>
    </w:p>
  </w:footnote>
  <w:footnote w:id="52">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On </w:t>
      </w:r>
      <w:r>
        <w:rPr>
          <w:rFonts w:ascii="Gentium Basic" w:hAnsi="Gentium Basic" w:cs="Times New Roman"/>
          <w:sz w:val="22"/>
          <w:szCs w:val="22"/>
        </w:rPr>
        <w:t>sugar</w:t>
      </w:r>
      <w:r w:rsidRPr="004C4FE6">
        <w:rPr>
          <w:rFonts w:ascii="Gentium Basic" w:hAnsi="Gentium Basic" w:cs="Times New Roman"/>
          <w:sz w:val="22"/>
          <w:szCs w:val="22"/>
        </w:rPr>
        <w:t xml:space="preserve"> cane in </w:t>
      </w:r>
      <w:r>
        <w:rPr>
          <w:rFonts w:ascii="Gentium Basic" w:hAnsi="Gentium Basic" w:cs="Times New Roman"/>
          <w:sz w:val="22"/>
          <w:szCs w:val="22"/>
        </w:rPr>
        <w:t xml:space="preserve">Fatimid </w:t>
      </w:r>
      <w:r w:rsidRPr="004C4FE6">
        <w:rPr>
          <w:rFonts w:ascii="Gentium Basic" w:hAnsi="Gentium Basic" w:cs="Times New Roman"/>
          <w:sz w:val="22"/>
          <w:szCs w:val="22"/>
        </w:rPr>
        <w:t>Egypt</w:t>
      </w:r>
      <w:r>
        <w:rPr>
          <w:rFonts w:ascii="Gentium Basic" w:hAnsi="Gentium Basic" w:cs="Times New Roman"/>
          <w:sz w:val="22"/>
          <w:szCs w:val="22"/>
        </w:rPr>
        <w:t xml:space="preserve"> </w:t>
      </w:r>
      <w:r w:rsidRPr="004C4FE6">
        <w:rPr>
          <w:rFonts w:ascii="Gentium Basic" w:hAnsi="Gentium Basic" w:cs="Times New Roman"/>
          <w:sz w:val="22"/>
          <w:szCs w:val="22"/>
        </w:rPr>
        <w:t xml:space="preserve">see Watson, </w:t>
      </w:r>
      <w:r w:rsidRPr="004C4FE6">
        <w:rPr>
          <w:rFonts w:ascii="Gentium Basic" w:hAnsi="Gentium Basic" w:cs="Times New Roman"/>
          <w:i/>
          <w:sz w:val="22"/>
          <w:szCs w:val="22"/>
        </w:rPr>
        <w:t>Agricultural innovation</w:t>
      </w:r>
      <w:r w:rsidRPr="004C4FE6">
        <w:rPr>
          <w:rFonts w:ascii="Gentium Basic" w:hAnsi="Gentium Basic" w:cs="Times New Roman"/>
          <w:sz w:val="22"/>
          <w:szCs w:val="22"/>
        </w:rPr>
        <w:t>, 28.</w:t>
      </w:r>
    </w:p>
  </w:footnote>
  <w:footnote w:id="53">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w:t>
      </w:r>
      <w:r>
        <w:rPr>
          <w:rFonts w:ascii="Gentium Basic" w:hAnsi="Gentium Basic" w:cs="Times New Roman"/>
          <w:sz w:val="22"/>
          <w:szCs w:val="22"/>
        </w:rPr>
        <w:t>On f</w:t>
      </w:r>
      <w:r w:rsidRPr="004C4FE6">
        <w:rPr>
          <w:rFonts w:ascii="Gentium Basic" w:hAnsi="Gentium Basic" w:cs="Times New Roman"/>
          <w:sz w:val="22"/>
          <w:szCs w:val="22"/>
        </w:rPr>
        <w:t xml:space="preserve">lax </w:t>
      </w:r>
      <w:r>
        <w:rPr>
          <w:rFonts w:ascii="Gentium Basic" w:hAnsi="Gentium Basic" w:cs="Times New Roman"/>
          <w:sz w:val="22"/>
          <w:szCs w:val="22"/>
        </w:rPr>
        <w:t xml:space="preserve">for trade </w:t>
      </w:r>
      <w:r w:rsidRPr="004C4FE6">
        <w:rPr>
          <w:rFonts w:ascii="Gentium Basic" w:hAnsi="Gentium Basic" w:cs="Times New Roman"/>
          <w:sz w:val="22"/>
          <w:szCs w:val="22"/>
        </w:rPr>
        <w:t xml:space="preserve">in the Delta </w:t>
      </w:r>
      <w:r>
        <w:rPr>
          <w:rFonts w:ascii="Gentium Basic" w:hAnsi="Gentium Basic" w:cs="Times New Roman"/>
          <w:sz w:val="22"/>
          <w:szCs w:val="22"/>
        </w:rPr>
        <w:t>and in</w:t>
      </w:r>
      <w:r w:rsidRPr="004C4FE6">
        <w:rPr>
          <w:rFonts w:ascii="Gentium Basic" w:hAnsi="Gentium Basic" w:cs="Times New Roman"/>
          <w:sz w:val="22"/>
          <w:szCs w:val="22"/>
        </w:rPr>
        <w:t xml:space="preserve"> Upper Egypt </w:t>
      </w:r>
      <w:r>
        <w:rPr>
          <w:rFonts w:ascii="Gentium Basic" w:hAnsi="Gentium Basic" w:cs="Times New Roman"/>
          <w:sz w:val="22"/>
          <w:szCs w:val="22"/>
        </w:rPr>
        <w:t>see</w:t>
      </w:r>
      <w:r w:rsidRPr="004C4FE6">
        <w:rPr>
          <w:rFonts w:ascii="Gentium Basic" w:hAnsi="Gentium Basic" w:cs="Times New Roman"/>
          <w:sz w:val="22"/>
          <w:szCs w:val="22"/>
        </w:rPr>
        <w:t xml:space="preserve"> Power, ‘The Expansion’, 114-115.</w:t>
      </w:r>
    </w:p>
  </w:footnote>
  <w:footnote w:id="54">
    <w:p w:rsidR="00675726" w:rsidRPr="004C4FE6" w:rsidRDefault="00675726" w:rsidP="006D4166">
      <w:pPr>
        <w:pStyle w:val="Default"/>
        <w:rPr>
          <w:rFonts w:ascii="Gentium Basic" w:hAnsi="Gentium Basic" w:cs="Times New Roman"/>
          <w:color w:val="auto"/>
          <w:sz w:val="22"/>
          <w:szCs w:val="22"/>
        </w:rPr>
      </w:pPr>
      <w:r w:rsidRPr="004C4FE6">
        <w:rPr>
          <w:rStyle w:val="FootnoteReference"/>
          <w:rFonts w:ascii="Gentium Basic" w:hAnsi="Gentium Basic" w:cs="Times New Roman"/>
          <w:color w:val="auto"/>
          <w:sz w:val="22"/>
          <w:szCs w:val="22"/>
        </w:rPr>
        <w:footnoteRef/>
      </w:r>
      <w:r w:rsidR="00087DFB">
        <w:rPr>
          <w:rFonts w:ascii="Gentium Basic" w:hAnsi="Gentium Basic" w:cs="Times New Roman"/>
          <w:color w:val="auto"/>
          <w:sz w:val="22"/>
          <w:szCs w:val="22"/>
        </w:rPr>
        <w:t xml:space="preserve"> See </w:t>
      </w:r>
      <w:r w:rsidRPr="004C4FE6">
        <w:rPr>
          <w:rFonts w:ascii="Gentium Basic" w:hAnsi="Gentium Basic" w:cs="Times New Roman"/>
          <w:color w:val="auto"/>
          <w:sz w:val="22"/>
          <w:szCs w:val="22"/>
        </w:rPr>
        <w:t>Mayerson, ‘The Role</w:t>
      </w:r>
      <w:r>
        <w:rPr>
          <w:rFonts w:ascii="Gentium Basic" w:hAnsi="Gentium Basic" w:cs="Times New Roman"/>
          <w:color w:val="auto"/>
          <w:sz w:val="22"/>
          <w:szCs w:val="22"/>
        </w:rPr>
        <w:t xml:space="preserve">’, </w:t>
      </w:r>
      <w:r w:rsidRPr="004C4FE6">
        <w:rPr>
          <w:rFonts w:ascii="Gentium Basic" w:hAnsi="Gentium Basic" w:cs="Times New Roman"/>
          <w:color w:val="auto"/>
          <w:sz w:val="22"/>
          <w:szCs w:val="22"/>
        </w:rPr>
        <w:t xml:space="preserve">201-207. Cf. also Sijpesteijn, </w:t>
      </w:r>
      <w:r w:rsidRPr="004C4FE6">
        <w:rPr>
          <w:rFonts w:ascii="Gentium Basic" w:hAnsi="Gentium Basic" w:cs="Times New Roman"/>
          <w:i/>
          <w:color w:val="auto"/>
          <w:sz w:val="22"/>
          <w:szCs w:val="22"/>
        </w:rPr>
        <w:t>Shaping</w:t>
      </w:r>
      <w:r w:rsidR="00087DFB">
        <w:rPr>
          <w:rFonts w:ascii="Gentium Basic" w:hAnsi="Gentium Basic" w:cs="Times New Roman"/>
          <w:color w:val="auto"/>
          <w:sz w:val="22"/>
          <w:szCs w:val="22"/>
        </w:rPr>
        <w:t>, 25.</w:t>
      </w:r>
    </w:p>
  </w:footnote>
  <w:footnote w:id="55">
    <w:p w:rsidR="00675726" w:rsidRPr="004C4FE6" w:rsidRDefault="00675726" w:rsidP="006D4166">
      <w:pPr>
        <w:pStyle w:val="Default"/>
        <w:rPr>
          <w:rFonts w:ascii="Gentium Basic" w:hAnsi="Gentium Basic" w:cs="Times New Roman"/>
          <w:color w:val="auto"/>
          <w:sz w:val="22"/>
          <w:szCs w:val="22"/>
        </w:rPr>
      </w:pPr>
      <w:r w:rsidRPr="004C4FE6">
        <w:rPr>
          <w:rStyle w:val="FootnoteReference"/>
          <w:rFonts w:ascii="Gentium Basic" w:hAnsi="Gentium Basic" w:cs="Times New Roman"/>
          <w:color w:val="auto"/>
          <w:sz w:val="22"/>
          <w:szCs w:val="22"/>
        </w:rPr>
        <w:footnoteRef/>
      </w:r>
      <w:r w:rsidRPr="004C4FE6">
        <w:rPr>
          <w:rFonts w:ascii="Gentium Basic" w:hAnsi="Gentium Basic" w:cs="Times New Roman"/>
          <w:color w:val="auto"/>
          <w:sz w:val="22"/>
          <w:szCs w:val="22"/>
        </w:rPr>
        <w:t xml:space="preserve"> On wealth </w:t>
      </w:r>
      <w:r>
        <w:rPr>
          <w:rFonts w:ascii="Gentium Basic" w:hAnsi="Gentium Basic" w:cs="Times New Roman"/>
          <w:color w:val="auto"/>
          <w:sz w:val="22"/>
          <w:szCs w:val="22"/>
        </w:rPr>
        <w:t>and</w:t>
      </w:r>
      <w:r w:rsidR="00132C74">
        <w:rPr>
          <w:rFonts w:ascii="Gentium Basic" w:hAnsi="Gentium Basic" w:cs="Times New Roman"/>
          <w:color w:val="auto"/>
          <w:sz w:val="22"/>
          <w:szCs w:val="22"/>
        </w:rPr>
        <w:t xml:space="preserve"> sale of flax </w:t>
      </w:r>
      <w:r w:rsidRPr="004C4FE6">
        <w:rPr>
          <w:rFonts w:ascii="Gentium Basic" w:hAnsi="Gentium Basic" w:cs="Times New Roman"/>
          <w:color w:val="auto"/>
          <w:sz w:val="22"/>
          <w:szCs w:val="22"/>
        </w:rPr>
        <w:t xml:space="preserve">see al-Idrisi, </w:t>
      </w:r>
      <w:r w:rsidRPr="004C4FE6">
        <w:rPr>
          <w:rFonts w:ascii="Gentium Basic" w:eastAsia="Times New Roman" w:hAnsi="Gentium Basic" w:cs="Times New Roman"/>
          <w:i/>
          <w:color w:val="auto"/>
          <w:sz w:val="22"/>
          <w:szCs w:val="22"/>
          <w:lang w:eastAsia="en-GB"/>
        </w:rPr>
        <w:t xml:space="preserve">La geographie, </w:t>
      </w:r>
      <w:r w:rsidRPr="004C4FE6">
        <w:rPr>
          <w:rFonts w:ascii="Gentium Basic" w:eastAsia="Times New Roman" w:hAnsi="Gentium Basic" w:cs="Times New Roman"/>
          <w:color w:val="auto"/>
          <w:sz w:val="22"/>
          <w:szCs w:val="22"/>
          <w:lang w:eastAsia="en-GB"/>
        </w:rPr>
        <w:t xml:space="preserve">317. </w:t>
      </w:r>
      <w:r>
        <w:rPr>
          <w:rFonts w:ascii="Gentium Basic" w:eastAsia="Times New Roman" w:hAnsi="Gentium Basic" w:cs="Times New Roman"/>
          <w:color w:val="auto"/>
          <w:sz w:val="22"/>
          <w:szCs w:val="22"/>
          <w:lang w:eastAsia="en-GB"/>
        </w:rPr>
        <w:t>Also</w:t>
      </w:r>
      <w:r w:rsidRPr="004C4FE6">
        <w:rPr>
          <w:rFonts w:ascii="Gentium Basic" w:eastAsia="Times New Roman" w:hAnsi="Gentium Basic" w:cs="Times New Roman"/>
          <w:color w:val="auto"/>
          <w:sz w:val="22"/>
          <w:szCs w:val="22"/>
          <w:lang w:eastAsia="en-GB"/>
        </w:rPr>
        <w:t xml:space="preserve"> </w:t>
      </w:r>
      <w:r>
        <w:rPr>
          <w:rFonts w:ascii="Gentium Basic" w:eastAsia="Times New Roman" w:hAnsi="Gentium Basic" w:cs="Times New Roman"/>
          <w:color w:val="auto"/>
          <w:sz w:val="22"/>
          <w:szCs w:val="22"/>
          <w:lang w:eastAsia="en-GB"/>
        </w:rPr>
        <w:t>through</w:t>
      </w:r>
      <w:r w:rsidR="00132C74">
        <w:rPr>
          <w:rFonts w:ascii="Gentium Basic" w:eastAsia="Times New Roman" w:hAnsi="Gentium Basic" w:cs="Times New Roman"/>
          <w:color w:val="auto"/>
          <w:sz w:val="22"/>
          <w:szCs w:val="22"/>
          <w:lang w:eastAsia="en-GB"/>
        </w:rPr>
        <w:t>o</w:t>
      </w:r>
      <w:r>
        <w:rPr>
          <w:rFonts w:ascii="Gentium Basic" w:eastAsia="Times New Roman" w:hAnsi="Gentium Basic" w:cs="Times New Roman"/>
          <w:color w:val="auto"/>
          <w:sz w:val="22"/>
          <w:szCs w:val="22"/>
          <w:lang w:eastAsia="en-GB"/>
        </w:rPr>
        <w:t xml:space="preserve">ut </w:t>
      </w:r>
      <w:r w:rsidRPr="004C4FE6">
        <w:rPr>
          <w:rFonts w:ascii="Gentium Basic" w:eastAsia="Times New Roman" w:hAnsi="Gentium Basic" w:cs="Times New Roman"/>
          <w:color w:val="auto"/>
          <w:sz w:val="22"/>
          <w:szCs w:val="22"/>
          <w:lang w:eastAsia="en-GB"/>
        </w:rPr>
        <w:t xml:space="preserve">Goitein’s </w:t>
      </w:r>
      <w:r w:rsidRPr="004C4FE6">
        <w:rPr>
          <w:rFonts w:ascii="Gentium Basic" w:eastAsia="Times New Roman" w:hAnsi="Gentium Basic" w:cs="Times New Roman"/>
          <w:i/>
          <w:color w:val="auto"/>
          <w:sz w:val="22"/>
          <w:szCs w:val="22"/>
          <w:lang w:eastAsia="en-GB"/>
        </w:rPr>
        <w:t>A Mediterranean Society</w:t>
      </w:r>
      <w:r>
        <w:rPr>
          <w:rFonts w:ascii="Gentium Basic" w:eastAsia="Times New Roman" w:hAnsi="Gentium Basic" w:cs="Times New Roman"/>
          <w:color w:val="auto"/>
          <w:sz w:val="22"/>
          <w:szCs w:val="22"/>
          <w:lang w:eastAsia="en-GB"/>
        </w:rPr>
        <w:t xml:space="preserve"> and </w:t>
      </w:r>
      <w:r w:rsidRPr="004C4FE6">
        <w:rPr>
          <w:rFonts w:ascii="Gentium Basic" w:hAnsi="Gentium Basic"/>
          <w:color w:val="auto"/>
          <w:sz w:val="22"/>
          <w:szCs w:val="22"/>
        </w:rPr>
        <w:t>Mayerson, ‘The Role’, 206.</w:t>
      </w:r>
    </w:p>
  </w:footnote>
  <w:footnote w:id="56">
    <w:p w:rsidR="00675726" w:rsidRPr="004C4FE6" w:rsidRDefault="00675726" w:rsidP="006D4166">
      <w:pPr>
        <w:spacing w:line="240" w:lineRule="auto"/>
        <w:rPr>
          <w:rFonts w:ascii="Gentium Basic" w:hAnsi="Gentium Basic" w:cs="Times New Roman"/>
          <w:u w:val="single"/>
        </w:rPr>
      </w:pPr>
      <w:r w:rsidRPr="004C4FE6">
        <w:rPr>
          <w:rStyle w:val="FootnoteReference"/>
          <w:rFonts w:ascii="Gentium Basic" w:hAnsi="Gentium Basic" w:cs="Times New Roman"/>
        </w:rPr>
        <w:footnoteRef/>
      </w:r>
      <w:r w:rsidRPr="004C4FE6">
        <w:rPr>
          <w:rFonts w:ascii="Gentium Basic" w:hAnsi="Gentium Basic" w:cs="Times New Roman"/>
        </w:rPr>
        <w:t xml:space="preserve"> Cf. Guérin, ‘</w:t>
      </w:r>
      <w:r w:rsidRPr="004C4FE6">
        <w:rPr>
          <w:rFonts w:ascii="Gentium Basic" w:hAnsi="Gentium Basic" w:cs="Times New Roman"/>
          <w:i/>
        </w:rPr>
        <w:t>Avorio</w:t>
      </w:r>
      <w:r>
        <w:rPr>
          <w:rFonts w:ascii="Gentium Basic" w:hAnsi="Gentium Basic" w:cs="AdvOT863180fb"/>
        </w:rPr>
        <w:t xml:space="preserve">’, </w:t>
      </w:r>
      <w:r w:rsidRPr="004C4FE6">
        <w:rPr>
          <w:rFonts w:ascii="Gentium Basic" w:hAnsi="Gentium Basic" w:cs="Times New Roman"/>
        </w:rPr>
        <w:t>160-1.</w:t>
      </w:r>
    </w:p>
  </w:footnote>
  <w:footnote w:id="57">
    <w:p w:rsidR="00675726" w:rsidRPr="004C4FE6" w:rsidRDefault="00675726" w:rsidP="006D4166">
      <w:pPr>
        <w:pStyle w:val="FootnoteText"/>
        <w:rPr>
          <w:rFonts w:ascii="Gentium Basic" w:hAnsi="Gentium Basic" w:cs="Times New Roman"/>
          <w:sz w:val="22"/>
          <w:szCs w:val="22"/>
        </w:rPr>
      </w:pPr>
      <w:r w:rsidRPr="004C4FE6">
        <w:rPr>
          <w:rStyle w:val="FootnoteReference"/>
          <w:rFonts w:ascii="Gentium Basic" w:hAnsi="Gentium Basic" w:cs="Times New Roman"/>
          <w:sz w:val="22"/>
          <w:szCs w:val="22"/>
        </w:rPr>
        <w:footnoteRef/>
      </w:r>
      <w:r w:rsidRPr="004C4FE6">
        <w:rPr>
          <w:rFonts w:ascii="Gentium Basic" w:hAnsi="Gentium Basic" w:cs="Times New Roman"/>
          <w:sz w:val="22"/>
          <w:szCs w:val="22"/>
        </w:rPr>
        <w:t xml:space="preserve"> On the decline of this route </w:t>
      </w:r>
      <w:r>
        <w:rPr>
          <w:rFonts w:ascii="Gentium Basic" w:hAnsi="Gentium Basic" w:cs="Times New Roman"/>
          <w:sz w:val="22"/>
          <w:szCs w:val="22"/>
        </w:rPr>
        <w:t>before</w:t>
      </w:r>
      <w:r w:rsidRPr="004C4FE6">
        <w:rPr>
          <w:rFonts w:ascii="Gentium Basic" w:hAnsi="Gentium Basic" w:cs="Times New Roman"/>
          <w:sz w:val="22"/>
          <w:szCs w:val="22"/>
        </w:rPr>
        <w:t xml:space="preserve"> the Fatimids see Shatzmiller, ‘Transcontinental</w:t>
      </w:r>
      <w:r>
        <w:rPr>
          <w:rFonts w:ascii="Gentium Basic" w:hAnsi="Gentium Basic" w:cs="Times New Roman"/>
          <w:sz w:val="22"/>
          <w:szCs w:val="22"/>
        </w:rPr>
        <w:t>’</w:t>
      </w:r>
      <w:r w:rsidRPr="004C4FE6">
        <w:rPr>
          <w:rFonts w:ascii="Gentium Basic" w:hAnsi="Gentium Basic" w:cs="Times New Roman"/>
          <w:sz w:val="22"/>
          <w:szCs w:val="22"/>
        </w:rPr>
        <w:t>, 126-127.</w:t>
      </w:r>
    </w:p>
  </w:footnote>
  <w:footnote w:id="58">
    <w:p w:rsidR="00675726" w:rsidRPr="004C4FE6" w:rsidRDefault="00675726" w:rsidP="006D4166">
      <w:pPr>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Udovitch, ‘Fatimid Cairo</w:t>
      </w:r>
      <w:r>
        <w:rPr>
          <w:rFonts w:ascii="Gentium Basic" w:hAnsi="Gentium Basic" w:cs="Times New Roman"/>
        </w:rPr>
        <w:t xml:space="preserve">’, </w:t>
      </w:r>
      <w:r w:rsidRPr="004C4FE6">
        <w:rPr>
          <w:rFonts w:ascii="Gentium Basic" w:hAnsi="Gentium Basic" w:cs="Times New Roman"/>
        </w:rPr>
        <w:t xml:space="preserve">686-7 and Agius, </w:t>
      </w:r>
      <w:r w:rsidRPr="004C4FE6">
        <w:rPr>
          <w:rFonts w:ascii="Gentium Basic" w:hAnsi="Gentium Basic" w:cs="Times New Roman"/>
          <w:i/>
        </w:rPr>
        <w:t>Classic Ships</w:t>
      </w:r>
      <w:r w:rsidRPr="004C4FE6">
        <w:rPr>
          <w:rFonts w:ascii="Gentium Basic" w:hAnsi="Gentium Basic" w:cs="Times New Roman"/>
        </w:rPr>
        <w:t xml:space="preserve">, 97. </w:t>
      </w:r>
      <w:r>
        <w:rPr>
          <w:rFonts w:ascii="Gentium Basic" w:hAnsi="Gentium Basic" w:cs="Times New Roman"/>
        </w:rPr>
        <w:t>A</w:t>
      </w:r>
      <w:r w:rsidRPr="004C4FE6">
        <w:rPr>
          <w:rFonts w:ascii="Gentium Basic" w:hAnsi="Gentium Basic" w:cs="Times New Roman"/>
        </w:rPr>
        <w:t>lso Power, ‘The Expansion’, 116-117.</w:t>
      </w:r>
    </w:p>
  </w:footnote>
  <w:footnote w:id="59">
    <w:p w:rsidR="00675726" w:rsidRPr="004C4FE6" w:rsidRDefault="00675726" w:rsidP="006D4166">
      <w:pPr>
        <w:spacing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Goitein, </w:t>
      </w:r>
      <w:r w:rsidRPr="004C4FE6">
        <w:rPr>
          <w:rFonts w:ascii="Gentium Basic" w:hAnsi="Gentium Basic" w:cs="Times New Roman"/>
          <w:i/>
        </w:rPr>
        <w:t>A Mediterranean Society</w:t>
      </w:r>
      <w:r w:rsidRPr="004C4FE6">
        <w:rPr>
          <w:rFonts w:ascii="Gentium Basic" w:hAnsi="Gentium Basic" w:cs="Times New Roman"/>
        </w:rPr>
        <w:t>, vol. 4, 34.</w:t>
      </w:r>
    </w:p>
  </w:footnote>
  <w:footnote w:id="60">
    <w:p w:rsidR="00675726" w:rsidRPr="004C4FE6" w:rsidRDefault="00675726" w:rsidP="006D4166">
      <w:pPr>
        <w:autoSpaceDE w:val="0"/>
        <w:autoSpaceDN w:val="0"/>
        <w:adjustRightInd w:val="0"/>
        <w:spacing w:after="0" w:line="240" w:lineRule="auto"/>
        <w:rPr>
          <w:rFonts w:ascii="Gentium Basic" w:hAnsi="Gentium Basic" w:cs="Times New Roman"/>
        </w:rPr>
      </w:pPr>
      <w:r w:rsidRPr="004C4FE6">
        <w:rPr>
          <w:rStyle w:val="FootnoteReference"/>
          <w:rFonts w:ascii="Gentium Basic" w:hAnsi="Gentium Basic" w:cs="Times New Roman"/>
        </w:rPr>
        <w:footnoteRef/>
      </w:r>
      <w:r w:rsidRPr="004C4FE6">
        <w:rPr>
          <w:rFonts w:ascii="Gentium Basic" w:hAnsi="Gentium Basic" w:cs="Times New Roman"/>
        </w:rPr>
        <w:t xml:space="preserve"> On data reflecting aspects of this interrelation see Chaney, ‘Revolt on the Nile</w:t>
      </w:r>
      <w:r>
        <w:rPr>
          <w:rFonts w:ascii="Gentium Basic" w:hAnsi="Gentium Basic" w:cs="Times New Roman"/>
        </w:rPr>
        <w:t xml:space="preserve">’ </w:t>
      </w:r>
      <w:hyperlink r:id="rId1" w:history="1">
        <w:r w:rsidRPr="00933BFE">
          <w:rPr>
            <w:rStyle w:val="Hyperlink"/>
            <w:rFonts w:ascii="Gentium Basic" w:hAnsi="Gentium Basic" w:cs="Times New Roman"/>
            <w:color w:val="auto"/>
          </w:rPr>
          <w:t xml:space="preserve">http://www.luc.edu/orgs/meea/. </w:t>
        </w:r>
        <w:r w:rsidRPr="00933BFE">
          <w:rPr>
            <w:rStyle w:val="Hyperlink"/>
            <w:rFonts w:ascii="Gentium Basic" w:hAnsi="Gentium Basic" w:cs="Times New Roman"/>
            <w:color w:val="auto"/>
            <w:u w:val="none"/>
          </w:rPr>
          <w:t>Last</w:t>
        </w:r>
      </w:hyperlink>
      <w:r w:rsidRPr="004C4FE6">
        <w:rPr>
          <w:rFonts w:ascii="Gentium Basic" w:hAnsi="Gentium Basic" w:cs="Times New Roman"/>
        </w:rPr>
        <w:t xml:space="preserve"> visited May 2014.</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6D4166"/>
    <w:rsid w:val="00084A6F"/>
    <w:rsid w:val="00087DFB"/>
    <w:rsid w:val="00103C48"/>
    <w:rsid w:val="001219E5"/>
    <w:rsid w:val="00132C74"/>
    <w:rsid w:val="001521F7"/>
    <w:rsid w:val="0022585D"/>
    <w:rsid w:val="00227868"/>
    <w:rsid w:val="00231073"/>
    <w:rsid w:val="00261DCF"/>
    <w:rsid w:val="002655D1"/>
    <w:rsid w:val="003C0D6F"/>
    <w:rsid w:val="004D0FA4"/>
    <w:rsid w:val="004F7738"/>
    <w:rsid w:val="006057E4"/>
    <w:rsid w:val="00623B10"/>
    <w:rsid w:val="00675726"/>
    <w:rsid w:val="006D4166"/>
    <w:rsid w:val="00774A9C"/>
    <w:rsid w:val="008764A7"/>
    <w:rsid w:val="008E71B8"/>
    <w:rsid w:val="00907E2A"/>
    <w:rsid w:val="00933BFE"/>
    <w:rsid w:val="009840AC"/>
    <w:rsid w:val="00987EB5"/>
    <w:rsid w:val="00AD67E6"/>
    <w:rsid w:val="00B54789"/>
    <w:rsid w:val="00BF6001"/>
    <w:rsid w:val="00C00963"/>
    <w:rsid w:val="00CA7C5D"/>
    <w:rsid w:val="00CF274D"/>
    <w:rsid w:val="00DA5C9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link w:val="FootnoteText"/>
    <w:uiPriority w:val="99"/>
    <w:semiHidden/>
    <w:rsid w:val="006D4166"/>
    <w:rPr>
      <w:sz w:val="20"/>
      <w:szCs w:val="20"/>
    </w:rPr>
  </w:style>
  <w:style w:type="paragraph" w:styleId="FootnoteText">
    <w:name w:val="footnote text"/>
    <w:basedOn w:val="Normal"/>
    <w:link w:val="FootnoteTextChar"/>
    <w:uiPriority w:val="99"/>
    <w:semiHidden/>
    <w:unhideWhenUsed/>
    <w:rsid w:val="006D4166"/>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6D4166"/>
    <w:rPr>
      <w:sz w:val="20"/>
      <w:szCs w:val="20"/>
    </w:rPr>
  </w:style>
  <w:style w:type="character" w:styleId="FootnoteReference">
    <w:name w:val="footnote reference"/>
    <w:basedOn w:val="DefaultParagraphFont"/>
    <w:uiPriority w:val="99"/>
    <w:semiHidden/>
    <w:unhideWhenUsed/>
    <w:rsid w:val="006D4166"/>
    <w:rPr>
      <w:vertAlign w:val="superscript"/>
    </w:rPr>
  </w:style>
  <w:style w:type="character" w:customStyle="1" w:styleId="st1">
    <w:name w:val="st1"/>
    <w:basedOn w:val="DefaultParagraphFont"/>
    <w:rsid w:val="006D4166"/>
  </w:style>
  <w:style w:type="character" w:styleId="Strong">
    <w:name w:val="Strong"/>
    <w:basedOn w:val="DefaultParagraphFont"/>
    <w:uiPriority w:val="22"/>
    <w:qFormat/>
    <w:rsid w:val="006D4166"/>
    <w:rPr>
      <w:b/>
      <w:bCs/>
    </w:rPr>
  </w:style>
  <w:style w:type="character" w:styleId="Hyperlink">
    <w:name w:val="Hyperlink"/>
    <w:basedOn w:val="DefaultParagraphFont"/>
    <w:uiPriority w:val="99"/>
    <w:unhideWhenUsed/>
    <w:rsid w:val="006D4166"/>
    <w:rPr>
      <w:color w:val="0000FF" w:themeColor="hyperlink"/>
      <w:u w:val="single"/>
    </w:rPr>
  </w:style>
  <w:style w:type="character" w:customStyle="1" w:styleId="addmd1">
    <w:name w:val="addmd1"/>
    <w:basedOn w:val="DefaultParagraphFont"/>
    <w:rsid w:val="006D4166"/>
    <w:rPr>
      <w:sz w:val="20"/>
      <w:szCs w:val="20"/>
    </w:rPr>
  </w:style>
  <w:style w:type="character" w:customStyle="1" w:styleId="maintitle">
    <w:name w:val="maintitle"/>
    <w:basedOn w:val="DefaultParagraphFont"/>
    <w:rsid w:val="006D4166"/>
  </w:style>
  <w:style w:type="character" w:styleId="Emphasis">
    <w:name w:val="Emphasis"/>
    <w:basedOn w:val="DefaultParagraphFont"/>
    <w:uiPriority w:val="20"/>
    <w:qFormat/>
    <w:rsid w:val="006D4166"/>
    <w:rPr>
      <w:i/>
      <w:iCs/>
    </w:rPr>
  </w:style>
  <w:style w:type="paragraph" w:customStyle="1" w:styleId="Default">
    <w:name w:val="Default"/>
    <w:rsid w:val="006D4166"/>
    <w:pPr>
      <w:autoSpaceDE w:val="0"/>
      <w:autoSpaceDN w:val="0"/>
      <w:adjustRightInd w:val="0"/>
      <w:spacing w:after="0" w:line="240" w:lineRule="auto"/>
    </w:pPr>
    <w:rPr>
      <w:rFonts w:ascii="Code" w:hAnsi="Code" w:cs="Cod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c.edu/orgs/meea/" TargetMode="Externa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luc.edu/orgs/meea/.%20L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12</Pages>
  <Words>4875</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Cortese</dc:creator>
  <cp:lastModifiedBy>Cortese</cp:lastModifiedBy>
  <cp:revision>25</cp:revision>
  <dcterms:created xsi:type="dcterms:W3CDTF">2014-11-28T08:27:00Z</dcterms:created>
  <dcterms:modified xsi:type="dcterms:W3CDTF">2014-11-28T10:58:00Z</dcterms:modified>
</cp:coreProperties>
</file>