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2C" w:rsidRPr="007B633B" w:rsidRDefault="007B633B" w:rsidP="001C395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Style w:val="a-size-base"/>
        </w:rPr>
        <w:t xml:space="preserve"> </w:t>
      </w:r>
    </w:p>
    <w:tbl>
      <w:tblPr>
        <w:tblW w:w="5894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589"/>
        <w:gridCol w:w="977"/>
        <w:gridCol w:w="2923"/>
      </w:tblGrid>
      <w:tr w:rsidR="006C7C2C" w:rsidRPr="006C7C2C" w:rsidTr="000E756D">
        <w:tc>
          <w:tcPr>
            <w:tcW w:w="3303" w:type="pct"/>
            <w:tcBorders>
              <w:top w:val="single" w:sz="6" w:space="0" w:color="FFFF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C3954" w:rsidRPr="00545F70" w:rsidRDefault="006C7C2C" w:rsidP="006C7C2C">
            <w:pPr>
              <w:spacing w:after="0" w:line="360" w:lineRule="atLeast"/>
              <w:outlineLvl w:val="2"/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</w:rPr>
            </w:pPr>
            <w:r w:rsidRPr="00545F70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</w:rPr>
              <w:t>Measures of financial risk</w:t>
            </w:r>
            <w:r w:rsidR="001C3954" w:rsidRPr="00545F70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9001AC" w:rsidRPr="00545F70" w:rsidRDefault="00471C71" w:rsidP="006C7C2C">
            <w:pPr>
              <w:spacing w:after="0" w:line="360" w:lineRule="atLeast"/>
              <w:outlineLvl w:val="2"/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</w:rPr>
            </w:pPr>
            <w:hyperlink r:id="rId4" w:history="1">
              <w:r w:rsidR="006C7C2C" w:rsidRPr="00545F70">
                <w:rPr>
                  <w:rFonts w:ascii="Georgia" w:eastAsia="Times New Roman" w:hAnsi="Georgia" w:cs="Times New Roman"/>
                  <w:i/>
                  <w:iCs/>
                  <w:color w:val="0066CC"/>
                  <w:sz w:val="28"/>
                  <w:szCs w:val="28"/>
                </w:rPr>
                <w:t>S</w:t>
              </w:r>
              <w:r w:rsidR="003B4F3B">
                <w:rPr>
                  <w:rFonts w:ascii="Georgia" w:eastAsia="Times New Roman" w:hAnsi="Georgia" w:cs="Times New Roman"/>
                  <w:i/>
                  <w:iCs/>
                  <w:color w:val="0066CC"/>
                  <w:sz w:val="28"/>
                  <w:szCs w:val="28"/>
                </w:rPr>
                <w:t>.</w:t>
              </w:r>
              <w:r w:rsidR="00545F70">
                <w:rPr>
                  <w:rFonts w:ascii="Georgia" w:eastAsia="Times New Roman" w:hAnsi="Georgia" w:cs="Times New Roman"/>
                  <w:i/>
                  <w:iCs/>
                  <w:color w:val="0066CC"/>
                  <w:sz w:val="28"/>
                  <w:szCs w:val="28"/>
                </w:rPr>
                <w:t xml:space="preserve">Y.  </w:t>
              </w:r>
              <w:r w:rsidR="006C7C2C" w:rsidRPr="00545F70">
                <w:rPr>
                  <w:rFonts w:ascii="Georgia" w:eastAsia="Times New Roman" w:hAnsi="Georgia" w:cs="Times New Roman"/>
                  <w:i/>
                  <w:iCs/>
                  <w:color w:val="0066CC"/>
                  <w:sz w:val="28"/>
                  <w:szCs w:val="28"/>
                </w:rPr>
                <w:t>Novak</w:t>
              </w:r>
            </w:hyperlink>
            <w:r w:rsidR="00545F70" w:rsidRPr="00545F70">
              <w:rPr>
                <w:rFonts w:ascii="Georgia" w:eastAsia="Times New Roman" w:hAnsi="Georgia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6C7C2C" w:rsidRPr="00545F70">
              <w:rPr>
                <w:rFonts w:ascii="Georgia" w:eastAsia="Times New Roman" w:hAnsi="Georgia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6C7C2C" w:rsidRDefault="006C7C2C" w:rsidP="00545F70">
            <w:pPr>
              <w:spacing w:after="0" w:line="360" w:lineRule="atLeast"/>
              <w:outlineLvl w:val="2"/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</w:rPr>
            </w:pPr>
            <w:r w:rsidRPr="006C7C2C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</w:rPr>
              <w:t>M</w:t>
            </w:r>
            <w:r w:rsidR="00545F70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</w:rPr>
              <w:t>DX</w:t>
            </w:r>
            <w:r w:rsidRPr="006C7C2C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</w:rPr>
              <w:t xml:space="preserve"> University</w:t>
            </w:r>
            <w:r w:rsidR="00545F70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C7C2C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</w:rPr>
              <w:t>London</w:t>
            </w:r>
          </w:p>
          <w:p w:rsidR="00184472" w:rsidRPr="000E756D" w:rsidRDefault="00184472" w:rsidP="00576986">
            <w:pPr>
              <w:spacing w:after="0"/>
              <w:rPr>
                <w:rStyle w:val="a-size-base"/>
                <w:sz w:val="16"/>
                <w:szCs w:val="16"/>
              </w:rPr>
            </w:pPr>
          </w:p>
          <w:p w:rsidR="00184472" w:rsidRPr="00184472" w:rsidRDefault="00184472" w:rsidP="0057698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184472">
              <w:rPr>
                <w:rStyle w:val="a-size-base"/>
                <w:rFonts w:ascii="Times New Roman" w:hAnsi="Times New Roman" w:cs="Times New Roman"/>
                <w:sz w:val="20"/>
                <w:szCs w:val="20"/>
              </w:rPr>
              <w:t xml:space="preserve">In:  </w:t>
            </w:r>
            <w:r w:rsidRPr="00184472">
              <w:rPr>
                <w:rFonts w:ascii="Times New Roman" w:hAnsi="Times New Roman" w:cs="Times New Roman"/>
                <w:i/>
                <w:sz w:val="20"/>
                <w:szCs w:val="20"/>
              </w:rPr>
              <w:t>Extreme Events in Finance</w:t>
            </w:r>
            <w:r w:rsidRPr="0018447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 xml:space="preserve"> </w:t>
            </w:r>
            <w:r w:rsidRPr="0018447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(F. Longin, ed.), 215</w:t>
            </w:r>
            <w:r w:rsidRPr="0018447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8447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237. Handbook Series in Financial Engineering and Econometrics.</w:t>
            </w:r>
            <w:r w:rsidR="000E756D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J. </w:t>
            </w:r>
            <w:r w:rsidRPr="0018447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Wiley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2016</w:t>
            </w:r>
            <w:r w:rsidRPr="0018447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.  </w:t>
            </w:r>
          </w:p>
          <w:p w:rsidR="00576986" w:rsidRDefault="00576986" w:rsidP="00576986">
            <w:pPr>
              <w:spacing w:after="0"/>
              <w:rPr>
                <w:sz w:val="16"/>
                <w:szCs w:val="16"/>
              </w:rPr>
            </w:pPr>
            <w:r>
              <w:rPr>
                <w:rStyle w:val="a-size-base"/>
              </w:rPr>
              <w:t>ISBN-13:</w:t>
            </w:r>
            <w:r>
              <w:t xml:space="preserve"> </w:t>
            </w:r>
            <w:r>
              <w:rPr>
                <w:rStyle w:val="a-size-base"/>
              </w:rPr>
              <w:t>978-1118650196  ISBN-10:</w:t>
            </w:r>
            <w:r>
              <w:t xml:space="preserve"> </w:t>
            </w:r>
            <w:r>
              <w:rPr>
                <w:rStyle w:val="a-size-base"/>
              </w:rPr>
              <w:t xml:space="preserve">1118650190 </w:t>
            </w:r>
          </w:p>
          <w:p w:rsidR="00576986" w:rsidRPr="003B4F3B" w:rsidRDefault="00471C71" w:rsidP="003B4F3B">
            <w:pPr>
              <w:spacing w:after="0"/>
              <w:rPr>
                <w:sz w:val="16"/>
                <w:szCs w:val="16"/>
              </w:rPr>
            </w:pPr>
            <w:hyperlink r:id="rId5" w:history="1">
              <w:r w:rsidR="00576986" w:rsidRPr="009001AC">
                <w:rPr>
                  <w:rStyle w:val="Hyperlink"/>
                  <w:sz w:val="16"/>
                  <w:szCs w:val="16"/>
                </w:rPr>
                <w:t>https://extreme-events-finance.net/wiley-handbook/contributions/novak-measures-financial-risk/</w:t>
              </w:r>
            </w:hyperlink>
            <w:r w:rsidR="00576986" w:rsidRPr="009001AC">
              <w:rPr>
                <w:sz w:val="16"/>
                <w:szCs w:val="16"/>
              </w:rPr>
              <w:t xml:space="preserve"> </w:t>
            </w:r>
            <w:r w:rsidR="005769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tcBorders>
              <w:top w:val="single" w:sz="6" w:space="0" w:color="FFFF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6C7C2C" w:rsidRPr="006C7C2C" w:rsidRDefault="006C7C2C" w:rsidP="006C7C2C">
            <w:pPr>
              <w:spacing w:after="0" w:line="270" w:lineRule="atLeast"/>
              <w:rPr>
                <w:rFonts w:ascii="Georgia" w:eastAsia="Times New Roman" w:hAnsi="Georgia" w:cs="Times New Roman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6C7C2C" w:rsidRPr="006C7C2C" w:rsidRDefault="006C7C2C" w:rsidP="006C7C2C">
            <w:pPr>
              <w:spacing w:after="0" w:line="240" w:lineRule="atLeast"/>
              <w:jc w:val="right"/>
              <w:rPr>
                <w:rFonts w:ascii="Georgia" w:eastAsia="Times New Roman" w:hAnsi="Georgia" w:cs="Times New Roman"/>
                <w:color w:val="666666"/>
                <w:sz w:val="18"/>
                <w:szCs w:val="18"/>
              </w:rPr>
            </w:pPr>
          </w:p>
        </w:tc>
      </w:tr>
      <w:tr w:rsidR="006C7C2C" w:rsidRPr="006C7C2C" w:rsidTr="000E756D">
        <w:tc>
          <w:tcPr>
            <w:tcW w:w="5000" w:type="pct"/>
            <w:gridSpan w:val="3"/>
            <w:tcBorders>
              <w:top w:val="single" w:sz="6" w:space="0" w:color="FFFF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tbl>
            <w:tblPr>
              <w:tblW w:w="4347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6C7C2C" w:rsidRPr="006C7C2C" w:rsidTr="000E756D">
              <w:trPr>
                <w:trHeight w:val="6230"/>
              </w:trPr>
              <w:tc>
                <w:tcPr>
                  <w:tcW w:w="5000" w:type="pct"/>
                  <w:tcBorders>
                    <w:top w:val="single" w:sz="6" w:space="0" w:color="FFFFFF"/>
                  </w:tcBorders>
                  <w:tcMar>
                    <w:top w:w="90" w:type="dxa"/>
                    <w:left w:w="360" w:type="dxa"/>
                    <w:bottom w:w="90" w:type="dxa"/>
                    <w:right w:w="360" w:type="dxa"/>
                  </w:tcMar>
                  <w:hideMark/>
                </w:tcPr>
                <w:p w:rsidR="006C7C2C" w:rsidRPr="006C7C2C" w:rsidRDefault="006C7C2C" w:rsidP="000E756D">
                  <w:pPr>
                    <w:spacing w:after="0" w:line="270" w:lineRule="atLeast"/>
                    <w:ind w:left="-652"/>
                    <w:jc w:val="center"/>
                    <w:rPr>
                      <w:rFonts w:ascii="Georgia" w:eastAsia="Times New Roman" w:hAnsi="Georgia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Georgia" w:eastAsia="Times New Roman" w:hAnsi="Georgia" w:cs="Times New Roman"/>
                      <w:noProof/>
                      <w:color w:val="0066CC"/>
                      <w:sz w:val="18"/>
                      <w:szCs w:val="18"/>
                    </w:rPr>
                    <w:drawing>
                      <wp:inline distT="0" distB="0" distL="0" distR="0" wp14:anchorId="50B3C183" wp14:editId="1B13943C">
                        <wp:extent cx="2576195" cy="3848735"/>
                        <wp:effectExtent l="0" t="0" r="0" b="0"/>
                        <wp:docPr id="3" name="Picture 3" descr="Extreme events in finance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xtreme events in finance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6195" cy="384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7C2C" w:rsidRPr="00545F70" w:rsidRDefault="006C7C2C" w:rsidP="003B4F3B">
            <w:pPr>
              <w:spacing w:after="0" w:line="270" w:lineRule="atLeast"/>
              <w:ind w:right="988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</w:rPr>
            </w:pPr>
          </w:p>
        </w:tc>
      </w:tr>
    </w:tbl>
    <w:p w:rsidR="003B4F3B" w:rsidRPr="003B4F3B" w:rsidRDefault="003B4F3B" w:rsidP="003B4F3B">
      <w:pPr>
        <w:autoSpaceDE w:val="0"/>
        <w:autoSpaceDN w:val="0"/>
        <w:spacing w:before="120" w:after="0"/>
        <w:ind w:left="-284" w:firstLine="284"/>
        <w:rPr>
          <w:rFonts w:ascii="Georgia" w:hAnsi="Georgia" w:cs="Times New Roman"/>
          <w:sz w:val="24"/>
          <w:szCs w:val="24"/>
          <w:lang w:val="en"/>
        </w:rPr>
      </w:pPr>
      <w:r w:rsidRPr="003B4F3B">
        <w:rPr>
          <w:rFonts w:ascii="Georgia" w:hAnsi="Georgia" w:cs="Times New Roman"/>
          <w:sz w:val="24"/>
          <w:szCs w:val="24"/>
          <w:lang w:val="en"/>
        </w:rPr>
        <w:t xml:space="preserve">How to measure risk dynamically? </w:t>
      </w:r>
    </w:p>
    <w:p w:rsidR="003B4F3B" w:rsidRPr="003B4F3B" w:rsidRDefault="003B4F3B" w:rsidP="003B4F3B">
      <w:pPr>
        <w:autoSpaceDE w:val="0"/>
        <w:autoSpaceDN w:val="0"/>
        <w:spacing w:after="0"/>
        <w:ind w:left="-284" w:right="-613" w:firstLine="284"/>
        <w:jc w:val="both"/>
        <w:rPr>
          <w:rFonts w:ascii="Georgia" w:hAnsi="Georgia" w:cs="Times New Roman"/>
          <w:sz w:val="24"/>
          <w:szCs w:val="24"/>
        </w:rPr>
      </w:pPr>
      <w:r w:rsidRPr="003B4F3B">
        <w:rPr>
          <w:rFonts w:ascii="Georgia" w:hAnsi="Georgia" w:cs="Times New Roman"/>
          <w:sz w:val="24"/>
          <w:szCs w:val="24"/>
        </w:rPr>
        <w:t>Traditional</w:t>
      </w:r>
      <w:r w:rsidRPr="003B4F3B">
        <w:rPr>
          <w:rFonts w:ascii="Georgia" w:hAnsi="Georgia" w:cs="Times New Roman"/>
          <w:color w:val="000080"/>
          <w:sz w:val="24"/>
          <w:szCs w:val="24"/>
        </w:rPr>
        <w:t xml:space="preserve"> measures of risk are static: </w:t>
      </w:r>
      <w:r w:rsidRPr="003B4F3B">
        <w:rPr>
          <w:rFonts w:ascii="Georgia" w:hAnsi="Georgia" w:cs="Times New Roman"/>
          <w:sz w:val="24"/>
          <w:szCs w:val="24"/>
        </w:rPr>
        <w:t xml:space="preserve">they barely change with the inflow of new information. The use of conditional </w:t>
      </w:r>
      <w:r w:rsidRPr="003B4F3B">
        <w:rPr>
          <w:rFonts w:ascii="Georgia" w:hAnsi="Georgia" w:cs="Times New Roman"/>
          <w:color w:val="000080"/>
          <w:sz w:val="24"/>
          <w:szCs w:val="24"/>
        </w:rPr>
        <w:t xml:space="preserve">measures involving recent prices only partially answers the question as the </w:t>
      </w:r>
      <w:r w:rsidRPr="003B4F3B">
        <w:rPr>
          <w:rFonts w:ascii="Georgia" w:hAnsi="Georgia" w:cs="Times New Roman"/>
          <w:sz w:val="24"/>
          <w:szCs w:val="24"/>
        </w:rPr>
        <w:t>estimates of coefficients before</w:t>
      </w:r>
      <w:r w:rsidRPr="003B4F3B">
        <w:rPr>
          <w:rFonts w:ascii="Georgia" w:hAnsi="Georgia" w:cs="Times New Roman"/>
          <w:i/>
          <w:iCs/>
          <w:sz w:val="24"/>
          <w:szCs w:val="24"/>
        </w:rPr>
        <w:t xml:space="preserve"> </w:t>
      </w:r>
      <w:r w:rsidRPr="003B4F3B">
        <w:rPr>
          <w:rFonts w:ascii="Georgia" w:hAnsi="Georgia" w:cs="Times New Roman"/>
          <w:sz w:val="24"/>
          <w:szCs w:val="24"/>
        </w:rPr>
        <w:t xml:space="preserve">the terms </w:t>
      </w:r>
      <w:r w:rsidRPr="003B4F3B">
        <w:rPr>
          <w:rFonts w:ascii="Georgia" w:hAnsi="Georgia" w:cs="Times New Roman"/>
          <w:color w:val="000080"/>
          <w:sz w:val="24"/>
          <w:szCs w:val="24"/>
        </w:rPr>
        <w:t xml:space="preserve">involving recent prices are </w:t>
      </w:r>
      <w:r w:rsidRPr="003B4F3B">
        <w:rPr>
          <w:rFonts w:ascii="Georgia" w:hAnsi="Georgia" w:cs="Times New Roman"/>
          <w:sz w:val="24"/>
          <w:szCs w:val="24"/>
        </w:rPr>
        <w:t>typically</w:t>
      </w:r>
      <w:r w:rsidRPr="003B4F3B">
        <w:rPr>
          <w:rFonts w:ascii="Georgia" w:hAnsi="Georgia" w:cs="Times New Roman"/>
          <w:color w:val="000080"/>
          <w:sz w:val="24"/>
          <w:szCs w:val="24"/>
        </w:rPr>
        <w:t xml:space="preserve"> small, </w:t>
      </w:r>
      <w:r w:rsidRPr="003B4F3B">
        <w:rPr>
          <w:rFonts w:ascii="Georgia" w:hAnsi="Georgia" w:cs="Times New Roman"/>
          <w:sz w:val="24"/>
          <w:szCs w:val="24"/>
        </w:rPr>
        <w:t xml:space="preserve">making the corresponding conditional </w:t>
      </w:r>
      <w:r w:rsidRPr="003B4F3B">
        <w:rPr>
          <w:rFonts w:ascii="Georgia" w:hAnsi="Georgia" w:cs="Times New Roman"/>
          <w:color w:val="000080"/>
          <w:sz w:val="24"/>
          <w:szCs w:val="24"/>
        </w:rPr>
        <w:t xml:space="preserve">measures rather static. </w:t>
      </w:r>
    </w:p>
    <w:p w:rsidR="003B4F3B" w:rsidRPr="003B4F3B" w:rsidRDefault="003B4F3B" w:rsidP="003B4F3B">
      <w:pPr>
        <w:autoSpaceDE w:val="0"/>
        <w:autoSpaceDN w:val="0"/>
        <w:spacing w:after="0"/>
        <w:ind w:left="-284" w:right="-613" w:firstLine="284"/>
        <w:jc w:val="both"/>
        <w:rPr>
          <w:rFonts w:ascii="Georgia" w:hAnsi="Georgia" w:cs="Times New Roman"/>
          <w:color w:val="000080"/>
          <w:sz w:val="24"/>
          <w:szCs w:val="24"/>
        </w:rPr>
      </w:pPr>
      <w:r w:rsidRPr="003B4F3B">
        <w:rPr>
          <w:rFonts w:ascii="Georgia" w:hAnsi="Georgia" w:cs="Times New Roman"/>
          <w:sz w:val="24"/>
          <w:szCs w:val="24"/>
          <w:lang w:val="en"/>
        </w:rPr>
        <w:t xml:space="preserve">This chapter presents a truly dynamic risk </w:t>
      </w:r>
      <w:r w:rsidRPr="003B4F3B">
        <w:rPr>
          <w:rFonts w:ascii="Georgia" w:hAnsi="Georgia" w:cs="Times New Roman"/>
          <w:color w:val="000080"/>
          <w:sz w:val="24"/>
          <w:szCs w:val="24"/>
        </w:rPr>
        <w:t xml:space="preserve">measure </w:t>
      </w:r>
      <w:proofErr w:type="spellStart"/>
      <w:proofErr w:type="gramStart"/>
      <w:r w:rsidRPr="003B4F3B">
        <w:rPr>
          <w:rFonts w:ascii="Georgia" w:hAnsi="Georgia" w:cs="Times New Roman"/>
          <w:i/>
          <w:iCs/>
          <w:color w:val="000080"/>
          <w:sz w:val="24"/>
          <w:szCs w:val="24"/>
        </w:rPr>
        <w:t>m</w:t>
      </w:r>
      <w:r w:rsidRPr="003B4F3B">
        <w:rPr>
          <w:rFonts w:ascii="Georgia" w:hAnsi="Georgia" w:cs="Times New Roman"/>
          <w:i/>
          <w:iCs/>
          <w:color w:val="000080"/>
          <w:sz w:val="24"/>
          <w:szCs w:val="24"/>
          <w:vertAlign w:val="subscript"/>
        </w:rPr>
        <w:t>TA</w:t>
      </w:r>
      <w:proofErr w:type="spellEnd"/>
      <w:r w:rsidRPr="003B4F3B">
        <w:rPr>
          <w:rFonts w:ascii="Georgia" w:hAnsi="Georgia" w:cs="Times New Roman"/>
          <w:color w:val="000080"/>
          <w:sz w:val="24"/>
          <w:szCs w:val="24"/>
        </w:rPr>
        <w:t xml:space="preserve"> .</w:t>
      </w:r>
      <w:proofErr w:type="gramEnd"/>
      <w:r w:rsidRPr="003B4F3B">
        <w:rPr>
          <w:rFonts w:ascii="Georgia" w:hAnsi="Georgia" w:cs="Times New Roman"/>
          <w:color w:val="000080"/>
          <w:sz w:val="24"/>
          <w:szCs w:val="24"/>
        </w:rPr>
        <w:t xml:space="preserve"> </w:t>
      </w:r>
    </w:p>
    <w:p w:rsidR="003B4F3B" w:rsidRPr="003B4F3B" w:rsidRDefault="003B4F3B" w:rsidP="003B4F3B">
      <w:pPr>
        <w:autoSpaceDE w:val="0"/>
        <w:autoSpaceDN w:val="0"/>
        <w:spacing w:after="0"/>
        <w:ind w:left="-284" w:right="-613" w:firstLine="284"/>
        <w:jc w:val="both"/>
        <w:rPr>
          <w:rFonts w:ascii="Georgia" w:hAnsi="Georgia" w:cs="Times New Roman"/>
          <w:sz w:val="24"/>
          <w:szCs w:val="24"/>
          <w:lang w:val="en"/>
        </w:rPr>
      </w:pPr>
      <w:r w:rsidRPr="003B4F3B">
        <w:rPr>
          <w:rFonts w:ascii="Georgia" w:hAnsi="Georgia" w:cs="Times New Roman"/>
          <w:color w:val="000080"/>
          <w:sz w:val="24"/>
          <w:szCs w:val="24"/>
        </w:rPr>
        <w:t>We overview its</w:t>
      </w:r>
      <w:r w:rsidRPr="003B4F3B">
        <w:rPr>
          <w:rFonts w:ascii="Georgia" w:hAnsi="Georgia" w:cs="Times New Roman"/>
          <w:sz w:val="24"/>
          <w:szCs w:val="24"/>
          <w:lang w:val="en"/>
        </w:rPr>
        <w:t xml:space="preserve"> properties </w:t>
      </w:r>
      <w:r w:rsidRPr="003B4F3B">
        <w:rPr>
          <w:rFonts w:ascii="Georgia" w:hAnsi="Georgia" w:cs="Times New Roman"/>
          <w:color w:val="000080"/>
          <w:sz w:val="24"/>
          <w:szCs w:val="24"/>
        </w:rPr>
        <w:t>and discuss pros and contras</w:t>
      </w:r>
      <w:r w:rsidRPr="003B4F3B">
        <w:rPr>
          <w:rFonts w:ascii="Georgia" w:hAnsi="Georgia" w:cs="Times New Roman"/>
          <w:sz w:val="24"/>
          <w:szCs w:val="24"/>
          <w:lang w:val="en"/>
        </w:rPr>
        <w:t xml:space="preserve">. We introduce also a new risk measure that </w:t>
      </w:r>
      <w:r w:rsidRPr="003B4F3B">
        <w:rPr>
          <w:rFonts w:ascii="Georgia" w:hAnsi="Georgia" w:cs="Times New Roman"/>
          <w:sz w:val="24"/>
          <w:szCs w:val="24"/>
        </w:rPr>
        <w:t xml:space="preserve">combines </w:t>
      </w:r>
      <w:r w:rsidRPr="003B4F3B">
        <w:rPr>
          <w:rFonts w:ascii="Georgia" w:hAnsi="Georgia" w:cs="Times New Roman"/>
          <w:sz w:val="24"/>
          <w:szCs w:val="24"/>
          <w:lang w:val="en"/>
        </w:rPr>
        <w:t xml:space="preserve">a static and a dynamic ones, and discuss the advantages of using a </w:t>
      </w:r>
      <w:r w:rsidRPr="003B4F3B">
        <w:rPr>
          <w:rFonts w:ascii="Georgia" w:hAnsi="Georgia" w:cs="Times New Roman"/>
          <w:sz w:val="24"/>
          <w:szCs w:val="24"/>
        </w:rPr>
        <w:t xml:space="preserve">combined </w:t>
      </w:r>
      <w:r w:rsidRPr="003B4F3B">
        <w:rPr>
          <w:rFonts w:ascii="Georgia" w:hAnsi="Georgia" w:cs="Times New Roman"/>
          <w:sz w:val="24"/>
          <w:szCs w:val="24"/>
          <w:lang w:val="en"/>
        </w:rPr>
        <w:t xml:space="preserve">measure. </w:t>
      </w:r>
    </w:p>
    <w:p w:rsidR="003B4F3B" w:rsidRPr="003B4F3B" w:rsidRDefault="003B4F3B" w:rsidP="003B4F3B">
      <w:pPr>
        <w:spacing w:after="0"/>
        <w:ind w:left="-284" w:right="-613" w:firstLine="284"/>
        <w:jc w:val="both"/>
        <w:rPr>
          <w:rFonts w:ascii="Georgia" w:hAnsi="Georgia" w:cs="Times New Roman"/>
          <w:sz w:val="24"/>
          <w:szCs w:val="24"/>
        </w:rPr>
      </w:pPr>
      <w:r w:rsidRPr="003B4F3B">
        <w:rPr>
          <w:rFonts w:ascii="Georgia" w:hAnsi="Georgia" w:cs="Times New Roman"/>
          <w:sz w:val="24"/>
          <w:szCs w:val="24"/>
          <w:lang w:val="en"/>
        </w:rPr>
        <w:t xml:space="preserve">The arguments are illustrated on real life examples involving data available </w:t>
      </w:r>
      <w:r w:rsidRPr="003B4F3B">
        <w:rPr>
          <w:rFonts w:ascii="Georgia" w:hAnsi="Georgia" w:cs="Times New Roman"/>
          <w:sz w:val="24"/>
          <w:szCs w:val="24"/>
        </w:rPr>
        <w:t xml:space="preserve">on the eve of the “Black Monday” crash in 1987 and on the eve of the financial crisis in 2007-08. We </w:t>
      </w:r>
      <w:r>
        <w:rPr>
          <w:rFonts w:ascii="Georgia" w:hAnsi="Georgia" w:cs="Times New Roman"/>
          <w:sz w:val="24"/>
          <w:szCs w:val="24"/>
        </w:rPr>
        <w:t>find</w:t>
      </w:r>
      <w:r w:rsidRPr="003B4F3B">
        <w:rPr>
          <w:rFonts w:ascii="Georgia" w:hAnsi="Georgia" w:cs="Times New Roman"/>
          <w:sz w:val="24"/>
          <w:szCs w:val="24"/>
        </w:rPr>
        <w:t xml:space="preserve"> that </w:t>
      </w:r>
      <w:r w:rsidRPr="003B4F3B">
        <w:rPr>
          <w:rFonts w:ascii="Georgia" w:hAnsi="Georgia" w:cs="Times New Roman"/>
          <w:sz w:val="24"/>
          <w:szCs w:val="24"/>
          <w:lang w:val="en"/>
        </w:rPr>
        <w:t xml:space="preserve">dynamic </w:t>
      </w:r>
      <w:r w:rsidRPr="003B4F3B">
        <w:rPr>
          <w:rFonts w:ascii="Georgia" w:hAnsi="Georgia" w:cs="Times New Roman"/>
          <w:sz w:val="24"/>
          <w:szCs w:val="24"/>
        </w:rPr>
        <w:t>measures signalled increased level of risk on the eve of the crises sending a clear warning signal to investors.</w:t>
      </w:r>
    </w:p>
    <w:p w:rsidR="006C7C2C" w:rsidRPr="003B4F3B" w:rsidRDefault="006C7C2C">
      <w:pPr>
        <w:rPr>
          <w:rFonts w:ascii="Times New Roman" w:hAnsi="Times New Roman" w:cs="Times New Roman"/>
          <w:sz w:val="24"/>
          <w:szCs w:val="24"/>
        </w:rPr>
      </w:pPr>
    </w:p>
    <w:sectPr w:rsidR="006C7C2C" w:rsidRPr="003B4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2C"/>
    <w:rsid w:val="00007F3B"/>
    <w:rsid w:val="000E756D"/>
    <w:rsid w:val="00184472"/>
    <w:rsid w:val="001C3954"/>
    <w:rsid w:val="00241C17"/>
    <w:rsid w:val="0034422D"/>
    <w:rsid w:val="00346484"/>
    <w:rsid w:val="00360A08"/>
    <w:rsid w:val="003B4F3B"/>
    <w:rsid w:val="00471C71"/>
    <w:rsid w:val="00474EF4"/>
    <w:rsid w:val="00545F70"/>
    <w:rsid w:val="00576986"/>
    <w:rsid w:val="005C33B8"/>
    <w:rsid w:val="006C7C2C"/>
    <w:rsid w:val="007B633B"/>
    <w:rsid w:val="008E6DDF"/>
    <w:rsid w:val="009001AC"/>
    <w:rsid w:val="0093441B"/>
    <w:rsid w:val="009D4E79"/>
    <w:rsid w:val="009F7979"/>
    <w:rsid w:val="00C1649A"/>
    <w:rsid w:val="00C6324B"/>
    <w:rsid w:val="00DF453C"/>
    <w:rsid w:val="00F454D0"/>
    <w:rsid w:val="00FC00F1"/>
    <w:rsid w:val="00FE0BD7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EB8C3-2567-4E25-8449-D11736DE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C2C"/>
    <w:rPr>
      <w:color w:val="0066CC"/>
      <w:u w:val="single"/>
    </w:rPr>
  </w:style>
  <w:style w:type="character" w:styleId="Emphasis">
    <w:name w:val="Emphasis"/>
    <w:basedOn w:val="DefaultParagraphFont"/>
    <w:uiPriority w:val="20"/>
    <w:qFormat/>
    <w:rsid w:val="006C7C2C"/>
    <w:rPr>
      <w:i/>
      <w:iCs/>
    </w:rPr>
  </w:style>
  <w:style w:type="character" w:customStyle="1" w:styleId="a2acount3">
    <w:name w:val="a2a_count3"/>
    <w:basedOn w:val="DefaultParagraphFont"/>
    <w:rsid w:val="006C7C2C"/>
    <w:rPr>
      <w:rFonts w:ascii="Arial" w:hAnsi="Arial" w:cs="Arial" w:hint="default"/>
      <w:vanish w:val="0"/>
      <w:webHidden w:val="0"/>
      <w:color w:val="2A2A2A"/>
      <w:sz w:val="18"/>
      <w:szCs w:val="18"/>
      <w:bdr w:val="single" w:sz="6" w:space="0" w:color="CCCCCC" w:frame="1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2C"/>
    <w:rPr>
      <w:rFonts w:ascii="Tahoma" w:hAnsi="Tahoma" w:cs="Tahoma"/>
      <w:sz w:val="16"/>
      <w:szCs w:val="16"/>
    </w:rPr>
  </w:style>
  <w:style w:type="character" w:customStyle="1" w:styleId="a-size-base">
    <w:name w:val="a-size-base"/>
    <w:basedOn w:val="DefaultParagraphFont"/>
    <w:rsid w:val="007B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5023">
              <w:marLeft w:val="0"/>
              <w:marRight w:val="-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4306">
                  <w:marLeft w:val="300"/>
                  <w:marRight w:val="420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0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34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ey.com/WileyCDA/WileyTitle/productCd-1118650190.html" TargetMode="External"/><Relationship Id="rId5" Type="http://schemas.openxmlformats.org/officeDocument/2006/relationships/hyperlink" Target="https://extreme-events-finance.net/wiley-handbook/contributions/novak-measures-financial-risk/" TargetMode="External"/><Relationship Id="rId4" Type="http://schemas.openxmlformats.org/officeDocument/2006/relationships/hyperlink" Target="https://extreme-events-finance.net/community/community_member_form.php?id=10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Serguei Novak</dc:creator>
  <cp:lastModifiedBy>Jennifer Basford</cp:lastModifiedBy>
  <cp:revision>2</cp:revision>
  <dcterms:created xsi:type="dcterms:W3CDTF">2017-02-14T09:39:00Z</dcterms:created>
  <dcterms:modified xsi:type="dcterms:W3CDTF">2017-02-14T09:39:00Z</dcterms:modified>
</cp:coreProperties>
</file>