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1064" w14:textId="2A4D1897" w:rsidR="003D5CC4" w:rsidRPr="003D5CC4" w:rsidRDefault="003D5CC4" w:rsidP="003D5CC4">
      <w:pPr>
        <w:rPr>
          <w:color w:val="000000" w:themeColor="text1"/>
          <w:sz w:val="22"/>
          <w:szCs w:val="22"/>
          <w:lang w:val="en-US"/>
        </w:rPr>
      </w:pPr>
      <w:r w:rsidRPr="003D5CC4">
        <w:rPr>
          <w:color w:val="000000" w:themeColor="text1"/>
          <w:sz w:val="22"/>
          <w:szCs w:val="22"/>
          <w:lang w:val="en-US"/>
        </w:rPr>
        <w:t>Supplement</w:t>
      </w:r>
      <w:r>
        <w:rPr>
          <w:color w:val="000000" w:themeColor="text1"/>
          <w:sz w:val="22"/>
          <w:szCs w:val="22"/>
          <w:lang w:val="en-US"/>
        </w:rPr>
        <w:t>ary</w:t>
      </w:r>
      <w:r w:rsidRPr="003D5CC4">
        <w:rPr>
          <w:color w:val="000000" w:themeColor="text1"/>
          <w:sz w:val="22"/>
          <w:szCs w:val="22"/>
          <w:lang w:val="en-US"/>
        </w:rPr>
        <w:t xml:space="preserve"> information</w:t>
      </w:r>
    </w:p>
    <w:p w14:paraId="0E5C3A2A" w14:textId="77777777" w:rsidR="003D5CC4" w:rsidRPr="003D5CC4" w:rsidRDefault="003D5CC4" w:rsidP="003D5CC4">
      <w:pPr>
        <w:rPr>
          <w:color w:val="000000" w:themeColor="text1"/>
          <w:sz w:val="22"/>
          <w:szCs w:val="22"/>
          <w:lang w:val="en-US"/>
        </w:rPr>
      </w:pPr>
    </w:p>
    <w:p w14:paraId="1CB593EA" w14:textId="7CF83991" w:rsidR="003D5CC4" w:rsidRDefault="003D5CC4" w:rsidP="003D5CC4">
      <w:pPr>
        <w:rPr>
          <w:color w:val="000000"/>
          <w:sz w:val="22"/>
          <w:szCs w:val="22"/>
          <w:shd w:val="clear" w:color="auto" w:fill="FFFFFF"/>
        </w:rPr>
      </w:pPr>
      <w:r w:rsidRPr="003D5CC4">
        <w:rPr>
          <w:color w:val="000000"/>
          <w:sz w:val="22"/>
          <w:szCs w:val="22"/>
          <w:shd w:val="clear" w:color="auto" w:fill="FFFFFF"/>
        </w:rPr>
        <w:t>Perceptions, experiences and opportunities for occupational safety and health professionals arising out of the COVID-19 Pandemic </w:t>
      </w:r>
    </w:p>
    <w:p w14:paraId="59C56D67" w14:textId="060300D5" w:rsidR="003D5CC4" w:rsidRDefault="003D5CC4" w:rsidP="003D5CC4">
      <w:pPr>
        <w:rPr>
          <w:color w:val="000000"/>
          <w:sz w:val="22"/>
          <w:szCs w:val="22"/>
          <w:shd w:val="clear" w:color="auto" w:fill="FFFFFF"/>
        </w:rPr>
      </w:pPr>
    </w:p>
    <w:p w14:paraId="7A6CEF23" w14:textId="77777777" w:rsidR="003D5CC4" w:rsidRDefault="003D5CC4" w:rsidP="003D5CC4">
      <w:pPr>
        <w:rPr>
          <w:color w:val="000000"/>
          <w:sz w:val="22"/>
          <w:szCs w:val="22"/>
          <w:shd w:val="clear" w:color="auto" w:fill="FFFFFF"/>
          <w:lang w:val="en-US"/>
        </w:rPr>
      </w:pPr>
      <w:r w:rsidRPr="003D5CC4">
        <w:rPr>
          <w:color w:val="000000"/>
          <w:sz w:val="22"/>
          <w:szCs w:val="22"/>
          <w:shd w:val="clear" w:color="auto" w:fill="FFFFFF"/>
          <w:lang w:val="en-US"/>
        </w:rPr>
        <w:t>David Gold</w:t>
      </w:r>
    </w:p>
    <w:p w14:paraId="0973AA88" w14:textId="77777777" w:rsidR="003D5CC4" w:rsidRDefault="003D5CC4" w:rsidP="003D5CC4">
      <w:pPr>
        <w:rPr>
          <w:color w:val="000000"/>
          <w:sz w:val="22"/>
          <w:szCs w:val="22"/>
          <w:shd w:val="clear" w:color="auto" w:fill="FFFFFF"/>
          <w:lang w:val="en-US"/>
        </w:rPr>
      </w:pPr>
      <w:r>
        <w:rPr>
          <w:color w:val="000000"/>
          <w:sz w:val="22"/>
          <w:szCs w:val="22"/>
          <w:shd w:val="clear" w:color="auto" w:fill="FFFFFF"/>
          <w:lang w:val="en-US"/>
        </w:rPr>
        <w:t>Gold-Knecht Associates</w:t>
      </w:r>
    </w:p>
    <w:p w14:paraId="77AEE768" w14:textId="77777777" w:rsidR="003D5CC4" w:rsidRDefault="003D5CC4" w:rsidP="003D5CC4">
      <w:pPr>
        <w:rPr>
          <w:color w:val="000000"/>
          <w:sz w:val="22"/>
          <w:szCs w:val="22"/>
          <w:shd w:val="clear" w:color="auto" w:fill="FFFFFF"/>
          <w:lang w:val="en-US"/>
        </w:rPr>
      </w:pPr>
      <w:r>
        <w:rPr>
          <w:color w:val="000000"/>
          <w:sz w:val="22"/>
          <w:szCs w:val="22"/>
          <w:shd w:val="clear" w:color="auto" w:fill="FFFFFF"/>
          <w:lang w:val="en-US"/>
        </w:rPr>
        <w:t>Switzerland</w:t>
      </w:r>
    </w:p>
    <w:p w14:paraId="25CA6720" w14:textId="77777777" w:rsidR="003D5CC4" w:rsidRDefault="003D5CC4" w:rsidP="003D5CC4">
      <w:pPr>
        <w:rPr>
          <w:color w:val="000000"/>
          <w:sz w:val="22"/>
          <w:szCs w:val="22"/>
          <w:shd w:val="clear" w:color="auto" w:fill="FFFFFF"/>
          <w:lang w:val="en-US"/>
        </w:rPr>
      </w:pPr>
    </w:p>
    <w:p w14:paraId="7DD6C69F" w14:textId="37705952" w:rsidR="003D5CC4" w:rsidRDefault="003D5CC4" w:rsidP="003D5CC4">
      <w:pPr>
        <w:rPr>
          <w:color w:val="000000"/>
          <w:sz w:val="22"/>
          <w:szCs w:val="22"/>
          <w:shd w:val="clear" w:color="auto" w:fill="FFFFFF"/>
          <w:lang w:val="en-US"/>
        </w:rPr>
      </w:pPr>
      <w:r w:rsidRPr="003D5CC4">
        <w:rPr>
          <w:color w:val="000000"/>
          <w:sz w:val="22"/>
          <w:szCs w:val="22"/>
          <w:shd w:val="clear" w:color="auto" w:fill="FFFFFF"/>
          <w:lang w:val="en-US"/>
        </w:rPr>
        <w:t>S</w:t>
      </w:r>
      <w:r>
        <w:rPr>
          <w:color w:val="000000"/>
          <w:sz w:val="22"/>
          <w:szCs w:val="22"/>
          <w:shd w:val="clear" w:color="auto" w:fill="FFFFFF"/>
          <w:lang w:val="en-US"/>
        </w:rPr>
        <w:t>tuart Hughes</w:t>
      </w:r>
    </w:p>
    <w:p w14:paraId="6C1F691E" w14:textId="0C1084EF" w:rsidR="003D5CC4" w:rsidRDefault="003D5CC4" w:rsidP="003D5CC4">
      <w:pPr>
        <w:rPr>
          <w:color w:val="000000"/>
          <w:sz w:val="22"/>
          <w:szCs w:val="22"/>
          <w:shd w:val="clear" w:color="auto" w:fill="FFFFFF"/>
          <w:lang w:val="en-US"/>
        </w:rPr>
      </w:pPr>
      <w:r w:rsidRPr="00AC5054">
        <w:rPr>
          <w:rStyle w:val="Hyperlink"/>
          <w:color w:val="000000" w:themeColor="text1"/>
          <w:sz w:val="20"/>
          <w:szCs w:val="20"/>
          <w:u w:val="none"/>
        </w:rPr>
        <w:t>Mercedes AMG Petronas Formula One Team</w:t>
      </w:r>
    </w:p>
    <w:p w14:paraId="0A60F107" w14:textId="26ED957B" w:rsidR="003D5CC4" w:rsidRDefault="003D5CC4" w:rsidP="003D5CC4">
      <w:pPr>
        <w:rPr>
          <w:color w:val="000000"/>
          <w:sz w:val="22"/>
          <w:szCs w:val="22"/>
          <w:shd w:val="clear" w:color="auto" w:fill="FFFFFF"/>
          <w:lang w:val="en-US"/>
        </w:rPr>
      </w:pPr>
      <w:r>
        <w:rPr>
          <w:color w:val="000000"/>
          <w:sz w:val="22"/>
          <w:szCs w:val="22"/>
          <w:shd w:val="clear" w:color="auto" w:fill="FFFFFF"/>
          <w:lang w:val="en-US"/>
        </w:rPr>
        <w:t xml:space="preserve">United Kingdom </w:t>
      </w:r>
    </w:p>
    <w:p w14:paraId="03008EB0" w14:textId="77777777" w:rsidR="003D5CC4" w:rsidRDefault="003D5CC4" w:rsidP="003D5CC4">
      <w:pPr>
        <w:rPr>
          <w:color w:val="000000"/>
          <w:sz w:val="22"/>
          <w:szCs w:val="22"/>
          <w:shd w:val="clear" w:color="auto" w:fill="FFFFFF"/>
          <w:lang w:val="en-US"/>
        </w:rPr>
      </w:pPr>
    </w:p>
    <w:p w14:paraId="3C439AE2" w14:textId="21F3EB26" w:rsidR="003D5CC4" w:rsidRDefault="003D5CC4" w:rsidP="003D5CC4">
      <w:pPr>
        <w:rPr>
          <w:color w:val="000000"/>
          <w:sz w:val="22"/>
          <w:szCs w:val="22"/>
          <w:shd w:val="clear" w:color="auto" w:fill="FFFFFF"/>
          <w:lang w:val="en-US"/>
        </w:rPr>
      </w:pPr>
      <w:r>
        <w:rPr>
          <w:color w:val="000000"/>
          <w:sz w:val="22"/>
          <w:szCs w:val="22"/>
          <w:shd w:val="clear" w:color="auto" w:fill="FFFFFF"/>
          <w:lang w:val="en-US"/>
        </w:rPr>
        <w:t>David Thomas</w:t>
      </w:r>
    </w:p>
    <w:p w14:paraId="2590D1D8" w14:textId="3FCF186C" w:rsidR="003D5CC4" w:rsidRPr="003D5CC4" w:rsidRDefault="003D5CC4" w:rsidP="003D5CC4">
      <w:pPr>
        <w:rPr>
          <w:sz w:val="22"/>
          <w:szCs w:val="22"/>
          <w:lang w:val="en-US"/>
        </w:rPr>
      </w:pPr>
      <w:r w:rsidRPr="00AC5054">
        <w:rPr>
          <w:rStyle w:val="Hyperlink"/>
          <w:color w:val="000000" w:themeColor="text1"/>
          <w:sz w:val="20"/>
          <w:szCs w:val="20"/>
          <w:u w:val="none"/>
        </w:rPr>
        <w:t>Middlesex University</w:t>
      </w:r>
    </w:p>
    <w:p w14:paraId="0D663089" w14:textId="3077FDDE" w:rsidR="003D5CC4" w:rsidRDefault="003D5CC4" w:rsidP="003D5CC4">
      <w:pPr>
        <w:rPr>
          <w:color w:val="000000" w:themeColor="text1"/>
          <w:sz w:val="20"/>
          <w:szCs w:val="20"/>
          <w:lang w:val="en-US"/>
        </w:rPr>
      </w:pPr>
      <w:r>
        <w:rPr>
          <w:color w:val="000000" w:themeColor="text1"/>
          <w:sz w:val="20"/>
          <w:szCs w:val="20"/>
          <w:lang w:val="en-US"/>
        </w:rPr>
        <w:t>United Kingdom</w:t>
      </w:r>
    </w:p>
    <w:p w14:paraId="2E9E6E8B" w14:textId="0F03A443" w:rsidR="003D5CC4" w:rsidRDefault="003D5CC4" w:rsidP="003D5CC4">
      <w:pPr>
        <w:rPr>
          <w:color w:val="000000" w:themeColor="text1"/>
          <w:sz w:val="20"/>
          <w:szCs w:val="20"/>
          <w:lang w:val="en-US"/>
        </w:rPr>
      </w:pPr>
    </w:p>
    <w:p w14:paraId="19C1690C" w14:textId="2BE7A882" w:rsidR="003D5CC4" w:rsidRDefault="003D5CC4" w:rsidP="003D5CC4">
      <w:pPr>
        <w:rPr>
          <w:color w:val="000000" w:themeColor="text1"/>
          <w:sz w:val="20"/>
          <w:szCs w:val="20"/>
          <w:lang w:val="en-US"/>
        </w:rPr>
      </w:pPr>
    </w:p>
    <w:p w14:paraId="71385113" w14:textId="77777777" w:rsidR="003D5CC4" w:rsidRDefault="003D5CC4" w:rsidP="003D5CC4">
      <w:pPr>
        <w:rPr>
          <w:color w:val="000000" w:themeColor="text1"/>
          <w:sz w:val="20"/>
          <w:szCs w:val="20"/>
          <w:lang w:val="en-US"/>
        </w:rPr>
      </w:pPr>
    </w:p>
    <w:p w14:paraId="715AA852" w14:textId="32FF7632" w:rsidR="00BD0CE8" w:rsidRPr="003D5CC4" w:rsidRDefault="003D5CC4" w:rsidP="00BD0CE8">
      <w:pPr>
        <w:spacing w:line="360" w:lineRule="auto"/>
        <w:rPr>
          <w:color w:val="000000" w:themeColor="text1"/>
          <w:sz w:val="20"/>
          <w:szCs w:val="20"/>
          <w:lang w:val="en-US"/>
        </w:rPr>
      </w:pPr>
      <w:r w:rsidRPr="003D5CC4">
        <w:rPr>
          <w:color w:val="000000" w:themeColor="text1"/>
          <w:sz w:val="20"/>
          <w:szCs w:val="20"/>
          <w:lang w:val="en-US"/>
        </w:rPr>
        <w:t>T</w:t>
      </w:r>
      <w:r>
        <w:rPr>
          <w:color w:val="000000" w:themeColor="text1"/>
          <w:sz w:val="20"/>
          <w:szCs w:val="20"/>
          <w:lang w:val="en-US"/>
        </w:rPr>
        <w:t>able S1</w:t>
      </w:r>
    </w:p>
    <w:p w14:paraId="3DF84C86" w14:textId="77777777" w:rsidR="00BD0CE8" w:rsidRPr="00AC5054" w:rsidRDefault="00BD0CE8" w:rsidP="00BD0CE8">
      <w:pPr>
        <w:spacing w:line="360" w:lineRule="auto"/>
        <w:rPr>
          <w:color w:val="000000" w:themeColor="text1"/>
          <w:sz w:val="20"/>
          <w:szCs w:val="20"/>
        </w:rPr>
      </w:pPr>
      <w:r w:rsidRPr="00AC5054">
        <w:rPr>
          <w:color w:val="000000" w:themeColor="text1"/>
          <w:sz w:val="20"/>
          <w:szCs w:val="20"/>
        </w:rPr>
        <w:t>Group demographics</w:t>
      </w:r>
    </w:p>
    <w:p w14:paraId="799C7888" w14:textId="77777777" w:rsidR="00BD0CE8" w:rsidRPr="00AC5054" w:rsidRDefault="00BD0CE8" w:rsidP="00BD0CE8">
      <w:pPr>
        <w:pStyle w:val="NormalWeb"/>
        <w:spacing w:before="0" w:beforeAutospacing="0" w:after="0" w:afterAutospacing="0" w:line="360" w:lineRule="auto"/>
        <w:rPr>
          <w:sz w:val="20"/>
          <w:szCs w:val="20"/>
        </w:rPr>
      </w:pPr>
    </w:p>
    <w:p w14:paraId="02C90108" w14:textId="77777777" w:rsidR="00BD0CE8" w:rsidRPr="00AC5054" w:rsidRDefault="00BD0CE8" w:rsidP="00BD0CE8">
      <w:pPr>
        <w:pStyle w:val="NormalWeb"/>
        <w:spacing w:before="0" w:beforeAutospacing="0" w:after="0" w:afterAutospacing="0" w:line="360" w:lineRule="auto"/>
        <w:rPr>
          <w:sz w:val="20"/>
          <w:szCs w:val="20"/>
        </w:rPr>
      </w:pPr>
      <w:r w:rsidRPr="00AC5054">
        <w:rPr>
          <w:sz w:val="20"/>
          <w:szCs w:val="20"/>
        </w:rPr>
        <w:t>The range of the reported age of the participants.</w:t>
      </w:r>
    </w:p>
    <w:tbl>
      <w:tblPr>
        <w:tblStyle w:val="TableGrid"/>
        <w:tblW w:w="10348" w:type="dxa"/>
        <w:tblInd w:w="-147" w:type="dxa"/>
        <w:tblLook w:val="04A0" w:firstRow="1" w:lastRow="0" w:firstColumn="1" w:lastColumn="0" w:noHBand="0" w:noVBand="1"/>
      </w:tblPr>
      <w:tblGrid>
        <w:gridCol w:w="1418"/>
        <w:gridCol w:w="8930"/>
      </w:tblGrid>
      <w:tr w:rsidR="00BD0CE8" w:rsidRPr="00AC5054" w14:paraId="15BFEA95" w14:textId="77777777" w:rsidTr="00DF5D58">
        <w:tc>
          <w:tcPr>
            <w:tcW w:w="1418" w:type="dxa"/>
          </w:tcPr>
          <w:p w14:paraId="74393AB0"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Age range</w:t>
            </w:r>
          </w:p>
        </w:tc>
        <w:tc>
          <w:tcPr>
            <w:tcW w:w="8930" w:type="dxa"/>
          </w:tcPr>
          <w:p w14:paraId="528D6747" w14:textId="77777777" w:rsidR="00BD0CE8" w:rsidRPr="00AC5054" w:rsidRDefault="00BD0CE8" w:rsidP="00DF5D58">
            <w:pPr>
              <w:pStyle w:val="NormalWeb"/>
              <w:spacing w:before="0" w:beforeAutospacing="0" w:after="0" w:afterAutospacing="0" w:line="360" w:lineRule="auto"/>
              <w:rPr>
                <w:color w:val="FF0000"/>
                <w:sz w:val="20"/>
                <w:szCs w:val="20"/>
              </w:rPr>
            </w:pPr>
            <w:r w:rsidRPr="00AC5054">
              <w:rPr>
                <w:color w:val="000000" w:themeColor="text1"/>
                <w:sz w:val="20"/>
                <w:szCs w:val="20"/>
              </w:rPr>
              <w:t>Number (n=37) (eight participants not reporting)</w:t>
            </w:r>
          </w:p>
        </w:tc>
      </w:tr>
      <w:tr w:rsidR="00BD0CE8" w:rsidRPr="00AC5054" w14:paraId="5BF17C1C" w14:textId="77777777" w:rsidTr="00DF5D58">
        <w:tc>
          <w:tcPr>
            <w:tcW w:w="1418" w:type="dxa"/>
          </w:tcPr>
          <w:p w14:paraId="7E971D28"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25-34</w:t>
            </w:r>
          </w:p>
        </w:tc>
        <w:tc>
          <w:tcPr>
            <w:tcW w:w="8930" w:type="dxa"/>
          </w:tcPr>
          <w:p w14:paraId="06468F3B"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2</w:t>
            </w:r>
          </w:p>
        </w:tc>
      </w:tr>
      <w:tr w:rsidR="00BD0CE8" w:rsidRPr="00AC5054" w14:paraId="30263449" w14:textId="77777777" w:rsidTr="00DF5D58">
        <w:tc>
          <w:tcPr>
            <w:tcW w:w="1418" w:type="dxa"/>
          </w:tcPr>
          <w:p w14:paraId="5A33286B"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35-44</w:t>
            </w:r>
          </w:p>
        </w:tc>
        <w:tc>
          <w:tcPr>
            <w:tcW w:w="8930" w:type="dxa"/>
          </w:tcPr>
          <w:p w14:paraId="77A28070"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7</w:t>
            </w:r>
          </w:p>
        </w:tc>
      </w:tr>
      <w:tr w:rsidR="00BD0CE8" w:rsidRPr="00AC5054" w14:paraId="68D0A04A" w14:textId="77777777" w:rsidTr="00DF5D58">
        <w:tc>
          <w:tcPr>
            <w:tcW w:w="1418" w:type="dxa"/>
          </w:tcPr>
          <w:p w14:paraId="44B0A811"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45-64</w:t>
            </w:r>
          </w:p>
        </w:tc>
        <w:tc>
          <w:tcPr>
            <w:tcW w:w="8930" w:type="dxa"/>
          </w:tcPr>
          <w:p w14:paraId="482C5BF5"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21</w:t>
            </w:r>
          </w:p>
        </w:tc>
      </w:tr>
      <w:tr w:rsidR="00BD0CE8" w:rsidRPr="00AC5054" w14:paraId="51F2FC09" w14:textId="77777777" w:rsidTr="00DF5D58">
        <w:trPr>
          <w:trHeight w:val="64"/>
        </w:trPr>
        <w:tc>
          <w:tcPr>
            <w:tcW w:w="1418" w:type="dxa"/>
          </w:tcPr>
          <w:p w14:paraId="26A2325E"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65 +</w:t>
            </w:r>
          </w:p>
        </w:tc>
        <w:tc>
          <w:tcPr>
            <w:tcW w:w="8930" w:type="dxa"/>
          </w:tcPr>
          <w:p w14:paraId="377300D0"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7</w:t>
            </w:r>
          </w:p>
        </w:tc>
      </w:tr>
    </w:tbl>
    <w:p w14:paraId="71BBC241" w14:textId="77777777" w:rsidR="00BD0CE8" w:rsidRPr="00AC5054" w:rsidRDefault="00BD0CE8" w:rsidP="00BD0CE8">
      <w:pPr>
        <w:pStyle w:val="NormalWeb"/>
        <w:spacing w:before="0" w:beforeAutospacing="0" w:after="0" w:afterAutospacing="0" w:line="360" w:lineRule="auto"/>
        <w:rPr>
          <w:sz w:val="20"/>
          <w:szCs w:val="20"/>
        </w:rPr>
      </w:pPr>
    </w:p>
    <w:p w14:paraId="4B182169" w14:textId="77777777" w:rsidR="00BD0CE8" w:rsidRPr="00AC5054" w:rsidRDefault="00BD0CE8" w:rsidP="00BD0CE8">
      <w:pPr>
        <w:pStyle w:val="NormalWeb"/>
        <w:spacing w:before="0" w:beforeAutospacing="0" w:after="0" w:afterAutospacing="0" w:line="360" w:lineRule="auto"/>
        <w:rPr>
          <w:sz w:val="20"/>
          <w:szCs w:val="20"/>
        </w:rPr>
      </w:pPr>
    </w:p>
    <w:p w14:paraId="77C6A543" w14:textId="4040FB7A" w:rsidR="00BD0CE8" w:rsidRPr="00AC5054" w:rsidRDefault="003D5CC4" w:rsidP="00BD0CE8">
      <w:pPr>
        <w:pStyle w:val="NormalWeb"/>
        <w:spacing w:before="0" w:beforeAutospacing="0" w:after="0" w:afterAutospacing="0" w:line="360" w:lineRule="auto"/>
        <w:rPr>
          <w:sz w:val="20"/>
          <w:szCs w:val="20"/>
        </w:rPr>
      </w:pPr>
      <w:r>
        <w:rPr>
          <w:sz w:val="20"/>
          <w:szCs w:val="20"/>
        </w:rPr>
        <w:t>Table S2</w:t>
      </w:r>
      <w:r w:rsidR="00BD0CE8" w:rsidRPr="00AC5054">
        <w:rPr>
          <w:sz w:val="20"/>
          <w:szCs w:val="20"/>
        </w:rPr>
        <w:t>:</w:t>
      </w:r>
    </w:p>
    <w:tbl>
      <w:tblPr>
        <w:tblStyle w:val="TableGrid"/>
        <w:tblW w:w="10348" w:type="dxa"/>
        <w:tblInd w:w="-147" w:type="dxa"/>
        <w:tblLook w:val="04A0" w:firstRow="1" w:lastRow="0" w:firstColumn="1" w:lastColumn="0" w:noHBand="0" w:noVBand="1"/>
      </w:tblPr>
      <w:tblGrid>
        <w:gridCol w:w="1418"/>
        <w:gridCol w:w="8930"/>
      </w:tblGrid>
      <w:tr w:rsidR="00BD0CE8" w:rsidRPr="00AC5054" w14:paraId="6A592BBC" w14:textId="77777777" w:rsidTr="00DF5D58">
        <w:tc>
          <w:tcPr>
            <w:tcW w:w="1418" w:type="dxa"/>
          </w:tcPr>
          <w:p w14:paraId="1ABEFFAA"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Canada</w:t>
            </w:r>
          </w:p>
        </w:tc>
        <w:tc>
          <w:tcPr>
            <w:tcW w:w="8930" w:type="dxa"/>
          </w:tcPr>
          <w:p w14:paraId="2C62EE35"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r w:rsidR="00BD0CE8" w:rsidRPr="00AC5054" w14:paraId="3F98F748" w14:textId="77777777" w:rsidTr="00DF5D58">
        <w:tc>
          <w:tcPr>
            <w:tcW w:w="1418" w:type="dxa"/>
          </w:tcPr>
          <w:p w14:paraId="79EFCC3F"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China (HK)</w:t>
            </w:r>
          </w:p>
        </w:tc>
        <w:tc>
          <w:tcPr>
            <w:tcW w:w="8930" w:type="dxa"/>
          </w:tcPr>
          <w:p w14:paraId="7F7B7DE0"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r w:rsidR="00BD0CE8" w:rsidRPr="00AC5054" w14:paraId="6D126175" w14:textId="77777777" w:rsidTr="00DF5D58">
        <w:tc>
          <w:tcPr>
            <w:tcW w:w="1418" w:type="dxa"/>
          </w:tcPr>
          <w:p w14:paraId="6A535733"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Switzerland</w:t>
            </w:r>
          </w:p>
        </w:tc>
        <w:tc>
          <w:tcPr>
            <w:tcW w:w="8930" w:type="dxa"/>
          </w:tcPr>
          <w:p w14:paraId="1A453BC3"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3</w:t>
            </w:r>
          </w:p>
        </w:tc>
      </w:tr>
      <w:tr w:rsidR="00BD0CE8" w:rsidRPr="00AC5054" w14:paraId="6D14FCE2" w14:textId="77777777" w:rsidTr="00DF5D58">
        <w:tc>
          <w:tcPr>
            <w:tcW w:w="1418" w:type="dxa"/>
          </w:tcPr>
          <w:p w14:paraId="7531B97D"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Ghana</w:t>
            </w:r>
          </w:p>
        </w:tc>
        <w:tc>
          <w:tcPr>
            <w:tcW w:w="8930" w:type="dxa"/>
          </w:tcPr>
          <w:p w14:paraId="0FA5F782"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r w:rsidR="00BD0CE8" w:rsidRPr="00AC5054" w14:paraId="29DC5FC4" w14:textId="77777777" w:rsidTr="00DF5D58">
        <w:tc>
          <w:tcPr>
            <w:tcW w:w="1418" w:type="dxa"/>
          </w:tcPr>
          <w:p w14:paraId="59364EF4"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Ireland</w:t>
            </w:r>
          </w:p>
        </w:tc>
        <w:tc>
          <w:tcPr>
            <w:tcW w:w="8930" w:type="dxa"/>
          </w:tcPr>
          <w:p w14:paraId="137FD35D"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3</w:t>
            </w:r>
          </w:p>
        </w:tc>
      </w:tr>
      <w:tr w:rsidR="00BD0CE8" w:rsidRPr="00AC5054" w14:paraId="4D45F11A" w14:textId="77777777" w:rsidTr="00DF5D58">
        <w:tc>
          <w:tcPr>
            <w:tcW w:w="1418" w:type="dxa"/>
          </w:tcPr>
          <w:p w14:paraId="0652B8E6"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Nigeria</w:t>
            </w:r>
          </w:p>
        </w:tc>
        <w:tc>
          <w:tcPr>
            <w:tcW w:w="8930" w:type="dxa"/>
          </w:tcPr>
          <w:p w14:paraId="2E8C091A"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r w:rsidR="00BD0CE8" w:rsidRPr="00AC5054" w14:paraId="33BF251E" w14:textId="77777777" w:rsidTr="00DF5D58">
        <w:tc>
          <w:tcPr>
            <w:tcW w:w="1418" w:type="dxa"/>
          </w:tcPr>
          <w:p w14:paraId="0F3F574D"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Singapore</w:t>
            </w:r>
          </w:p>
        </w:tc>
        <w:tc>
          <w:tcPr>
            <w:tcW w:w="8930" w:type="dxa"/>
          </w:tcPr>
          <w:p w14:paraId="0C04EB2F"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r w:rsidR="00BD0CE8" w:rsidRPr="00AC5054" w14:paraId="6C519BD5" w14:textId="77777777" w:rsidTr="00DF5D58">
        <w:tc>
          <w:tcPr>
            <w:tcW w:w="1418" w:type="dxa"/>
          </w:tcPr>
          <w:p w14:paraId="46FFCED5"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UAE</w:t>
            </w:r>
          </w:p>
        </w:tc>
        <w:tc>
          <w:tcPr>
            <w:tcW w:w="8930" w:type="dxa"/>
          </w:tcPr>
          <w:p w14:paraId="5EAEA089"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2</w:t>
            </w:r>
          </w:p>
        </w:tc>
      </w:tr>
      <w:tr w:rsidR="00BD0CE8" w:rsidRPr="00AC5054" w14:paraId="46F04A9D" w14:textId="77777777" w:rsidTr="00DF5D58">
        <w:tc>
          <w:tcPr>
            <w:tcW w:w="1418" w:type="dxa"/>
          </w:tcPr>
          <w:p w14:paraId="11D42215"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UK</w:t>
            </w:r>
          </w:p>
        </w:tc>
        <w:tc>
          <w:tcPr>
            <w:tcW w:w="8930" w:type="dxa"/>
          </w:tcPr>
          <w:p w14:paraId="122C4218"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31</w:t>
            </w:r>
          </w:p>
        </w:tc>
      </w:tr>
      <w:tr w:rsidR="00BD0CE8" w:rsidRPr="00AC5054" w14:paraId="6582268A" w14:textId="77777777" w:rsidTr="00DF5D58">
        <w:tc>
          <w:tcPr>
            <w:tcW w:w="1418" w:type="dxa"/>
          </w:tcPr>
          <w:p w14:paraId="0B6B5636"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USA</w:t>
            </w:r>
          </w:p>
        </w:tc>
        <w:tc>
          <w:tcPr>
            <w:tcW w:w="8930" w:type="dxa"/>
          </w:tcPr>
          <w:p w14:paraId="2FD6FBAF" w14:textId="77777777" w:rsidR="00BD0CE8" w:rsidRPr="00AC5054" w:rsidRDefault="00BD0CE8" w:rsidP="00DF5D58">
            <w:pPr>
              <w:pStyle w:val="NormalWeb"/>
              <w:spacing w:before="0" w:beforeAutospacing="0" w:after="0" w:afterAutospacing="0" w:line="360" w:lineRule="auto"/>
              <w:rPr>
                <w:sz w:val="20"/>
                <w:szCs w:val="20"/>
              </w:rPr>
            </w:pPr>
            <w:r w:rsidRPr="00AC5054">
              <w:rPr>
                <w:sz w:val="20"/>
                <w:szCs w:val="20"/>
              </w:rPr>
              <w:t>1</w:t>
            </w:r>
          </w:p>
        </w:tc>
      </w:tr>
    </w:tbl>
    <w:p w14:paraId="4D0D5E4A" w14:textId="77777777" w:rsidR="00BD0CE8" w:rsidRPr="00AC5054" w:rsidRDefault="00BD0CE8" w:rsidP="00BD0CE8">
      <w:pPr>
        <w:pStyle w:val="NormalWeb"/>
        <w:spacing w:before="0" w:beforeAutospacing="0" w:after="0" w:afterAutospacing="0" w:line="360" w:lineRule="auto"/>
        <w:rPr>
          <w:sz w:val="20"/>
          <w:szCs w:val="20"/>
        </w:rPr>
      </w:pPr>
    </w:p>
    <w:p w14:paraId="14E714C7" w14:textId="77777777" w:rsidR="00BD0CE8" w:rsidRPr="00AC5054" w:rsidRDefault="00BD0CE8" w:rsidP="00BD0CE8">
      <w:pPr>
        <w:spacing w:line="360" w:lineRule="auto"/>
        <w:rPr>
          <w:color w:val="FF0000"/>
        </w:rPr>
      </w:pPr>
    </w:p>
    <w:p w14:paraId="0014CC3F" w14:textId="77777777" w:rsidR="00BD0CE8" w:rsidRPr="00AC5054" w:rsidRDefault="00BD0CE8" w:rsidP="00BD0CE8">
      <w:pPr>
        <w:spacing w:line="360" w:lineRule="auto"/>
        <w:rPr>
          <w:color w:val="FF0000"/>
        </w:rPr>
      </w:pPr>
    </w:p>
    <w:p w14:paraId="38EC37F9" w14:textId="77777777" w:rsidR="00BD0CE8" w:rsidRPr="00AC5054" w:rsidRDefault="00BD0CE8" w:rsidP="00BD0CE8">
      <w:pPr>
        <w:spacing w:line="360" w:lineRule="auto"/>
        <w:rPr>
          <w:color w:val="FF0000"/>
        </w:rPr>
      </w:pPr>
    </w:p>
    <w:p w14:paraId="592C0FF1" w14:textId="77777777" w:rsidR="00BD0CE8" w:rsidRPr="00AC5054" w:rsidRDefault="00BD0CE8" w:rsidP="00BD0CE8">
      <w:pPr>
        <w:spacing w:line="360" w:lineRule="auto"/>
        <w:rPr>
          <w:color w:val="FF0000"/>
        </w:rPr>
      </w:pPr>
    </w:p>
    <w:p w14:paraId="0A6C78C8" w14:textId="77777777" w:rsidR="00BD0CE8" w:rsidRPr="00AC5054" w:rsidRDefault="00BD0CE8" w:rsidP="00BD0CE8">
      <w:pPr>
        <w:spacing w:line="360" w:lineRule="auto"/>
        <w:rPr>
          <w:color w:val="FF0000"/>
        </w:rPr>
      </w:pPr>
    </w:p>
    <w:p w14:paraId="7E62372A" w14:textId="77777777" w:rsidR="00BD0CE8" w:rsidRPr="00AC5054" w:rsidRDefault="00BD0CE8" w:rsidP="00BD0CE8">
      <w:pPr>
        <w:spacing w:line="360" w:lineRule="auto"/>
        <w:rPr>
          <w:color w:val="FF0000"/>
        </w:rPr>
      </w:pPr>
    </w:p>
    <w:p w14:paraId="18EB5466" w14:textId="77777777" w:rsidR="00BD0CE8" w:rsidRPr="00AC5054" w:rsidRDefault="00BD0CE8" w:rsidP="00BD0CE8">
      <w:pPr>
        <w:spacing w:line="360" w:lineRule="auto"/>
        <w:rPr>
          <w:color w:val="FF0000"/>
        </w:rPr>
      </w:pPr>
    </w:p>
    <w:p w14:paraId="17119690" w14:textId="77777777" w:rsidR="00BD0CE8" w:rsidRPr="00AC5054" w:rsidRDefault="00BD0CE8" w:rsidP="00BD0CE8">
      <w:pPr>
        <w:spacing w:line="360" w:lineRule="auto"/>
        <w:rPr>
          <w:color w:val="FF0000"/>
        </w:rPr>
      </w:pPr>
    </w:p>
    <w:p w14:paraId="18C9CD0F" w14:textId="77777777" w:rsidR="00BD0CE8" w:rsidRPr="00AC5054" w:rsidRDefault="00BD0CE8" w:rsidP="00BD0CE8">
      <w:pPr>
        <w:spacing w:line="360" w:lineRule="auto"/>
        <w:rPr>
          <w:color w:val="FF0000"/>
        </w:rPr>
      </w:pPr>
    </w:p>
    <w:p w14:paraId="10CC7B83" w14:textId="77777777" w:rsidR="00BD0CE8" w:rsidRPr="00AC5054" w:rsidRDefault="00BD0CE8" w:rsidP="00BD0CE8">
      <w:pPr>
        <w:spacing w:line="360" w:lineRule="auto"/>
        <w:rPr>
          <w:color w:val="FF0000"/>
        </w:rPr>
      </w:pPr>
    </w:p>
    <w:p w14:paraId="0FAB19DF" w14:textId="77777777" w:rsidR="00BD0CE8" w:rsidRPr="00AC5054" w:rsidRDefault="00BD0CE8" w:rsidP="00BD0CE8">
      <w:pPr>
        <w:spacing w:line="360" w:lineRule="auto"/>
        <w:rPr>
          <w:color w:val="FF0000"/>
        </w:rPr>
      </w:pPr>
    </w:p>
    <w:p w14:paraId="320C4C37" w14:textId="77777777" w:rsidR="00BD0CE8" w:rsidRPr="00AC5054" w:rsidRDefault="00BD0CE8" w:rsidP="00BD0CE8">
      <w:pPr>
        <w:spacing w:line="360" w:lineRule="auto"/>
        <w:rPr>
          <w:color w:val="FF0000"/>
        </w:rPr>
      </w:pPr>
    </w:p>
    <w:p w14:paraId="1CD4A968" w14:textId="77777777" w:rsidR="00BD0CE8" w:rsidRPr="00AC5054" w:rsidRDefault="00BD0CE8" w:rsidP="00BD0CE8">
      <w:pPr>
        <w:spacing w:line="360" w:lineRule="auto"/>
        <w:rPr>
          <w:color w:val="FF0000"/>
        </w:rPr>
      </w:pPr>
    </w:p>
    <w:p w14:paraId="2573C2F0" w14:textId="77777777" w:rsidR="00BD0CE8" w:rsidRPr="00AC5054" w:rsidRDefault="00BD0CE8" w:rsidP="00BD0CE8">
      <w:pPr>
        <w:spacing w:line="360" w:lineRule="auto"/>
        <w:rPr>
          <w:color w:val="000000" w:themeColor="text1"/>
          <w:sz w:val="20"/>
          <w:szCs w:val="20"/>
        </w:rPr>
      </w:pPr>
    </w:p>
    <w:p w14:paraId="650A47F4" w14:textId="77777777" w:rsidR="00BD0CE8" w:rsidRPr="00AC5054" w:rsidRDefault="00BD0CE8" w:rsidP="00BD0CE8">
      <w:pPr>
        <w:spacing w:line="360" w:lineRule="auto"/>
        <w:rPr>
          <w:color w:val="000000" w:themeColor="text1"/>
          <w:sz w:val="20"/>
          <w:szCs w:val="20"/>
        </w:rPr>
      </w:pPr>
    </w:p>
    <w:p w14:paraId="56774284" w14:textId="77777777" w:rsidR="00BD0CE8" w:rsidRPr="00AC5054" w:rsidRDefault="00BD0CE8" w:rsidP="00BD0CE8">
      <w:pPr>
        <w:spacing w:line="360" w:lineRule="auto"/>
        <w:rPr>
          <w:color w:val="000000" w:themeColor="text1"/>
          <w:sz w:val="20"/>
          <w:szCs w:val="20"/>
        </w:rPr>
      </w:pPr>
    </w:p>
    <w:p w14:paraId="383FAADB" w14:textId="44D32566" w:rsidR="00BD0CE8" w:rsidRPr="003D5CC4" w:rsidRDefault="003D5CC4" w:rsidP="00BD0CE8">
      <w:pPr>
        <w:spacing w:line="360" w:lineRule="auto"/>
        <w:rPr>
          <w:color w:val="000000" w:themeColor="text1"/>
          <w:sz w:val="20"/>
          <w:szCs w:val="20"/>
          <w:lang w:val="fr-CH"/>
        </w:rPr>
      </w:pPr>
      <w:r>
        <w:rPr>
          <w:color w:val="000000" w:themeColor="text1"/>
          <w:sz w:val="20"/>
          <w:szCs w:val="20"/>
          <w:lang w:val="fr-CH"/>
        </w:rPr>
        <w:t>Table S2</w:t>
      </w:r>
    </w:p>
    <w:p w14:paraId="7D8A526C" w14:textId="77777777" w:rsidR="00BD0CE8" w:rsidRPr="00AC5054" w:rsidRDefault="00BD0CE8" w:rsidP="00BD0CE8">
      <w:pPr>
        <w:spacing w:line="360" w:lineRule="auto"/>
        <w:rPr>
          <w:color w:val="000000" w:themeColor="text1"/>
          <w:sz w:val="20"/>
          <w:szCs w:val="20"/>
        </w:rPr>
      </w:pPr>
      <w:r w:rsidRPr="00AC5054">
        <w:rPr>
          <w:color w:val="000000" w:themeColor="text1"/>
          <w:sz w:val="20"/>
          <w:szCs w:val="20"/>
        </w:rPr>
        <w:t>Results of the Focus Groups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8221"/>
      </w:tblGrid>
      <w:tr w:rsidR="00BD0CE8" w:rsidRPr="00AC5054" w14:paraId="245DD779" w14:textId="77777777" w:rsidTr="00DF5D58">
        <w:tc>
          <w:tcPr>
            <w:tcW w:w="9493" w:type="dxa"/>
            <w:gridSpan w:val="2"/>
          </w:tcPr>
          <w:p w14:paraId="3E88E249" w14:textId="71601093" w:rsidR="00BD0CE8" w:rsidRPr="00AC5054" w:rsidRDefault="00BD0CE8" w:rsidP="00DF5D58">
            <w:pPr>
              <w:rPr>
                <w:rFonts w:eastAsiaTheme="minorHAnsi"/>
                <w:b/>
                <w:bCs/>
                <w:color w:val="000000" w:themeColor="text1"/>
                <w:sz w:val="20"/>
                <w:szCs w:val="20"/>
                <w:lang w:eastAsia="en-US"/>
              </w:rPr>
            </w:pPr>
            <w:r w:rsidRPr="00AC5054">
              <w:rPr>
                <w:rFonts w:eastAsiaTheme="minorHAnsi"/>
                <w:b/>
                <w:bCs/>
                <w:color w:val="000000" w:themeColor="text1"/>
                <w:sz w:val="20"/>
                <w:szCs w:val="20"/>
                <w:lang w:eastAsia="en-US"/>
              </w:rPr>
              <w:t xml:space="preserve">Table </w:t>
            </w:r>
            <w:r w:rsidR="003D5CC4" w:rsidRPr="003D5CC4">
              <w:rPr>
                <w:rFonts w:eastAsiaTheme="minorHAnsi"/>
                <w:b/>
                <w:bCs/>
                <w:color w:val="000000" w:themeColor="text1"/>
                <w:sz w:val="20"/>
                <w:szCs w:val="20"/>
                <w:lang w:val="en-US" w:eastAsia="en-US"/>
              </w:rPr>
              <w:t xml:space="preserve">S2 </w:t>
            </w:r>
            <w:r w:rsidRPr="00AC5054">
              <w:rPr>
                <w:rFonts w:eastAsiaTheme="minorHAnsi"/>
                <w:b/>
                <w:bCs/>
                <w:color w:val="000000" w:themeColor="text1"/>
                <w:sz w:val="20"/>
                <w:szCs w:val="20"/>
                <w:lang w:eastAsia="en-US"/>
              </w:rPr>
              <w:t>A-1 Impact on the workplace (Including Group 1)</w:t>
            </w:r>
          </w:p>
        </w:tc>
      </w:tr>
      <w:tr w:rsidR="00BD0CE8" w:rsidRPr="00AC5054" w14:paraId="36F8AE86" w14:textId="77777777" w:rsidTr="00DF5D58">
        <w:tc>
          <w:tcPr>
            <w:tcW w:w="1272" w:type="dxa"/>
          </w:tcPr>
          <w:p w14:paraId="3F200557" w14:textId="77777777" w:rsidR="00BD0CE8" w:rsidRPr="00AC5054" w:rsidRDefault="00BD0CE8" w:rsidP="00DF5D58">
            <w:pPr>
              <w:rPr>
                <w:b/>
                <w:bCs/>
                <w:color w:val="000000" w:themeColor="text1"/>
                <w:sz w:val="20"/>
                <w:szCs w:val="20"/>
              </w:rPr>
            </w:pPr>
            <w:r w:rsidRPr="00AC5054">
              <w:rPr>
                <w:b/>
                <w:bCs/>
                <w:color w:val="000000" w:themeColor="text1"/>
                <w:sz w:val="20"/>
                <w:szCs w:val="20"/>
              </w:rPr>
              <w:t>Background statement provided</w:t>
            </w:r>
          </w:p>
        </w:tc>
        <w:tc>
          <w:tcPr>
            <w:tcW w:w="8221" w:type="dxa"/>
          </w:tcPr>
          <w:p w14:paraId="4A799FEA" w14:textId="77777777" w:rsidR="00BD0CE8" w:rsidRPr="00AC5054" w:rsidRDefault="00BD0CE8" w:rsidP="00DF5D58">
            <w:pPr>
              <w:rPr>
                <w:b/>
                <w:bCs/>
                <w:color w:val="000000" w:themeColor="text1"/>
                <w:sz w:val="20"/>
                <w:szCs w:val="20"/>
              </w:rPr>
            </w:pPr>
            <w:r w:rsidRPr="00AC5054">
              <w:rPr>
                <w:rFonts w:eastAsiaTheme="minorHAnsi"/>
                <w:i/>
                <w:iCs/>
                <w:color w:val="000000" w:themeColor="text1"/>
                <w:sz w:val="20"/>
                <w:szCs w:val="20"/>
                <w:lang w:eastAsia="en-US"/>
              </w:rPr>
              <w:t>New arrangements and challenges in the workplace</w:t>
            </w:r>
            <w:r w:rsidRPr="00AC5054">
              <w:rPr>
                <w:rFonts w:eastAsiaTheme="minorHAnsi"/>
                <w:i/>
                <w:iCs/>
                <w:color w:val="000000"/>
                <w:sz w:val="20"/>
                <w:szCs w:val="20"/>
                <w:lang w:eastAsia="en-US"/>
              </w:rPr>
              <w:t xml:space="preserve"> Provided background statement:</w:t>
            </w:r>
            <w:r w:rsidRPr="00AC5054">
              <w:rPr>
                <w:rFonts w:eastAsiaTheme="minorHAnsi"/>
                <w:b/>
                <w:bCs/>
                <w:color w:val="000000"/>
                <w:sz w:val="20"/>
                <w:szCs w:val="20"/>
                <w:lang w:eastAsia="en-US"/>
              </w:rPr>
              <w:t xml:space="preserve"> </w:t>
            </w:r>
            <w:r w:rsidRPr="00AC5054">
              <w:rPr>
                <w:rFonts w:eastAsiaTheme="minorHAnsi"/>
                <w:color w:val="000000" w:themeColor="text1"/>
                <w:sz w:val="20"/>
                <w:szCs w:val="20"/>
                <w:lang w:eastAsia="en-US"/>
              </w:rPr>
              <w:t>The workplace has changed abruptly. There are physical changes, new arrangements and psychological challenges that need to be dealt with in all sizes of enterprises. At the same time, we need to be prepared for a possible second wave.</w:t>
            </w:r>
            <w:r w:rsidRPr="00AC5054">
              <w:rPr>
                <w:color w:val="000000" w:themeColor="text1"/>
                <w:sz w:val="20"/>
                <w:szCs w:val="20"/>
              </w:rPr>
              <w:t xml:space="preserve"> </w:t>
            </w:r>
            <w:r w:rsidRPr="00AC5054">
              <w:rPr>
                <w:rFonts w:eastAsiaTheme="minorHAnsi"/>
                <w:color w:val="000000"/>
                <w:sz w:val="20"/>
                <w:szCs w:val="20"/>
                <w:lang w:eastAsia="en-US"/>
              </w:rPr>
              <w:t>How can we as safety and health professionals address these issues going forward?</w:t>
            </w:r>
          </w:p>
        </w:tc>
      </w:tr>
      <w:tr w:rsidR="00BD0CE8" w:rsidRPr="00AC5054" w14:paraId="036B19D2" w14:textId="77777777" w:rsidTr="00DF5D58">
        <w:tc>
          <w:tcPr>
            <w:tcW w:w="1272" w:type="dxa"/>
          </w:tcPr>
          <w:p w14:paraId="7D4C0E56"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8221" w:type="dxa"/>
          </w:tcPr>
          <w:p w14:paraId="69CEFA44" w14:textId="77777777" w:rsidR="00BD0CE8" w:rsidRPr="00AC5054" w:rsidRDefault="00BD0CE8" w:rsidP="00DF5D58">
            <w:pPr>
              <w:rPr>
                <w:color w:val="000000" w:themeColor="text1"/>
                <w:sz w:val="20"/>
                <w:szCs w:val="20"/>
              </w:rPr>
            </w:pPr>
            <w:r w:rsidRPr="00AC5054">
              <w:rPr>
                <w:color w:val="000000" w:themeColor="text1"/>
                <w:sz w:val="20"/>
                <w:szCs w:val="20"/>
              </w:rPr>
              <w:t>A summary of the statements from the eight participants addressing the current situation included:</w:t>
            </w:r>
          </w:p>
          <w:p w14:paraId="4463FAD0" w14:textId="77777777" w:rsidR="00BD0CE8" w:rsidRPr="00AC5054" w:rsidRDefault="00BD0CE8" w:rsidP="00DF5D58">
            <w:pPr>
              <w:rPr>
                <w:color w:val="000000" w:themeColor="text1"/>
                <w:sz w:val="20"/>
                <w:szCs w:val="20"/>
              </w:rPr>
            </w:pPr>
          </w:p>
          <w:p w14:paraId="4A99DDEC" w14:textId="77777777" w:rsidR="00BD0CE8" w:rsidRPr="00AC5054" w:rsidRDefault="00BD0CE8" w:rsidP="00BD0CE8">
            <w:pPr>
              <w:pStyle w:val="ListParagraph"/>
              <w:numPr>
                <w:ilvl w:val="0"/>
                <w:numId w:val="11"/>
              </w:numPr>
              <w:rPr>
                <w:rFonts w:eastAsiaTheme="minorHAnsi"/>
                <w:color w:val="000000"/>
                <w:sz w:val="20"/>
                <w:szCs w:val="20"/>
                <w:lang w:eastAsia="en-US"/>
              </w:rPr>
            </w:pPr>
            <w:r w:rsidRPr="00AC5054">
              <w:rPr>
                <w:rFonts w:eastAsiaTheme="minorHAnsi"/>
                <w:color w:val="000000"/>
                <w:sz w:val="20"/>
                <w:szCs w:val="20"/>
                <w:lang w:eastAsia="en-US"/>
              </w:rPr>
              <w:t>How do we give advice in an area where we don’t have answers?</w:t>
            </w:r>
          </w:p>
          <w:p w14:paraId="0BE370D8"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Once over the impact how do we bring the OSHPs on board?</w:t>
            </w:r>
          </w:p>
          <w:p w14:paraId="2F6CB43C"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How do we define a proactive system that continues to address all safety and health elements including those related to COVID-</w:t>
            </w:r>
            <w:proofErr w:type="gramStart"/>
            <w:r w:rsidRPr="00AC5054">
              <w:rPr>
                <w:rFonts w:eastAsiaTheme="minorHAnsi"/>
                <w:color w:val="000000"/>
                <w:sz w:val="20"/>
                <w:szCs w:val="20"/>
                <w:lang w:eastAsia="en-US"/>
              </w:rPr>
              <w:t>19.</w:t>
            </w:r>
            <w:proofErr w:type="gramEnd"/>
          </w:p>
          <w:p w14:paraId="784B2A40"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We need to ensure that the psychosocial side of the pandemic is understood and being adequately addressed.</w:t>
            </w:r>
          </w:p>
          <w:p w14:paraId="76A0CBE3"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Is there a change in the occupational safety and health paradigm?</w:t>
            </w:r>
          </w:p>
          <w:p w14:paraId="11BAC060"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There is a gap between what is being said by government leaders and social media leading to uncertainty.</w:t>
            </w:r>
          </w:p>
          <w:p w14:paraId="4472CE8F" w14:textId="77777777" w:rsidR="00BD0CE8" w:rsidRPr="00AC5054" w:rsidRDefault="00BD0CE8" w:rsidP="00BD0CE8">
            <w:pPr>
              <w:pStyle w:val="ListParagraph"/>
              <w:numPr>
                <w:ilvl w:val="0"/>
                <w:numId w:val="11"/>
              </w:numPr>
              <w:rPr>
                <w:color w:val="000000" w:themeColor="text1"/>
                <w:sz w:val="20"/>
                <w:szCs w:val="20"/>
              </w:rPr>
            </w:pPr>
            <w:r w:rsidRPr="00AC5054">
              <w:rPr>
                <w:rFonts w:eastAsiaTheme="minorHAnsi"/>
                <w:color w:val="000000"/>
                <w:sz w:val="20"/>
                <w:szCs w:val="20"/>
                <w:lang w:eastAsia="en-US"/>
              </w:rPr>
              <w:t>People cannot afford to stay off sick. They may come to work infected so they can maintain their jobs.</w:t>
            </w:r>
          </w:p>
        </w:tc>
      </w:tr>
      <w:tr w:rsidR="00BD0CE8" w:rsidRPr="00AC5054" w14:paraId="457684D3" w14:textId="77777777" w:rsidTr="00DF5D58">
        <w:tc>
          <w:tcPr>
            <w:tcW w:w="1272" w:type="dxa"/>
          </w:tcPr>
          <w:p w14:paraId="3ECA46E9"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8221" w:type="dxa"/>
          </w:tcPr>
          <w:p w14:paraId="710F2644"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Dynamic risk assessment is critical, we need to have the appropriate knowledge about the pandemic and associated risks to allow us to give correct and timely advice</w:t>
            </w:r>
          </w:p>
          <w:p w14:paraId="6D3C05CC"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We must build resilience into the workplace by having an up-to-date incident plan that can be adapted as the situation changes.</w:t>
            </w:r>
          </w:p>
          <w:p w14:paraId="32B75022"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With many people working from home, we need to help identify issues. For example, are people covered by workers compensation if injured at home.</w:t>
            </w:r>
          </w:p>
          <w:p w14:paraId="3D89E6EB"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 xml:space="preserve">As we make changes to structures and arrangements, they need to be sustainable, at least until the pandemic is under control. </w:t>
            </w:r>
          </w:p>
          <w:p w14:paraId="6E6C928B"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There has been a lack of credible, trustworthy information from different sources. We need to seek the truth and provide the correct advice to deal with the crisis, based on our credibility as safety and health professionals. Therefore, communicate using trusted information and study impact across a broader audience.</w:t>
            </w:r>
          </w:p>
          <w:p w14:paraId="563EE225" w14:textId="77777777" w:rsidR="00BD0CE8" w:rsidRPr="00AC5054" w:rsidRDefault="00BD0CE8" w:rsidP="00BD0CE8">
            <w:pPr>
              <w:pStyle w:val="ListParagraph"/>
              <w:numPr>
                <w:ilvl w:val="0"/>
                <w:numId w:val="12"/>
              </w:numPr>
              <w:rPr>
                <w:sz w:val="20"/>
                <w:szCs w:val="20"/>
              </w:rPr>
            </w:pPr>
            <w:r w:rsidRPr="00AC5054">
              <w:rPr>
                <w:rFonts w:eastAsiaTheme="minorHAnsi"/>
                <w:color w:val="000000"/>
                <w:sz w:val="20"/>
                <w:szCs w:val="20"/>
                <w:lang w:eastAsia="en-US"/>
              </w:rPr>
              <w:t>Seek to provide both psychological and physiological comfort.</w:t>
            </w:r>
          </w:p>
        </w:tc>
      </w:tr>
    </w:tbl>
    <w:p w14:paraId="6ED27541" w14:textId="77777777" w:rsidR="00BD0CE8" w:rsidRPr="00AC5054" w:rsidRDefault="00BD0CE8" w:rsidP="00BD0CE8">
      <w:pPr>
        <w:rPr>
          <w:color w:val="000000" w:themeColor="text1"/>
          <w:sz w:val="20"/>
          <w:szCs w:val="20"/>
        </w:rPr>
      </w:pPr>
    </w:p>
    <w:p w14:paraId="1AE94051" w14:textId="77777777" w:rsidR="00BD0CE8" w:rsidRPr="00AC5054" w:rsidRDefault="00BD0CE8" w:rsidP="00BD0CE8">
      <w:pPr>
        <w:rPr>
          <w:color w:val="000000" w:themeColor="text1"/>
          <w:sz w:val="20"/>
          <w:szCs w:val="20"/>
        </w:rPr>
      </w:pPr>
    </w:p>
    <w:p w14:paraId="01552717" w14:textId="77777777" w:rsidR="00BD0CE8" w:rsidRPr="00AC5054" w:rsidRDefault="00BD0CE8" w:rsidP="00BD0CE8">
      <w:pPr>
        <w:rPr>
          <w:color w:val="000000" w:themeColor="text1"/>
          <w:sz w:val="20"/>
          <w:szCs w:val="20"/>
        </w:rPr>
      </w:pPr>
    </w:p>
    <w:p w14:paraId="3AC951A8" w14:textId="77777777" w:rsidR="00BD0CE8" w:rsidRPr="00AC5054" w:rsidRDefault="00BD0CE8" w:rsidP="00BD0CE8">
      <w:pPr>
        <w:rPr>
          <w:color w:val="000000" w:themeColor="text1"/>
          <w:sz w:val="20"/>
          <w:szCs w:val="20"/>
        </w:rPr>
      </w:pPr>
    </w:p>
    <w:p w14:paraId="584E6BA1" w14:textId="77777777" w:rsidR="00BD0CE8" w:rsidRPr="00AC5054" w:rsidRDefault="00BD0CE8" w:rsidP="00BD0CE8">
      <w:pPr>
        <w:rPr>
          <w:color w:val="000000" w:themeColor="text1"/>
          <w:sz w:val="20"/>
          <w:szCs w:val="20"/>
        </w:rPr>
      </w:pPr>
    </w:p>
    <w:p w14:paraId="5383DD5F" w14:textId="77777777" w:rsidR="00BD0CE8" w:rsidRPr="00AC5054" w:rsidRDefault="00BD0CE8" w:rsidP="00BD0CE8">
      <w:pPr>
        <w:rPr>
          <w:color w:val="000000" w:themeColor="text1"/>
          <w:sz w:val="20"/>
          <w:szCs w:val="20"/>
        </w:rPr>
      </w:pPr>
    </w:p>
    <w:p w14:paraId="04D07635" w14:textId="77777777" w:rsidR="00BD0CE8" w:rsidRPr="00AC5054" w:rsidRDefault="00BD0CE8" w:rsidP="00BD0CE8">
      <w:pPr>
        <w:rPr>
          <w:color w:val="000000" w:themeColor="text1"/>
          <w:sz w:val="20"/>
          <w:szCs w:val="20"/>
        </w:rPr>
      </w:pPr>
    </w:p>
    <w:p w14:paraId="4C5389EC" w14:textId="77777777" w:rsidR="00BD0CE8" w:rsidRPr="00AC5054" w:rsidRDefault="00BD0CE8" w:rsidP="00BD0CE8">
      <w:pPr>
        <w:rPr>
          <w:color w:val="000000" w:themeColor="text1"/>
          <w:sz w:val="20"/>
          <w:szCs w:val="20"/>
        </w:rPr>
      </w:pPr>
    </w:p>
    <w:p w14:paraId="3BDF0531" w14:textId="77777777" w:rsidR="00BD0CE8" w:rsidRPr="00AC5054" w:rsidRDefault="00BD0CE8" w:rsidP="00BD0CE8">
      <w:pPr>
        <w:rPr>
          <w:color w:val="000000" w:themeColor="text1"/>
          <w:sz w:val="20"/>
          <w:szCs w:val="20"/>
        </w:rPr>
      </w:pPr>
    </w:p>
    <w:p w14:paraId="75D6F633" w14:textId="77777777" w:rsidR="00BD0CE8" w:rsidRPr="00AC5054" w:rsidRDefault="00BD0CE8" w:rsidP="00BD0CE8">
      <w:pPr>
        <w:rPr>
          <w:color w:val="000000" w:themeColor="text1"/>
          <w:sz w:val="20"/>
          <w:szCs w:val="20"/>
        </w:rPr>
      </w:pPr>
    </w:p>
    <w:p w14:paraId="52AFF4B8" w14:textId="77777777" w:rsidR="00BD0CE8" w:rsidRPr="00AC5054" w:rsidRDefault="00BD0CE8" w:rsidP="00BD0CE8">
      <w:pPr>
        <w:rPr>
          <w:color w:val="000000" w:themeColor="text1"/>
          <w:sz w:val="20"/>
          <w:szCs w:val="20"/>
        </w:rPr>
      </w:pPr>
    </w:p>
    <w:p w14:paraId="434C09CA" w14:textId="77777777" w:rsidR="00BD0CE8" w:rsidRPr="00AC5054" w:rsidRDefault="00BD0CE8" w:rsidP="00BD0CE8">
      <w:pPr>
        <w:rPr>
          <w:color w:val="000000" w:themeColor="text1"/>
          <w:sz w:val="20"/>
          <w:szCs w:val="20"/>
        </w:rPr>
      </w:pPr>
    </w:p>
    <w:p w14:paraId="57206725" w14:textId="77777777" w:rsidR="00BD0CE8" w:rsidRPr="00AC5054" w:rsidRDefault="00BD0CE8" w:rsidP="00BD0CE8">
      <w:pPr>
        <w:rPr>
          <w:color w:val="000000" w:themeColor="text1"/>
          <w:sz w:val="20"/>
          <w:szCs w:val="20"/>
        </w:rPr>
      </w:pPr>
    </w:p>
    <w:p w14:paraId="1121CB57" w14:textId="77777777" w:rsidR="00BD0CE8" w:rsidRPr="00AC5054" w:rsidRDefault="00BD0CE8" w:rsidP="00BD0CE8">
      <w:pPr>
        <w:rPr>
          <w:color w:val="000000" w:themeColor="text1"/>
          <w:sz w:val="20"/>
          <w:szCs w:val="20"/>
        </w:rPr>
      </w:pPr>
    </w:p>
    <w:p w14:paraId="5882745D" w14:textId="77777777" w:rsidR="00BD0CE8" w:rsidRPr="00AC5054" w:rsidRDefault="00BD0CE8" w:rsidP="00BD0CE8">
      <w:pPr>
        <w:rPr>
          <w:color w:val="000000" w:themeColor="text1"/>
          <w:sz w:val="20"/>
          <w:szCs w:val="20"/>
        </w:rPr>
      </w:pPr>
    </w:p>
    <w:p w14:paraId="1FB6F0A0" w14:textId="77777777" w:rsidR="00BD0CE8" w:rsidRPr="00AC5054" w:rsidRDefault="00BD0CE8" w:rsidP="00BD0CE8">
      <w:pPr>
        <w:rPr>
          <w:color w:val="000000" w:themeColor="text1"/>
          <w:sz w:val="20"/>
          <w:szCs w:val="20"/>
        </w:rPr>
      </w:pPr>
    </w:p>
    <w:p w14:paraId="4839DFA0" w14:textId="77777777" w:rsidR="00BD0CE8" w:rsidRPr="00AC5054" w:rsidRDefault="00BD0CE8" w:rsidP="00BD0CE8">
      <w:pPr>
        <w:rPr>
          <w:color w:val="000000" w:themeColor="text1"/>
          <w:sz w:val="20"/>
          <w:szCs w:val="20"/>
        </w:rPr>
      </w:pPr>
    </w:p>
    <w:p w14:paraId="6F44CB1F" w14:textId="77777777" w:rsidR="00BD0CE8" w:rsidRPr="00AC5054" w:rsidRDefault="00BD0CE8" w:rsidP="00BD0CE8">
      <w:pPr>
        <w:rPr>
          <w:color w:val="000000" w:themeColor="text1"/>
          <w:sz w:val="20"/>
          <w:szCs w:val="20"/>
        </w:rPr>
      </w:pPr>
    </w:p>
    <w:p w14:paraId="3D3167D6" w14:textId="77777777" w:rsidR="00BD0CE8" w:rsidRPr="00AC5054" w:rsidRDefault="00BD0CE8" w:rsidP="00BD0CE8">
      <w:pPr>
        <w:rPr>
          <w:color w:val="000000" w:themeColor="text1"/>
          <w:sz w:val="20"/>
          <w:szCs w:val="20"/>
        </w:rPr>
      </w:pPr>
    </w:p>
    <w:p w14:paraId="2B695516" w14:textId="77777777" w:rsidR="00BD0CE8" w:rsidRPr="00AC5054" w:rsidRDefault="00BD0CE8" w:rsidP="00BD0CE8">
      <w:pPr>
        <w:rPr>
          <w:color w:val="000000" w:themeColor="text1"/>
          <w:sz w:val="20"/>
          <w:szCs w:val="20"/>
        </w:rPr>
      </w:pPr>
    </w:p>
    <w:p w14:paraId="02F1E664" w14:textId="77777777" w:rsidR="00BD0CE8" w:rsidRPr="00AC5054" w:rsidRDefault="00BD0CE8" w:rsidP="00BD0CE8">
      <w:pPr>
        <w:rPr>
          <w:color w:val="000000" w:themeColor="text1"/>
          <w:sz w:val="20"/>
          <w:szCs w:val="20"/>
        </w:rPr>
      </w:pPr>
    </w:p>
    <w:p w14:paraId="1520430D" w14:textId="77777777" w:rsidR="00BD0CE8" w:rsidRPr="00AC5054" w:rsidRDefault="00BD0CE8" w:rsidP="00BD0CE8">
      <w:pPr>
        <w:rPr>
          <w:color w:val="000000" w:themeColor="text1"/>
          <w:sz w:val="20"/>
          <w:szCs w:val="20"/>
        </w:rPr>
      </w:pPr>
    </w:p>
    <w:p w14:paraId="11B91076" w14:textId="77777777" w:rsidR="00BD0CE8" w:rsidRPr="00AC5054" w:rsidRDefault="00BD0CE8" w:rsidP="00BD0CE8">
      <w:pPr>
        <w:rPr>
          <w:color w:val="000000" w:themeColor="text1"/>
          <w:sz w:val="20"/>
          <w:szCs w:val="20"/>
        </w:rPr>
      </w:pPr>
    </w:p>
    <w:p w14:paraId="03B934F8" w14:textId="77777777" w:rsidR="00BD0CE8" w:rsidRPr="00AC5054" w:rsidRDefault="00BD0CE8" w:rsidP="00BD0CE8">
      <w:pPr>
        <w:rPr>
          <w:color w:val="000000" w:themeColor="text1"/>
          <w:sz w:val="20"/>
          <w:szCs w:val="20"/>
        </w:rPr>
      </w:pPr>
    </w:p>
    <w:p w14:paraId="7331C71D" w14:textId="77777777" w:rsidR="00BD0CE8" w:rsidRPr="00AC5054" w:rsidRDefault="00BD0CE8" w:rsidP="00BD0CE8">
      <w:pPr>
        <w:rPr>
          <w:color w:val="000000" w:themeColor="text1"/>
          <w:sz w:val="20"/>
          <w:szCs w:val="20"/>
        </w:rPr>
      </w:pPr>
    </w:p>
    <w:p w14:paraId="57B08624" w14:textId="77777777" w:rsidR="00BD0CE8" w:rsidRPr="00AC5054" w:rsidRDefault="00BD0CE8" w:rsidP="00BD0CE8">
      <w:pPr>
        <w:rPr>
          <w:color w:val="000000" w:themeColor="text1"/>
          <w:sz w:val="20"/>
          <w:szCs w:val="20"/>
        </w:rPr>
      </w:pPr>
    </w:p>
    <w:p w14:paraId="2A16EE6B" w14:textId="77777777" w:rsidR="00BD0CE8" w:rsidRPr="00AC5054" w:rsidRDefault="00BD0CE8" w:rsidP="00BD0CE8">
      <w:pPr>
        <w:rPr>
          <w:color w:val="000000" w:themeColor="text1"/>
          <w:sz w:val="20"/>
          <w:szCs w:val="20"/>
        </w:rPr>
      </w:pPr>
    </w:p>
    <w:p w14:paraId="4CC54275" w14:textId="77777777" w:rsidR="00BD0CE8" w:rsidRPr="00AC5054" w:rsidRDefault="00BD0CE8" w:rsidP="00BD0CE8">
      <w:pPr>
        <w:rPr>
          <w:color w:val="000000" w:themeColor="text1"/>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8221"/>
      </w:tblGrid>
      <w:tr w:rsidR="00BD0CE8" w:rsidRPr="00AC5054" w14:paraId="1D5EB83F" w14:textId="77777777" w:rsidTr="00DF5D58">
        <w:tc>
          <w:tcPr>
            <w:tcW w:w="9493" w:type="dxa"/>
            <w:gridSpan w:val="2"/>
          </w:tcPr>
          <w:p w14:paraId="46935633" w14:textId="2FB8B1AE" w:rsidR="00BD0CE8" w:rsidRPr="00AC5054" w:rsidRDefault="00BD0CE8" w:rsidP="00DF5D58">
            <w:pPr>
              <w:rPr>
                <w:rFonts w:eastAsiaTheme="minorHAnsi"/>
                <w:b/>
                <w:bCs/>
                <w:color w:val="000000" w:themeColor="text1"/>
                <w:sz w:val="20"/>
                <w:szCs w:val="20"/>
                <w:lang w:eastAsia="en-US"/>
              </w:rPr>
            </w:pPr>
            <w:r w:rsidRPr="00AC5054">
              <w:rPr>
                <w:rFonts w:eastAsiaTheme="minorHAnsi"/>
                <w:b/>
                <w:bCs/>
                <w:color w:val="000000" w:themeColor="text1"/>
                <w:sz w:val="20"/>
                <w:szCs w:val="20"/>
                <w:lang w:eastAsia="en-US"/>
              </w:rPr>
              <w:t xml:space="preserve">Table </w:t>
            </w:r>
            <w:r w:rsidR="003D5CC4" w:rsidRPr="003D5CC4">
              <w:rPr>
                <w:rFonts w:eastAsiaTheme="minorHAnsi"/>
                <w:b/>
                <w:bCs/>
                <w:color w:val="000000" w:themeColor="text1"/>
                <w:sz w:val="20"/>
                <w:szCs w:val="20"/>
                <w:lang w:val="en-US" w:eastAsia="en-US"/>
              </w:rPr>
              <w:t>S2</w:t>
            </w:r>
            <w:r w:rsidR="003D5CC4">
              <w:rPr>
                <w:rFonts w:eastAsiaTheme="minorHAnsi"/>
                <w:b/>
                <w:bCs/>
                <w:color w:val="000000" w:themeColor="text1"/>
                <w:sz w:val="20"/>
                <w:szCs w:val="20"/>
                <w:lang w:val="en-US" w:eastAsia="en-US"/>
              </w:rPr>
              <w:t xml:space="preserve"> </w:t>
            </w:r>
            <w:r w:rsidRPr="00AC5054">
              <w:rPr>
                <w:rFonts w:eastAsiaTheme="minorHAnsi"/>
                <w:b/>
                <w:bCs/>
                <w:color w:val="000000" w:themeColor="text1"/>
                <w:sz w:val="20"/>
                <w:szCs w:val="20"/>
                <w:lang w:eastAsia="en-US"/>
              </w:rPr>
              <w:t>A-2 The social / psychological dynamic (from groups 2 and 3)</w:t>
            </w:r>
          </w:p>
        </w:tc>
      </w:tr>
      <w:tr w:rsidR="00BD0CE8" w:rsidRPr="00AC5054" w14:paraId="054918B2" w14:textId="77777777" w:rsidTr="00DF5D58">
        <w:tc>
          <w:tcPr>
            <w:tcW w:w="9493" w:type="dxa"/>
            <w:gridSpan w:val="2"/>
          </w:tcPr>
          <w:p w14:paraId="55CF1AEF" w14:textId="77777777" w:rsidR="00BD0CE8" w:rsidRPr="00AC5054" w:rsidRDefault="00BD0CE8" w:rsidP="00DF5D58">
            <w:pPr>
              <w:rPr>
                <w:color w:val="000000" w:themeColor="text1"/>
                <w:sz w:val="20"/>
                <w:szCs w:val="20"/>
              </w:rPr>
            </w:pPr>
            <w:r w:rsidRPr="00AC5054">
              <w:rPr>
                <w:color w:val="000000" w:themeColor="text1"/>
                <w:sz w:val="20"/>
                <w:szCs w:val="20"/>
              </w:rPr>
              <w:t xml:space="preserve">Group 2: </w:t>
            </w:r>
            <w:r w:rsidRPr="00AC5054">
              <w:rPr>
                <w:rFonts w:eastAsiaTheme="minorHAnsi"/>
                <w:color w:val="000000"/>
                <w:sz w:val="20"/>
                <w:szCs w:val="20"/>
                <w:lang w:eastAsia="en-US"/>
              </w:rPr>
              <w:t>Complacency and resistance to protective measures</w:t>
            </w:r>
          </w:p>
        </w:tc>
      </w:tr>
      <w:tr w:rsidR="00BD0CE8" w:rsidRPr="00AC5054" w14:paraId="7851002C" w14:textId="77777777" w:rsidTr="00DF5D58">
        <w:tc>
          <w:tcPr>
            <w:tcW w:w="1272" w:type="dxa"/>
          </w:tcPr>
          <w:p w14:paraId="60451E48" w14:textId="77777777" w:rsidR="00BD0CE8" w:rsidRPr="00AC5054" w:rsidRDefault="00BD0CE8" w:rsidP="00DF5D58">
            <w:pPr>
              <w:rPr>
                <w:b/>
                <w:bCs/>
                <w:color w:val="000000" w:themeColor="text1"/>
                <w:sz w:val="20"/>
                <w:szCs w:val="20"/>
              </w:rPr>
            </w:pPr>
            <w:r w:rsidRPr="00AC5054">
              <w:rPr>
                <w:b/>
                <w:bCs/>
                <w:color w:val="000000" w:themeColor="text1"/>
                <w:sz w:val="20"/>
                <w:szCs w:val="20"/>
              </w:rPr>
              <w:t>Background statement provided</w:t>
            </w:r>
          </w:p>
        </w:tc>
        <w:tc>
          <w:tcPr>
            <w:tcW w:w="8221" w:type="dxa"/>
          </w:tcPr>
          <w:p w14:paraId="56A7A425" w14:textId="77777777" w:rsidR="00BD0CE8" w:rsidRPr="00AC5054" w:rsidRDefault="00BD0CE8" w:rsidP="00DF5D58">
            <w:pPr>
              <w:rPr>
                <w:sz w:val="20"/>
                <w:szCs w:val="20"/>
              </w:rPr>
            </w:pPr>
            <w:r w:rsidRPr="00AC5054">
              <w:rPr>
                <w:rFonts w:eastAsiaTheme="minorHAnsi"/>
                <w:color w:val="000000"/>
                <w:sz w:val="20"/>
                <w:szCs w:val="20"/>
                <w:lang w:eastAsia="en-US"/>
              </w:rPr>
              <w:t>Science has shown us that protective measures such as hand sanitation, distancing, testing and personal protective equipment are the most effective ways we can contain the virus and prevent its spread. Lockdown was extreme but necessary. However, there continues to be, as time progresses a certain level of complacency and a certain resistance to continue to apply these measures. How can we as safety and health professionals address these issues going forward?</w:t>
            </w:r>
          </w:p>
        </w:tc>
      </w:tr>
      <w:tr w:rsidR="00BD0CE8" w:rsidRPr="00AC5054" w14:paraId="358079C9" w14:textId="77777777" w:rsidTr="00DF5D58">
        <w:tc>
          <w:tcPr>
            <w:tcW w:w="1272" w:type="dxa"/>
          </w:tcPr>
          <w:p w14:paraId="568084EE"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8221" w:type="dxa"/>
          </w:tcPr>
          <w:p w14:paraId="1B787C80"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There are highly inconsistent messages coming from different agencies and institutions leading to uncertainty about what to do</w:t>
            </w:r>
          </w:p>
          <w:p w14:paraId="784CEC66"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OSHPs need to learn more about the virus from credible sources; its biology, how its transmitted and its associated risks.</w:t>
            </w:r>
          </w:p>
          <w:p w14:paraId="3A160435"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There is complacency, partially due to confinement fatigue, about COVID-19 risk control measures.</w:t>
            </w:r>
          </w:p>
          <w:p w14:paraId="79AC4888"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There needs to be a level of trust in separating fact from fiction.</w:t>
            </w:r>
          </w:p>
          <w:p w14:paraId="61677D18"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Many people have lost jobs which leads to a degradation of mental health.</w:t>
            </w:r>
          </w:p>
          <w:p w14:paraId="5A36ECF1"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Mental health risks are not being assessed well.</w:t>
            </w:r>
          </w:p>
          <w:p w14:paraId="082CB09F" w14:textId="77777777" w:rsidR="00BD0CE8" w:rsidRPr="00AC5054" w:rsidRDefault="00BD0CE8" w:rsidP="00BD0CE8">
            <w:pPr>
              <w:pStyle w:val="ListParagraph"/>
              <w:numPr>
                <w:ilvl w:val="0"/>
                <w:numId w:val="10"/>
              </w:numPr>
              <w:rPr>
                <w:sz w:val="20"/>
                <w:szCs w:val="20"/>
              </w:rPr>
            </w:pPr>
            <w:r w:rsidRPr="00AC5054">
              <w:rPr>
                <w:rFonts w:eastAsiaTheme="minorHAnsi"/>
                <w:color w:val="000000"/>
                <w:sz w:val="20"/>
                <w:szCs w:val="20"/>
                <w:lang w:eastAsia="en-US"/>
              </w:rPr>
              <w:t>A number of young people are not close enough to the risk leading to complacent attitudes.</w:t>
            </w:r>
          </w:p>
        </w:tc>
      </w:tr>
      <w:tr w:rsidR="00BD0CE8" w:rsidRPr="00AC5054" w14:paraId="0B017371" w14:textId="77777777" w:rsidTr="00DF5D58">
        <w:tc>
          <w:tcPr>
            <w:tcW w:w="1272" w:type="dxa"/>
          </w:tcPr>
          <w:p w14:paraId="1CCCEC70"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8221" w:type="dxa"/>
          </w:tcPr>
          <w:p w14:paraId="7C97450C"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 xml:space="preserve">It is imperative that OSHPs understand mechanisms of transmission and associated risks. </w:t>
            </w:r>
          </w:p>
          <w:p w14:paraId="5240DEAF"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 xml:space="preserve">There needs to be on-going, holistic risk assessments that address COVID-19. </w:t>
            </w:r>
          </w:p>
          <w:p w14:paraId="1DABCD32"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 xml:space="preserve">As a control measure, based on 2 above, OSHPs need to target specific messages to specific groups of people. </w:t>
            </w:r>
          </w:p>
          <w:p w14:paraId="62EBC709"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 xml:space="preserve">The control measures of social distancing, hand hygiene, respiratory hygiene, and mask wearing need to be continually reinforced. </w:t>
            </w:r>
          </w:p>
          <w:p w14:paraId="0A3F963D"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An educational piece with case studies and discussion points could be used in a variety of settings and adapted to the targeted audience.</w:t>
            </w:r>
          </w:p>
          <w:p w14:paraId="44736033"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 xml:space="preserve">It is essential that there are solid and consistent policies regarding COVID-19 sickness from work and stay-at-home policies. </w:t>
            </w:r>
          </w:p>
          <w:p w14:paraId="193E6DA8" w14:textId="77777777" w:rsidR="00BD0CE8" w:rsidRPr="00AC5054" w:rsidRDefault="00BD0CE8" w:rsidP="00BD0CE8">
            <w:pPr>
              <w:numPr>
                <w:ilvl w:val="0"/>
                <w:numId w:val="9"/>
              </w:numPr>
              <w:rPr>
                <w:rFonts w:eastAsiaTheme="minorHAnsi"/>
                <w:color w:val="000000"/>
                <w:sz w:val="20"/>
                <w:szCs w:val="20"/>
                <w:lang w:eastAsia="en-US"/>
              </w:rPr>
            </w:pPr>
            <w:r w:rsidRPr="00AC5054">
              <w:rPr>
                <w:rFonts w:eastAsiaTheme="minorHAnsi"/>
                <w:color w:val="000000"/>
                <w:sz w:val="20"/>
                <w:szCs w:val="20"/>
                <w:lang w:eastAsia="en-US"/>
              </w:rPr>
              <w:t>There needs to be an understanding and education to address the long-term physical and mental effects of COVID-19.</w:t>
            </w:r>
          </w:p>
        </w:tc>
      </w:tr>
      <w:tr w:rsidR="00BD0CE8" w:rsidRPr="00AC5054" w14:paraId="6722CAB7" w14:textId="77777777" w:rsidTr="00DF5D58">
        <w:tc>
          <w:tcPr>
            <w:tcW w:w="1272" w:type="dxa"/>
          </w:tcPr>
          <w:p w14:paraId="51B66C5F" w14:textId="77777777" w:rsidR="00BD0CE8" w:rsidRPr="00AC5054" w:rsidRDefault="00BD0CE8" w:rsidP="00DF5D58">
            <w:pPr>
              <w:rPr>
                <w:b/>
                <w:bCs/>
                <w:color w:val="000000" w:themeColor="text1"/>
                <w:sz w:val="20"/>
                <w:szCs w:val="20"/>
              </w:rPr>
            </w:pPr>
            <w:r w:rsidRPr="00AC5054">
              <w:rPr>
                <w:b/>
                <w:bCs/>
                <w:color w:val="000000" w:themeColor="text1"/>
                <w:sz w:val="20"/>
                <w:szCs w:val="20"/>
              </w:rPr>
              <w:t>Group 3</w:t>
            </w:r>
          </w:p>
        </w:tc>
        <w:tc>
          <w:tcPr>
            <w:tcW w:w="8221" w:type="dxa"/>
          </w:tcPr>
          <w:p w14:paraId="5E686CCD" w14:textId="77777777" w:rsidR="00BD0CE8" w:rsidRPr="00AC5054" w:rsidRDefault="00BD0CE8" w:rsidP="00DF5D58">
            <w:pPr>
              <w:rPr>
                <w:rFonts w:eastAsiaTheme="minorHAnsi"/>
                <w:color w:val="000000"/>
                <w:sz w:val="20"/>
                <w:szCs w:val="20"/>
                <w:lang w:eastAsia="en-US"/>
              </w:rPr>
            </w:pPr>
            <w:r w:rsidRPr="00AC5054">
              <w:rPr>
                <w:b/>
                <w:bCs/>
                <w:color w:val="000000"/>
                <w:sz w:val="20"/>
                <w:szCs w:val="20"/>
              </w:rPr>
              <w:t>Dynamics related to different generations of workers and vulnerability</w:t>
            </w:r>
          </w:p>
        </w:tc>
      </w:tr>
      <w:tr w:rsidR="00BD0CE8" w:rsidRPr="00AC5054" w14:paraId="38AAB96E" w14:textId="77777777" w:rsidTr="00DF5D58">
        <w:tc>
          <w:tcPr>
            <w:tcW w:w="1272" w:type="dxa"/>
          </w:tcPr>
          <w:p w14:paraId="3CC7AAF1" w14:textId="77777777" w:rsidR="00BD0CE8" w:rsidRPr="00AC5054" w:rsidRDefault="00BD0CE8" w:rsidP="00DF5D58">
            <w:pPr>
              <w:rPr>
                <w:b/>
                <w:bCs/>
                <w:color w:val="000000" w:themeColor="text1"/>
                <w:sz w:val="20"/>
                <w:szCs w:val="20"/>
              </w:rPr>
            </w:pPr>
            <w:r w:rsidRPr="00AC5054">
              <w:rPr>
                <w:b/>
                <w:bCs/>
                <w:color w:val="000000" w:themeColor="text1"/>
                <w:sz w:val="20"/>
                <w:szCs w:val="20"/>
              </w:rPr>
              <w:lastRenderedPageBreak/>
              <w:t>Background statement provided</w:t>
            </w:r>
          </w:p>
        </w:tc>
        <w:tc>
          <w:tcPr>
            <w:tcW w:w="8221" w:type="dxa"/>
          </w:tcPr>
          <w:p w14:paraId="52F5BEEF" w14:textId="77777777" w:rsidR="00BD0CE8" w:rsidRPr="00AC5054" w:rsidRDefault="00BD0CE8" w:rsidP="00DF5D58">
            <w:pPr>
              <w:rPr>
                <w:rFonts w:eastAsiaTheme="minorHAnsi"/>
                <w:color w:val="000000"/>
                <w:sz w:val="20"/>
                <w:szCs w:val="20"/>
                <w:lang w:eastAsia="en-US"/>
              </w:rPr>
            </w:pPr>
            <w:r w:rsidRPr="00AC5054">
              <w:rPr>
                <w:rFonts w:eastAsiaTheme="minorHAnsi"/>
                <w:color w:val="000000"/>
                <w:sz w:val="20"/>
                <w:szCs w:val="20"/>
                <w:lang w:eastAsia="en-US"/>
              </w:rPr>
              <w:t>The young worker and the older worker have a different range of perceptions regarding their personal and their colleague’s vulnerability to the risks associated with COVID-19. There will be different dynamics at play across all generations and within specific generations. What support can we provide. What do we need to provide this support? What mechanisms do we have to positively influence supporting all workers.?</w:t>
            </w:r>
          </w:p>
        </w:tc>
      </w:tr>
      <w:tr w:rsidR="00BD0CE8" w:rsidRPr="00AC5054" w14:paraId="2848CB0A" w14:textId="77777777" w:rsidTr="00DF5D58">
        <w:tc>
          <w:tcPr>
            <w:tcW w:w="1272" w:type="dxa"/>
          </w:tcPr>
          <w:p w14:paraId="08988C4D"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8221" w:type="dxa"/>
          </w:tcPr>
          <w:p w14:paraId="5F4B298E"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Older workers are at a higher risk from COVID-19.</w:t>
            </w:r>
          </w:p>
          <w:p w14:paraId="618626A4"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 xml:space="preserve">Younger workers are not immune from risk. </w:t>
            </w:r>
          </w:p>
          <w:p w14:paraId="72855DA8"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What is need are clear, succinct instructions from a credible source.</w:t>
            </w:r>
          </w:p>
          <w:p w14:paraId="0166EE72"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 xml:space="preserve">Asymptomatic transmission means that a person with the virus may not have signs and symptoms but can transmit the virus to others. </w:t>
            </w:r>
          </w:p>
          <w:p w14:paraId="64D63AFE"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The general population is weary of public health messaging.</w:t>
            </w:r>
          </w:p>
          <w:p w14:paraId="09A2093B" w14:textId="77777777" w:rsidR="00BD0CE8" w:rsidRPr="00AC5054" w:rsidRDefault="00BD0CE8" w:rsidP="00BD0CE8">
            <w:pPr>
              <w:numPr>
                <w:ilvl w:val="0"/>
                <w:numId w:val="8"/>
              </w:numPr>
              <w:rPr>
                <w:rFonts w:eastAsiaTheme="minorHAnsi"/>
                <w:color w:val="000000"/>
                <w:sz w:val="20"/>
                <w:szCs w:val="20"/>
                <w:lang w:eastAsia="en-US"/>
              </w:rPr>
            </w:pPr>
            <w:r w:rsidRPr="00AC5054">
              <w:rPr>
                <w:rFonts w:eastAsiaTheme="minorHAnsi"/>
                <w:color w:val="000000"/>
                <w:sz w:val="20"/>
                <w:szCs w:val="20"/>
                <w:lang w:eastAsia="en-US"/>
              </w:rPr>
              <w:t>Existing infrastructures such as scouting or youth groups may be instrumental in spreading the message.</w:t>
            </w:r>
          </w:p>
        </w:tc>
      </w:tr>
      <w:tr w:rsidR="00BD0CE8" w:rsidRPr="00AC5054" w14:paraId="745A35B6" w14:textId="77777777" w:rsidTr="00DF5D58">
        <w:tc>
          <w:tcPr>
            <w:tcW w:w="1272" w:type="dxa"/>
          </w:tcPr>
          <w:p w14:paraId="0BA217BA"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8221" w:type="dxa"/>
          </w:tcPr>
          <w:p w14:paraId="6474ECEC"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There is an important need for a targeted messaging campaign. There should be messages for both the old and the young.</w:t>
            </w:r>
          </w:p>
          <w:p w14:paraId="74B1F5F8"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The messages need to be bite-sized, video messages of about 45 seconds maximum.</w:t>
            </w:r>
          </w:p>
          <w:p w14:paraId="6A361BEF"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The messages must be evidence-based.</w:t>
            </w:r>
          </w:p>
          <w:p w14:paraId="38DA8EF2"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We have to be careful as not all of the young are carless and complacent. Also complacency is not confined to the young.</w:t>
            </w:r>
          </w:p>
          <w:p w14:paraId="33AA9BB4"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Some of the best communicators may be those who are of ill health as a result of COVID-19 but we should not focus on scare tactics.</w:t>
            </w:r>
          </w:p>
          <w:p w14:paraId="33240E4D"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 xml:space="preserve">Ideally, we will find different celebrities that different populations will listen to </w:t>
            </w:r>
          </w:p>
          <w:p w14:paraId="09456583"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This is a massive opportunity for the OSHP.</w:t>
            </w:r>
          </w:p>
          <w:p w14:paraId="4653F548" w14:textId="77777777" w:rsidR="00BD0CE8" w:rsidRPr="00AC5054" w:rsidRDefault="00BD0CE8" w:rsidP="00BD0CE8">
            <w:pPr>
              <w:numPr>
                <w:ilvl w:val="0"/>
                <w:numId w:val="8"/>
              </w:numPr>
              <w:rPr>
                <w:sz w:val="20"/>
                <w:szCs w:val="20"/>
              </w:rPr>
            </w:pPr>
            <w:r w:rsidRPr="00AC5054">
              <w:rPr>
                <w:rFonts w:eastAsiaTheme="minorHAnsi"/>
                <w:color w:val="000000"/>
                <w:sz w:val="20"/>
                <w:szCs w:val="20"/>
                <w:lang w:eastAsia="en-US"/>
              </w:rPr>
              <w:t>The messaging should be localised geographically taking into account languages and dialects.</w:t>
            </w:r>
          </w:p>
          <w:p w14:paraId="1DF5A8D2" w14:textId="77777777" w:rsidR="00BD0CE8" w:rsidRPr="00AC5054" w:rsidRDefault="00BD0CE8" w:rsidP="00DF5D58">
            <w:pPr>
              <w:ind w:left="316"/>
              <w:rPr>
                <w:sz w:val="20"/>
                <w:szCs w:val="20"/>
              </w:rPr>
            </w:pPr>
          </w:p>
        </w:tc>
      </w:tr>
    </w:tbl>
    <w:p w14:paraId="43CB7483" w14:textId="77777777" w:rsidR="00BD0CE8" w:rsidRPr="00AC5054" w:rsidRDefault="00BD0CE8" w:rsidP="00BD0C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738"/>
      </w:tblGrid>
      <w:tr w:rsidR="00BD0CE8" w:rsidRPr="00AC5054" w14:paraId="44AD83B3" w14:textId="77777777" w:rsidTr="00DF5D58">
        <w:tc>
          <w:tcPr>
            <w:tcW w:w="9010" w:type="dxa"/>
            <w:gridSpan w:val="2"/>
          </w:tcPr>
          <w:p w14:paraId="6F41A6EB" w14:textId="10EBB7DA" w:rsidR="00BD0CE8" w:rsidRPr="00AC5054" w:rsidRDefault="00BD0CE8" w:rsidP="00DF5D58">
            <w:pPr>
              <w:rPr>
                <w:rFonts w:eastAsiaTheme="minorHAnsi"/>
                <w:b/>
                <w:bCs/>
                <w:color w:val="000000" w:themeColor="text1"/>
                <w:sz w:val="20"/>
                <w:szCs w:val="20"/>
                <w:lang w:eastAsia="en-US"/>
              </w:rPr>
            </w:pPr>
            <w:r w:rsidRPr="00AC5054">
              <w:rPr>
                <w:rFonts w:eastAsiaTheme="minorHAnsi"/>
                <w:b/>
                <w:bCs/>
                <w:color w:val="000000" w:themeColor="text1"/>
                <w:sz w:val="20"/>
                <w:szCs w:val="20"/>
                <w:lang w:eastAsia="en-US"/>
              </w:rPr>
              <w:t xml:space="preserve">Table </w:t>
            </w:r>
            <w:r w:rsidR="003D5CC4" w:rsidRPr="003D5CC4">
              <w:rPr>
                <w:rFonts w:eastAsiaTheme="minorHAnsi"/>
                <w:b/>
                <w:bCs/>
                <w:color w:val="000000" w:themeColor="text1"/>
                <w:sz w:val="20"/>
                <w:szCs w:val="20"/>
                <w:lang w:val="en-US" w:eastAsia="en-US"/>
              </w:rPr>
              <w:t xml:space="preserve">S2 </w:t>
            </w:r>
            <w:r w:rsidRPr="00AC5054">
              <w:rPr>
                <w:rFonts w:eastAsiaTheme="minorHAnsi"/>
                <w:b/>
                <w:bCs/>
                <w:color w:val="000000" w:themeColor="text1"/>
                <w:sz w:val="20"/>
                <w:szCs w:val="20"/>
                <w:lang w:eastAsia="en-US"/>
              </w:rPr>
              <w:t>A-3 Medical and health issues (from groups 4 and 7)</w:t>
            </w:r>
          </w:p>
        </w:tc>
      </w:tr>
      <w:tr w:rsidR="00BD0CE8" w:rsidRPr="00AC5054" w14:paraId="20825CC5" w14:textId="77777777" w:rsidTr="00DF5D58">
        <w:tc>
          <w:tcPr>
            <w:tcW w:w="9010" w:type="dxa"/>
            <w:gridSpan w:val="2"/>
          </w:tcPr>
          <w:p w14:paraId="4FA24D75" w14:textId="77777777" w:rsidR="00BD0CE8" w:rsidRPr="00AC5054" w:rsidRDefault="00BD0CE8" w:rsidP="00DF5D58">
            <w:pPr>
              <w:rPr>
                <w:color w:val="000000" w:themeColor="text1"/>
                <w:sz w:val="20"/>
                <w:szCs w:val="20"/>
              </w:rPr>
            </w:pPr>
            <w:r w:rsidRPr="00AC5054">
              <w:rPr>
                <w:color w:val="000000" w:themeColor="text1"/>
                <w:sz w:val="20"/>
                <w:szCs w:val="20"/>
              </w:rPr>
              <w:t xml:space="preserve">Group 4: </w:t>
            </w:r>
            <w:r w:rsidRPr="00AC5054">
              <w:rPr>
                <w:b/>
                <w:bCs/>
                <w:sz w:val="20"/>
                <w:szCs w:val="20"/>
              </w:rPr>
              <w:t>Should we be addressing the issue of Post-Traumatic Stress Disorder</w:t>
            </w:r>
          </w:p>
        </w:tc>
      </w:tr>
      <w:tr w:rsidR="00BD0CE8" w:rsidRPr="00AC5054" w14:paraId="7847B82B" w14:textId="77777777" w:rsidTr="00DF5D58">
        <w:tc>
          <w:tcPr>
            <w:tcW w:w="1272" w:type="dxa"/>
          </w:tcPr>
          <w:p w14:paraId="442DAE2F" w14:textId="77777777" w:rsidR="00BD0CE8" w:rsidRPr="00AC5054" w:rsidRDefault="00BD0CE8" w:rsidP="00DF5D58">
            <w:pPr>
              <w:rPr>
                <w:b/>
                <w:bCs/>
                <w:color w:val="000000" w:themeColor="text1"/>
                <w:sz w:val="20"/>
                <w:szCs w:val="20"/>
              </w:rPr>
            </w:pPr>
            <w:r w:rsidRPr="00AC5054">
              <w:rPr>
                <w:b/>
                <w:bCs/>
                <w:color w:val="000000" w:themeColor="text1"/>
                <w:sz w:val="20"/>
                <w:szCs w:val="20"/>
              </w:rPr>
              <w:t>Background statement provided</w:t>
            </w:r>
          </w:p>
        </w:tc>
        <w:tc>
          <w:tcPr>
            <w:tcW w:w="7738" w:type="dxa"/>
          </w:tcPr>
          <w:p w14:paraId="278018E4" w14:textId="77777777" w:rsidR="00BD0CE8" w:rsidRPr="00AC5054" w:rsidRDefault="00BD0CE8" w:rsidP="00DF5D58">
            <w:pPr>
              <w:autoSpaceDE w:val="0"/>
              <w:autoSpaceDN w:val="0"/>
              <w:adjustRightInd w:val="0"/>
              <w:rPr>
                <w:rFonts w:eastAsiaTheme="minorHAnsi"/>
                <w:color w:val="000000"/>
                <w:sz w:val="20"/>
                <w:szCs w:val="20"/>
                <w:lang w:eastAsia="en-US"/>
              </w:rPr>
            </w:pPr>
            <w:r w:rsidRPr="00AC5054">
              <w:rPr>
                <w:rFonts w:eastAsiaTheme="minorHAnsi"/>
                <w:color w:val="000000"/>
                <w:sz w:val="20"/>
                <w:szCs w:val="20"/>
                <w:lang w:eastAsia="en-US"/>
              </w:rPr>
              <w:t>A serious and devastating co-morbidity to COVID-19 is Post-Traumatic Stress Disorder (PTSD). Although it has a serious impact on emergency and essential workers, many others have also become quite ill with this disorder through witnessing or even learning about the death or serious illness of a family member, a friend or a co-worker.</w:t>
            </w:r>
          </w:p>
        </w:tc>
      </w:tr>
      <w:tr w:rsidR="00BD0CE8" w:rsidRPr="00AC5054" w14:paraId="2BC79421" w14:textId="77777777" w:rsidTr="00DF5D58">
        <w:tc>
          <w:tcPr>
            <w:tcW w:w="1272" w:type="dxa"/>
          </w:tcPr>
          <w:p w14:paraId="7271458D"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7738" w:type="dxa"/>
          </w:tcPr>
          <w:p w14:paraId="7E861CD8"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PTSD does not necessarily happen immediately but when it starts, its onset is quick, possibly after the individual returns to work.</w:t>
            </w:r>
          </w:p>
          <w:p w14:paraId="7A0D7696"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IOSH is global and we should consider implications as such?</w:t>
            </w:r>
          </w:p>
          <w:p w14:paraId="718B5CE3"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We need to define the scope of the question and define what we mean by ‘addressing’ PTSD.</w:t>
            </w:r>
          </w:p>
          <w:p w14:paraId="0A776F2C"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How far does the OSHP go? What is our role and how is it different than the mental health first aider?</w:t>
            </w:r>
          </w:p>
          <w:p w14:paraId="22F0A475"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What are the impacts of getting PTSD support wrong?</w:t>
            </w:r>
          </w:p>
          <w:p w14:paraId="04E1DC32"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 xml:space="preserve">Education and acceptance: we are early in the journey. </w:t>
            </w:r>
          </w:p>
          <w:p w14:paraId="67C92CC6" w14:textId="77777777" w:rsidR="00BD0CE8" w:rsidRPr="00AC5054" w:rsidRDefault="00BD0CE8" w:rsidP="00BD0CE8">
            <w:pPr>
              <w:pStyle w:val="ListParagraph"/>
              <w:numPr>
                <w:ilvl w:val="0"/>
                <w:numId w:val="7"/>
              </w:numPr>
              <w:rPr>
                <w:sz w:val="20"/>
                <w:szCs w:val="20"/>
              </w:rPr>
            </w:pPr>
            <w:r w:rsidRPr="00AC5054">
              <w:rPr>
                <w:rFonts w:eastAsiaTheme="minorHAnsi"/>
                <w:color w:val="000000"/>
                <w:sz w:val="20"/>
                <w:szCs w:val="20"/>
                <w:lang w:eastAsia="en-US"/>
              </w:rPr>
              <w:t>PTSD is still seen by many as being related to war or similar.</w:t>
            </w:r>
          </w:p>
        </w:tc>
      </w:tr>
      <w:tr w:rsidR="00BD0CE8" w:rsidRPr="00AC5054" w14:paraId="156C4588" w14:textId="77777777" w:rsidTr="00DF5D58">
        <w:tc>
          <w:tcPr>
            <w:tcW w:w="1272" w:type="dxa"/>
          </w:tcPr>
          <w:p w14:paraId="228A748E"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7738" w:type="dxa"/>
          </w:tcPr>
          <w:p w14:paraId="34A638C3" w14:textId="77777777" w:rsidR="00BD0CE8" w:rsidRPr="00AC5054" w:rsidRDefault="00BD0CE8" w:rsidP="00BD0CE8">
            <w:pPr>
              <w:pStyle w:val="ListParagraph"/>
              <w:numPr>
                <w:ilvl w:val="0"/>
                <w:numId w:val="6"/>
              </w:numPr>
              <w:autoSpaceDE w:val="0"/>
              <w:autoSpaceDN w:val="0"/>
              <w:adjustRightInd w:val="0"/>
              <w:rPr>
                <w:rFonts w:eastAsiaTheme="minorHAnsi"/>
                <w:color w:val="000000"/>
                <w:sz w:val="20"/>
                <w:szCs w:val="20"/>
                <w:lang w:eastAsia="en-US"/>
              </w:rPr>
            </w:pPr>
            <w:r w:rsidRPr="00AC5054">
              <w:rPr>
                <w:rFonts w:eastAsiaTheme="minorHAnsi"/>
                <w:color w:val="000000"/>
                <w:sz w:val="20"/>
                <w:szCs w:val="20"/>
                <w:lang w:eastAsia="en-US"/>
              </w:rPr>
              <w:t>Are we getting the right support for people – how do we know? How do we measure ‘</w:t>
            </w:r>
            <w:proofErr w:type="gramStart"/>
            <w:r w:rsidRPr="00AC5054">
              <w:rPr>
                <w:rFonts w:eastAsiaTheme="minorHAnsi"/>
                <w:color w:val="000000"/>
                <w:sz w:val="20"/>
                <w:szCs w:val="20"/>
                <w:lang w:eastAsia="en-US"/>
              </w:rPr>
              <w:t>success’</w:t>
            </w:r>
            <w:proofErr w:type="gramEnd"/>
            <w:r w:rsidRPr="00AC5054">
              <w:rPr>
                <w:rFonts w:eastAsiaTheme="minorHAnsi"/>
                <w:color w:val="000000"/>
                <w:sz w:val="20"/>
                <w:szCs w:val="20"/>
                <w:lang w:eastAsia="en-US"/>
              </w:rPr>
              <w:t>?</w:t>
            </w:r>
          </w:p>
          <w:p w14:paraId="67DC6E20" w14:textId="77777777" w:rsidR="00BD0CE8" w:rsidRPr="00AC5054" w:rsidRDefault="00BD0CE8" w:rsidP="00BD0CE8">
            <w:pPr>
              <w:pStyle w:val="ListParagraph"/>
              <w:numPr>
                <w:ilvl w:val="0"/>
                <w:numId w:val="6"/>
              </w:numPr>
              <w:autoSpaceDE w:val="0"/>
              <w:autoSpaceDN w:val="0"/>
              <w:adjustRightInd w:val="0"/>
              <w:rPr>
                <w:rFonts w:eastAsiaTheme="minorHAnsi"/>
                <w:color w:val="000000"/>
                <w:sz w:val="20"/>
                <w:szCs w:val="20"/>
                <w:lang w:eastAsia="en-US"/>
              </w:rPr>
            </w:pPr>
            <w:r w:rsidRPr="00AC5054">
              <w:rPr>
                <w:rFonts w:eastAsiaTheme="minorHAnsi"/>
                <w:color w:val="000000"/>
                <w:sz w:val="20"/>
                <w:szCs w:val="20"/>
                <w:lang w:eastAsia="en-US"/>
              </w:rPr>
              <w:t>The OSHP needs to get involved in mental health, ensuring support mechanisms are in place and facilitating the role of mental health first aiders. “Facilitators who look after the doers.”</w:t>
            </w:r>
          </w:p>
          <w:p w14:paraId="0E79A0F0" w14:textId="77777777" w:rsidR="00BD0CE8" w:rsidRPr="00AC5054" w:rsidRDefault="00BD0CE8" w:rsidP="00BD0CE8">
            <w:pPr>
              <w:pStyle w:val="ListParagraph"/>
              <w:numPr>
                <w:ilvl w:val="0"/>
                <w:numId w:val="6"/>
              </w:numPr>
              <w:autoSpaceDE w:val="0"/>
              <w:autoSpaceDN w:val="0"/>
              <w:adjustRightInd w:val="0"/>
              <w:rPr>
                <w:rFonts w:eastAsiaTheme="minorHAnsi"/>
                <w:color w:val="000000"/>
                <w:sz w:val="20"/>
                <w:szCs w:val="20"/>
                <w:lang w:eastAsia="en-US"/>
              </w:rPr>
            </w:pPr>
            <w:r w:rsidRPr="00AC5054">
              <w:rPr>
                <w:rFonts w:eastAsiaTheme="minorHAnsi"/>
                <w:color w:val="000000"/>
                <w:sz w:val="20"/>
                <w:szCs w:val="20"/>
                <w:lang w:eastAsia="en-US"/>
              </w:rPr>
              <w:t>Ensure that OSH is a conduit between support and the person and ensure that the management systems are in place to enable facilitation.</w:t>
            </w:r>
          </w:p>
          <w:p w14:paraId="6B1FCC76" w14:textId="77777777" w:rsidR="00BD0CE8" w:rsidRPr="00AC5054" w:rsidRDefault="00BD0CE8" w:rsidP="00BD0CE8">
            <w:pPr>
              <w:pStyle w:val="ListParagraph"/>
              <w:numPr>
                <w:ilvl w:val="0"/>
                <w:numId w:val="6"/>
              </w:numPr>
              <w:autoSpaceDE w:val="0"/>
              <w:autoSpaceDN w:val="0"/>
              <w:adjustRightInd w:val="0"/>
              <w:rPr>
                <w:sz w:val="20"/>
                <w:szCs w:val="20"/>
              </w:rPr>
            </w:pPr>
            <w:r w:rsidRPr="00AC5054">
              <w:rPr>
                <w:rFonts w:eastAsiaTheme="minorHAnsi"/>
                <w:color w:val="000000"/>
                <w:sz w:val="20"/>
                <w:szCs w:val="20"/>
                <w:lang w:eastAsia="en-US"/>
              </w:rPr>
              <w:t>Provide a toolkit on how to identify the need for support and readiness.</w:t>
            </w:r>
          </w:p>
          <w:p w14:paraId="3DF3AA54" w14:textId="77777777" w:rsidR="00BD0CE8" w:rsidRPr="00AC5054" w:rsidRDefault="00BD0CE8" w:rsidP="00BD0CE8">
            <w:pPr>
              <w:pStyle w:val="ListParagraph"/>
              <w:numPr>
                <w:ilvl w:val="0"/>
                <w:numId w:val="6"/>
              </w:numPr>
              <w:autoSpaceDE w:val="0"/>
              <w:autoSpaceDN w:val="0"/>
              <w:adjustRightInd w:val="0"/>
              <w:rPr>
                <w:sz w:val="20"/>
                <w:szCs w:val="20"/>
              </w:rPr>
            </w:pPr>
            <w:r w:rsidRPr="00AC5054">
              <w:rPr>
                <w:rFonts w:eastAsiaTheme="minorHAnsi"/>
                <w:color w:val="000000"/>
                <w:sz w:val="20"/>
                <w:szCs w:val="20"/>
                <w:lang w:eastAsia="en-US"/>
              </w:rPr>
              <w:t>There is frequently a stigma associated with PTSD. Do we have the necessary tools to manage this associated stigma?</w:t>
            </w:r>
          </w:p>
          <w:p w14:paraId="47DA1BE0" w14:textId="77777777" w:rsidR="00BD0CE8" w:rsidRPr="00AC5054" w:rsidRDefault="00BD0CE8" w:rsidP="00BD0CE8">
            <w:pPr>
              <w:pStyle w:val="ListParagraph"/>
              <w:numPr>
                <w:ilvl w:val="0"/>
                <w:numId w:val="6"/>
              </w:numPr>
              <w:autoSpaceDE w:val="0"/>
              <w:autoSpaceDN w:val="0"/>
              <w:adjustRightInd w:val="0"/>
              <w:rPr>
                <w:sz w:val="20"/>
                <w:szCs w:val="20"/>
              </w:rPr>
            </w:pPr>
            <w:r w:rsidRPr="00AC5054">
              <w:rPr>
                <w:rFonts w:eastAsiaTheme="minorHAnsi"/>
                <w:color w:val="000000"/>
                <w:sz w:val="20"/>
                <w:szCs w:val="20"/>
                <w:lang w:eastAsia="en-US"/>
              </w:rPr>
              <w:t>Some organisations already have EAP crisis team or specialist trauma team in place</w:t>
            </w:r>
          </w:p>
        </w:tc>
      </w:tr>
      <w:tr w:rsidR="00BD0CE8" w:rsidRPr="00AC5054" w14:paraId="501DA54B" w14:textId="77777777" w:rsidTr="00DF5D58">
        <w:tc>
          <w:tcPr>
            <w:tcW w:w="1272" w:type="dxa"/>
          </w:tcPr>
          <w:p w14:paraId="75B42E1F" w14:textId="77777777" w:rsidR="00BD0CE8" w:rsidRPr="00AC5054" w:rsidRDefault="00BD0CE8" w:rsidP="00DF5D58">
            <w:pPr>
              <w:rPr>
                <w:b/>
                <w:bCs/>
                <w:color w:val="000000" w:themeColor="text1"/>
                <w:sz w:val="20"/>
                <w:szCs w:val="20"/>
              </w:rPr>
            </w:pPr>
            <w:r w:rsidRPr="00AC5054">
              <w:rPr>
                <w:b/>
                <w:bCs/>
                <w:color w:val="000000" w:themeColor="text1"/>
                <w:sz w:val="20"/>
                <w:szCs w:val="20"/>
              </w:rPr>
              <w:t>Group 7</w:t>
            </w:r>
          </w:p>
        </w:tc>
        <w:tc>
          <w:tcPr>
            <w:tcW w:w="7738" w:type="dxa"/>
          </w:tcPr>
          <w:p w14:paraId="1C5A528D" w14:textId="77777777" w:rsidR="00BD0CE8" w:rsidRPr="00AC5054" w:rsidRDefault="00BD0CE8" w:rsidP="00DF5D58">
            <w:pPr>
              <w:rPr>
                <w:rFonts w:eastAsiaTheme="minorHAnsi"/>
                <w:color w:val="000000"/>
                <w:sz w:val="20"/>
                <w:szCs w:val="20"/>
                <w:lang w:eastAsia="en-US"/>
              </w:rPr>
            </w:pPr>
            <w:r w:rsidRPr="00AC5054">
              <w:rPr>
                <w:b/>
                <w:bCs/>
                <w:color w:val="000000"/>
                <w:sz w:val="20"/>
                <w:szCs w:val="20"/>
              </w:rPr>
              <w:t>Do we as safety and health professionals understand what burnout is, how it can be associated COVID-19.</w:t>
            </w:r>
          </w:p>
        </w:tc>
      </w:tr>
      <w:tr w:rsidR="00BD0CE8" w:rsidRPr="00AC5054" w14:paraId="75CA0551" w14:textId="77777777" w:rsidTr="00DF5D58">
        <w:tc>
          <w:tcPr>
            <w:tcW w:w="1272" w:type="dxa"/>
          </w:tcPr>
          <w:p w14:paraId="1C5AFF52" w14:textId="77777777" w:rsidR="00BD0CE8" w:rsidRPr="00AC5054" w:rsidRDefault="00BD0CE8" w:rsidP="00DF5D58">
            <w:pPr>
              <w:rPr>
                <w:b/>
                <w:bCs/>
                <w:color w:val="000000" w:themeColor="text1"/>
                <w:sz w:val="20"/>
                <w:szCs w:val="20"/>
              </w:rPr>
            </w:pPr>
            <w:r w:rsidRPr="00AC5054">
              <w:rPr>
                <w:b/>
                <w:bCs/>
                <w:color w:val="000000" w:themeColor="text1"/>
                <w:sz w:val="20"/>
                <w:szCs w:val="20"/>
              </w:rPr>
              <w:t>Background statement provided</w:t>
            </w:r>
          </w:p>
        </w:tc>
        <w:tc>
          <w:tcPr>
            <w:tcW w:w="7738" w:type="dxa"/>
          </w:tcPr>
          <w:p w14:paraId="6A01B4CB" w14:textId="77777777" w:rsidR="00BD0CE8" w:rsidRPr="00AC5054" w:rsidRDefault="00BD0CE8" w:rsidP="00DF5D58">
            <w:pPr>
              <w:autoSpaceDE w:val="0"/>
              <w:autoSpaceDN w:val="0"/>
              <w:adjustRightInd w:val="0"/>
              <w:rPr>
                <w:rFonts w:eastAsiaTheme="minorHAnsi"/>
                <w:color w:val="000000"/>
                <w:sz w:val="20"/>
                <w:szCs w:val="20"/>
                <w:lang w:eastAsia="en-US"/>
              </w:rPr>
            </w:pPr>
            <w:r w:rsidRPr="00AC5054">
              <w:rPr>
                <w:rFonts w:eastAsiaTheme="minorHAnsi"/>
                <w:color w:val="000000"/>
                <w:sz w:val="20"/>
                <w:szCs w:val="20"/>
                <w:lang w:eastAsia="en-US"/>
              </w:rPr>
              <w:t xml:space="preserve">According to the WHO, “Burnout is a syndrome conceptualised as resulting from chronic workplace stress that has not been successfully managed. It is characterised by three dimensions:1) feelings of energy depletion or exhaustion; 2) increased mental distance from </w:t>
            </w:r>
            <w:r w:rsidRPr="00AC5054">
              <w:rPr>
                <w:rFonts w:eastAsiaTheme="minorHAnsi"/>
                <w:color w:val="000000"/>
                <w:sz w:val="20"/>
                <w:szCs w:val="20"/>
                <w:lang w:eastAsia="en-US"/>
              </w:rPr>
              <w:lastRenderedPageBreak/>
              <w:t xml:space="preserve">one’s job, or feelings of negativism or cynicism related to one's job; and 3) a sense of ineffectiveness and lack of accomplishment. Burn-out refers specifically to phenomena in the occupational context and should not be applied to describe experiences in other areas of life.”        </w:t>
            </w:r>
          </w:p>
          <w:p w14:paraId="5E81BEF0" w14:textId="77777777" w:rsidR="00BD0CE8" w:rsidRPr="00AC5054" w:rsidRDefault="00BD0CE8" w:rsidP="00DF5D58">
            <w:pPr>
              <w:rPr>
                <w:rFonts w:eastAsiaTheme="minorHAnsi"/>
                <w:color w:val="000000"/>
                <w:sz w:val="20"/>
                <w:szCs w:val="20"/>
                <w:lang w:eastAsia="en-US"/>
              </w:rPr>
            </w:pPr>
            <w:r w:rsidRPr="00AC5054">
              <w:rPr>
                <w:rFonts w:eastAsiaTheme="minorHAnsi"/>
                <w:color w:val="000000"/>
                <w:sz w:val="20"/>
                <w:szCs w:val="20"/>
                <w:lang w:eastAsia="en-US"/>
              </w:rPr>
              <w:t xml:space="preserve">According to Maslach and Leiter, Burnout is related to three dimensions: when energy turns into exhaustion; when involvement turns into cynicism; and when efficacy turns into ineffectiveness. Burnout can be a direct or an indirect manifestation of different stressors. </w:t>
            </w:r>
          </w:p>
          <w:p w14:paraId="3286EC4F" w14:textId="77777777" w:rsidR="00BD0CE8" w:rsidRPr="00AC5054" w:rsidRDefault="00BD0CE8" w:rsidP="00DF5D58">
            <w:pPr>
              <w:rPr>
                <w:rFonts w:eastAsiaTheme="minorHAnsi"/>
                <w:color w:val="000000"/>
                <w:sz w:val="20"/>
                <w:szCs w:val="20"/>
                <w:lang w:eastAsia="en-US"/>
              </w:rPr>
            </w:pPr>
            <w:r w:rsidRPr="00AC5054">
              <w:rPr>
                <w:rFonts w:eastAsiaTheme="minorHAnsi"/>
                <w:color w:val="000000"/>
                <w:sz w:val="20"/>
                <w:szCs w:val="20"/>
                <w:lang w:eastAsia="en-US"/>
              </w:rPr>
              <w:t>What can we, as safety and health professionals do to prevent burnout or mitigate its effects?</w:t>
            </w:r>
          </w:p>
          <w:p w14:paraId="7D24547C" w14:textId="77777777" w:rsidR="00BD0CE8" w:rsidRPr="00AC5054" w:rsidRDefault="00BD0CE8" w:rsidP="00DF5D58">
            <w:pPr>
              <w:rPr>
                <w:rFonts w:eastAsiaTheme="minorHAnsi"/>
                <w:color w:val="000000"/>
                <w:sz w:val="20"/>
                <w:szCs w:val="20"/>
                <w:lang w:eastAsia="en-US"/>
              </w:rPr>
            </w:pPr>
          </w:p>
        </w:tc>
      </w:tr>
      <w:tr w:rsidR="00BD0CE8" w:rsidRPr="00AC5054" w14:paraId="1C5381DD" w14:textId="77777777" w:rsidTr="00DF5D58">
        <w:tc>
          <w:tcPr>
            <w:tcW w:w="1272" w:type="dxa"/>
          </w:tcPr>
          <w:p w14:paraId="623AE065" w14:textId="77777777" w:rsidR="00BD0CE8" w:rsidRPr="00AC5054" w:rsidRDefault="00BD0CE8" w:rsidP="00DF5D58">
            <w:pPr>
              <w:rPr>
                <w:b/>
                <w:bCs/>
                <w:color w:val="000000" w:themeColor="text1"/>
                <w:sz w:val="20"/>
                <w:szCs w:val="20"/>
              </w:rPr>
            </w:pPr>
            <w:r w:rsidRPr="00AC5054">
              <w:rPr>
                <w:b/>
                <w:bCs/>
                <w:color w:val="000000" w:themeColor="text1"/>
                <w:sz w:val="20"/>
                <w:szCs w:val="20"/>
              </w:rPr>
              <w:lastRenderedPageBreak/>
              <w:t>Participant statements reflecting the current situation</w:t>
            </w:r>
          </w:p>
        </w:tc>
        <w:tc>
          <w:tcPr>
            <w:tcW w:w="7738" w:type="dxa"/>
          </w:tcPr>
          <w:p w14:paraId="07BF7928"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COVID-19 is a new reality and we need to put in into context, balancing expectations with reality.                       </w:t>
            </w:r>
          </w:p>
          <w:p w14:paraId="5797ADAD"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Redundancies and travel restrictions are having an impact on our mental health.</w:t>
            </w:r>
          </w:p>
          <w:p w14:paraId="70EE9DE3"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The stressors and stress related to COVID-19 can lead to burnout.</w:t>
            </w:r>
          </w:p>
          <w:p w14:paraId="0D2BF7B7"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There is a common fear about future employment in any profession. </w:t>
            </w:r>
          </w:p>
          <w:p w14:paraId="6ACAF0D5"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Chronic stress leads to burnout and burnout can be an antecedent to Post-Traumatic Stress Disorder.    </w:t>
            </w:r>
          </w:p>
          <w:p w14:paraId="068614EB"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Burnout is having a direct impact on family members. </w:t>
            </w:r>
          </w:p>
          <w:p w14:paraId="60DD2075"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Mechanisms must be identified and put into place to eliminate the harm related to mental health at the source.</w:t>
            </w:r>
          </w:p>
          <w:p w14:paraId="1E332556"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In many countries there is a lack of well-being infrastructure and working from home during COVID-19 does not encourage the well-being message to be transmitted and reinforced. </w:t>
            </w:r>
          </w:p>
          <w:p w14:paraId="2B2C1F3F"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Change is a huge contributor to stress. </w:t>
            </w:r>
          </w:p>
          <w:p w14:paraId="56B786E8"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 xml:space="preserve">Many global organisations are showing severe signs of stress within. </w:t>
            </w:r>
          </w:p>
          <w:p w14:paraId="59BF5602" w14:textId="77777777" w:rsidR="00BD0CE8" w:rsidRPr="00AC5054" w:rsidRDefault="00BD0CE8" w:rsidP="00BD0CE8">
            <w:pPr>
              <w:pStyle w:val="ListParagraph"/>
              <w:numPr>
                <w:ilvl w:val="0"/>
                <w:numId w:val="5"/>
              </w:numPr>
              <w:rPr>
                <w:sz w:val="20"/>
                <w:szCs w:val="20"/>
              </w:rPr>
            </w:pPr>
            <w:r w:rsidRPr="00AC5054">
              <w:rPr>
                <w:rFonts w:eastAsiaTheme="minorHAnsi"/>
                <w:color w:val="000000"/>
                <w:sz w:val="20"/>
                <w:szCs w:val="20"/>
                <w:lang w:eastAsia="en-US"/>
              </w:rPr>
              <w:t>Although resilience training is important, it is more important to educate people about the signs and symptoms of stress and burnout and measures that can be taken mitigate stress at an early stage.</w:t>
            </w:r>
          </w:p>
        </w:tc>
      </w:tr>
      <w:tr w:rsidR="00BD0CE8" w:rsidRPr="00AC5054" w14:paraId="1BA31845" w14:textId="77777777" w:rsidTr="00DF5D58">
        <w:tc>
          <w:tcPr>
            <w:tcW w:w="1272" w:type="dxa"/>
          </w:tcPr>
          <w:p w14:paraId="4AA9CDC8"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7738" w:type="dxa"/>
          </w:tcPr>
          <w:p w14:paraId="6F484AF8"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Practical means need to be urgently found and implemented to identify positive behaviours to avoid stress early. </w:t>
            </w:r>
          </w:p>
          <w:p w14:paraId="4370F9B7"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An adequate mental health risk assessment process including stress and burnout needs to be urgently developed and put into place. </w:t>
            </w:r>
          </w:p>
          <w:p w14:paraId="6028B16D"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There is a crucial role of IOSH</w:t>
            </w:r>
            <w:r w:rsidRPr="00AC5054">
              <w:rPr>
                <w:rStyle w:val="FootnoteReference"/>
                <w:rFonts w:eastAsiaTheme="minorHAnsi"/>
                <w:color w:val="000000"/>
                <w:sz w:val="20"/>
                <w:szCs w:val="20"/>
                <w:lang w:eastAsia="en-US"/>
              </w:rPr>
              <w:footnoteReference w:id="1"/>
            </w:r>
            <w:r w:rsidRPr="00AC5054">
              <w:rPr>
                <w:rFonts w:eastAsiaTheme="minorHAnsi"/>
                <w:color w:val="000000"/>
                <w:sz w:val="20"/>
                <w:szCs w:val="20"/>
                <w:lang w:eastAsia="en-US"/>
              </w:rPr>
              <w:t xml:space="preserve"> Council to look ahead regarding stress and burnout, feeding information to the IOSH Board of Trustees to ensure that mental health issues remain high on IOSH’s agenda.</w:t>
            </w:r>
          </w:p>
          <w:p w14:paraId="142B9B89"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Training and educational packages need to be urgently developed and put into place, not only for mental health first aiders but also for managers and leaders to better understand mental health at work and what can be done to strengthen it. </w:t>
            </w:r>
          </w:p>
          <w:p w14:paraId="67FA90B0"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Working with cross-organisational teams on stress and burnout can move issues forward more rapidly with more weight. </w:t>
            </w:r>
          </w:p>
          <w:p w14:paraId="128D9971"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We need to encourage dialogue at a HR level, between a company’s leadership and line managers so everyone is dealing with stress and burnout related issues in a strategic and down-to-earth way. </w:t>
            </w:r>
          </w:p>
          <w:p w14:paraId="5D442DEF" w14:textId="77777777" w:rsidR="00BD0CE8" w:rsidRPr="00AC5054" w:rsidRDefault="00BD0CE8" w:rsidP="00BD0CE8">
            <w:pPr>
              <w:numPr>
                <w:ilvl w:val="0"/>
                <w:numId w:val="4"/>
              </w:numPr>
              <w:rPr>
                <w:sz w:val="20"/>
                <w:szCs w:val="20"/>
              </w:rPr>
            </w:pPr>
            <w:r w:rsidRPr="00AC5054">
              <w:rPr>
                <w:rFonts w:eastAsiaTheme="minorHAnsi"/>
                <w:color w:val="000000"/>
                <w:sz w:val="20"/>
                <w:szCs w:val="20"/>
                <w:lang w:eastAsia="en-US"/>
              </w:rPr>
              <w:t xml:space="preserve">Work with industry, international and national organisations to define the scope of evidence-based research with a view to develop a consensus on what is burnout and how to prevent it before it evolves into Post-Traumatic Stress Disorder.  </w:t>
            </w:r>
          </w:p>
        </w:tc>
      </w:tr>
    </w:tbl>
    <w:p w14:paraId="5AE6DEDD" w14:textId="77777777" w:rsidR="00BD0CE8" w:rsidRPr="00AC5054" w:rsidRDefault="00BD0CE8" w:rsidP="00BD0CE8">
      <w:pPr>
        <w:rPr>
          <w:rFonts w:eastAsiaTheme="minorHAnsi"/>
          <w:color w:val="000000"/>
          <w:sz w:val="20"/>
          <w:szCs w:val="20"/>
          <w:lang w:eastAsia="en-US"/>
        </w:rPr>
      </w:pPr>
    </w:p>
    <w:p w14:paraId="6600AF48" w14:textId="77777777" w:rsidR="00BD0CE8" w:rsidRPr="00AC5054" w:rsidRDefault="00BD0CE8" w:rsidP="00BD0CE8">
      <w:pPr>
        <w:rPr>
          <w:sz w:val="20"/>
          <w:szCs w:val="20"/>
        </w:rPr>
      </w:pPr>
    </w:p>
    <w:p w14:paraId="435145AE" w14:textId="77777777" w:rsidR="00BD0CE8" w:rsidRPr="00AC5054" w:rsidRDefault="00BD0CE8" w:rsidP="00BD0CE8">
      <w:pPr>
        <w:rPr>
          <w:sz w:val="20"/>
          <w:szCs w:val="20"/>
        </w:rPr>
      </w:pPr>
    </w:p>
    <w:p w14:paraId="1FEB0CF7" w14:textId="77777777" w:rsidR="00BD0CE8" w:rsidRPr="00AC5054" w:rsidRDefault="00BD0CE8" w:rsidP="00BD0CE8">
      <w:pPr>
        <w:rPr>
          <w:sz w:val="20"/>
          <w:szCs w:val="20"/>
        </w:rPr>
      </w:pPr>
    </w:p>
    <w:p w14:paraId="175D10A9" w14:textId="77777777" w:rsidR="00BD0CE8" w:rsidRPr="00AC5054" w:rsidRDefault="00BD0CE8" w:rsidP="00BD0CE8">
      <w:pPr>
        <w:rPr>
          <w:sz w:val="20"/>
          <w:szCs w:val="20"/>
        </w:rPr>
      </w:pPr>
    </w:p>
    <w:p w14:paraId="6854EE52" w14:textId="77777777" w:rsidR="00BD0CE8" w:rsidRPr="00AC5054" w:rsidRDefault="00BD0CE8" w:rsidP="00BD0CE8">
      <w:pPr>
        <w:rPr>
          <w:sz w:val="20"/>
          <w:szCs w:val="20"/>
        </w:rPr>
      </w:pPr>
    </w:p>
    <w:p w14:paraId="1D47B235" w14:textId="77777777" w:rsidR="00BD0CE8" w:rsidRPr="00AC5054" w:rsidRDefault="00BD0CE8" w:rsidP="00BD0CE8">
      <w:pPr>
        <w:rPr>
          <w:sz w:val="20"/>
          <w:szCs w:val="20"/>
        </w:rPr>
      </w:pPr>
    </w:p>
    <w:p w14:paraId="628C5CBD" w14:textId="77777777" w:rsidR="00BD0CE8" w:rsidRPr="00AC5054" w:rsidRDefault="00BD0CE8" w:rsidP="00BD0CE8">
      <w:pPr>
        <w:rPr>
          <w:sz w:val="20"/>
          <w:szCs w:val="20"/>
        </w:rPr>
      </w:pPr>
    </w:p>
    <w:p w14:paraId="3DCEB56C" w14:textId="77777777" w:rsidR="00BD0CE8" w:rsidRPr="00AC5054" w:rsidRDefault="00BD0CE8" w:rsidP="00BD0CE8">
      <w:pPr>
        <w:rPr>
          <w:sz w:val="20"/>
          <w:szCs w:val="20"/>
        </w:rPr>
      </w:pPr>
    </w:p>
    <w:p w14:paraId="3E12C641" w14:textId="77777777" w:rsidR="00BD0CE8" w:rsidRPr="00AC5054" w:rsidRDefault="00BD0CE8" w:rsidP="00BD0CE8">
      <w:pPr>
        <w:rPr>
          <w:sz w:val="20"/>
          <w:szCs w:val="20"/>
        </w:rPr>
      </w:pPr>
    </w:p>
    <w:p w14:paraId="714C732B" w14:textId="77777777" w:rsidR="00BD0CE8" w:rsidRPr="00AC5054" w:rsidRDefault="00BD0CE8" w:rsidP="00BD0CE8">
      <w:pPr>
        <w:rPr>
          <w:sz w:val="20"/>
          <w:szCs w:val="20"/>
        </w:rPr>
      </w:pPr>
    </w:p>
    <w:p w14:paraId="1CEB245F" w14:textId="77777777" w:rsidR="00BD0CE8" w:rsidRPr="00AC5054" w:rsidRDefault="00BD0CE8" w:rsidP="00BD0CE8">
      <w:pPr>
        <w:rPr>
          <w:sz w:val="20"/>
          <w:szCs w:val="20"/>
        </w:rPr>
      </w:pPr>
    </w:p>
    <w:p w14:paraId="03DF0BC9" w14:textId="77777777" w:rsidR="00BD0CE8" w:rsidRPr="00AC5054" w:rsidRDefault="00BD0CE8" w:rsidP="00BD0CE8">
      <w:pPr>
        <w:rPr>
          <w:sz w:val="20"/>
          <w:szCs w:val="20"/>
        </w:rPr>
      </w:pPr>
    </w:p>
    <w:p w14:paraId="1ED3C522" w14:textId="77777777" w:rsidR="00BD0CE8" w:rsidRPr="00AC5054" w:rsidRDefault="00BD0CE8" w:rsidP="00BD0CE8">
      <w:pPr>
        <w:rPr>
          <w:sz w:val="20"/>
          <w:szCs w:val="20"/>
        </w:rPr>
      </w:pPr>
    </w:p>
    <w:p w14:paraId="3D3E7C26" w14:textId="77777777" w:rsidR="00BD0CE8" w:rsidRPr="00AC5054" w:rsidRDefault="00BD0CE8" w:rsidP="00BD0CE8">
      <w:pPr>
        <w:rPr>
          <w:sz w:val="20"/>
          <w:szCs w:val="20"/>
        </w:rPr>
      </w:pPr>
    </w:p>
    <w:p w14:paraId="212D8CA2" w14:textId="77777777" w:rsidR="00BD0CE8" w:rsidRPr="00AC5054" w:rsidRDefault="00BD0CE8" w:rsidP="00BD0CE8">
      <w:pPr>
        <w:rPr>
          <w:sz w:val="20"/>
          <w:szCs w:val="20"/>
        </w:rPr>
      </w:pPr>
    </w:p>
    <w:p w14:paraId="6B78D99F" w14:textId="77777777" w:rsidR="00BD0CE8" w:rsidRPr="00AC5054" w:rsidRDefault="00BD0CE8" w:rsidP="00BD0CE8">
      <w:pPr>
        <w:rPr>
          <w:sz w:val="20"/>
          <w:szCs w:val="20"/>
        </w:rPr>
      </w:pPr>
    </w:p>
    <w:p w14:paraId="1641A080" w14:textId="77777777" w:rsidR="00BD0CE8" w:rsidRPr="00AC5054" w:rsidRDefault="00BD0CE8" w:rsidP="00BD0CE8">
      <w:pPr>
        <w:rPr>
          <w:sz w:val="20"/>
          <w:szCs w:val="20"/>
        </w:rPr>
      </w:pPr>
    </w:p>
    <w:p w14:paraId="6EB70C2A" w14:textId="77777777" w:rsidR="00BD0CE8" w:rsidRPr="00AC5054" w:rsidRDefault="00BD0CE8" w:rsidP="00BD0CE8">
      <w:pPr>
        <w:rPr>
          <w:sz w:val="20"/>
          <w:szCs w:val="20"/>
        </w:rPr>
      </w:pPr>
    </w:p>
    <w:p w14:paraId="7F5A93E6" w14:textId="77777777" w:rsidR="00BD0CE8" w:rsidRPr="00AC5054" w:rsidRDefault="00BD0CE8" w:rsidP="00BD0CE8">
      <w:pPr>
        <w:rPr>
          <w:sz w:val="20"/>
          <w:szCs w:val="20"/>
        </w:rPr>
      </w:pPr>
    </w:p>
    <w:p w14:paraId="50E8ED71" w14:textId="77777777" w:rsidR="00BD0CE8" w:rsidRPr="00AC5054" w:rsidRDefault="00BD0CE8" w:rsidP="00BD0CE8">
      <w:pPr>
        <w:rPr>
          <w:sz w:val="20"/>
          <w:szCs w:val="20"/>
        </w:rPr>
      </w:pPr>
    </w:p>
    <w:p w14:paraId="12E9F0E1" w14:textId="77777777" w:rsidR="00BD0CE8" w:rsidRPr="00AC5054" w:rsidRDefault="00BD0CE8" w:rsidP="00BD0CE8">
      <w:pPr>
        <w:rPr>
          <w:sz w:val="20"/>
          <w:szCs w:val="20"/>
        </w:rPr>
      </w:pPr>
    </w:p>
    <w:p w14:paraId="33CA9FA3" w14:textId="77777777" w:rsidR="00BD0CE8" w:rsidRPr="00AC5054" w:rsidRDefault="00BD0CE8" w:rsidP="00BD0CE8">
      <w:pPr>
        <w:rPr>
          <w:sz w:val="20"/>
          <w:szCs w:val="20"/>
        </w:rPr>
      </w:pPr>
    </w:p>
    <w:p w14:paraId="7F5AF705" w14:textId="77777777" w:rsidR="00BD0CE8" w:rsidRPr="00AC5054" w:rsidRDefault="00BD0CE8" w:rsidP="00BD0CE8">
      <w:pPr>
        <w:rPr>
          <w:sz w:val="20"/>
          <w:szCs w:val="20"/>
        </w:rPr>
      </w:pPr>
    </w:p>
    <w:p w14:paraId="5FC36D9B" w14:textId="77777777" w:rsidR="00BD0CE8" w:rsidRPr="00AC5054" w:rsidRDefault="00BD0CE8" w:rsidP="00BD0CE8">
      <w:pPr>
        <w:rPr>
          <w:sz w:val="20"/>
          <w:szCs w:val="20"/>
        </w:rPr>
      </w:pPr>
    </w:p>
    <w:p w14:paraId="6750B7A3" w14:textId="77777777" w:rsidR="00BD0CE8" w:rsidRPr="00AC5054" w:rsidRDefault="00BD0CE8" w:rsidP="00BD0CE8">
      <w:pPr>
        <w:rPr>
          <w:sz w:val="20"/>
          <w:szCs w:val="20"/>
        </w:rPr>
      </w:pPr>
    </w:p>
    <w:p w14:paraId="1EA1CA60" w14:textId="77777777" w:rsidR="00BD0CE8" w:rsidRPr="00AC5054" w:rsidRDefault="00BD0CE8" w:rsidP="00BD0CE8">
      <w:pPr>
        <w:rPr>
          <w:sz w:val="20"/>
          <w:szCs w:val="20"/>
        </w:rPr>
      </w:pPr>
    </w:p>
    <w:p w14:paraId="3FDD7667" w14:textId="77777777" w:rsidR="00BD0CE8" w:rsidRPr="00AC5054" w:rsidRDefault="00BD0CE8" w:rsidP="00BD0CE8">
      <w:pPr>
        <w:rPr>
          <w:sz w:val="20"/>
          <w:szCs w:val="20"/>
        </w:rPr>
      </w:pPr>
    </w:p>
    <w:p w14:paraId="2E1429BB" w14:textId="77777777" w:rsidR="00BD0CE8" w:rsidRPr="00AC5054" w:rsidRDefault="00BD0CE8" w:rsidP="00BD0CE8">
      <w:pPr>
        <w:rPr>
          <w:sz w:val="20"/>
          <w:szCs w:val="20"/>
        </w:rPr>
      </w:pPr>
    </w:p>
    <w:p w14:paraId="5691BC61" w14:textId="77777777" w:rsidR="00BD0CE8" w:rsidRPr="00AC5054" w:rsidRDefault="00BD0CE8" w:rsidP="00BD0CE8">
      <w:pPr>
        <w:rPr>
          <w:sz w:val="20"/>
          <w:szCs w:val="20"/>
        </w:rPr>
      </w:pPr>
    </w:p>
    <w:p w14:paraId="2FF4C016" w14:textId="77777777" w:rsidR="00BD0CE8" w:rsidRPr="00AC5054" w:rsidRDefault="00BD0CE8" w:rsidP="00BD0CE8">
      <w:pPr>
        <w:rPr>
          <w:sz w:val="20"/>
          <w:szCs w:val="20"/>
        </w:rPr>
      </w:pPr>
    </w:p>
    <w:p w14:paraId="5B79E694" w14:textId="77777777" w:rsidR="00BD0CE8" w:rsidRPr="00AC5054" w:rsidRDefault="00BD0CE8" w:rsidP="00BD0CE8">
      <w:pPr>
        <w:rPr>
          <w:sz w:val="20"/>
          <w:szCs w:val="20"/>
        </w:rPr>
      </w:pPr>
    </w:p>
    <w:p w14:paraId="6E8FACC1" w14:textId="77777777" w:rsidR="00BD0CE8" w:rsidRPr="00AC5054" w:rsidRDefault="00BD0CE8" w:rsidP="00BD0CE8">
      <w:pPr>
        <w:rPr>
          <w:sz w:val="20"/>
          <w:szCs w:val="20"/>
        </w:rPr>
      </w:pPr>
    </w:p>
    <w:p w14:paraId="18E36505" w14:textId="77777777" w:rsidR="00BD0CE8" w:rsidRPr="00AC5054" w:rsidRDefault="00BD0CE8" w:rsidP="00BD0CE8">
      <w:pPr>
        <w:rPr>
          <w:sz w:val="20"/>
          <w:szCs w:val="20"/>
        </w:rPr>
      </w:pPr>
    </w:p>
    <w:p w14:paraId="66A742DC" w14:textId="77777777" w:rsidR="00BD0CE8" w:rsidRPr="00AC5054" w:rsidRDefault="00BD0CE8" w:rsidP="00BD0CE8">
      <w:pPr>
        <w:rPr>
          <w:sz w:val="20"/>
          <w:szCs w:val="20"/>
        </w:rPr>
      </w:pPr>
    </w:p>
    <w:p w14:paraId="39BCEE27" w14:textId="77777777" w:rsidR="00BD0CE8" w:rsidRPr="00AC5054" w:rsidRDefault="00BD0CE8" w:rsidP="00BD0CE8">
      <w:pPr>
        <w:rPr>
          <w:sz w:val="20"/>
          <w:szCs w:val="20"/>
        </w:rPr>
      </w:pPr>
    </w:p>
    <w:p w14:paraId="20092E27" w14:textId="77777777" w:rsidR="00BD0CE8" w:rsidRPr="00AC5054" w:rsidRDefault="00BD0CE8" w:rsidP="00BD0CE8">
      <w:pPr>
        <w:rPr>
          <w:sz w:val="20"/>
          <w:szCs w:val="20"/>
        </w:rPr>
      </w:pPr>
    </w:p>
    <w:p w14:paraId="1B3C5BCC" w14:textId="77777777" w:rsidR="00BD0CE8" w:rsidRPr="00AC5054" w:rsidRDefault="00BD0CE8" w:rsidP="00BD0CE8">
      <w:pPr>
        <w:rPr>
          <w:sz w:val="20"/>
          <w:szCs w:val="20"/>
        </w:rPr>
      </w:pPr>
    </w:p>
    <w:p w14:paraId="759A5B7A" w14:textId="77777777" w:rsidR="00BD0CE8" w:rsidRPr="00AC5054" w:rsidRDefault="00BD0CE8" w:rsidP="00BD0CE8">
      <w:pPr>
        <w:rPr>
          <w:sz w:val="20"/>
          <w:szCs w:val="20"/>
        </w:rPr>
      </w:pPr>
    </w:p>
    <w:p w14:paraId="3DB44444" w14:textId="77777777" w:rsidR="00BD0CE8" w:rsidRPr="00AC5054" w:rsidRDefault="00BD0CE8" w:rsidP="00BD0CE8">
      <w:pPr>
        <w:rPr>
          <w:sz w:val="20"/>
          <w:szCs w:val="20"/>
        </w:rPr>
      </w:pPr>
    </w:p>
    <w:p w14:paraId="47ABC2BD" w14:textId="77777777" w:rsidR="00BD0CE8" w:rsidRPr="00AC5054" w:rsidRDefault="00BD0CE8" w:rsidP="00BD0CE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738"/>
      </w:tblGrid>
      <w:tr w:rsidR="00BD0CE8" w:rsidRPr="00AC5054" w14:paraId="6775F0E3" w14:textId="77777777" w:rsidTr="00DF5D58">
        <w:tc>
          <w:tcPr>
            <w:tcW w:w="9010" w:type="dxa"/>
            <w:gridSpan w:val="2"/>
          </w:tcPr>
          <w:p w14:paraId="235AA4EE" w14:textId="279268C8" w:rsidR="00BD0CE8" w:rsidRPr="00AC5054" w:rsidRDefault="00BD0CE8" w:rsidP="00DF5D58">
            <w:pPr>
              <w:rPr>
                <w:rFonts w:eastAsiaTheme="minorHAnsi"/>
                <w:b/>
                <w:bCs/>
                <w:color w:val="000000" w:themeColor="text1"/>
                <w:sz w:val="20"/>
                <w:szCs w:val="20"/>
                <w:lang w:eastAsia="en-US"/>
              </w:rPr>
            </w:pPr>
            <w:r w:rsidRPr="00AC5054">
              <w:rPr>
                <w:rFonts w:eastAsiaTheme="minorHAnsi"/>
                <w:b/>
                <w:bCs/>
                <w:color w:val="000000" w:themeColor="text1"/>
                <w:sz w:val="20"/>
                <w:szCs w:val="20"/>
                <w:lang w:eastAsia="en-US"/>
              </w:rPr>
              <w:t xml:space="preserve">Table </w:t>
            </w:r>
            <w:r w:rsidR="003D5CC4" w:rsidRPr="003D5CC4">
              <w:rPr>
                <w:rFonts w:eastAsiaTheme="minorHAnsi"/>
                <w:b/>
                <w:bCs/>
                <w:color w:val="000000" w:themeColor="text1"/>
                <w:sz w:val="20"/>
                <w:szCs w:val="20"/>
                <w:lang w:val="en-US" w:eastAsia="en-US"/>
              </w:rPr>
              <w:t>S2</w:t>
            </w:r>
            <w:r w:rsidR="003D5CC4">
              <w:rPr>
                <w:rFonts w:eastAsiaTheme="minorHAnsi"/>
                <w:b/>
                <w:bCs/>
                <w:color w:val="000000" w:themeColor="text1"/>
                <w:sz w:val="20"/>
                <w:szCs w:val="20"/>
                <w:lang w:val="en-US" w:eastAsia="en-US"/>
              </w:rPr>
              <w:t xml:space="preserve"> </w:t>
            </w:r>
            <w:r w:rsidRPr="00AC5054">
              <w:rPr>
                <w:rFonts w:eastAsiaTheme="minorHAnsi"/>
                <w:b/>
                <w:bCs/>
                <w:color w:val="000000" w:themeColor="text1"/>
                <w:sz w:val="20"/>
                <w:szCs w:val="20"/>
                <w:lang w:eastAsia="en-US"/>
              </w:rPr>
              <w:t>A-4 Occupational safety and health implications (from groups 5 and 6)</w:t>
            </w:r>
          </w:p>
        </w:tc>
      </w:tr>
      <w:tr w:rsidR="00BD0CE8" w:rsidRPr="00AC5054" w14:paraId="4F43E7D7" w14:textId="77777777" w:rsidTr="00DF5D58">
        <w:tc>
          <w:tcPr>
            <w:tcW w:w="9010" w:type="dxa"/>
            <w:gridSpan w:val="2"/>
          </w:tcPr>
          <w:p w14:paraId="32A717AC" w14:textId="77777777" w:rsidR="00BD0CE8" w:rsidRPr="00AC5054" w:rsidRDefault="00BD0CE8" w:rsidP="00DF5D58">
            <w:pPr>
              <w:rPr>
                <w:color w:val="000000" w:themeColor="text1"/>
                <w:sz w:val="20"/>
                <w:szCs w:val="20"/>
              </w:rPr>
            </w:pPr>
            <w:r w:rsidRPr="00AC5054">
              <w:rPr>
                <w:color w:val="000000" w:themeColor="text1"/>
                <w:sz w:val="20"/>
                <w:szCs w:val="20"/>
              </w:rPr>
              <w:t xml:space="preserve">Group 5: </w:t>
            </w:r>
            <w:r w:rsidRPr="00AC5054">
              <w:rPr>
                <w:color w:val="000000"/>
                <w:sz w:val="20"/>
                <w:szCs w:val="20"/>
              </w:rPr>
              <w:t>Potential reduced work forces and safety and health implications</w:t>
            </w:r>
          </w:p>
        </w:tc>
      </w:tr>
      <w:tr w:rsidR="00BD0CE8" w:rsidRPr="00AC5054" w14:paraId="2EC18794" w14:textId="77777777" w:rsidTr="00DF5D58">
        <w:tc>
          <w:tcPr>
            <w:tcW w:w="1272" w:type="dxa"/>
          </w:tcPr>
          <w:p w14:paraId="7B221272" w14:textId="77777777" w:rsidR="00BD0CE8" w:rsidRPr="00AC5054" w:rsidRDefault="00BD0CE8" w:rsidP="00DF5D58">
            <w:pPr>
              <w:rPr>
                <w:b/>
                <w:bCs/>
                <w:color w:val="000000" w:themeColor="text1"/>
                <w:sz w:val="20"/>
                <w:szCs w:val="20"/>
              </w:rPr>
            </w:pPr>
            <w:r w:rsidRPr="00AC5054">
              <w:rPr>
                <w:b/>
                <w:bCs/>
                <w:color w:val="000000" w:themeColor="text1"/>
                <w:sz w:val="20"/>
                <w:szCs w:val="20"/>
              </w:rPr>
              <w:t>Background statement provided</w:t>
            </w:r>
          </w:p>
        </w:tc>
        <w:tc>
          <w:tcPr>
            <w:tcW w:w="7738" w:type="dxa"/>
          </w:tcPr>
          <w:p w14:paraId="652A9C78" w14:textId="77777777" w:rsidR="00BD0CE8" w:rsidRPr="00AC5054" w:rsidRDefault="00BD0CE8" w:rsidP="00DF5D58">
            <w:pPr>
              <w:rPr>
                <w:sz w:val="20"/>
                <w:szCs w:val="20"/>
              </w:rPr>
            </w:pPr>
            <w:r w:rsidRPr="00AC5054">
              <w:rPr>
                <w:rFonts w:eastAsiaTheme="minorHAnsi"/>
                <w:color w:val="000000"/>
                <w:sz w:val="20"/>
                <w:szCs w:val="20"/>
                <w:lang w:eastAsia="en-US"/>
              </w:rPr>
              <w:t>The economic impact of COVID-19 has put tremendous strain on economies in both developed and emerging economies. It will most probably take years to recover. Increased unemployment has been partially addressed by compensation and furlough schemes, but may workplaces will most probably be understaffed, increasing the demands on the existing workforce. What do we as safety and health professional need to keep in mind to guide employers and managers to address the risks associated with this situation?</w:t>
            </w:r>
          </w:p>
        </w:tc>
      </w:tr>
      <w:tr w:rsidR="00BD0CE8" w:rsidRPr="00AC5054" w14:paraId="76DF109C" w14:textId="77777777" w:rsidTr="00DF5D58">
        <w:tc>
          <w:tcPr>
            <w:tcW w:w="1272" w:type="dxa"/>
          </w:tcPr>
          <w:p w14:paraId="517B0664"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7738" w:type="dxa"/>
          </w:tcPr>
          <w:p w14:paraId="77B10B0F"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There is currently a move within companies to save money which translates in some situations to a reduction in OSH services.</w:t>
            </w:r>
          </w:p>
          <w:p w14:paraId="5E022B65"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A lack of an adjusted OSH policy taking into account COVID-19 is translating into a lack of adequate control measures and a lack of enforcement.</w:t>
            </w:r>
          </w:p>
          <w:p w14:paraId="14479FBB"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Some corporate leaders are returning to a situation where OSH decisions are being made with no underlying risk assessment.</w:t>
            </w:r>
          </w:p>
          <w:p w14:paraId="1AC77AD7"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Many workers are working from home with limited or no professional OSH support and little if any protection.</w:t>
            </w:r>
          </w:p>
          <w:p w14:paraId="71C03C88"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Globally, there is a lack of understanding of cultural diversity. For example, in some countries, workers have never worked from home and it’s difficult for OSHPs to provide guidance.</w:t>
            </w:r>
          </w:p>
        </w:tc>
      </w:tr>
      <w:tr w:rsidR="00BD0CE8" w:rsidRPr="00AC5054" w14:paraId="6B85184C" w14:textId="77777777" w:rsidTr="00DF5D58">
        <w:tc>
          <w:tcPr>
            <w:tcW w:w="1272" w:type="dxa"/>
          </w:tcPr>
          <w:p w14:paraId="668D1D64"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7738" w:type="dxa"/>
          </w:tcPr>
          <w:p w14:paraId="4EAD74BF"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OSHPs need background and training to strengthen their ability to effectively develop and disseminate health messages.</w:t>
            </w:r>
          </w:p>
          <w:p w14:paraId="6F64A10B"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There is a need to strongly encourage mental health first aid, even to point of encouraging legislation.</w:t>
            </w:r>
          </w:p>
          <w:p w14:paraId="02832527"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Guidance is needed on risk assessment on mental health.</w:t>
            </w:r>
          </w:p>
          <w:p w14:paraId="7C34E9E9"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There is a strong need for quality guidance in working from home.</w:t>
            </w:r>
          </w:p>
          <w:p w14:paraId="14FE77F3"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New policies need to be enabled to strengthen organisational abilities to address diversity on a global scale.</w:t>
            </w:r>
          </w:p>
          <w:p w14:paraId="014C69D7" w14:textId="77777777" w:rsidR="00BD0CE8" w:rsidRPr="00AC5054" w:rsidRDefault="00BD0CE8" w:rsidP="00BD0CE8">
            <w:pPr>
              <w:numPr>
                <w:ilvl w:val="0"/>
                <w:numId w:val="3"/>
              </w:numPr>
              <w:rPr>
                <w:sz w:val="20"/>
                <w:szCs w:val="20"/>
              </w:rPr>
            </w:pPr>
            <w:r w:rsidRPr="00AC5054">
              <w:rPr>
                <w:rFonts w:eastAsiaTheme="minorHAnsi"/>
                <w:color w:val="000000"/>
                <w:sz w:val="20"/>
                <w:szCs w:val="20"/>
                <w:lang w:eastAsia="en-US"/>
              </w:rPr>
              <w:t xml:space="preserve">IOSH should use the current situational a springboard to not only strengthen the profession but also to strengthen the recognition of the profession as an essential service. </w:t>
            </w:r>
          </w:p>
        </w:tc>
      </w:tr>
      <w:tr w:rsidR="00BD0CE8" w:rsidRPr="00AC5054" w14:paraId="250C3937" w14:textId="77777777" w:rsidTr="00DF5D58">
        <w:tc>
          <w:tcPr>
            <w:tcW w:w="9010" w:type="dxa"/>
            <w:gridSpan w:val="2"/>
          </w:tcPr>
          <w:p w14:paraId="6C02087B" w14:textId="77777777" w:rsidR="00BD0CE8" w:rsidRPr="00AC5054" w:rsidRDefault="00BD0CE8" w:rsidP="00DF5D58">
            <w:pPr>
              <w:rPr>
                <w:rFonts w:eastAsiaTheme="minorHAnsi"/>
                <w:color w:val="000000"/>
                <w:sz w:val="20"/>
                <w:szCs w:val="20"/>
                <w:lang w:eastAsia="en-US"/>
              </w:rPr>
            </w:pPr>
            <w:r w:rsidRPr="00AC5054">
              <w:rPr>
                <w:color w:val="000000" w:themeColor="text1"/>
                <w:sz w:val="20"/>
                <w:szCs w:val="20"/>
              </w:rPr>
              <w:t xml:space="preserve">Group 6 </w:t>
            </w:r>
            <w:r w:rsidRPr="00AC5054">
              <w:rPr>
                <w:color w:val="000000"/>
                <w:sz w:val="20"/>
                <w:szCs w:val="20"/>
              </w:rPr>
              <w:t>Are we losing sight of basic safety and health issues?</w:t>
            </w:r>
          </w:p>
        </w:tc>
      </w:tr>
      <w:tr w:rsidR="00BD0CE8" w:rsidRPr="00AC5054" w14:paraId="489F9FA1" w14:textId="77777777" w:rsidTr="00DF5D58">
        <w:tc>
          <w:tcPr>
            <w:tcW w:w="1272" w:type="dxa"/>
          </w:tcPr>
          <w:p w14:paraId="60FBC76C" w14:textId="77777777" w:rsidR="00BD0CE8" w:rsidRPr="00AC5054" w:rsidRDefault="00BD0CE8" w:rsidP="00DF5D58">
            <w:pPr>
              <w:rPr>
                <w:b/>
                <w:bCs/>
                <w:color w:val="000000" w:themeColor="text1"/>
                <w:sz w:val="20"/>
                <w:szCs w:val="20"/>
              </w:rPr>
            </w:pPr>
            <w:r w:rsidRPr="00AC5054">
              <w:rPr>
                <w:b/>
                <w:bCs/>
                <w:color w:val="000000" w:themeColor="text1"/>
                <w:sz w:val="20"/>
                <w:szCs w:val="20"/>
              </w:rPr>
              <w:lastRenderedPageBreak/>
              <w:t>Background statement provided</w:t>
            </w:r>
          </w:p>
        </w:tc>
        <w:tc>
          <w:tcPr>
            <w:tcW w:w="7738" w:type="dxa"/>
          </w:tcPr>
          <w:p w14:paraId="361E6F46" w14:textId="77777777" w:rsidR="00BD0CE8" w:rsidRPr="00AC5054" w:rsidRDefault="00BD0CE8" w:rsidP="00DF5D58">
            <w:pPr>
              <w:rPr>
                <w:rFonts w:eastAsiaTheme="minorHAnsi"/>
                <w:color w:val="000000"/>
                <w:sz w:val="20"/>
                <w:szCs w:val="20"/>
                <w:lang w:eastAsia="en-US"/>
              </w:rPr>
            </w:pPr>
            <w:r w:rsidRPr="00AC5054">
              <w:rPr>
                <w:rFonts w:eastAsiaTheme="minorHAnsi"/>
                <w:color w:val="000000"/>
                <w:sz w:val="20"/>
                <w:szCs w:val="20"/>
                <w:lang w:eastAsia="en-US"/>
              </w:rPr>
              <w:t>Due to the Pandemic, there has been an emergence of the importance of occupational health. Some occupational safety and health professionals express that with this new and important focus, managers and workers may lose sight of some basic and important aspects of safety. We need to not only protect people from the risks of COVID-19 but also continue to identify and control risks associated with everyday work. How can we as safety and health professionals continue to reinforce the importance of prevention so that managers and workers do not lose site of the basics of preventing accidents and exposures.</w:t>
            </w:r>
            <w:r w:rsidRPr="00AC5054">
              <w:rPr>
                <w:rFonts w:eastAsiaTheme="minorHAnsi"/>
                <w:i/>
                <w:iCs/>
                <w:color w:val="000000"/>
                <w:sz w:val="20"/>
                <w:szCs w:val="20"/>
                <w:lang w:eastAsia="en-US"/>
              </w:rPr>
              <w:t xml:space="preserve">  </w:t>
            </w:r>
          </w:p>
        </w:tc>
      </w:tr>
      <w:tr w:rsidR="00BD0CE8" w:rsidRPr="00AC5054" w14:paraId="07D73D2D" w14:textId="77777777" w:rsidTr="00DF5D58">
        <w:tc>
          <w:tcPr>
            <w:tcW w:w="1272" w:type="dxa"/>
          </w:tcPr>
          <w:p w14:paraId="2EBBBD1B"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 statements reflecting the current situation</w:t>
            </w:r>
          </w:p>
        </w:tc>
        <w:tc>
          <w:tcPr>
            <w:tcW w:w="7738" w:type="dxa"/>
          </w:tcPr>
          <w:p w14:paraId="73527193"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Professionals don’t know how to manage COVID-19, diverting the risk profiles and diverting the control measures.</w:t>
            </w:r>
          </w:p>
          <w:p w14:paraId="3CDBFA28"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 xml:space="preserve">Many sites have shut down except for a skeleton crew ignoring security and maintenance checks.                       </w:t>
            </w:r>
          </w:p>
          <w:p w14:paraId="5E189DC8"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In process safety issues relating to lock down and start-up.</w:t>
            </w:r>
          </w:p>
          <w:p w14:paraId="7169E5E8"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Although people now have a better understanding of the hierarchy of controls and the role of PPE, many feel that PPE is the only line of defence.</w:t>
            </w:r>
          </w:p>
          <w:p w14:paraId="06A5F6D6"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Standard operating procedures now need to be replaced with dynamic operating procedures due to the rapidly changing risks.</w:t>
            </w:r>
          </w:p>
          <w:p w14:paraId="27FB2578"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Some employers are using COVID-19 as an excuse not to comply with high-risk assessment control measures.</w:t>
            </w:r>
          </w:p>
          <w:p w14:paraId="68D92922"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In some industries the first people to be furloughed are the safety and health staff.</w:t>
            </w:r>
          </w:p>
          <w:p w14:paraId="6E0BF48F"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There is often poor guidance disseminated by the safety and health authority leading to confusion at all levels.</w:t>
            </w:r>
          </w:p>
          <w:p w14:paraId="5BB211C7"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 xml:space="preserve">Many organisations are lacking business continuity plans and have collapsed leading to unemployment.           </w:t>
            </w:r>
          </w:p>
          <w:p w14:paraId="5960D4A3"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 xml:space="preserve">Many countries are now bracing for a second wave. </w:t>
            </w:r>
          </w:p>
          <w:p w14:paraId="72CA46C8" w14:textId="77777777" w:rsidR="00BD0CE8" w:rsidRPr="00AC5054" w:rsidRDefault="00BD0CE8" w:rsidP="00BD0CE8">
            <w:pPr>
              <w:numPr>
                <w:ilvl w:val="0"/>
                <w:numId w:val="1"/>
              </w:numPr>
              <w:rPr>
                <w:rFonts w:eastAsiaTheme="minorHAnsi"/>
                <w:color w:val="000000"/>
                <w:sz w:val="20"/>
                <w:szCs w:val="20"/>
                <w:lang w:eastAsia="en-US"/>
              </w:rPr>
            </w:pPr>
            <w:r w:rsidRPr="00AC5054">
              <w:rPr>
                <w:rFonts w:eastAsiaTheme="minorHAnsi"/>
                <w:color w:val="000000"/>
                <w:sz w:val="20"/>
                <w:szCs w:val="20"/>
                <w:lang w:eastAsia="en-US"/>
              </w:rPr>
              <w:t xml:space="preserve">The future will now translate into a new way of doing business which is yet to be defined.  </w:t>
            </w:r>
          </w:p>
          <w:p w14:paraId="550A5121" w14:textId="77777777" w:rsidR="00BD0CE8" w:rsidRPr="00AC5054" w:rsidRDefault="00BD0CE8" w:rsidP="00DF5D58">
            <w:pPr>
              <w:rPr>
                <w:sz w:val="20"/>
                <w:szCs w:val="20"/>
              </w:rPr>
            </w:pPr>
          </w:p>
        </w:tc>
      </w:tr>
      <w:tr w:rsidR="00BD0CE8" w:rsidRPr="00AC5054" w14:paraId="79C05631" w14:textId="77777777" w:rsidTr="00DF5D58">
        <w:tc>
          <w:tcPr>
            <w:tcW w:w="1272" w:type="dxa"/>
          </w:tcPr>
          <w:p w14:paraId="6752A72F" w14:textId="77777777" w:rsidR="00BD0CE8" w:rsidRPr="00AC5054" w:rsidRDefault="00BD0CE8" w:rsidP="00DF5D58">
            <w:pPr>
              <w:rPr>
                <w:b/>
                <w:bCs/>
                <w:color w:val="000000" w:themeColor="text1"/>
                <w:sz w:val="20"/>
                <w:szCs w:val="20"/>
              </w:rPr>
            </w:pPr>
            <w:r w:rsidRPr="00AC5054">
              <w:rPr>
                <w:b/>
                <w:bCs/>
                <w:color w:val="000000" w:themeColor="text1"/>
                <w:sz w:val="20"/>
                <w:szCs w:val="20"/>
              </w:rPr>
              <w:t>Participants reflections on the way forward</w:t>
            </w:r>
          </w:p>
        </w:tc>
        <w:tc>
          <w:tcPr>
            <w:tcW w:w="7738" w:type="dxa"/>
          </w:tcPr>
          <w:p w14:paraId="68E4ACFC"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 xml:space="preserve"> Reinforce the correct hierarchy of controls, correcting any misalignment caused by COVID-19.               </w:t>
            </w:r>
          </w:p>
          <w:p w14:paraId="27CD2381"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 xml:space="preserve">Determine how the Vision Zero seven golden rules can be aligned with restoring basic safety and health concepts. </w:t>
            </w:r>
          </w:p>
          <w:p w14:paraId="03D7CB2F"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Work to be more inclusive with the health aspect of wellbeing.</w:t>
            </w:r>
          </w:p>
          <w:p w14:paraId="089A69D9"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Strengthen the role and importance of the occupational safety and health profession locally and globally.</w:t>
            </w:r>
          </w:p>
          <w:p w14:paraId="26DB5DE9"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 xml:space="preserve">Continue to work with business leaders to capture what’s left behind after COVID and explore how OSH adds value to the business. </w:t>
            </w:r>
          </w:p>
          <w:p w14:paraId="48AE7056"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Expand on opportunities to promote new OSH legislation.</w:t>
            </w:r>
          </w:p>
          <w:p w14:paraId="67187206"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Encourage the movement from compliance management to risk management.</w:t>
            </w:r>
          </w:p>
          <w:p w14:paraId="2FDB47C4"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 xml:space="preserve">Consider that OSHPs need to move from what we are doing to why we are doing it.                       </w:t>
            </w:r>
          </w:p>
          <w:p w14:paraId="0A5D0026"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Using tools such as good practice benchmark good practice.</w:t>
            </w:r>
          </w:p>
          <w:p w14:paraId="2CDB7265" w14:textId="77777777" w:rsidR="00BD0CE8" w:rsidRPr="00AC5054" w:rsidRDefault="00BD0CE8" w:rsidP="00BD0CE8">
            <w:pPr>
              <w:numPr>
                <w:ilvl w:val="0"/>
                <w:numId w:val="2"/>
              </w:numPr>
              <w:rPr>
                <w:sz w:val="20"/>
                <w:szCs w:val="20"/>
              </w:rPr>
            </w:pPr>
            <w:r w:rsidRPr="00AC5054">
              <w:rPr>
                <w:rFonts w:eastAsiaTheme="minorHAnsi"/>
                <w:color w:val="000000"/>
                <w:sz w:val="20"/>
                <w:szCs w:val="20"/>
                <w:lang w:eastAsia="en-US"/>
              </w:rPr>
              <w:t>Take the opportunity to “reset” where we place our efforts in providing technical services, especially with leaders of business.</w:t>
            </w:r>
          </w:p>
        </w:tc>
      </w:tr>
    </w:tbl>
    <w:p w14:paraId="62B79D45" w14:textId="77777777" w:rsidR="00BD0CE8" w:rsidRPr="00AC5054" w:rsidRDefault="00BD0CE8" w:rsidP="00BD0CE8">
      <w:pPr>
        <w:rPr>
          <w:rFonts w:eastAsiaTheme="minorHAnsi"/>
          <w:color w:val="000000"/>
          <w:sz w:val="20"/>
          <w:szCs w:val="20"/>
          <w:lang w:eastAsia="en-US"/>
        </w:rPr>
      </w:pPr>
    </w:p>
    <w:p w14:paraId="3919497E" w14:textId="77777777" w:rsidR="00BD0CE8" w:rsidRPr="00AC5054" w:rsidRDefault="00BD0CE8" w:rsidP="00BD0CE8">
      <w:pPr>
        <w:rPr>
          <w:color w:val="FF0000"/>
        </w:rPr>
      </w:pPr>
      <w:r w:rsidRPr="00AC5054">
        <w:rPr>
          <w:color w:val="FF0000"/>
        </w:rPr>
        <w:br w:type="page"/>
      </w:r>
    </w:p>
    <w:p w14:paraId="798E3A13" w14:textId="77777777" w:rsidR="003D5CC4" w:rsidRPr="00345294" w:rsidRDefault="003D5CC4" w:rsidP="003D5CC4">
      <w:pPr>
        <w:spacing w:line="360" w:lineRule="auto"/>
        <w:rPr>
          <w:color w:val="000000" w:themeColor="text1"/>
          <w:lang w:val="en-GB"/>
        </w:rPr>
      </w:pPr>
      <w:r>
        <w:rPr>
          <w:color w:val="000000" w:themeColor="text1"/>
          <w:lang w:val="en-GB"/>
        </w:rPr>
        <w:lastRenderedPageBreak/>
        <w:t>Table S</w:t>
      </w:r>
      <w:r w:rsidRPr="00345294">
        <w:rPr>
          <w:color w:val="000000" w:themeColor="text1"/>
          <w:lang w:val="en-GB"/>
        </w:rPr>
        <w:t xml:space="preserve"> </w:t>
      </w:r>
      <w:r>
        <w:rPr>
          <w:color w:val="000000" w:themeColor="text1"/>
          <w:lang w:val="en-GB"/>
        </w:rPr>
        <w:t>3</w:t>
      </w:r>
    </w:p>
    <w:p w14:paraId="6056E75B" w14:textId="77777777" w:rsidR="003D5CC4" w:rsidRPr="00AC5054" w:rsidRDefault="003D5CC4" w:rsidP="003D5CC4">
      <w:pPr>
        <w:spacing w:after="160" w:line="259" w:lineRule="auto"/>
        <w:rPr>
          <w:rFonts w:ascii="Calibri" w:hAnsi="Calibri"/>
          <w:noProof/>
          <w:sz w:val="22"/>
          <w:szCs w:val="22"/>
        </w:rPr>
      </w:pPr>
      <w:r w:rsidRPr="00AC5054">
        <w:rPr>
          <w:rFonts w:ascii="Calibri" w:hAnsi="Calibri"/>
          <w:noProof/>
          <w:sz w:val="22"/>
          <w:szCs w:val="22"/>
        </w:rPr>
        <w:t>Word Frquency Count</w:t>
      </w:r>
    </w:p>
    <w:tbl>
      <w:tblPr>
        <w:tblStyle w:val="TableGrid1"/>
        <w:tblW w:w="0" w:type="auto"/>
        <w:tblLook w:val="04A0" w:firstRow="1" w:lastRow="0" w:firstColumn="1" w:lastColumn="0" w:noHBand="0" w:noVBand="1"/>
      </w:tblPr>
      <w:tblGrid>
        <w:gridCol w:w="1501"/>
        <w:gridCol w:w="1500"/>
        <w:gridCol w:w="1502"/>
        <w:gridCol w:w="1502"/>
        <w:gridCol w:w="1503"/>
        <w:gridCol w:w="1502"/>
      </w:tblGrid>
      <w:tr w:rsidR="003D5CC4" w:rsidRPr="00AC5054" w14:paraId="70A467FE" w14:textId="77777777" w:rsidTr="0051420B">
        <w:tc>
          <w:tcPr>
            <w:tcW w:w="3004" w:type="dxa"/>
            <w:gridSpan w:val="2"/>
          </w:tcPr>
          <w:p w14:paraId="00F68307" w14:textId="77777777" w:rsidR="003D5CC4" w:rsidRPr="00AC5054" w:rsidRDefault="003D5CC4" w:rsidP="0051420B">
            <w:pPr>
              <w:jc w:val="center"/>
              <w:rPr>
                <w:rFonts w:ascii="Calibri" w:hAnsi="Calibri"/>
                <w:b/>
                <w:noProof/>
              </w:rPr>
            </w:pPr>
            <w:r w:rsidRPr="00AC5054">
              <w:rPr>
                <w:rFonts w:ascii="Calibri" w:hAnsi="Calibri"/>
                <w:b/>
                <w:noProof/>
              </w:rPr>
              <w:t>Top Words</w:t>
            </w:r>
          </w:p>
        </w:tc>
        <w:tc>
          <w:tcPr>
            <w:tcW w:w="3006" w:type="dxa"/>
            <w:gridSpan w:val="2"/>
          </w:tcPr>
          <w:p w14:paraId="0C0D456A" w14:textId="77777777" w:rsidR="003D5CC4" w:rsidRPr="00AC5054" w:rsidRDefault="003D5CC4" w:rsidP="0051420B">
            <w:pPr>
              <w:jc w:val="center"/>
              <w:rPr>
                <w:rFonts w:ascii="Calibri" w:hAnsi="Calibri"/>
                <w:b/>
                <w:noProof/>
              </w:rPr>
            </w:pPr>
            <w:r w:rsidRPr="00AC5054">
              <w:rPr>
                <w:rFonts w:ascii="Calibri" w:hAnsi="Calibri"/>
                <w:b/>
                <w:noProof/>
              </w:rPr>
              <w:t>Bigrams</w:t>
            </w:r>
          </w:p>
        </w:tc>
        <w:tc>
          <w:tcPr>
            <w:tcW w:w="3006" w:type="dxa"/>
            <w:gridSpan w:val="2"/>
          </w:tcPr>
          <w:p w14:paraId="742CAAE1" w14:textId="77777777" w:rsidR="003D5CC4" w:rsidRPr="00AC5054" w:rsidRDefault="003D5CC4" w:rsidP="0051420B">
            <w:pPr>
              <w:jc w:val="center"/>
              <w:rPr>
                <w:rFonts w:ascii="Calibri" w:hAnsi="Calibri"/>
                <w:b/>
                <w:noProof/>
              </w:rPr>
            </w:pPr>
            <w:r w:rsidRPr="00AC5054">
              <w:rPr>
                <w:rFonts w:ascii="Calibri" w:hAnsi="Calibri"/>
                <w:b/>
                <w:noProof/>
              </w:rPr>
              <w:t>Trigrams</w:t>
            </w:r>
          </w:p>
        </w:tc>
      </w:tr>
      <w:tr w:rsidR="003D5CC4" w:rsidRPr="00AC5054" w14:paraId="7DF6C071" w14:textId="77777777" w:rsidTr="0051420B">
        <w:tc>
          <w:tcPr>
            <w:tcW w:w="1502" w:type="dxa"/>
          </w:tcPr>
          <w:p w14:paraId="6E36733B" w14:textId="77777777" w:rsidR="003D5CC4" w:rsidRPr="00AC5054" w:rsidRDefault="003D5CC4" w:rsidP="0051420B">
            <w:pPr>
              <w:rPr>
                <w:rFonts w:ascii="Calibri" w:hAnsi="Calibri"/>
                <w:noProof/>
              </w:rPr>
            </w:pPr>
            <w:r w:rsidRPr="00AC5054">
              <w:rPr>
                <w:rFonts w:ascii="Calibri" w:hAnsi="Calibri"/>
                <w:noProof/>
              </w:rPr>
              <w:t xml:space="preserve">Word </w:t>
            </w:r>
          </w:p>
        </w:tc>
        <w:tc>
          <w:tcPr>
            <w:tcW w:w="1502" w:type="dxa"/>
          </w:tcPr>
          <w:p w14:paraId="39EF974B" w14:textId="77777777" w:rsidR="003D5CC4" w:rsidRPr="00AC5054" w:rsidRDefault="003D5CC4" w:rsidP="0051420B">
            <w:pPr>
              <w:rPr>
                <w:rFonts w:ascii="Calibri" w:hAnsi="Calibri"/>
                <w:noProof/>
              </w:rPr>
            </w:pPr>
            <w:r w:rsidRPr="00AC5054">
              <w:rPr>
                <w:rFonts w:ascii="Calibri" w:hAnsi="Calibri"/>
                <w:noProof/>
              </w:rPr>
              <w:t>Frequency</w:t>
            </w:r>
          </w:p>
        </w:tc>
        <w:tc>
          <w:tcPr>
            <w:tcW w:w="1503" w:type="dxa"/>
          </w:tcPr>
          <w:p w14:paraId="378BF1A3" w14:textId="77777777" w:rsidR="003D5CC4" w:rsidRPr="00AC5054" w:rsidRDefault="003D5CC4" w:rsidP="0051420B">
            <w:pPr>
              <w:rPr>
                <w:rFonts w:ascii="Calibri" w:eastAsia="Calibri" w:hAnsi="Calibri"/>
                <w:lang w:val="en-TT" w:eastAsia="en-US"/>
              </w:rPr>
            </w:pPr>
            <w:r w:rsidRPr="00AC5054">
              <w:rPr>
                <w:rFonts w:ascii="Calibri" w:eastAsia="Calibri" w:hAnsi="Calibri"/>
                <w:lang w:val="en-TT" w:eastAsia="en-US"/>
              </w:rPr>
              <w:t xml:space="preserve">Word </w:t>
            </w:r>
          </w:p>
        </w:tc>
        <w:tc>
          <w:tcPr>
            <w:tcW w:w="1503" w:type="dxa"/>
          </w:tcPr>
          <w:p w14:paraId="0EC1C871" w14:textId="77777777" w:rsidR="003D5CC4" w:rsidRPr="00AC5054" w:rsidRDefault="003D5CC4" w:rsidP="0051420B">
            <w:pPr>
              <w:rPr>
                <w:rFonts w:ascii="Calibri" w:eastAsia="Calibri" w:hAnsi="Calibri"/>
                <w:lang w:val="en-TT" w:eastAsia="en-US"/>
              </w:rPr>
            </w:pPr>
            <w:r w:rsidRPr="00AC5054">
              <w:rPr>
                <w:rFonts w:ascii="Calibri" w:eastAsia="Calibri" w:hAnsi="Calibri"/>
                <w:lang w:val="en-TT" w:eastAsia="en-US"/>
              </w:rPr>
              <w:t>Frequency</w:t>
            </w:r>
          </w:p>
        </w:tc>
        <w:tc>
          <w:tcPr>
            <w:tcW w:w="1503" w:type="dxa"/>
          </w:tcPr>
          <w:p w14:paraId="3B3362CE" w14:textId="77777777" w:rsidR="003D5CC4" w:rsidRPr="00AC5054" w:rsidRDefault="003D5CC4" w:rsidP="0051420B">
            <w:pPr>
              <w:rPr>
                <w:rFonts w:ascii="Calibri" w:eastAsia="Calibri" w:hAnsi="Calibri"/>
                <w:lang w:val="en-TT" w:eastAsia="en-US"/>
              </w:rPr>
            </w:pPr>
            <w:r w:rsidRPr="00AC5054">
              <w:rPr>
                <w:rFonts w:ascii="Calibri" w:eastAsia="Calibri" w:hAnsi="Calibri"/>
                <w:lang w:val="en-TT" w:eastAsia="en-US"/>
              </w:rPr>
              <w:t xml:space="preserve">Word </w:t>
            </w:r>
          </w:p>
        </w:tc>
        <w:tc>
          <w:tcPr>
            <w:tcW w:w="1503" w:type="dxa"/>
          </w:tcPr>
          <w:p w14:paraId="3D6244D0" w14:textId="77777777" w:rsidR="003D5CC4" w:rsidRPr="00AC5054" w:rsidRDefault="003D5CC4" w:rsidP="0051420B">
            <w:pPr>
              <w:rPr>
                <w:rFonts w:ascii="Calibri" w:eastAsia="Calibri" w:hAnsi="Calibri"/>
                <w:lang w:val="en-TT" w:eastAsia="en-US"/>
              </w:rPr>
            </w:pPr>
            <w:r w:rsidRPr="00AC5054">
              <w:rPr>
                <w:rFonts w:ascii="Calibri" w:eastAsia="Calibri" w:hAnsi="Calibri"/>
                <w:lang w:val="en-TT" w:eastAsia="en-US"/>
              </w:rPr>
              <w:t>Frequency</w:t>
            </w:r>
          </w:p>
        </w:tc>
      </w:tr>
      <w:tr w:rsidR="003D5CC4" w:rsidRPr="00AC5054" w14:paraId="1B468200" w14:textId="77777777" w:rsidTr="0051420B">
        <w:tc>
          <w:tcPr>
            <w:tcW w:w="1502" w:type="dxa"/>
          </w:tcPr>
          <w:p w14:paraId="7E41A9EE" w14:textId="77777777" w:rsidR="003D5CC4" w:rsidRPr="00AC5054" w:rsidRDefault="003D5CC4" w:rsidP="0051420B">
            <w:pPr>
              <w:rPr>
                <w:rFonts w:ascii="Calibri" w:hAnsi="Calibri"/>
                <w:noProof/>
              </w:rPr>
            </w:pPr>
            <w:r w:rsidRPr="00AC5054">
              <w:rPr>
                <w:rFonts w:ascii="Calibri" w:hAnsi="Calibri"/>
                <w:noProof/>
              </w:rPr>
              <w:t>Health</w:t>
            </w:r>
          </w:p>
        </w:tc>
        <w:tc>
          <w:tcPr>
            <w:tcW w:w="1502" w:type="dxa"/>
          </w:tcPr>
          <w:p w14:paraId="38210B78" w14:textId="77777777" w:rsidR="003D5CC4" w:rsidRPr="00AC5054" w:rsidRDefault="003D5CC4" w:rsidP="0051420B">
            <w:pPr>
              <w:rPr>
                <w:rFonts w:ascii="Calibri" w:hAnsi="Calibri"/>
                <w:noProof/>
              </w:rPr>
            </w:pPr>
            <w:r w:rsidRPr="00AC5054">
              <w:rPr>
                <w:rFonts w:ascii="Calibri" w:hAnsi="Calibri"/>
                <w:noProof/>
              </w:rPr>
              <w:t>187</w:t>
            </w:r>
          </w:p>
        </w:tc>
        <w:tc>
          <w:tcPr>
            <w:tcW w:w="1503" w:type="dxa"/>
          </w:tcPr>
          <w:p w14:paraId="66C1C5BF" w14:textId="77777777" w:rsidR="003D5CC4" w:rsidRPr="00AC5054" w:rsidRDefault="003D5CC4" w:rsidP="0051420B">
            <w:pPr>
              <w:rPr>
                <w:rFonts w:ascii="Calibri" w:hAnsi="Calibri"/>
                <w:noProof/>
              </w:rPr>
            </w:pPr>
            <w:r w:rsidRPr="00AC5054">
              <w:rPr>
                <w:rFonts w:ascii="Calibri" w:hAnsi="Calibri"/>
                <w:noProof/>
              </w:rPr>
              <w:t>Covid-19</w:t>
            </w:r>
          </w:p>
        </w:tc>
        <w:tc>
          <w:tcPr>
            <w:tcW w:w="1503" w:type="dxa"/>
          </w:tcPr>
          <w:p w14:paraId="32CC1158" w14:textId="77777777" w:rsidR="003D5CC4" w:rsidRPr="00AC5054" w:rsidRDefault="003D5CC4" w:rsidP="0051420B">
            <w:pPr>
              <w:rPr>
                <w:rFonts w:ascii="Calibri" w:hAnsi="Calibri"/>
                <w:noProof/>
              </w:rPr>
            </w:pPr>
            <w:r w:rsidRPr="00AC5054">
              <w:rPr>
                <w:rFonts w:ascii="Calibri" w:hAnsi="Calibri"/>
                <w:noProof/>
              </w:rPr>
              <w:t>86</w:t>
            </w:r>
          </w:p>
        </w:tc>
        <w:tc>
          <w:tcPr>
            <w:tcW w:w="1503" w:type="dxa"/>
          </w:tcPr>
          <w:p w14:paraId="59C23874" w14:textId="77777777" w:rsidR="003D5CC4" w:rsidRPr="00AC5054" w:rsidRDefault="003D5CC4" w:rsidP="0051420B">
            <w:pPr>
              <w:rPr>
                <w:rFonts w:ascii="Calibri" w:hAnsi="Calibri"/>
                <w:noProof/>
              </w:rPr>
            </w:pPr>
            <w:r w:rsidRPr="00AC5054">
              <w:rPr>
                <w:rFonts w:ascii="Calibri" w:hAnsi="Calibri"/>
                <w:noProof/>
              </w:rPr>
              <w:t>Safety &amp; Health</w:t>
            </w:r>
          </w:p>
        </w:tc>
        <w:tc>
          <w:tcPr>
            <w:tcW w:w="1503" w:type="dxa"/>
          </w:tcPr>
          <w:p w14:paraId="0AFCB208" w14:textId="77777777" w:rsidR="003D5CC4" w:rsidRPr="00AC5054" w:rsidRDefault="003D5CC4" w:rsidP="0051420B">
            <w:pPr>
              <w:rPr>
                <w:rFonts w:ascii="Calibri" w:hAnsi="Calibri"/>
                <w:noProof/>
              </w:rPr>
            </w:pPr>
            <w:r w:rsidRPr="00AC5054">
              <w:rPr>
                <w:rFonts w:ascii="Calibri" w:hAnsi="Calibri"/>
                <w:noProof/>
              </w:rPr>
              <w:t>68</w:t>
            </w:r>
          </w:p>
        </w:tc>
      </w:tr>
      <w:tr w:rsidR="003D5CC4" w:rsidRPr="00AC5054" w14:paraId="7B276993" w14:textId="77777777" w:rsidTr="0051420B">
        <w:tc>
          <w:tcPr>
            <w:tcW w:w="1502" w:type="dxa"/>
          </w:tcPr>
          <w:p w14:paraId="7AF5EA1A" w14:textId="77777777" w:rsidR="003D5CC4" w:rsidRPr="00AC5054" w:rsidRDefault="003D5CC4" w:rsidP="0051420B">
            <w:pPr>
              <w:rPr>
                <w:rFonts w:ascii="Calibri" w:hAnsi="Calibri"/>
                <w:noProof/>
              </w:rPr>
            </w:pPr>
            <w:r w:rsidRPr="00AC5054">
              <w:rPr>
                <w:rFonts w:ascii="Calibri" w:hAnsi="Calibri"/>
                <w:noProof/>
              </w:rPr>
              <w:t>Safety</w:t>
            </w:r>
          </w:p>
        </w:tc>
        <w:tc>
          <w:tcPr>
            <w:tcW w:w="1502" w:type="dxa"/>
          </w:tcPr>
          <w:p w14:paraId="4722D8D0" w14:textId="77777777" w:rsidR="003D5CC4" w:rsidRPr="00AC5054" w:rsidRDefault="003D5CC4" w:rsidP="0051420B">
            <w:pPr>
              <w:rPr>
                <w:rFonts w:ascii="Calibri" w:hAnsi="Calibri"/>
                <w:noProof/>
              </w:rPr>
            </w:pPr>
            <w:r w:rsidRPr="00AC5054">
              <w:rPr>
                <w:rFonts w:ascii="Calibri" w:hAnsi="Calibri"/>
                <w:noProof/>
              </w:rPr>
              <w:t>97</w:t>
            </w:r>
          </w:p>
        </w:tc>
        <w:tc>
          <w:tcPr>
            <w:tcW w:w="1503" w:type="dxa"/>
          </w:tcPr>
          <w:p w14:paraId="1EE476A9" w14:textId="77777777" w:rsidR="003D5CC4" w:rsidRPr="00AC5054" w:rsidRDefault="003D5CC4" w:rsidP="0051420B">
            <w:pPr>
              <w:rPr>
                <w:rFonts w:ascii="Calibri" w:hAnsi="Calibri"/>
                <w:noProof/>
              </w:rPr>
            </w:pPr>
            <w:r w:rsidRPr="00AC5054">
              <w:rPr>
                <w:rFonts w:ascii="Calibri" w:hAnsi="Calibri"/>
                <w:noProof/>
              </w:rPr>
              <w:t>Mental Health</w:t>
            </w:r>
          </w:p>
        </w:tc>
        <w:tc>
          <w:tcPr>
            <w:tcW w:w="1503" w:type="dxa"/>
          </w:tcPr>
          <w:p w14:paraId="3DA8F5BB" w14:textId="77777777" w:rsidR="003D5CC4" w:rsidRPr="00AC5054" w:rsidRDefault="003D5CC4" w:rsidP="0051420B">
            <w:pPr>
              <w:rPr>
                <w:rFonts w:ascii="Calibri" w:hAnsi="Calibri"/>
                <w:noProof/>
              </w:rPr>
            </w:pPr>
            <w:r w:rsidRPr="00AC5054">
              <w:rPr>
                <w:rFonts w:ascii="Calibri" w:hAnsi="Calibri"/>
                <w:noProof/>
              </w:rPr>
              <w:t>52</w:t>
            </w:r>
          </w:p>
        </w:tc>
        <w:tc>
          <w:tcPr>
            <w:tcW w:w="1503" w:type="dxa"/>
          </w:tcPr>
          <w:p w14:paraId="15E7D397" w14:textId="77777777" w:rsidR="003D5CC4" w:rsidRPr="00AC5054" w:rsidRDefault="003D5CC4" w:rsidP="0051420B">
            <w:pPr>
              <w:rPr>
                <w:rFonts w:ascii="Calibri" w:hAnsi="Calibri"/>
                <w:noProof/>
              </w:rPr>
            </w:pPr>
            <w:r w:rsidRPr="00AC5054">
              <w:rPr>
                <w:rFonts w:ascii="Calibri" w:hAnsi="Calibri"/>
                <w:noProof/>
              </w:rPr>
              <w:t>Occupational Safety and</w:t>
            </w:r>
          </w:p>
        </w:tc>
        <w:tc>
          <w:tcPr>
            <w:tcW w:w="1503" w:type="dxa"/>
          </w:tcPr>
          <w:p w14:paraId="79ACF45C" w14:textId="77777777" w:rsidR="003D5CC4" w:rsidRPr="00AC5054" w:rsidRDefault="003D5CC4" w:rsidP="0051420B">
            <w:pPr>
              <w:rPr>
                <w:rFonts w:ascii="Calibri" w:hAnsi="Calibri"/>
                <w:noProof/>
              </w:rPr>
            </w:pPr>
            <w:r w:rsidRPr="00AC5054">
              <w:rPr>
                <w:rFonts w:ascii="Calibri" w:hAnsi="Calibri"/>
                <w:noProof/>
              </w:rPr>
              <w:t>17</w:t>
            </w:r>
          </w:p>
        </w:tc>
      </w:tr>
      <w:tr w:rsidR="003D5CC4" w:rsidRPr="00AC5054" w14:paraId="7D2D14BE" w14:textId="77777777" w:rsidTr="0051420B">
        <w:tc>
          <w:tcPr>
            <w:tcW w:w="1502" w:type="dxa"/>
          </w:tcPr>
          <w:p w14:paraId="320A2BDB" w14:textId="77777777" w:rsidR="003D5CC4" w:rsidRPr="00AC5054" w:rsidRDefault="003D5CC4" w:rsidP="0051420B">
            <w:pPr>
              <w:rPr>
                <w:rFonts w:ascii="Calibri" w:hAnsi="Calibri"/>
                <w:noProof/>
              </w:rPr>
            </w:pPr>
            <w:r w:rsidRPr="00AC5054">
              <w:rPr>
                <w:rFonts w:ascii="Calibri" w:hAnsi="Calibri"/>
                <w:noProof/>
              </w:rPr>
              <w:t>Covid</w:t>
            </w:r>
          </w:p>
        </w:tc>
        <w:tc>
          <w:tcPr>
            <w:tcW w:w="1502" w:type="dxa"/>
          </w:tcPr>
          <w:p w14:paraId="4B414959" w14:textId="77777777" w:rsidR="003D5CC4" w:rsidRPr="00AC5054" w:rsidRDefault="003D5CC4" w:rsidP="0051420B">
            <w:pPr>
              <w:rPr>
                <w:rFonts w:ascii="Calibri" w:hAnsi="Calibri"/>
                <w:noProof/>
              </w:rPr>
            </w:pPr>
            <w:r w:rsidRPr="00AC5054">
              <w:rPr>
                <w:rFonts w:ascii="Calibri" w:hAnsi="Calibri"/>
                <w:noProof/>
              </w:rPr>
              <w:t>94</w:t>
            </w:r>
          </w:p>
        </w:tc>
        <w:tc>
          <w:tcPr>
            <w:tcW w:w="1503" w:type="dxa"/>
          </w:tcPr>
          <w:p w14:paraId="22A7BE8A" w14:textId="77777777" w:rsidR="003D5CC4" w:rsidRPr="00AC5054" w:rsidRDefault="003D5CC4" w:rsidP="0051420B">
            <w:pPr>
              <w:rPr>
                <w:rFonts w:ascii="Calibri" w:hAnsi="Calibri"/>
                <w:noProof/>
              </w:rPr>
            </w:pPr>
            <w:r w:rsidRPr="00AC5054">
              <w:rPr>
                <w:rFonts w:ascii="Calibri" w:hAnsi="Calibri"/>
                <w:noProof/>
              </w:rPr>
              <w:t xml:space="preserve">Focus Groups </w:t>
            </w:r>
          </w:p>
        </w:tc>
        <w:tc>
          <w:tcPr>
            <w:tcW w:w="1503" w:type="dxa"/>
          </w:tcPr>
          <w:p w14:paraId="18457A7E" w14:textId="77777777" w:rsidR="003D5CC4" w:rsidRPr="00AC5054" w:rsidRDefault="003D5CC4" w:rsidP="0051420B">
            <w:pPr>
              <w:rPr>
                <w:rFonts w:ascii="Calibri" w:hAnsi="Calibri"/>
                <w:noProof/>
              </w:rPr>
            </w:pPr>
            <w:r w:rsidRPr="00AC5054">
              <w:rPr>
                <w:rFonts w:ascii="Calibri" w:hAnsi="Calibri"/>
                <w:noProof/>
              </w:rPr>
              <w:t>31</w:t>
            </w:r>
          </w:p>
        </w:tc>
        <w:tc>
          <w:tcPr>
            <w:tcW w:w="1503" w:type="dxa"/>
          </w:tcPr>
          <w:p w14:paraId="3C78FCC1" w14:textId="77777777" w:rsidR="003D5CC4" w:rsidRPr="00AC5054" w:rsidRDefault="003D5CC4" w:rsidP="0051420B">
            <w:pPr>
              <w:rPr>
                <w:rFonts w:ascii="Calibri" w:hAnsi="Calibri"/>
                <w:noProof/>
              </w:rPr>
            </w:pPr>
            <w:r w:rsidRPr="00AC5054">
              <w:rPr>
                <w:rFonts w:ascii="Calibri" w:hAnsi="Calibri"/>
                <w:noProof/>
              </w:rPr>
              <w:t>The focus groups</w:t>
            </w:r>
          </w:p>
        </w:tc>
        <w:tc>
          <w:tcPr>
            <w:tcW w:w="1503" w:type="dxa"/>
          </w:tcPr>
          <w:p w14:paraId="08854ECF" w14:textId="77777777" w:rsidR="003D5CC4" w:rsidRPr="00AC5054" w:rsidRDefault="003D5CC4" w:rsidP="0051420B">
            <w:pPr>
              <w:rPr>
                <w:rFonts w:ascii="Calibri" w:hAnsi="Calibri"/>
                <w:noProof/>
              </w:rPr>
            </w:pPr>
            <w:r w:rsidRPr="00AC5054">
              <w:rPr>
                <w:rFonts w:ascii="Calibri" w:hAnsi="Calibri"/>
                <w:noProof/>
              </w:rPr>
              <w:t>11</w:t>
            </w:r>
          </w:p>
        </w:tc>
      </w:tr>
      <w:tr w:rsidR="003D5CC4" w:rsidRPr="00AC5054" w14:paraId="1A05BE47" w14:textId="77777777" w:rsidTr="0051420B">
        <w:tc>
          <w:tcPr>
            <w:tcW w:w="1502" w:type="dxa"/>
          </w:tcPr>
          <w:p w14:paraId="4581AA0B" w14:textId="77777777" w:rsidR="003D5CC4" w:rsidRPr="00AC5054" w:rsidRDefault="003D5CC4" w:rsidP="0051420B">
            <w:pPr>
              <w:rPr>
                <w:rFonts w:ascii="Calibri" w:hAnsi="Calibri"/>
                <w:noProof/>
              </w:rPr>
            </w:pPr>
            <w:r w:rsidRPr="00AC5054">
              <w:rPr>
                <w:rFonts w:ascii="Calibri" w:hAnsi="Calibri"/>
                <w:noProof/>
              </w:rPr>
              <w:t>19</w:t>
            </w:r>
          </w:p>
        </w:tc>
        <w:tc>
          <w:tcPr>
            <w:tcW w:w="1502" w:type="dxa"/>
          </w:tcPr>
          <w:p w14:paraId="1A654CED" w14:textId="77777777" w:rsidR="003D5CC4" w:rsidRPr="00AC5054" w:rsidRDefault="003D5CC4" w:rsidP="0051420B">
            <w:pPr>
              <w:rPr>
                <w:rFonts w:ascii="Calibri" w:hAnsi="Calibri"/>
                <w:noProof/>
              </w:rPr>
            </w:pPr>
            <w:r w:rsidRPr="00AC5054">
              <w:rPr>
                <w:rFonts w:ascii="Calibri" w:hAnsi="Calibri"/>
                <w:noProof/>
              </w:rPr>
              <w:t>92</w:t>
            </w:r>
          </w:p>
        </w:tc>
        <w:tc>
          <w:tcPr>
            <w:tcW w:w="1503" w:type="dxa"/>
          </w:tcPr>
          <w:p w14:paraId="3B44ED46" w14:textId="77777777" w:rsidR="003D5CC4" w:rsidRPr="00AC5054" w:rsidRDefault="003D5CC4" w:rsidP="0051420B">
            <w:pPr>
              <w:rPr>
                <w:rFonts w:ascii="Calibri" w:hAnsi="Calibri"/>
                <w:noProof/>
              </w:rPr>
            </w:pPr>
            <w:r w:rsidRPr="00AC5054">
              <w:rPr>
                <w:rFonts w:ascii="Calibri" w:hAnsi="Calibri"/>
                <w:noProof/>
              </w:rPr>
              <w:t>The Pandemic</w:t>
            </w:r>
          </w:p>
        </w:tc>
        <w:tc>
          <w:tcPr>
            <w:tcW w:w="1503" w:type="dxa"/>
          </w:tcPr>
          <w:p w14:paraId="5E4F73B7" w14:textId="77777777" w:rsidR="003D5CC4" w:rsidRPr="00AC5054" w:rsidRDefault="003D5CC4" w:rsidP="0051420B">
            <w:pPr>
              <w:rPr>
                <w:rFonts w:ascii="Calibri" w:hAnsi="Calibri"/>
                <w:noProof/>
              </w:rPr>
            </w:pPr>
            <w:r w:rsidRPr="00AC5054">
              <w:rPr>
                <w:rFonts w:ascii="Calibri" w:hAnsi="Calibri"/>
                <w:noProof/>
              </w:rPr>
              <w:t>30</w:t>
            </w:r>
          </w:p>
        </w:tc>
        <w:tc>
          <w:tcPr>
            <w:tcW w:w="1503" w:type="dxa"/>
          </w:tcPr>
          <w:p w14:paraId="291712CA" w14:textId="77777777" w:rsidR="003D5CC4" w:rsidRPr="00AC5054" w:rsidRDefault="003D5CC4" w:rsidP="0051420B">
            <w:pPr>
              <w:rPr>
                <w:rFonts w:ascii="Calibri" w:hAnsi="Calibri"/>
                <w:noProof/>
              </w:rPr>
            </w:pPr>
            <w:r w:rsidRPr="00AC5054">
              <w:rPr>
                <w:rFonts w:ascii="Calibri" w:hAnsi="Calibri"/>
                <w:noProof/>
              </w:rPr>
              <w:t>In the workplace</w:t>
            </w:r>
          </w:p>
        </w:tc>
        <w:tc>
          <w:tcPr>
            <w:tcW w:w="1503" w:type="dxa"/>
          </w:tcPr>
          <w:p w14:paraId="7538AB04" w14:textId="77777777" w:rsidR="003D5CC4" w:rsidRPr="00AC5054" w:rsidRDefault="003D5CC4" w:rsidP="0051420B">
            <w:pPr>
              <w:rPr>
                <w:rFonts w:ascii="Calibri" w:hAnsi="Calibri"/>
                <w:noProof/>
              </w:rPr>
            </w:pPr>
            <w:r w:rsidRPr="00AC5054">
              <w:rPr>
                <w:rFonts w:ascii="Calibri" w:hAnsi="Calibri"/>
                <w:noProof/>
              </w:rPr>
              <w:t>11</w:t>
            </w:r>
          </w:p>
        </w:tc>
      </w:tr>
      <w:tr w:rsidR="003D5CC4" w:rsidRPr="00AC5054" w14:paraId="702554BA" w14:textId="77777777" w:rsidTr="0051420B">
        <w:tc>
          <w:tcPr>
            <w:tcW w:w="1502" w:type="dxa"/>
          </w:tcPr>
          <w:p w14:paraId="69616D27" w14:textId="77777777" w:rsidR="003D5CC4" w:rsidRPr="00AC5054" w:rsidRDefault="003D5CC4" w:rsidP="0051420B">
            <w:pPr>
              <w:rPr>
                <w:rFonts w:ascii="Calibri" w:hAnsi="Calibri"/>
                <w:noProof/>
              </w:rPr>
            </w:pPr>
            <w:r w:rsidRPr="00AC5054">
              <w:rPr>
                <w:rFonts w:ascii="Calibri" w:hAnsi="Calibri"/>
                <w:noProof/>
              </w:rPr>
              <w:t>Risk</w:t>
            </w:r>
          </w:p>
        </w:tc>
        <w:tc>
          <w:tcPr>
            <w:tcW w:w="1502" w:type="dxa"/>
          </w:tcPr>
          <w:p w14:paraId="59A55652" w14:textId="77777777" w:rsidR="003D5CC4" w:rsidRPr="00AC5054" w:rsidRDefault="003D5CC4" w:rsidP="0051420B">
            <w:pPr>
              <w:rPr>
                <w:rFonts w:ascii="Calibri" w:hAnsi="Calibri"/>
                <w:noProof/>
              </w:rPr>
            </w:pPr>
            <w:r w:rsidRPr="00AC5054">
              <w:rPr>
                <w:rFonts w:ascii="Calibri" w:hAnsi="Calibri"/>
                <w:noProof/>
              </w:rPr>
              <w:t>78</w:t>
            </w:r>
          </w:p>
        </w:tc>
        <w:tc>
          <w:tcPr>
            <w:tcW w:w="1503" w:type="dxa"/>
          </w:tcPr>
          <w:p w14:paraId="36ED69DF" w14:textId="77777777" w:rsidR="003D5CC4" w:rsidRPr="00AC5054" w:rsidRDefault="003D5CC4" w:rsidP="0051420B">
            <w:pPr>
              <w:rPr>
                <w:rFonts w:ascii="Calibri" w:hAnsi="Calibri"/>
                <w:noProof/>
              </w:rPr>
            </w:pPr>
          </w:p>
        </w:tc>
        <w:tc>
          <w:tcPr>
            <w:tcW w:w="1503" w:type="dxa"/>
          </w:tcPr>
          <w:p w14:paraId="4D0360EF" w14:textId="77777777" w:rsidR="003D5CC4" w:rsidRPr="00AC5054" w:rsidRDefault="003D5CC4" w:rsidP="0051420B">
            <w:pPr>
              <w:rPr>
                <w:rFonts w:ascii="Calibri" w:hAnsi="Calibri"/>
                <w:noProof/>
              </w:rPr>
            </w:pPr>
          </w:p>
        </w:tc>
        <w:tc>
          <w:tcPr>
            <w:tcW w:w="1503" w:type="dxa"/>
          </w:tcPr>
          <w:p w14:paraId="15AA9143" w14:textId="77777777" w:rsidR="003D5CC4" w:rsidRPr="00AC5054" w:rsidRDefault="003D5CC4" w:rsidP="0051420B">
            <w:pPr>
              <w:rPr>
                <w:rFonts w:ascii="Calibri" w:hAnsi="Calibri"/>
                <w:noProof/>
              </w:rPr>
            </w:pPr>
          </w:p>
        </w:tc>
        <w:tc>
          <w:tcPr>
            <w:tcW w:w="1503" w:type="dxa"/>
          </w:tcPr>
          <w:p w14:paraId="4B93620C" w14:textId="77777777" w:rsidR="003D5CC4" w:rsidRPr="00AC5054" w:rsidRDefault="003D5CC4" w:rsidP="0051420B">
            <w:pPr>
              <w:rPr>
                <w:rFonts w:ascii="Calibri" w:hAnsi="Calibri"/>
                <w:noProof/>
              </w:rPr>
            </w:pPr>
          </w:p>
        </w:tc>
      </w:tr>
      <w:tr w:rsidR="003D5CC4" w:rsidRPr="00AC5054" w14:paraId="155BAD6A" w14:textId="77777777" w:rsidTr="0051420B">
        <w:tc>
          <w:tcPr>
            <w:tcW w:w="1502" w:type="dxa"/>
          </w:tcPr>
          <w:p w14:paraId="633052C3" w14:textId="77777777" w:rsidR="003D5CC4" w:rsidRPr="00AC5054" w:rsidRDefault="003D5CC4" w:rsidP="0051420B">
            <w:pPr>
              <w:rPr>
                <w:rFonts w:ascii="Calibri" w:hAnsi="Calibri"/>
                <w:noProof/>
              </w:rPr>
            </w:pPr>
            <w:r w:rsidRPr="00AC5054">
              <w:rPr>
                <w:rFonts w:ascii="Calibri" w:hAnsi="Calibri"/>
                <w:noProof/>
              </w:rPr>
              <w:t xml:space="preserve">Work </w:t>
            </w:r>
          </w:p>
        </w:tc>
        <w:tc>
          <w:tcPr>
            <w:tcW w:w="1502" w:type="dxa"/>
          </w:tcPr>
          <w:p w14:paraId="4FE3F1F5" w14:textId="77777777" w:rsidR="003D5CC4" w:rsidRPr="00AC5054" w:rsidRDefault="003D5CC4" w:rsidP="0051420B">
            <w:pPr>
              <w:rPr>
                <w:rFonts w:ascii="Calibri" w:hAnsi="Calibri"/>
                <w:noProof/>
              </w:rPr>
            </w:pPr>
            <w:r w:rsidRPr="00AC5054">
              <w:rPr>
                <w:rFonts w:ascii="Calibri" w:hAnsi="Calibri"/>
                <w:noProof/>
              </w:rPr>
              <w:t>65</w:t>
            </w:r>
          </w:p>
        </w:tc>
        <w:tc>
          <w:tcPr>
            <w:tcW w:w="1503" w:type="dxa"/>
          </w:tcPr>
          <w:p w14:paraId="76C62C27" w14:textId="77777777" w:rsidR="003D5CC4" w:rsidRPr="00AC5054" w:rsidRDefault="003D5CC4" w:rsidP="0051420B">
            <w:pPr>
              <w:rPr>
                <w:rFonts w:ascii="Calibri" w:hAnsi="Calibri"/>
                <w:noProof/>
              </w:rPr>
            </w:pPr>
          </w:p>
        </w:tc>
        <w:tc>
          <w:tcPr>
            <w:tcW w:w="1503" w:type="dxa"/>
          </w:tcPr>
          <w:p w14:paraId="2B98C071" w14:textId="77777777" w:rsidR="003D5CC4" w:rsidRPr="00AC5054" w:rsidRDefault="003D5CC4" w:rsidP="0051420B">
            <w:pPr>
              <w:rPr>
                <w:rFonts w:ascii="Calibri" w:hAnsi="Calibri"/>
                <w:noProof/>
              </w:rPr>
            </w:pPr>
          </w:p>
        </w:tc>
        <w:tc>
          <w:tcPr>
            <w:tcW w:w="1503" w:type="dxa"/>
          </w:tcPr>
          <w:p w14:paraId="1E1B74A9" w14:textId="77777777" w:rsidR="003D5CC4" w:rsidRPr="00AC5054" w:rsidRDefault="003D5CC4" w:rsidP="0051420B">
            <w:pPr>
              <w:rPr>
                <w:rFonts w:ascii="Calibri" w:hAnsi="Calibri"/>
                <w:noProof/>
              </w:rPr>
            </w:pPr>
          </w:p>
        </w:tc>
        <w:tc>
          <w:tcPr>
            <w:tcW w:w="1503" w:type="dxa"/>
          </w:tcPr>
          <w:p w14:paraId="1E57476C" w14:textId="77777777" w:rsidR="003D5CC4" w:rsidRPr="00AC5054" w:rsidRDefault="003D5CC4" w:rsidP="0051420B">
            <w:pPr>
              <w:rPr>
                <w:rFonts w:ascii="Calibri" w:hAnsi="Calibri"/>
                <w:noProof/>
              </w:rPr>
            </w:pPr>
          </w:p>
        </w:tc>
      </w:tr>
      <w:tr w:rsidR="003D5CC4" w:rsidRPr="00AC5054" w14:paraId="40759AE2" w14:textId="77777777" w:rsidTr="0051420B">
        <w:tc>
          <w:tcPr>
            <w:tcW w:w="1502" w:type="dxa"/>
          </w:tcPr>
          <w:p w14:paraId="7918714E" w14:textId="77777777" w:rsidR="003D5CC4" w:rsidRPr="00AC5054" w:rsidRDefault="003D5CC4" w:rsidP="0051420B">
            <w:pPr>
              <w:rPr>
                <w:rFonts w:ascii="Calibri" w:hAnsi="Calibri"/>
                <w:noProof/>
              </w:rPr>
            </w:pPr>
            <w:r w:rsidRPr="00AC5054">
              <w:rPr>
                <w:rFonts w:ascii="Calibri" w:hAnsi="Calibri"/>
                <w:noProof/>
              </w:rPr>
              <w:t>Pandemic</w:t>
            </w:r>
          </w:p>
        </w:tc>
        <w:tc>
          <w:tcPr>
            <w:tcW w:w="1502" w:type="dxa"/>
          </w:tcPr>
          <w:p w14:paraId="39BFA736" w14:textId="77777777" w:rsidR="003D5CC4" w:rsidRPr="00AC5054" w:rsidRDefault="003D5CC4" w:rsidP="0051420B">
            <w:pPr>
              <w:rPr>
                <w:rFonts w:ascii="Calibri" w:hAnsi="Calibri"/>
                <w:noProof/>
              </w:rPr>
            </w:pPr>
            <w:r w:rsidRPr="00AC5054">
              <w:rPr>
                <w:rFonts w:ascii="Calibri" w:hAnsi="Calibri"/>
                <w:noProof/>
              </w:rPr>
              <w:t>62</w:t>
            </w:r>
          </w:p>
        </w:tc>
        <w:tc>
          <w:tcPr>
            <w:tcW w:w="1503" w:type="dxa"/>
          </w:tcPr>
          <w:p w14:paraId="087E8F6C" w14:textId="77777777" w:rsidR="003D5CC4" w:rsidRPr="00AC5054" w:rsidRDefault="003D5CC4" w:rsidP="0051420B">
            <w:pPr>
              <w:rPr>
                <w:rFonts w:ascii="Calibri" w:hAnsi="Calibri"/>
                <w:noProof/>
              </w:rPr>
            </w:pPr>
          </w:p>
        </w:tc>
        <w:tc>
          <w:tcPr>
            <w:tcW w:w="1503" w:type="dxa"/>
          </w:tcPr>
          <w:p w14:paraId="7A50DCAD" w14:textId="77777777" w:rsidR="003D5CC4" w:rsidRPr="00AC5054" w:rsidRDefault="003D5CC4" w:rsidP="0051420B">
            <w:pPr>
              <w:rPr>
                <w:rFonts w:ascii="Calibri" w:hAnsi="Calibri"/>
                <w:noProof/>
              </w:rPr>
            </w:pPr>
          </w:p>
        </w:tc>
        <w:tc>
          <w:tcPr>
            <w:tcW w:w="1503" w:type="dxa"/>
          </w:tcPr>
          <w:p w14:paraId="0B2ECCC4" w14:textId="77777777" w:rsidR="003D5CC4" w:rsidRPr="00AC5054" w:rsidRDefault="003D5CC4" w:rsidP="0051420B">
            <w:pPr>
              <w:rPr>
                <w:rFonts w:ascii="Calibri" w:hAnsi="Calibri"/>
                <w:noProof/>
              </w:rPr>
            </w:pPr>
          </w:p>
        </w:tc>
        <w:tc>
          <w:tcPr>
            <w:tcW w:w="1503" w:type="dxa"/>
          </w:tcPr>
          <w:p w14:paraId="1D722EAE" w14:textId="77777777" w:rsidR="003D5CC4" w:rsidRPr="00AC5054" w:rsidRDefault="003D5CC4" w:rsidP="0051420B">
            <w:pPr>
              <w:rPr>
                <w:rFonts w:ascii="Calibri" w:hAnsi="Calibri"/>
                <w:noProof/>
              </w:rPr>
            </w:pPr>
          </w:p>
        </w:tc>
      </w:tr>
      <w:tr w:rsidR="003D5CC4" w:rsidRPr="00AC5054" w14:paraId="16BAEFDB" w14:textId="77777777" w:rsidTr="0051420B">
        <w:tc>
          <w:tcPr>
            <w:tcW w:w="1502" w:type="dxa"/>
          </w:tcPr>
          <w:p w14:paraId="7AC3A97D" w14:textId="77777777" w:rsidR="003D5CC4" w:rsidRPr="00AC5054" w:rsidRDefault="003D5CC4" w:rsidP="0051420B">
            <w:pPr>
              <w:rPr>
                <w:rFonts w:ascii="Calibri" w:hAnsi="Calibri"/>
                <w:noProof/>
              </w:rPr>
            </w:pPr>
            <w:r w:rsidRPr="00AC5054">
              <w:rPr>
                <w:rFonts w:ascii="Calibri" w:hAnsi="Calibri"/>
                <w:noProof/>
              </w:rPr>
              <w:t>Management</w:t>
            </w:r>
          </w:p>
        </w:tc>
        <w:tc>
          <w:tcPr>
            <w:tcW w:w="1502" w:type="dxa"/>
          </w:tcPr>
          <w:p w14:paraId="3F4A1500" w14:textId="77777777" w:rsidR="003D5CC4" w:rsidRPr="00AC5054" w:rsidRDefault="003D5CC4" w:rsidP="0051420B">
            <w:pPr>
              <w:rPr>
                <w:rFonts w:ascii="Calibri" w:hAnsi="Calibri"/>
                <w:noProof/>
              </w:rPr>
            </w:pPr>
            <w:r w:rsidRPr="00AC5054">
              <w:rPr>
                <w:rFonts w:ascii="Calibri" w:hAnsi="Calibri"/>
                <w:noProof/>
              </w:rPr>
              <w:t>60</w:t>
            </w:r>
          </w:p>
        </w:tc>
        <w:tc>
          <w:tcPr>
            <w:tcW w:w="1503" w:type="dxa"/>
          </w:tcPr>
          <w:p w14:paraId="18146CC1" w14:textId="77777777" w:rsidR="003D5CC4" w:rsidRPr="00AC5054" w:rsidRDefault="003D5CC4" w:rsidP="0051420B">
            <w:pPr>
              <w:rPr>
                <w:rFonts w:ascii="Calibri" w:hAnsi="Calibri"/>
                <w:noProof/>
              </w:rPr>
            </w:pPr>
          </w:p>
        </w:tc>
        <w:tc>
          <w:tcPr>
            <w:tcW w:w="1503" w:type="dxa"/>
          </w:tcPr>
          <w:p w14:paraId="629CF417" w14:textId="77777777" w:rsidR="003D5CC4" w:rsidRPr="00AC5054" w:rsidRDefault="003D5CC4" w:rsidP="0051420B">
            <w:pPr>
              <w:rPr>
                <w:rFonts w:ascii="Calibri" w:hAnsi="Calibri"/>
                <w:noProof/>
              </w:rPr>
            </w:pPr>
          </w:p>
        </w:tc>
        <w:tc>
          <w:tcPr>
            <w:tcW w:w="1503" w:type="dxa"/>
          </w:tcPr>
          <w:p w14:paraId="3A4CF73D" w14:textId="77777777" w:rsidR="003D5CC4" w:rsidRPr="00AC5054" w:rsidRDefault="003D5CC4" w:rsidP="0051420B">
            <w:pPr>
              <w:rPr>
                <w:rFonts w:ascii="Calibri" w:hAnsi="Calibri"/>
                <w:noProof/>
              </w:rPr>
            </w:pPr>
          </w:p>
        </w:tc>
        <w:tc>
          <w:tcPr>
            <w:tcW w:w="1503" w:type="dxa"/>
          </w:tcPr>
          <w:p w14:paraId="35B5B3AE" w14:textId="77777777" w:rsidR="003D5CC4" w:rsidRPr="00AC5054" w:rsidRDefault="003D5CC4" w:rsidP="0051420B">
            <w:pPr>
              <w:rPr>
                <w:rFonts w:ascii="Calibri" w:hAnsi="Calibri"/>
                <w:noProof/>
              </w:rPr>
            </w:pPr>
          </w:p>
        </w:tc>
      </w:tr>
      <w:tr w:rsidR="003D5CC4" w:rsidRPr="00AC5054" w14:paraId="18A861C8" w14:textId="77777777" w:rsidTr="0051420B">
        <w:tc>
          <w:tcPr>
            <w:tcW w:w="1502" w:type="dxa"/>
          </w:tcPr>
          <w:p w14:paraId="1C906FA4" w14:textId="77777777" w:rsidR="003D5CC4" w:rsidRPr="00AC5054" w:rsidRDefault="003D5CC4" w:rsidP="0051420B">
            <w:pPr>
              <w:rPr>
                <w:rFonts w:ascii="Calibri" w:hAnsi="Calibri"/>
                <w:noProof/>
              </w:rPr>
            </w:pPr>
            <w:r w:rsidRPr="00AC5054">
              <w:rPr>
                <w:rFonts w:ascii="Calibri" w:hAnsi="Calibri"/>
                <w:noProof/>
              </w:rPr>
              <w:t>Mental</w:t>
            </w:r>
          </w:p>
        </w:tc>
        <w:tc>
          <w:tcPr>
            <w:tcW w:w="1502" w:type="dxa"/>
          </w:tcPr>
          <w:p w14:paraId="6C179A34" w14:textId="77777777" w:rsidR="003D5CC4" w:rsidRPr="00AC5054" w:rsidRDefault="003D5CC4" w:rsidP="0051420B">
            <w:pPr>
              <w:rPr>
                <w:rFonts w:ascii="Calibri" w:hAnsi="Calibri"/>
                <w:noProof/>
              </w:rPr>
            </w:pPr>
            <w:r w:rsidRPr="00AC5054">
              <w:rPr>
                <w:rFonts w:ascii="Calibri" w:hAnsi="Calibri"/>
                <w:noProof/>
              </w:rPr>
              <w:t>58</w:t>
            </w:r>
          </w:p>
        </w:tc>
        <w:tc>
          <w:tcPr>
            <w:tcW w:w="1503" w:type="dxa"/>
          </w:tcPr>
          <w:p w14:paraId="60839C7F" w14:textId="77777777" w:rsidR="003D5CC4" w:rsidRPr="00AC5054" w:rsidRDefault="003D5CC4" w:rsidP="0051420B">
            <w:pPr>
              <w:rPr>
                <w:rFonts w:ascii="Calibri" w:hAnsi="Calibri"/>
                <w:noProof/>
              </w:rPr>
            </w:pPr>
          </w:p>
        </w:tc>
        <w:tc>
          <w:tcPr>
            <w:tcW w:w="1503" w:type="dxa"/>
          </w:tcPr>
          <w:p w14:paraId="3417ABA6" w14:textId="77777777" w:rsidR="003D5CC4" w:rsidRPr="00AC5054" w:rsidRDefault="003D5CC4" w:rsidP="0051420B">
            <w:pPr>
              <w:rPr>
                <w:rFonts w:ascii="Calibri" w:hAnsi="Calibri"/>
                <w:noProof/>
              </w:rPr>
            </w:pPr>
          </w:p>
        </w:tc>
        <w:tc>
          <w:tcPr>
            <w:tcW w:w="1503" w:type="dxa"/>
          </w:tcPr>
          <w:p w14:paraId="0B20CE48" w14:textId="77777777" w:rsidR="003D5CC4" w:rsidRPr="00AC5054" w:rsidRDefault="003D5CC4" w:rsidP="0051420B">
            <w:pPr>
              <w:rPr>
                <w:rFonts w:ascii="Calibri" w:hAnsi="Calibri"/>
                <w:noProof/>
              </w:rPr>
            </w:pPr>
          </w:p>
        </w:tc>
        <w:tc>
          <w:tcPr>
            <w:tcW w:w="1503" w:type="dxa"/>
          </w:tcPr>
          <w:p w14:paraId="049664DF" w14:textId="77777777" w:rsidR="003D5CC4" w:rsidRPr="00AC5054" w:rsidRDefault="003D5CC4" w:rsidP="0051420B">
            <w:pPr>
              <w:rPr>
                <w:rFonts w:ascii="Calibri" w:hAnsi="Calibri"/>
                <w:noProof/>
              </w:rPr>
            </w:pPr>
          </w:p>
        </w:tc>
      </w:tr>
      <w:tr w:rsidR="003D5CC4" w:rsidRPr="00AC5054" w14:paraId="3BEE82CF" w14:textId="77777777" w:rsidTr="0051420B">
        <w:tc>
          <w:tcPr>
            <w:tcW w:w="1502" w:type="dxa"/>
          </w:tcPr>
          <w:p w14:paraId="0EBBF3ED" w14:textId="77777777" w:rsidR="003D5CC4" w:rsidRPr="00AC5054" w:rsidRDefault="003D5CC4" w:rsidP="0051420B">
            <w:pPr>
              <w:rPr>
                <w:rFonts w:ascii="Calibri" w:hAnsi="Calibri"/>
                <w:noProof/>
              </w:rPr>
            </w:pPr>
            <w:r w:rsidRPr="00AC5054">
              <w:rPr>
                <w:rFonts w:ascii="Calibri" w:hAnsi="Calibri"/>
                <w:noProof/>
              </w:rPr>
              <w:t>Stress</w:t>
            </w:r>
          </w:p>
        </w:tc>
        <w:tc>
          <w:tcPr>
            <w:tcW w:w="1502" w:type="dxa"/>
          </w:tcPr>
          <w:p w14:paraId="5B897C66" w14:textId="77777777" w:rsidR="003D5CC4" w:rsidRPr="00AC5054" w:rsidRDefault="003D5CC4" w:rsidP="0051420B">
            <w:pPr>
              <w:rPr>
                <w:rFonts w:ascii="Calibri" w:hAnsi="Calibri"/>
                <w:noProof/>
              </w:rPr>
            </w:pPr>
            <w:r w:rsidRPr="00AC5054">
              <w:rPr>
                <w:rFonts w:ascii="Calibri" w:hAnsi="Calibri"/>
                <w:noProof/>
              </w:rPr>
              <w:t>45</w:t>
            </w:r>
          </w:p>
        </w:tc>
        <w:tc>
          <w:tcPr>
            <w:tcW w:w="1503" w:type="dxa"/>
          </w:tcPr>
          <w:p w14:paraId="447642D3" w14:textId="77777777" w:rsidR="003D5CC4" w:rsidRPr="00AC5054" w:rsidRDefault="003D5CC4" w:rsidP="0051420B">
            <w:pPr>
              <w:rPr>
                <w:rFonts w:ascii="Calibri" w:hAnsi="Calibri"/>
                <w:noProof/>
              </w:rPr>
            </w:pPr>
          </w:p>
        </w:tc>
        <w:tc>
          <w:tcPr>
            <w:tcW w:w="1503" w:type="dxa"/>
          </w:tcPr>
          <w:p w14:paraId="07EE7677" w14:textId="77777777" w:rsidR="003D5CC4" w:rsidRPr="00AC5054" w:rsidRDefault="003D5CC4" w:rsidP="0051420B">
            <w:pPr>
              <w:rPr>
                <w:rFonts w:ascii="Calibri" w:hAnsi="Calibri"/>
                <w:noProof/>
              </w:rPr>
            </w:pPr>
          </w:p>
        </w:tc>
        <w:tc>
          <w:tcPr>
            <w:tcW w:w="1503" w:type="dxa"/>
          </w:tcPr>
          <w:p w14:paraId="62437697" w14:textId="77777777" w:rsidR="003D5CC4" w:rsidRPr="00AC5054" w:rsidRDefault="003D5CC4" w:rsidP="0051420B">
            <w:pPr>
              <w:rPr>
                <w:rFonts w:ascii="Calibri" w:hAnsi="Calibri"/>
                <w:noProof/>
              </w:rPr>
            </w:pPr>
          </w:p>
        </w:tc>
        <w:tc>
          <w:tcPr>
            <w:tcW w:w="1503" w:type="dxa"/>
          </w:tcPr>
          <w:p w14:paraId="51296402" w14:textId="77777777" w:rsidR="003D5CC4" w:rsidRPr="00AC5054" w:rsidRDefault="003D5CC4" w:rsidP="0051420B">
            <w:pPr>
              <w:rPr>
                <w:rFonts w:ascii="Calibri" w:hAnsi="Calibri"/>
                <w:noProof/>
              </w:rPr>
            </w:pPr>
          </w:p>
        </w:tc>
      </w:tr>
      <w:tr w:rsidR="003D5CC4" w:rsidRPr="00AC5054" w14:paraId="1E8F47D8" w14:textId="77777777" w:rsidTr="0051420B">
        <w:tc>
          <w:tcPr>
            <w:tcW w:w="1502" w:type="dxa"/>
          </w:tcPr>
          <w:p w14:paraId="481D101F" w14:textId="77777777" w:rsidR="003D5CC4" w:rsidRPr="00AC5054" w:rsidRDefault="003D5CC4" w:rsidP="0051420B">
            <w:pPr>
              <w:rPr>
                <w:rFonts w:ascii="Calibri" w:hAnsi="Calibri"/>
                <w:noProof/>
              </w:rPr>
            </w:pPr>
            <w:r w:rsidRPr="00AC5054">
              <w:rPr>
                <w:rFonts w:ascii="Calibri" w:hAnsi="Calibri"/>
                <w:noProof/>
              </w:rPr>
              <w:t>Workers</w:t>
            </w:r>
          </w:p>
        </w:tc>
        <w:tc>
          <w:tcPr>
            <w:tcW w:w="1502" w:type="dxa"/>
          </w:tcPr>
          <w:p w14:paraId="1E0055B2" w14:textId="77777777" w:rsidR="003D5CC4" w:rsidRPr="00AC5054" w:rsidRDefault="003D5CC4" w:rsidP="0051420B">
            <w:pPr>
              <w:rPr>
                <w:rFonts w:ascii="Calibri" w:hAnsi="Calibri"/>
                <w:noProof/>
              </w:rPr>
            </w:pPr>
            <w:r w:rsidRPr="00AC5054">
              <w:rPr>
                <w:rFonts w:ascii="Calibri" w:hAnsi="Calibri"/>
                <w:noProof/>
              </w:rPr>
              <w:t>45</w:t>
            </w:r>
          </w:p>
        </w:tc>
        <w:tc>
          <w:tcPr>
            <w:tcW w:w="1503" w:type="dxa"/>
          </w:tcPr>
          <w:p w14:paraId="0DE45EBD" w14:textId="77777777" w:rsidR="003D5CC4" w:rsidRPr="00AC5054" w:rsidRDefault="003D5CC4" w:rsidP="0051420B">
            <w:pPr>
              <w:rPr>
                <w:rFonts w:ascii="Calibri" w:hAnsi="Calibri"/>
                <w:noProof/>
              </w:rPr>
            </w:pPr>
          </w:p>
        </w:tc>
        <w:tc>
          <w:tcPr>
            <w:tcW w:w="1503" w:type="dxa"/>
          </w:tcPr>
          <w:p w14:paraId="0D1340AB" w14:textId="77777777" w:rsidR="003D5CC4" w:rsidRPr="00AC5054" w:rsidRDefault="003D5CC4" w:rsidP="0051420B">
            <w:pPr>
              <w:rPr>
                <w:rFonts w:ascii="Calibri" w:hAnsi="Calibri"/>
                <w:noProof/>
              </w:rPr>
            </w:pPr>
          </w:p>
        </w:tc>
        <w:tc>
          <w:tcPr>
            <w:tcW w:w="1503" w:type="dxa"/>
          </w:tcPr>
          <w:p w14:paraId="36A4A8F4" w14:textId="77777777" w:rsidR="003D5CC4" w:rsidRPr="00AC5054" w:rsidRDefault="003D5CC4" w:rsidP="0051420B">
            <w:pPr>
              <w:rPr>
                <w:rFonts w:ascii="Calibri" w:hAnsi="Calibri"/>
                <w:noProof/>
              </w:rPr>
            </w:pPr>
          </w:p>
        </w:tc>
        <w:tc>
          <w:tcPr>
            <w:tcW w:w="1503" w:type="dxa"/>
          </w:tcPr>
          <w:p w14:paraId="65F26165" w14:textId="77777777" w:rsidR="003D5CC4" w:rsidRPr="00AC5054" w:rsidRDefault="003D5CC4" w:rsidP="0051420B">
            <w:pPr>
              <w:rPr>
                <w:rFonts w:ascii="Calibri" w:hAnsi="Calibri"/>
                <w:noProof/>
              </w:rPr>
            </w:pPr>
          </w:p>
        </w:tc>
      </w:tr>
      <w:tr w:rsidR="003D5CC4" w:rsidRPr="00AC5054" w14:paraId="1E6F3228" w14:textId="77777777" w:rsidTr="0051420B">
        <w:tc>
          <w:tcPr>
            <w:tcW w:w="1502" w:type="dxa"/>
          </w:tcPr>
          <w:p w14:paraId="79C3EF60" w14:textId="77777777" w:rsidR="003D5CC4" w:rsidRPr="00AC5054" w:rsidRDefault="003D5CC4" w:rsidP="0051420B">
            <w:pPr>
              <w:rPr>
                <w:rFonts w:ascii="Calibri" w:hAnsi="Calibri"/>
                <w:noProof/>
              </w:rPr>
            </w:pPr>
            <w:r w:rsidRPr="00AC5054">
              <w:rPr>
                <w:rFonts w:ascii="Calibri" w:hAnsi="Calibri"/>
                <w:noProof/>
              </w:rPr>
              <w:t>Business</w:t>
            </w:r>
          </w:p>
        </w:tc>
        <w:tc>
          <w:tcPr>
            <w:tcW w:w="1502" w:type="dxa"/>
          </w:tcPr>
          <w:p w14:paraId="6CC321C5" w14:textId="77777777" w:rsidR="003D5CC4" w:rsidRPr="00AC5054" w:rsidRDefault="003D5CC4" w:rsidP="0051420B">
            <w:pPr>
              <w:rPr>
                <w:rFonts w:ascii="Calibri" w:hAnsi="Calibri"/>
                <w:noProof/>
              </w:rPr>
            </w:pPr>
            <w:r w:rsidRPr="00AC5054">
              <w:rPr>
                <w:rFonts w:ascii="Calibri" w:hAnsi="Calibri"/>
                <w:noProof/>
              </w:rPr>
              <w:t>43</w:t>
            </w:r>
          </w:p>
        </w:tc>
        <w:tc>
          <w:tcPr>
            <w:tcW w:w="1503" w:type="dxa"/>
          </w:tcPr>
          <w:p w14:paraId="14F371FD" w14:textId="77777777" w:rsidR="003D5CC4" w:rsidRPr="00AC5054" w:rsidRDefault="003D5CC4" w:rsidP="0051420B">
            <w:pPr>
              <w:rPr>
                <w:rFonts w:ascii="Calibri" w:hAnsi="Calibri"/>
                <w:noProof/>
              </w:rPr>
            </w:pPr>
          </w:p>
        </w:tc>
        <w:tc>
          <w:tcPr>
            <w:tcW w:w="1503" w:type="dxa"/>
          </w:tcPr>
          <w:p w14:paraId="5A68AE48" w14:textId="77777777" w:rsidR="003D5CC4" w:rsidRPr="00AC5054" w:rsidRDefault="003D5CC4" w:rsidP="0051420B">
            <w:pPr>
              <w:rPr>
                <w:rFonts w:ascii="Calibri" w:hAnsi="Calibri"/>
                <w:noProof/>
              </w:rPr>
            </w:pPr>
          </w:p>
        </w:tc>
        <w:tc>
          <w:tcPr>
            <w:tcW w:w="1503" w:type="dxa"/>
          </w:tcPr>
          <w:p w14:paraId="7CF2E2E9" w14:textId="77777777" w:rsidR="003D5CC4" w:rsidRPr="00AC5054" w:rsidRDefault="003D5CC4" w:rsidP="0051420B">
            <w:pPr>
              <w:rPr>
                <w:rFonts w:ascii="Calibri" w:hAnsi="Calibri"/>
                <w:noProof/>
              </w:rPr>
            </w:pPr>
          </w:p>
        </w:tc>
        <w:tc>
          <w:tcPr>
            <w:tcW w:w="1503" w:type="dxa"/>
          </w:tcPr>
          <w:p w14:paraId="0CF7EDEC" w14:textId="77777777" w:rsidR="003D5CC4" w:rsidRPr="00AC5054" w:rsidRDefault="003D5CC4" w:rsidP="0051420B">
            <w:pPr>
              <w:rPr>
                <w:rFonts w:ascii="Calibri" w:hAnsi="Calibri"/>
                <w:noProof/>
              </w:rPr>
            </w:pPr>
          </w:p>
        </w:tc>
      </w:tr>
      <w:tr w:rsidR="003D5CC4" w:rsidRPr="003A40BC" w14:paraId="3B03E41E" w14:textId="77777777" w:rsidTr="0051420B">
        <w:tc>
          <w:tcPr>
            <w:tcW w:w="1502" w:type="dxa"/>
          </w:tcPr>
          <w:p w14:paraId="2AE3DD95" w14:textId="77777777" w:rsidR="003D5CC4" w:rsidRPr="00AC5054" w:rsidRDefault="003D5CC4" w:rsidP="0051420B">
            <w:pPr>
              <w:rPr>
                <w:rFonts w:ascii="Calibri" w:hAnsi="Calibri"/>
                <w:noProof/>
              </w:rPr>
            </w:pPr>
            <w:r w:rsidRPr="00AC5054">
              <w:rPr>
                <w:rFonts w:ascii="Calibri" w:hAnsi="Calibri"/>
                <w:noProof/>
              </w:rPr>
              <w:t xml:space="preserve">Professional  </w:t>
            </w:r>
          </w:p>
        </w:tc>
        <w:tc>
          <w:tcPr>
            <w:tcW w:w="1502" w:type="dxa"/>
          </w:tcPr>
          <w:p w14:paraId="02B867B0" w14:textId="77777777" w:rsidR="003D5CC4" w:rsidRPr="003A40BC" w:rsidRDefault="003D5CC4" w:rsidP="0051420B">
            <w:pPr>
              <w:rPr>
                <w:rFonts w:ascii="Calibri" w:hAnsi="Calibri"/>
                <w:noProof/>
              </w:rPr>
            </w:pPr>
            <w:r w:rsidRPr="00AC5054">
              <w:rPr>
                <w:rFonts w:ascii="Calibri" w:hAnsi="Calibri"/>
                <w:noProof/>
              </w:rPr>
              <w:t>40</w:t>
            </w:r>
          </w:p>
        </w:tc>
        <w:tc>
          <w:tcPr>
            <w:tcW w:w="1503" w:type="dxa"/>
          </w:tcPr>
          <w:p w14:paraId="776E7425" w14:textId="77777777" w:rsidR="003D5CC4" w:rsidRPr="003A40BC" w:rsidRDefault="003D5CC4" w:rsidP="0051420B">
            <w:pPr>
              <w:rPr>
                <w:rFonts w:ascii="Calibri" w:hAnsi="Calibri"/>
                <w:noProof/>
              </w:rPr>
            </w:pPr>
          </w:p>
        </w:tc>
        <w:tc>
          <w:tcPr>
            <w:tcW w:w="1503" w:type="dxa"/>
          </w:tcPr>
          <w:p w14:paraId="636AABE6" w14:textId="77777777" w:rsidR="003D5CC4" w:rsidRPr="003A40BC" w:rsidRDefault="003D5CC4" w:rsidP="0051420B">
            <w:pPr>
              <w:rPr>
                <w:rFonts w:ascii="Calibri" w:hAnsi="Calibri"/>
                <w:noProof/>
              </w:rPr>
            </w:pPr>
          </w:p>
        </w:tc>
        <w:tc>
          <w:tcPr>
            <w:tcW w:w="1503" w:type="dxa"/>
          </w:tcPr>
          <w:p w14:paraId="0E517C16" w14:textId="77777777" w:rsidR="003D5CC4" w:rsidRPr="003A40BC" w:rsidRDefault="003D5CC4" w:rsidP="0051420B">
            <w:pPr>
              <w:rPr>
                <w:rFonts w:ascii="Calibri" w:hAnsi="Calibri"/>
                <w:noProof/>
              </w:rPr>
            </w:pPr>
          </w:p>
        </w:tc>
        <w:tc>
          <w:tcPr>
            <w:tcW w:w="1503" w:type="dxa"/>
          </w:tcPr>
          <w:p w14:paraId="67121030" w14:textId="77777777" w:rsidR="003D5CC4" w:rsidRPr="003A40BC" w:rsidRDefault="003D5CC4" w:rsidP="0051420B">
            <w:pPr>
              <w:rPr>
                <w:rFonts w:ascii="Calibri" w:hAnsi="Calibri"/>
                <w:noProof/>
              </w:rPr>
            </w:pPr>
          </w:p>
        </w:tc>
      </w:tr>
    </w:tbl>
    <w:p w14:paraId="1F533535" w14:textId="77777777" w:rsidR="003D5CC4" w:rsidRDefault="003D5CC4" w:rsidP="003D5CC4">
      <w:pPr>
        <w:rPr>
          <w:color w:val="000000" w:themeColor="text1"/>
          <w:sz w:val="20"/>
          <w:szCs w:val="20"/>
        </w:rPr>
      </w:pPr>
    </w:p>
    <w:p w14:paraId="562CF1B8" w14:textId="77777777" w:rsidR="003D5CC4" w:rsidRPr="00CA6615" w:rsidRDefault="003D5CC4" w:rsidP="003D5CC4">
      <w:pPr>
        <w:spacing w:line="360" w:lineRule="auto"/>
        <w:rPr>
          <w:color w:val="FF0000"/>
        </w:rPr>
      </w:pPr>
    </w:p>
    <w:p w14:paraId="438CFB27" w14:textId="265F0DB1" w:rsidR="003D5CC4" w:rsidRDefault="003D5CC4" w:rsidP="00BD0CE8">
      <w:pPr>
        <w:rPr>
          <w:color w:val="000000" w:themeColor="text1"/>
          <w:sz w:val="20"/>
          <w:szCs w:val="20"/>
          <w:lang w:val="fr-CH"/>
        </w:rPr>
      </w:pPr>
    </w:p>
    <w:p w14:paraId="279CF361" w14:textId="4B318CEE" w:rsidR="00B94B51" w:rsidRDefault="00B94B51" w:rsidP="00BD0CE8">
      <w:pPr>
        <w:rPr>
          <w:color w:val="000000" w:themeColor="text1"/>
          <w:sz w:val="20"/>
          <w:szCs w:val="20"/>
          <w:lang w:val="fr-CH"/>
        </w:rPr>
      </w:pPr>
    </w:p>
    <w:p w14:paraId="46F8653F" w14:textId="4250F31C" w:rsidR="00B94B51" w:rsidRDefault="00B94B51" w:rsidP="00BD0CE8">
      <w:pPr>
        <w:rPr>
          <w:color w:val="000000" w:themeColor="text1"/>
          <w:sz w:val="20"/>
          <w:szCs w:val="20"/>
          <w:lang w:val="fr-CH"/>
        </w:rPr>
      </w:pPr>
    </w:p>
    <w:p w14:paraId="368B4F1E" w14:textId="1966F27D" w:rsidR="00B94B51" w:rsidRDefault="00B94B51" w:rsidP="00BD0CE8">
      <w:pPr>
        <w:rPr>
          <w:color w:val="000000" w:themeColor="text1"/>
          <w:sz w:val="20"/>
          <w:szCs w:val="20"/>
          <w:lang w:val="fr-CH"/>
        </w:rPr>
      </w:pPr>
    </w:p>
    <w:p w14:paraId="1D716EEB" w14:textId="23B8E81E" w:rsidR="00B94B51" w:rsidRDefault="00B94B51" w:rsidP="00BD0CE8">
      <w:pPr>
        <w:rPr>
          <w:color w:val="000000" w:themeColor="text1"/>
          <w:sz w:val="20"/>
          <w:szCs w:val="20"/>
          <w:lang w:val="fr-CH"/>
        </w:rPr>
      </w:pPr>
    </w:p>
    <w:p w14:paraId="07AD89F7" w14:textId="27926BA6" w:rsidR="00B94B51" w:rsidRDefault="00B94B51" w:rsidP="00BD0CE8">
      <w:pPr>
        <w:rPr>
          <w:color w:val="000000" w:themeColor="text1"/>
          <w:sz w:val="20"/>
          <w:szCs w:val="20"/>
          <w:lang w:val="fr-CH"/>
        </w:rPr>
      </w:pPr>
    </w:p>
    <w:p w14:paraId="37388B82" w14:textId="0F4CC9A7" w:rsidR="00B94B51" w:rsidRDefault="00B94B51" w:rsidP="00BD0CE8">
      <w:pPr>
        <w:rPr>
          <w:color w:val="000000" w:themeColor="text1"/>
          <w:sz w:val="20"/>
          <w:szCs w:val="20"/>
          <w:lang w:val="fr-CH"/>
        </w:rPr>
      </w:pPr>
    </w:p>
    <w:p w14:paraId="0FE0D3D4" w14:textId="3F2B1C6B" w:rsidR="00B94B51" w:rsidRDefault="00B94B51" w:rsidP="00BD0CE8">
      <w:pPr>
        <w:rPr>
          <w:color w:val="000000" w:themeColor="text1"/>
          <w:sz w:val="20"/>
          <w:szCs w:val="20"/>
          <w:lang w:val="fr-CH"/>
        </w:rPr>
      </w:pPr>
    </w:p>
    <w:p w14:paraId="73EE1BBF" w14:textId="10AB574A" w:rsidR="00B94B51" w:rsidRDefault="00B94B51" w:rsidP="00BD0CE8">
      <w:pPr>
        <w:rPr>
          <w:color w:val="000000" w:themeColor="text1"/>
          <w:sz w:val="20"/>
          <w:szCs w:val="20"/>
          <w:lang w:val="fr-CH"/>
        </w:rPr>
      </w:pPr>
    </w:p>
    <w:p w14:paraId="184070C0" w14:textId="7B32386F" w:rsidR="00B94B51" w:rsidRDefault="00B94B51" w:rsidP="00BD0CE8">
      <w:pPr>
        <w:rPr>
          <w:color w:val="000000" w:themeColor="text1"/>
          <w:sz w:val="20"/>
          <w:szCs w:val="20"/>
          <w:lang w:val="fr-CH"/>
        </w:rPr>
      </w:pPr>
    </w:p>
    <w:p w14:paraId="50ABED7D" w14:textId="6EC2B54A" w:rsidR="00B94B51" w:rsidRDefault="00B94B51" w:rsidP="00BD0CE8">
      <w:pPr>
        <w:rPr>
          <w:color w:val="000000" w:themeColor="text1"/>
          <w:sz w:val="20"/>
          <w:szCs w:val="20"/>
          <w:lang w:val="fr-CH"/>
        </w:rPr>
      </w:pPr>
    </w:p>
    <w:p w14:paraId="3EB1D2C4" w14:textId="46EF7ED9" w:rsidR="00B94B51" w:rsidRDefault="00B94B51" w:rsidP="00BD0CE8">
      <w:pPr>
        <w:rPr>
          <w:color w:val="000000" w:themeColor="text1"/>
          <w:sz w:val="20"/>
          <w:szCs w:val="20"/>
          <w:lang w:val="fr-CH"/>
        </w:rPr>
      </w:pPr>
    </w:p>
    <w:p w14:paraId="6CE215E8" w14:textId="386F65A2" w:rsidR="00B94B51" w:rsidRDefault="00B94B51" w:rsidP="00BD0CE8">
      <w:pPr>
        <w:rPr>
          <w:color w:val="000000" w:themeColor="text1"/>
          <w:sz w:val="20"/>
          <w:szCs w:val="20"/>
          <w:lang w:val="fr-CH"/>
        </w:rPr>
      </w:pPr>
    </w:p>
    <w:p w14:paraId="249AD789" w14:textId="634B7AE2" w:rsidR="00B94B51" w:rsidRDefault="00B94B51" w:rsidP="00BD0CE8">
      <w:pPr>
        <w:rPr>
          <w:color w:val="000000" w:themeColor="text1"/>
          <w:sz w:val="20"/>
          <w:szCs w:val="20"/>
          <w:lang w:val="fr-CH"/>
        </w:rPr>
      </w:pPr>
    </w:p>
    <w:p w14:paraId="61B62151" w14:textId="23290BE0" w:rsidR="00B94B51" w:rsidRDefault="00B94B51" w:rsidP="00BD0CE8">
      <w:pPr>
        <w:rPr>
          <w:color w:val="000000" w:themeColor="text1"/>
          <w:sz w:val="20"/>
          <w:szCs w:val="20"/>
          <w:lang w:val="fr-CH"/>
        </w:rPr>
      </w:pPr>
    </w:p>
    <w:p w14:paraId="78B955FB" w14:textId="79247491" w:rsidR="00B94B51" w:rsidRDefault="00B94B51" w:rsidP="00BD0CE8">
      <w:pPr>
        <w:rPr>
          <w:color w:val="000000" w:themeColor="text1"/>
          <w:sz w:val="20"/>
          <w:szCs w:val="20"/>
          <w:lang w:val="fr-CH"/>
        </w:rPr>
      </w:pPr>
    </w:p>
    <w:p w14:paraId="0698DE95" w14:textId="319FB001" w:rsidR="00B94B51" w:rsidRDefault="00B94B51" w:rsidP="00BD0CE8">
      <w:pPr>
        <w:rPr>
          <w:color w:val="000000" w:themeColor="text1"/>
          <w:sz w:val="20"/>
          <w:szCs w:val="20"/>
          <w:lang w:val="fr-CH"/>
        </w:rPr>
      </w:pPr>
    </w:p>
    <w:p w14:paraId="562FE0D7" w14:textId="05D18714" w:rsidR="00B94B51" w:rsidRDefault="00B94B51" w:rsidP="00BD0CE8">
      <w:pPr>
        <w:rPr>
          <w:color w:val="000000" w:themeColor="text1"/>
          <w:sz w:val="20"/>
          <w:szCs w:val="20"/>
          <w:lang w:val="fr-CH"/>
        </w:rPr>
      </w:pPr>
    </w:p>
    <w:p w14:paraId="5237BE1D" w14:textId="3F85530D" w:rsidR="00B94B51" w:rsidRDefault="00B94B51" w:rsidP="00BD0CE8">
      <w:pPr>
        <w:rPr>
          <w:color w:val="000000" w:themeColor="text1"/>
          <w:sz w:val="20"/>
          <w:szCs w:val="20"/>
          <w:lang w:val="fr-CH"/>
        </w:rPr>
      </w:pPr>
    </w:p>
    <w:p w14:paraId="78CFDE81" w14:textId="5997F153" w:rsidR="00B94B51" w:rsidRDefault="00B94B51" w:rsidP="00BD0CE8">
      <w:pPr>
        <w:rPr>
          <w:color w:val="000000" w:themeColor="text1"/>
          <w:sz w:val="20"/>
          <w:szCs w:val="20"/>
          <w:lang w:val="fr-CH"/>
        </w:rPr>
      </w:pPr>
    </w:p>
    <w:p w14:paraId="3511DDBC" w14:textId="0974544F" w:rsidR="00B94B51" w:rsidRDefault="00B94B51" w:rsidP="00BD0CE8">
      <w:pPr>
        <w:rPr>
          <w:color w:val="000000" w:themeColor="text1"/>
          <w:sz w:val="20"/>
          <w:szCs w:val="20"/>
          <w:lang w:val="fr-CH"/>
        </w:rPr>
      </w:pPr>
    </w:p>
    <w:p w14:paraId="4ED31A76" w14:textId="13AB10D0" w:rsidR="00B94B51" w:rsidRDefault="00B94B51" w:rsidP="00BD0CE8">
      <w:pPr>
        <w:rPr>
          <w:color w:val="000000" w:themeColor="text1"/>
          <w:sz w:val="20"/>
          <w:szCs w:val="20"/>
          <w:lang w:val="fr-CH"/>
        </w:rPr>
      </w:pPr>
    </w:p>
    <w:p w14:paraId="24B0BD47" w14:textId="2B5A0BBC" w:rsidR="00B94B51" w:rsidRDefault="00B94B51" w:rsidP="00BD0CE8">
      <w:pPr>
        <w:rPr>
          <w:color w:val="000000" w:themeColor="text1"/>
          <w:sz w:val="20"/>
          <w:szCs w:val="20"/>
          <w:lang w:val="fr-CH"/>
        </w:rPr>
      </w:pPr>
    </w:p>
    <w:p w14:paraId="3880F4F4" w14:textId="4641FD52" w:rsidR="00B94B51" w:rsidRDefault="00B94B51" w:rsidP="00BD0CE8">
      <w:pPr>
        <w:rPr>
          <w:color w:val="000000" w:themeColor="text1"/>
          <w:sz w:val="20"/>
          <w:szCs w:val="20"/>
          <w:lang w:val="fr-CH"/>
        </w:rPr>
      </w:pPr>
    </w:p>
    <w:p w14:paraId="6CA013F8" w14:textId="542B017C" w:rsidR="00B94B51" w:rsidRDefault="00B94B51" w:rsidP="00BD0CE8">
      <w:pPr>
        <w:rPr>
          <w:color w:val="000000" w:themeColor="text1"/>
          <w:sz w:val="20"/>
          <w:szCs w:val="20"/>
          <w:lang w:val="fr-CH"/>
        </w:rPr>
      </w:pPr>
    </w:p>
    <w:p w14:paraId="10E4DD92" w14:textId="3714F69E" w:rsidR="00B94B51" w:rsidRDefault="00B94B51" w:rsidP="00BD0CE8">
      <w:pPr>
        <w:rPr>
          <w:color w:val="000000" w:themeColor="text1"/>
          <w:sz w:val="20"/>
          <w:szCs w:val="20"/>
          <w:lang w:val="fr-CH"/>
        </w:rPr>
      </w:pPr>
    </w:p>
    <w:p w14:paraId="3A45D74D" w14:textId="24617EE3" w:rsidR="00B94B51" w:rsidRDefault="00B94B51" w:rsidP="00BD0CE8">
      <w:pPr>
        <w:rPr>
          <w:color w:val="000000" w:themeColor="text1"/>
          <w:sz w:val="20"/>
          <w:szCs w:val="20"/>
          <w:lang w:val="fr-CH"/>
        </w:rPr>
      </w:pPr>
    </w:p>
    <w:p w14:paraId="4B4DA31B" w14:textId="7C771813" w:rsidR="00B94B51" w:rsidRDefault="00B94B51" w:rsidP="00BD0CE8">
      <w:pPr>
        <w:rPr>
          <w:color w:val="000000" w:themeColor="text1"/>
          <w:sz w:val="20"/>
          <w:szCs w:val="20"/>
          <w:lang w:val="fr-CH"/>
        </w:rPr>
      </w:pPr>
    </w:p>
    <w:p w14:paraId="7FE385DD" w14:textId="56935DF4" w:rsidR="00B94B51" w:rsidRDefault="00B94B51" w:rsidP="00BD0CE8">
      <w:pPr>
        <w:rPr>
          <w:color w:val="000000" w:themeColor="text1"/>
          <w:sz w:val="20"/>
          <w:szCs w:val="20"/>
          <w:lang w:val="fr-CH"/>
        </w:rPr>
      </w:pPr>
    </w:p>
    <w:p w14:paraId="6E883E6B" w14:textId="77777777" w:rsidR="00B94B51" w:rsidRDefault="00B94B51" w:rsidP="00BD0CE8">
      <w:pPr>
        <w:rPr>
          <w:color w:val="000000" w:themeColor="text1"/>
          <w:sz w:val="20"/>
          <w:szCs w:val="20"/>
          <w:lang w:val="fr-CH"/>
        </w:rPr>
      </w:pPr>
    </w:p>
    <w:p w14:paraId="192D4A75" w14:textId="77777777" w:rsidR="003D5CC4" w:rsidRDefault="003D5CC4" w:rsidP="00BD0CE8">
      <w:pPr>
        <w:rPr>
          <w:color w:val="000000" w:themeColor="text1"/>
          <w:sz w:val="20"/>
          <w:szCs w:val="20"/>
          <w:lang w:val="fr-CH"/>
        </w:rPr>
      </w:pPr>
    </w:p>
    <w:p w14:paraId="1A25300E" w14:textId="128BD313" w:rsidR="00BD0CE8" w:rsidRPr="00AC5054" w:rsidRDefault="003D5CC4" w:rsidP="00BD0CE8">
      <w:pPr>
        <w:rPr>
          <w:color w:val="000000" w:themeColor="text1"/>
          <w:sz w:val="20"/>
          <w:szCs w:val="20"/>
        </w:rPr>
      </w:pPr>
      <w:r>
        <w:rPr>
          <w:color w:val="000000" w:themeColor="text1"/>
          <w:sz w:val="20"/>
          <w:szCs w:val="20"/>
          <w:lang w:val="fr-CH"/>
        </w:rPr>
        <w:lastRenderedPageBreak/>
        <w:t>Table S4</w:t>
      </w:r>
      <w:r w:rsidR="00BD0CE8" w:rsidRPr="00AC5054">
        <w:rPr>
          <w:color w:val="000000" w:themeColor="text1"/>
          <w:sz w:val="20"/>
          <w:szCs w:val="20"/>
        </w:rPr>
        <w:t xml:space="preserve"> </w:t>
      </w:r>
    </w:p>
    <w:p w14:paraId="1FB1554A" w14:textId="77777777" w:rsidR="00BD0CE8" w:rsidRPr="00AC5054" w:rsidRDefault="00BD0CE8" w:rsidP="00BD0CE8">
      <w:pPr>
        <w:rPr>
          <w:color w:val="000000" w:themeColor="text1"/>
          <w:sz w:val="20"/>
          <w:szCs w:val="20"/>
        </w:rPr>
      </w:pPr>
    </w:p>
    <w:p w14:paraId="7121C74E" w14:textId="77777777" w:rsidR="00BD0CE8" w:rsidRPr="00AC5054" w:rsidRDefault="00BD0CE8" w:rsidP="00BD0CE8">
      <w:pPr>
        <w:rPr>
          <w:color w:val="000000" w:themeColor="text1"/>
          <w:sz w:val="20"/>
          <w:szCs w:val="20"/>
        </w:rPr>
      </w:pPr>
      <w:r w:rsidRPr="00AC5054">
        <w:rPr>
          <w:color w:val="000000" w:themeColor="text1"/>
          <w:sz w:val="20"/>
          <w:szCs w:val="20"/>
        </w:rPr>
        <w:t>Case study 1 Givaudan International SA</w:t>
      </w:r>
    </w:p>
    <w:p w14:paraId="37E7E9DB" w14:textId="77777777" w:rsidR="00BD0CE8" w:rsidRPr="00AC5054" w:rsidRDefault="00BD0CE8" w:rsidP="00BD0CE8">
      <w:pPr>
        <w:rPr>
          <w:color w:val="000000" w:themeColor="text1"/>
          <w:sz w:val="20"/>
          <w:szCs w:val="20"/>
        </w:rPr>
      </w:pPr>
    </w:p>
    <w:p w14:paraId="57034D66" w14:textId="77777777" w:rsidR="00BD0CE8" w:rsidRPr="00AC5054" w:rsidRDefault="00BD0CE8" w:rsidP="00BD0CE8">
      <w:pPr>
        <w:rPr>
          <w:color w:val="000000" w:themeColor="text1"/>
          <w:sz w:val="20"/>
          <w:szCs w:val="20"/>
        </w:rPr>
      </w:pPr>
      <w:r w:rsidRPr="00AC5054">
        <w:rPr>
          <w:color w:val="000000" w:themeColor="text1"/>
          <w:sz w:val="20"/>
          <w:szCs w:val="20"/>
        </w:rPr>
        <w:t xml:space="preserve">Givaudan International SA is a Swiss-based multinational company that manufactures fragrance and flavour compounds, operating in all regions of the world. It has over 181 locations worldwide, with over 77 production sites. There are 15,852 employees working, locally, regionally and globally </w:t>
      </w:r>
      <w:r w:rsidRPr="00AC5054">
        <w:rPr>
          <w:color w:val="000000" w:themeColor="text1"/>
          <w:sz w:val="20"/>
          <w:szCs w:val="20"/>
          <w:lang w:val="en-US"/>
        </w:rPr>
        <w:t>(Givaudan SA, 2021)</w:t>
      </w:r>
      <w:r w:rsidRPr="00AC5054">
        <w:rPr>
          <w:color w:val="000000" w:themeColor="text1"/>
          <w:sz w:val="20"/>
          <w:szCs w:val="20"/>
        </w:rPr>
        <w:t>.</w:t>
      </w:r>
    </w:p>
    <w:p w14:paraId="34BD2FE7" w14:textId="77777777" w:rsidR="00BD0CE8" w:rsidRPr="00AC5054" w:rsidRDefault="00BD0CE8" w:rsidP="00BD0CE8">
      <w:pPr>
        <w:rPr>
          <w:color w:val="000000" w:themeColor="text1"/>
          <w:sz w:val="20"/>
          <w:szCs w:val="20"/>
        </w:rPr>
      </w:pPr>
      <w:r w:rsidRPr="00AC5054">
        <w:rPr>
          <w:color w:val="000000" w:themeColor="text1"/>
          <w:sz w:val="20"/>
          <w:szCs w:val="20"/>
        </w:rPr>
        <w:t>The company has two divisions, Flavours and Fragrances.</w:t>
      </w:r>
    </w:p>
    <w:p w14:paraId="58E36F55" w14:textId="77777777" w:rsidR="00BD0CE8" w:rsidRPr="00AC5054" w:rsidRDefault="00BD0CE8" w:rsidP="00BD0CE8">
      <w:pPr>
        <w:rPr>
          <w:color w:val="000000" w:themeColor="text1"/>
          <w:sz w:val="20"/>
          <w:szCs w:val="20"/>
        </w:rPr>
      </w:pPr>
    </w:p>
    <w:p w14:paraId="2832F57C" w14:textId="77777777" w:rsidR="00BD0CE8" w:rsidRPr="00AC5054" w:rsidRDefault="00BD0CE8" w:rsidP="00BD0CE8">
      <w:pPr>
        <w:rPr>
          <w:color w:val="000000" w:themeColor="text1"/>
          <w:sz w:val="20"/>
          <w:szCs w:val="20"/>
        </w:rPr>
      </w:pPr>
      <w:r w:rsidRPr="00AC5054">
        <w:rPr>
          <w:color w:val="000000" w:themeColor="text1"/>
          <w:sz w:val="20"/>
          <w:szCs w:val="20"/>
        </w:rPr>
        <w:t>A crisis management team (CMT) was set up in February 2020. The Chair of the CMT sits on the company’s Executive Committee (ExCo) and directs Environment, Health and Safety (EHS) and Human Resources (HR). The CMT included the CEO, CFO, Corporate Communications, EHS and Corporate Compliance. This individual coordinated the response of EHS professionals as well as actions dictated by the situation. This resulted in EHS and HR being totally aligned.</w:t>
      </w:r>
    </w:p>
    <w:p w14:paraId="46005536" w14:textId="77777777" w:rsidR="00BD0CE8" w:rsidRPr="00AC5054" w:rsidRDefault="00BD0CE8" w:rsidP="00BD0CE8">
      <w:pPr>
        <w:rPr>
          <w:color w:val="000000" w:themeColor="text1"/>
          <w:sz w:val="20"/>
          <w:szCs w:val="20"/>
        </w:rPr>
      </w:pPr>
    </w:p>
    <w:p w14:paraId="15D1D72E" w14:textId="77777777" w:rsidR="00BD0CE8" w:rsidRPr="00AC5054" w:rsidRDefault="00BD0CE8" w:rsidP="00BD0CE8">
      <w:pPr>
        <w:rPr>
          <w:color w:val="000000" w:themeColor="text1"/>
          <w:sz w:val="20"/>
          <w:szCs w:val="20"/>
        </w:rPr>
      </w:pPr>
      <w:r w:rsidRPr="00AC5054">
        <w:rPr>
          <w:color w:val="000000" w:themeColor="text1"/>
          <w:sz w:val="20"/>
          <w:szCs w:val="20"/>
        </w:rPr>
        <w:t xml:space="preserve">The EHS team, in addition to their day job, was engaged in adapting and implementing infection-related risk assessment to the current situation. Providing considerable support in transitioning from site work to working from home and helping local EHS (site) professionals manage the response to the pandemic. Their work was well above and beyond their day job requiring considerable additional work (to the limit of their capacities). </w:t>
      </w:r>
    </w:p>
    <w:p w14:paraId="2E38BC08" w14:textId="77777777" w:rsidR="00BD0CE8" w:rsidRPr="00AC5054" w:rsidRDefault="00BD0CE8" w:rsidP="00BD0CE8">
      <w:pPr>
        <w:rPr>
          <w:color w:val="000000" w:themeColor="text1"/>
          <w:sz w:val="20"/>
          <w:szCs w:val="20"/>
        </w:rPr>
      </w:pPr>
      <w:r w:rsidRPr="00AC5054">
        <w:rPr>
          <w:color w:val="000000" w:themeColor="text1"/>
          <w:sz w:val="20"/>
          <w:szCs w:val="20"/>
        </w:rPr>
        <w:br/>
        <w:t>Comprehensive guidance was designed and distributed to all sites, providing a global framework that could then be implemented locally. This guidance included a risk management approach to working on-site and guidance on home working. The priority was to protect those workers who had to be on site, eg production and laboratory workers. As a result, business continuity teams were developed in both divisions; Tracking of cases was established with results reported by site, numbers in quarantine and employee fatalities; Global procurement planning was made for pandemic-related PPE; and site support networks were established and led by the heads of corporate compliance and EHS, including best practice calls.</w:t>
      </w:r>
    </w:p>
    <w:p w14:paraId="51923AD9" w14:textId="77777777" w:rsidR="00BD0CE8" w:rsidRPr="00AC5054" w:rsidRDefault="00BD0CE8" w:rsidP="00BD0CE8">
      <w:pPr>
        <w:rPr>
          <w:color w:val="000000" w:themeColor="text1"/>
          <w:sz w:val="20"/>
          <w:szCs w:val="20"/>
        </w:rPr>
      </w:pPr>
    </w:p>
    <w:p w14:paraId="71E87CA8" w14:textId="77777777" w:rsidR="00BD0CE8" w:rsidRPr="00AC5054" w:rsidRDefault="00BD0CE8" w:rsidP="00BD0CE8">
      <w:pPr>
        <w:rPr>
          <w:color w:val="000000" w:themeColor="text1"/>
          <w:sz w:val="20"/>
          <w:szCs w:val="20"/>
        </w:rPr>
      </w:pPr>
      <w:r w:rsidRPr="00AC5054">
        <w:rPr>
          <w:color w:val="000000" w:themeColor="text1"/>
          <w:sz w:val="20"/>
          <w:szCs w:val="20"/>
        </w:rPr>
        <w:t>An employee engagement team was established that included EHS and HR. The team set up the "Healthy Home Working" training (training 25 internal trainers and nearly 2'000 people. This training included but was not limited to ergonomics, mental and emotional health, time management, and work-life balance. Most of the trainers were Givaudan EHS professionals; the Humantech software, already used by the company, was promoted (for training in office ergonomics and assessing/ modifying the home office environment). The team ensured people got suitable IT equipment for home office - keyboard and mouse minimum, plus borrowing a chair and large monitor from work if needed; A global Employee Assistance Programme (EAP) was implemented (previously a local decision) and a programme, "Happier, Healthier Habits" was delivered daily for 21 days in October, followed by continuous weekly sessions. The programme focuses on mental and emotional health but also includes sleep and physical health. Typically, more than 600 employees attended per day. 2'000 different employees attended at least one session. These were facilitated sessions and often included a leader from the business. The head of EHS was involved in all of these elements - although some roles were delegated (e.g. PPE procurement)</w:t>
      </w:r>
    </w:p>
    <w:p w14:paraId="7F033376" w14:textId="77777777" w:rsidR="00BD0CE8" w:rsidRPr="00AC5054" w:rsidRDefault="00BD0CE8" w:rsidP="00BD0CE8">
      <w:pPr>
        <w:rPr>
          <w:color w:val="000000" w:themeColor="text1"/>
          <w:sz w:val="20"/>
          <w:szCs w:val="20"/>
        </w:rPr>
      </w:pPr>
    </w:p>
    <w:p w14:paraId="38DA2E94" w14:textId="77777777" w:rsidR="00BD0CE8" w:rsidRPr="00AC5054" w:rsidRDefault="00BD0CE8" w:rsidP="00BD0CE8">
      <w:pPr>
        <w:rPr>
          <w:color w:val="000000" w:themeColor="text1"/>
          <w:sz w:val="20"/>
          <w:szCs w:val="20"/>
        </w:rPr>
      </w:pPr>
      <w:r w:rsidRPr="00AC5054">
        <w:rPr>
          <w:color w:val="000000" w:themeColor="text1"/>
          <w:sz w:val="20"/>
          <w:szCs w:val="20"/>
        </w:rPr>
        <w:t xml:space="preserve"> New ways were found for working remotely. For example, the use of augmented reality glasses to conduct audits and, in one case, to commission a new plant in China enabling support by Engineers in Europe.</w:t>
      </w:r>
    </w:p>
    <w:p w14:paraId="2539AF38" w14:textId="77777777" w:rsidR="00BD0CE8" w:rsidRPr="00AC5054" w:rsidRDefault="00BD0CE8" w:rsidP="00BD0CE8">
      <w:pPr>
        <w:rPr>
          <w:color w:val="000000" w:themeColor="text1"/>
          <w:sz w:val="20"/>
          <w:szCs w:val="20"/>
        </w:rPr>
      </w:pPr>
    </w:p>
    <w:p w14:paraId="3103CDD0" w14:textId="77777777" w:rsidR="00BD0CE8" w:rsidRPr="00AC5054" w:rsidRDefault="00BD0CE8" w:rsidP="00BD0CE8">
      <w:pPr>
        <w:rPr>
          <w:color w:val="000000" w:themeColor="text1"/>
          <w:sz w:val="20"/>
          <w:szCs w:val="20"/>
        </w:rPr>
      </w:pPr>
      <w:r w:rsidRPr="00AC5054">
        <w:rPr>
          <w:color w:val="000000" w:themeColor="text1"/>
          <w:sz w:val="20"/>
          <w:szCs w:val="20"/>
        </w:rPr>
        <w:t>There was also a community element: as Givaudan has many plants that are set up for handling ethanol, it was relatively easy to manufacture hand sanitizer (when this was in short supply) and more than 1.5 million bottles were donated to hospitals, NGOs and other organizations; a communities’ fund was set up where sites could claim money to support projects to assist local communities with pandemic-related problems. Givaudan donated more than CHF 1 million, which supported 137 communities in 69 locations, benefiting about 94,000 people.</w:t>
      </w:r>
    </w:p>
    <w:p w14:paraId="79FB6F90" w14:textId="77777777" w:rsidR="00BD0CE8" w:rsidRPr="00AC5054" w:rsidRDefault="00BD0CE8" w:rsidP="00BD0CE8">
      <w:pPr>
        <w:rPr>
          <w:color w:val="000000" w:themeColor="text1"/>
          <w:sz w:val="20"/>
          <w:szCs w:val="20"/>
        </w:rPr>
      </w:pPr>
    </w:p>
    <w:p w14:paraId="3DF3E0B2" w14:textId="77777777" w:rsidR="00BD0CE8" w:rsidRPr="00AC5054" w:rsidRDefault="00BD0CE8" w:rsidP="00BD0CE8">
      <w:pPr>
        <w:rPr>
          <w:color w:val="000000" w:themeColor="text1"/>
          <w:sz w:val="20"/>
          <w:szCs w:val="20"/>
        </w:rPr>
      </w:pPr>
      <w:r w:rsidRPr="00AC5054">
        <w:rPr>
          <w:color w:val="000000" w:themeColor="text1"/>
          <w:sz w:val="20"/>
          <w:szCs w:val="20"/>
        </w:rPr>
        <w:t>As part of ongoing resiliency, the company is now promoting a strong element of care. This not only includes more classic safety topics but also diversity and inclusion and the whole wellbeing programme. The pandemic also triggered the project "Silver Linings" to extract learning from 2020 and see how the company can apply it to the future of work. For example, smarter travel policies, review of office spaces and how to use both effectively.</w:t>
      </w:r>
    </w:p>
    <w:p w14:paraId="4FFFF065" w14:textId="77777777" w:rsidR="00BD0CE8" w:rsidRPr="00AC5054" w:rsidRDefault="00BD0CE8" w:rsidP="00BD0CE8">
      <w:pPr>
        <w:rPr>
          <w:color w:val="000000" w:themeColor="text1"/>
          <w:sz w:val="20"/>
          <w:szCs w:val="20"/>
        </w:rPr>
      </w:pPr>
    </w:p>
    <w:p w14:paraId="28B62377" w14:textId="77777777" w:rsidR="00BD0CE8" w:rsidRPr="00AC5054" w:rsidRDefault="00BD0CE8" w:rsidP="00BD0CE8">
      <w:pPr>
        <w:rPr>
          <w:color w:val="000000" w:themeColor="text1"/>
          <w:sz w:val="20"/>
          <w:szCs w:val="20"/>
        </w:rPr>
      </w:pPr>
      <w:r w:rsidRPr="00AC5054">
        <w:rPr>
          <w:color w:val="000000" w:themeColor="text1"/>
          <w:sz w:val="20"/>
          <w:szCs w:val="20"/>
        </w:rPr>
        <w:t>Outcome: There was no significant disruption to output. Production and sales were at record levels in 2020. The human impact was difficult to measure but there was no increase in employee turnover. People are clearly still affected by "COVID fatigue" but the company is confident that it made some positive differences.</w:t>
      </w:r>
    </w:p>
    <w:p w14:paraId="6E7B5EB9" w14:textId="77777777" w:rsidR="00BD0CE8" w:rsidRPr="00AC5054" w:rsidRDefault="00BD0CE8" w:rsidP="00BD0CE8">
      <w:pPr>
        <w:rPr>
          <w:color w:val="000000" w:themeColor="text1"/>
          <w:sz w:val="20"/>
          <w:szCs w:val="20"/>
        </w:rPr>
      </w:pPr>
    </w:p>
    <w:p w14:paraId="0DEDDEE3" w14:textId="77777777" w:rsidR="00BD0CE8" w:rsidRPr="00AC5054" w:rsidRDefault="00BD0CE8" w:rsidP="00BD0CE8">
      <w:pPr>
        <w:rPr>
          <w:sz w:val="20"/>
          <w:szCs w:val="20"/>
        </w:rPr>
      </w:pPr>
    </w:p>
    <w:p w14:paraId="798C71B8" w14:textId="77777777" w:rsidR="00BD0CE8" w:rsidRPr="00AC5054" w:rsidRDefault="00BD0CE8" w:rsidP="00BD0CE8">
      <w:pPr>
        <w:rPr>
          <w:sz w:val="20"/>
          <w:szCs w:val="20"/>
        </w:rPr>
      </w:pPr>
    </w:p>
    <w:p w14:paraId="1BF39615" w14:textId="77777777" w:rsidR="00BD0CE8" w:rsidRPr="00AC5054" w:rsidRDefault="00BD0CE8" w:rsidP="00BD0CE8">
      <w:pPr>
        <w:rPr>
          <w:sz w:val="20"/>
          <w:szCs w:val="20"/>
        </w:rPr>
      </w:pPr>
    </w:p>
    <w:p w14:paraId="6AD16F61" w14:textId="77777777" w:rsidR="00BD0CE8" w:rsidRPr="00AC5054" w:rsidRDefault="00BD0CE8" w:rsidP="00BD0CE8">
      <w:pPr>
        <w:rPr>
          <w:sz w:val="20"/>
          <w:szCs w:val="20"/>
        </w:rPr>
      </w:pPr>
    </w:p>
    <w:p w14:paraId="7FAACE93" w14:textId="77777777" w:rsidR="00BD0CE8" w:rsidRPr="00AC5054" w:rsidRDefault="00BD0CE8" w:rsidP="00BD0CE8">
      <w:pPr>
        <w:rPr>
          <w:sz w:val="20"/>
          <w:szCs w:val="20"/>
        </w:rPr>
      </w:pPr>
    </w:p>
    <w:p w14:paraId="56C3E4CC" w14:textId="77777777" w:rsidR="00BD0CE8" w:rsidRPr="00AC5054" w:rsidRDefault="00BD0CE8" w:rsidP="00BD0CE8">
      <w:pPr>
        <w:rPr>
          <w:sz w:val="20"/>
          <w:szCs w:val="20"/>
        </w:rPr>
      </w:pPr>
    </w:p>
    <w:p w14:paraId="342D48A4" w14:textId="77777777" w:rsidR="00BD0CE8" w:rsidRPr="00AC5054" w:rsidRDefault="00BD0CE8" w:rsidP="00BD0CE8">
      <w:pPr>
        <w:rPr>
          <w:sz w:val="20"/>
          <w:szCs w:val="20"/>
        </w:rPr>
      </w:pPr>
    </w:p>
    <w:p w14:paraId="48488FF2" w14:textId="77777777" w:rsidR="00BD0CE8" w:rsidRPr="00AC5054" w:rsidRDefault="00BD0CE8" w:rsidP="00BD0CE8">
      <w:pPr>
        <w:rPr>
          <w:sz w:val="20"/>
          <w:szCs w:val="20"/>
        </w:rPr>
      </w:pPr>
      <w:r w:rsidRPr="00AC5054">
        <w:rPr>
          <w:sz w:val="20"/>
          <w:szCs w:val="20"/>
        </w:rPr>
        <w:t xml:space="preserve">Case Study 2 Cambridge City Council </w:t>
      </w:r>
    </w:p>
    <w:p w14:paraId="22C724FC" w14:textId="77777777" w:rsidR="00BD0CE8" w:rsidRPr="00AC5054" w:rsidRDefault="00BD0CE8" w:rsidP="00BD0CE8">
      <w:pPr>
        <w:rPr>
          <w:sz w:val="20"/>
          <w:szCs w:val="20"/>
        </w:rPr>
      </w:pPr>
    </w:p>
    <w:p w14:paraId="4CE2AADE" w14:textId="77777777" w:rsidR="00BD0CE8" w:rsidRPr="00AC5054" w:rsidRDefault="00BD0CE8" w:rsidP="00BD0CE8">
      <w:pPr>
        <w:rPr>
          <w:sz w:val="20"/>
          <w:szCs w:val="20"/>
        </w:rPr>
      </w:pPr>
      <w:r w:rsidRPr="00AC5054">
        <w:rPr>
          <w:sz w:val="20"/>
          <w:szCs w:val="20"/>
        </w:rPr>
        <w:t xml:space="preserve">With UK Local Authorities (LAs) having additional responsibilities as a Category 1 Responder </w:t>
      </w:r>
      <w:r w:rsidRPr="00AC5054">
        <w:rPr>
          <w:sz w:val="20"/>
          <w:szCs w:val="20"/>
          <w:lang w:val="en-US"/>
        </w:rPr>
        <w:t>(</w:t>
      </w:r>
      <w:r w:rsidRPr="00AC5054">
        <w:rPr>
          <w:sz w:val="18"/>
          <w:szCs w:val="18"/>
        </w:rPr>
        <w:t>Restauri</w:t>
      </w:r>
      <w:r w:rsidRPr="00AC5054">
        <w:rPr>
          <w:sz w:val="18"/>
          <w:szCs w:val="18"/>
          <w:lang w:val="en-US"/>
        </w:rPr>
        <w:t xml:space="preserve"> and </w:t>
      </w:r>
      <w:r w:rsidRPr="00AC5054">
        <w:rPr>
          <w:sz w:val="18"/>
          <w:szCs w:val="18"/>
        </w:rPr>
        <w:t xml:space="preserve"> Sheridan</w:t>
      </w:r>
      <w:r w:rsidRPr="00AC5054">
        <w:rPr>
          <w:sz w:val="18"/>
          <w:szCs w:val="18"/>
          <w:lang w:val="en-US"/>
        </w:rPr>
        <w:t>, 2020)</w:t>
      </w:r>
      <w:r w:rsidRPr="00AC5054">
        <w:rPr>
          <w:sz w:val="20"/>
          <w:szCs w:val="20"/>
        </w:rPr>
        <w:t xml:space="preserve"> many </w:t>
      </w:r>
      <w:r w:rsidRPr="00AC5054">
        <w:rPr>
          <w:sz w:val="20"/>
          <w:szCs w:val="20"/>
          <w:lang w:val="en-US"/>
        </w:rPr>
        <w:t>h</w:t>
      </w:r>
      <w:r w:rsidRPr="00AC5054">
        <w:rPr>
          <w:sz w:val="20"/>
          <w:szCs w:val="20"/>
        </w:rPr>
        <w:t xml:space="preserve">ealth and </w:t>
      </w:r>
      <w:r w:rsidRPr="00AC5054">
        <w:rPr>
          <w:sz w:val="20"/>
          <w:szCs w:val="20"/>
          <w:lang w:val="en-US"/>
        </w:rPr>
        <w:t>s</w:t>
      </w:r>
      <w:r w:rsidRPr="00AC5054">
        <w:rPr>
          <w:sz w:val="20"/>
          <w:szCs w:val="20"/>
        </w:rPr>
        <w:t xml:space="preserve">afety </w:t>
      </w:r>
      <w:r w:rsidRPr="00AC5054">
        <w:rPr>
          <w:sz w:val="20"/>
          <w:szCs w:val="20"/>
          <w:lang w:val="en-US"/>
        </w:rPr>
        <w:t>p</w:t>
      </w:r>
      <w:r w:rsidRPr="00AC5054">
        <w:rPr>
          <w:sz w:val="20"/>
          <w:szCs w:val="20"/>
        </w:rPr>
        <w:t xml:space="preserve">rofessionals roles have expanded to be lead officers for </w:t>
      </w:r>
      <w:r w:rsidRPr="00AC5054">
        <w:rPr>
          <w:sz w:val="20"/>
          <w:szCs w:val="20"/>
          <w:lang w:val="en-US"/>
        </w:rPr>
        <w:t>e</w:t>
      </w:r>
      <w:r w:rsidRPr="00AC5054">
        <w:rPr>
          <w:sz w:val="20"/>
          <w:szCs w:val="20"/>
        </w:rPr>
        <w:t xml:space="preserve">mergency </w:t>
      </w:r>
      <w:r w:rsidRPr="00AC5054">
        <w:rPr>
          <w:sz w:val="20"/>
          <w:szCs w:val="20"/>
          <w:lang w:val="en-US"/>
        </w:rPr>
        <w:t>r</w:t>
      </w:r>
      <w:r w:rsidRPr="00AC5054">
        <w:rPr>
          <w:sz w:val="20"/>
          <w:szCs w:val="20"/>
        </w:rPr>
        <w:t xml:space="preserve">esponse and </w:t>
      </w:r>
      <w:r w:rsidRPr="00AC5054">
        <w:rPr>
          <w:sz w:val="20"/>
          <w:szCs w:val="20"/>
          <w:lang w:val="en-US"/>
        </w:rPr>
        <w:t>b</w:t>
      </w:r>
      <w:r w:rsidRPr="00AC5054">
        <w:rPr>
          <w:sz w:val="20"/>
          <w:szCs w:val="20"/>
        </w:rPr>
        <w:t xml:space="preserve">usiness </w:t>
      </w:r>
      <w:r w:rsidRPr="00AC5054">
        <w:rPr>
          <w:sz w:val="20"/>
          <w:szCs w:val="20"/>
          <w:lang w:val="en-US"/>
        </w:rPr>
        <w:t>c</w:t>
      </w:r>
      <w:r w:rsidRPr="00AC5054">
        <w:rPr>
          <w:sz w:val="20"/>
          <w:szCs w:val="20"/>
        </w:rPr>
        <w:t xml:space="preserve">ontinuity (BC). These roles involve both understanding business risk, being able to advise business and network across boundaries and professions. As active participants on the Local Resilience Forum (LRF) </w:t>
      </w:r>
      <w:r w:rsidRPr="00AC5054">
        <w:rPr>
          <w:sz w:val="20"/>
          <w:szCs w:val="20"/>
          <w:lang w:val="en-US"/>
        </w:rPr>
        <w:t>(</w:t>
      </w:r>
      <w:proofErr w:type="spellStart"/>
      <w:r w:rsidRPr="00AC5054">
        <w:rPr>
          <w:sz w:val="20"/>
          <w:szCs w:val="20"/>
          <w:lang w:val="en-US"/>
        </w:rPr>
        <w:t>Bertoni</w:t>
      </w:r>
      <w:proofErr w:type="spellEnd"/>
      <w:r w:rsidRPr="00AC5054">
        <w:rPr>
          <w:sz w:val="20"/>
          <w:szCs w:val="20"/>
          <w:lang w:val="en-US"/>
        </w:rPr>
        <w:t>, 2017)</w:t>
      </w:r>
      <w:r w:rsidRPr="00AC5054">
        <w:rPr>
          <w:sz w:val="20"/>
          <w:szCs w:val="20"/>
        </w:rPr>
        <w:t xml:space="preserve"> there are strategic and tactical activities that the lead office would undertake. Within a LA the Chief Executive is the </w:t>
      </w:r>
      <w:r w:rsidRPr="00AC5054">
        <w:rPr>
          <w:sz w:val="20"/>
          <w:szCs w:val="20"/>
          <w:lang w:val="en-US"/>
        </w:rPr>
        <w:t>s</w:t>
      </w:r>
      <w:r w:rsidRPr="00AC5054">
        <w:rPr>
          <w:sz w:val="20"/>
          <w:szCs w:val="20"/>
        </w:rPr>
        <w:t xml:space="preserve">trategic </w:t>
      </w:r>
      <w:r w:rsidRPr="00AC5054">
        <w:rPr>
          <w:sz w:val="20"/>
          <w:szCs w:val="20"/>
          <w:lang w:val="en-US"/>
        </w:rPr>
        <w:t>l</w:t>
      </w:r>
      <w:r w:rsidRPr="00AC5054">
        <w:rPr>
          <w:sz w:val="20"/>
          <w:szCs w:val="20"/>
        </w:rPr>
        <w:t xml:space="preserve">ead; in the </w:t>
      </w:r>
      <w:r w:rsidRPr="00AC5054">
        <w:rPr>
          <w:sz w:val="20"/>
          <w:szCs w:val="20"/>
          <w:lang w:val="en-US"/>
        </w:rPr>
        <w:t>c</w:t>
      </w:r>
      <w:r w:rsidRPr="00AC5054">
        <w:rPr>
          <w:sz w:val="20"/>
          <w:szCs w:val="20"/>
        </w:rPr>
        <w:t>ase of Cambridge City Council (850 employees) with a Chief Executive knowing his LAs duties has established a structure allowing for maximum empowerment. As well as being Corporate Health and Safety Manager (CHSM)</w:t>
      </w:r>
      <w:r w:rsidRPr="00AC5054">
        <w:rPr>
          <w:sz w:val="20"/>
          <w:szCs w:val="20"/>
          <w:lang w:val="en-US"/>
        </w:rPr>
        <w:t xml:space="preserve"> </w:t>
      </w:r>
      <w:r w:rsidRPr="00AC5054">
        <w:rPr>
          <w:sz w:val="20"/>
          <w:szCs w:val="20"/>
        </w:rPr>
        <w:t>with appropriate professional training and professional membership (an ex-member of IOSH Council) he (and his assistant) also has significant training in business continuity and emergency management at both strategic and tactical level. Normal line manager reporting was to the Head of Estates, Housing Maintenance and Assets with reporting for pandemic related issues directly to Strategic Management Team.</w:t>
      </w:r>
    </w:p>
    <w:p w14:paraId="2EC1DFE4" w14:textId="77777777" w:rsidR="00BD0CE8" w:rsidRPr="00AC5054" w:rsidRDefault="00BD0CE8" w:rsidP="00BD0CE8">
      <w:pPr>
        <w:rPr>
          <w:sz w:val="20"/>
          <w:szCs w:val="20"/>
        </w:rPr>
      </w:pPr>
    </w:p>
    <w:p w14:paraId="5EB6EE1D" w14:textId="77777777" w:rsidR="00BD0CE8" w:rsidRPr="00AC5054" w:rsidRDefault="00BD0CE8" w:rsidP="00BD0CE8">
      <w:pPr>
        <w:rPr>
          <w:sz w:val="20"/>
          <w:szCs w:val="20"/>
        </w:rPr>
      </w:pPr>
      <w:r w:rsidRPr="00AC5054">
        <w:rPr>
          <w:sz w:val="20"/>
          <w:szCs w:val="20"/>
        </w:rPr>
        <w:t>With the LRF led normally by the Fire Service</w:t>
      </w:r>
      <w:r w:rsidRPr="00AC5054">
        <w:rPr>
          <w:sz w:val="20"/>
          <w:szCs w:val="20"/>
          <w:lang w:val="en-US"/>
        </w:rPr>
        <w:t>,</w:t>
      </w:r>
      <w:r w:rsidRPr="00AC5054">
        <w:rPr>
          <w:sz w:val="20"/>
          <w:szCs w:val="20"/>
        </w:rPr>
        <w:t xml:space="preserve"> pandemic related activity was led by the Director of Public Health and the NHS  / County LA lead. The CHSM represents the local authority on the County Resilience Strategic and Tactical group and is vice chair of the Tactical Business Group. Key skill sets demonstrated includes risk profiling, emergency management, communication and liaison in a fast-moving government led structure. The post holder is also personally responsible for the management of the Local Authority test centre. At the start of the pandemic, parallel to government setting societal rules, the post holder led on the LA risk assessment processes so that there was a continuity of service. As part of his broader BC remit, he had instigated improved IT Resilience that was sufficiently advanced in February 2020 to enable a massive move to remote/home working. This was followed by obtaining a DSE online self-assessment tool to give staff the tools to work remotely.</w:t>
      </w:r>
    </w:p>
    <w:p w14:paraId="2AD9C8E5" w14:textId="77777777" w:rsidR="00BD0CE8" w:rsidRPr="00AC5054" w:rsidRDefault="00BD0CE8" w:rsidP="00BD0CE8">
      <w:pPr>
        <w:rPr>
          <w:sz w:val="20"/>
          <w:szCs w:val="20"/>
        </w:rPr>
      </w:pPr>
    </w:p>
    <w:p w14:paraId="7FFCC46A" w14:textId="77777777" w:rsidR="00BD0CE8" w:rsidRPr="00AC5054" w:rsidRDefault="00BD0CE8" w:rsidP="00BD0CE8">
      <w:pPr>
        <w:rPr>
          <w:sz w:val="20"/>
          <w:szCs w:val="20"/>
        </w:rPr>
      </w:pPr>
      <w:r w:rsidRPr="00AC5054">
        <w:rPr>
          <w:sz w:val="20"/>
          <w:szCs w:val="20"/>
        </w:rPr>
        <w:t xml:space="preserve">As well as ‘maintaining business as usual’ the post holder is responsible for ensuring offices are ‘COVID-Safe’, sits on the LA Accommodation Group, has had to reprioritise work and engage with staff across a unionised environment. The authority has been fortunate that in the first </w:t>
      </w:r>
      <w:r w:rsidRPr="00AC5054">
        <w:rPr>
          <w:sz w:val="20"/>
          <w:szCs w:val="20"/>
          <w:lang w:val="en-US"/>
        </w:rPr>
        <w:t>twelve</w:t>
      </w:r>
      <w:r w:rsidRPr="00AC5054">
        <w:rPr>
          <w:sz w:val="20"/>
          <w:szCs w:val="20"/>
        </w:rPr>
        <w:t xml:space="preserve"> months there was no covid-19 related death to a member of staff. COVID-19 risk management in the Wastes Management service was led by the Head of Wastes Management in the Waste Collection Service [*] This guidance was produced following cross</w:t>
      </w:r>
      <w:r w:rsidRPr="00AC5054">
        <w:rPr>
          <w:sz w:val="20"/>
          <w:szCs w:val="20"/>
          <w:lang w:val="en-US"/>
        </w:rPr>
        <w:t>-</w:t>
      </w:r>
      <w:r w:rsidRPr="00AC5054">
        <w:rPr>
          <w:sz w:val="20"/>
          <w:szCs w:val="20"/>
        </w:rPr>
        <w:t xml:space="preserve"> professional industry engagement led by </w:t>
      </w:r>
      <w:r w:rsidRPr="00AC5054">
        <w:rPr>
          <w:sz w:val="20"/>
          <w:szCs w:val="20"/>
          <w:lang w:val="en-US"/>
        </w:rPr>
        <w:t>r</w:t>
      </w:r>
      <w:r w:rsidRPr="00AC5054">
        <w:rPr>
          <w:sz w:val="20"/>
          <w:szCs w:val="20"/>
        </w:rPr>
        <w:t xml:space="preserve">isk (OSH) leads including input from Government Public Health Leaders, </w:t>
      </w:r>
      <w:r w:rsidRPr="00AC5054">
        <w:rPr>
          <w:sz w:val="20"/>
          <w:szCs w:val="20"/>
          <w:lang w:val="en-US"/>
        </w:rPr>
        <w:t>p</w:t>
      </w:r>
      <w:r w:rsidRPr="00AC5054">
        <w:rPr>
          <w:sz w:val="20"/>
          <w:szCs w:val="20"/>
        </w:rPr>
        <w:t xml:space="preserve">rofessional </w:t>
      </w:r>
      <w:r w:rsidRPr="00AC5054">
        <w:rPr>
          <w:sz w:val="20"/>
          <w:szCs w:val="20"/>
          <w:lang w:val="en-US"/>
        </w:rPr>
        <w:t>u</w:t>
      </w:r>
      <w:r w:rsidRPr="00AC5054">
        <w:rPr>
          <w:sz w:val="20"/>
          <w:szCs w:val="20"/>
        </w:rPr>
        <w:t xml:space="preserve">nstitutions, and the HSE. It was a dynamic document updated constantly and was the first sector to introduce the concept of ‘Bubbles’ in the workplace </w:t>
      </w:r>
      <w:r w:rsidRPr="00AC5054">
        <w:rPr>
          <w:sz w:val="20"/>
          <w:szCs w:val="20"/>
          <w:lang w:val="en-US"/>
        </w:rPr>
        <w:t>(</w:t>
      </w:r>
      <w:proofErr w:type="spellStart"/>
      <w:r w:rsidRPr="00AC5054">
        <w:rPr>
          <w:color w:val="000000" w:themeColor="text1"/>
          <w:sz w:val="20"/>
          <w:szCs w:val="20"/>
          <w:lang w:val="en-US"/>
        </w:rPr>
        <w:t>Morera</w:t>
      </w:r>
      <w:proofErr w:type="spellEnd"/>
      <w:r w:rsidRPr="00AC5054">
        <w:rPr>
          <w:color w:val="000000" w:themeColor="text1"/>
          <w:sz w:val="20"/>
          <w:szCs w:val="20"/>
          <w:lang w:val="en-US"/>
        </w:rPr>
        <w:t xml:space="preserve"> et al., 2020)</w:t>
      </w:r>
      <w:r w:rsidRPr="00AC5054">
        <w:rPr>
          <w:sz w:val="20"/>
          <w:szCs w:val="20"/>
        </w:rPr>
        <w:t xml:space="preserve">. </w:t>
      </w:r>
    </w:p>
    <w:p w14:paraId="1F0824CD" w14:textId="77777777" w:rsidR="00BD0CE8" w:rsidRPr="00AC5054" w:rsidRDefault="00BD0CE8" w:rsidP="00BD0CE8">
      <w:pPr>
        <w:rPr>
          <w:sz w:val="20"/>
          <w:szCs w:val="20"/>
        </w:rPr>
      </w:pPr>
    </w:p>
    <w:p w14:paraId="16787D8E" w14:textId="77777777" w:rsidR="00BD0CE8" w:rsidRPr="00AC5054" w:rsidRDefault="00BD0CE8" w:rsidP="00BD0CE8">
      <w:pPr>
        <w:rPr>
          <w:sz w:val="20"/>
          <w:szCs w:val="20"/>
        </w:rPr>
      </w:pPr>
      <w:r w:rsidRPr="00AC5054">
        <w:rPr>
          <w:sz w:val="20"/>
          <w:szCs w:val="20"/>
        </w:rPr>
        <w:t>The expanded broader risk based professional role covering Business Continuity and Emergency Management has raised the post holders profile and gravitas.</w:t>
      </w:r>
    </w:p>
    <w:p w14:paraId="27756317" w14:textId="77777777" w:rsidR="00BD0CE8" w:rsidRPr="00AC5054" w:rsidRDefault="00BD0CE8" w:rsidP="00BD0CE8">
      <w:pPr>
        <w:rPr>
          <w:sz w:val="20"/>
          <w:szCs w:val="20"/>
        </w:rPr>
      </w:pPr>
    </w:p>
    <w:p w14:paraId="5D672D2A" w14:textId="77777777" w:rsidR="00BD0CE8" w:rsidRPr="00AC5054" w:rsidRDefault="00BD0CE8" w:rsidP="00BD0CE8">
      <w:pPr>
        <w:rPr>
          <w:sz w:val="20"/>
          <w:szCs w:val="20"/>
        </w:rPr>
      </w:pPr>
    </w:p>
    <w:p w14:paraId="5A3C8CDB" w14:textId="77777777" w:rsidR="00BD0CE8" w:rsidRPr="00AC5054" w:rsidRDefault="00BD0CE8" w:rsidP="00BD0CE8">
      <w:pPr>
        <w:rPr>
          <w:sz w:val="20"/>
          <w:szCs w:val="20"/>
          <w:lang w:val="en-US"/>
        </w:rPr>
      </w:pPr>
      <w:r w:rsidRPr="00AC5054">
        <w:rPr>
          <w:sz w:val="20"/>
          <w:szCs w:val="20"/>
        </w:rPr>
        <w:t xml:space="preserve">[*] WISH, 2021. Covid-19 and Waste Management Activities.  </w:t>
      </w:r>
      <w:hyperlink r:id="rId7" w:history="1">
        <w:r w:rsidRPr="00AC5054">
          <w:rPr>
            <w:rStyle w:val="Hyperlink"/>
            <w:sz w:val="20"/>
            <w:szCs w:val="20"/>
          </w:rPr>
          <w:t>https://www.wishforum.org.uk/wp-content/uploads/2021/01/INFO-13-COVID19-and-waste-management-activities-issue-9-6-Jan-2021.pdf</w:t>
        </w:r>
      </w:hyperlink>
      <w:r w:rsidRPr="00AC5054">
        <w:rPr>
          <w:sz w:val="20"/>
          <w:szCs w:val="20"/>
        </w:rPr>
        <w:t xml:space="preserve"> Accessed 20 Mar 202</w:t>
      </w:r>
      <w:r w:rsidRPr="00AC5054">
        <w:rPr>
          <w:sz w:val="20"/>
          <w:szCs w:val="20"/>
          <w:lang w:val="en-US"/>
        </w:rPr>
        <w:t>1</w:t>
      </w:r>
    </w:p>
    <w:p w14:paraId="5FF49D46" w14:textId="77777777" w:rsidR="00BD0CE8" w:rsidRPr="00AC5054" w:rsidRDefault="00BD0CE8" w:rsidP="00BD0CE8">
      <w:pPr>
        <w:rPr>
          <w:sz w:val="20"/>
          <w:szCs w:val="20"/>
        </w:rPr>
      </w:pPr>
    </w:p>
    <w:p w14:paraId="46427FF7" w14:textId="77777777" w:rsidR="00BD0CE8" w:rsidRPr="00AC5054" w:rsidRDefault="00BD0CE8" w:rsidP="00BD0CE8">
      <w:pPr>
        <w:spacing w:line="360" w:lineRule="auto"/>
        <w:rPr>
          <w:color w:val="FF0000"/>
        </w:rPr>
      </w:pPr>
    </w:p>
    <w:p w14:paraId="0033F20A" w14:textId="77777777" w:rsidR="00BD0CE8" w:rsidRPr="00AC5054" w:rsidRDefault="00BD0CE8" w:rsidP="00BD0CE8">
      <w:pPr>
        <w:spacing w:line="360" w:lineRule="auto"/>
        <w:rPr>
          <w:color w:val="FF0000"/>
        </w:rPr>
      </w:pPr>
    </w:p>
    <w:p w14:paraId="63D90BCC" w14:textId="77777777" w:rsidR="00BD0CE8" w:rsidRPr="00AC5054" w:rsidRDefault="00BD0CE8" w:rsidP="00BD0CE8">
      <w:pPr>
        <w:spacing w:line="360" w:lineRule="auto"/>
        <w:rPr>
          <w:color w:val="FF0000"/>
        </w:rPr>
      </w:pPr>
    </w:p>
    <w:p w14:paraId="18A68AB9" w14:textId="77777777" w:rsidR="00BD0CE8" w:rsidRPr="00AC5054" w:rsidRDefault="00BD0CE8" w:rsidP="00BD0CE8">
      <w:pPr>
        <w:spacing w:line="360" w:lineRule="auto"/>
        <w:rPr>
          <w:color w:val="FF0000"/>
        </w:rPr>
      </w:pPr>
    </w:p>
    <w:p w14:paraId="48249580" w14:textId="77777777" w:rsidR="00BD0CE8" w:rsidRPr="00AC5054" w:rsidRDefault="00BD0CE8" w:rsidP="00BD0CE8">
      <w:pPr>
        <w:spacing w:line="360" w:lineRule="auto"/>
        <w:rPr>
          <w:color w:val="FF0000"/>
        </w:rPr>
      </w:pPr>
    </w:p>
    <w:p w14:paraId="3E88357A" w14:textId="77777777" w:rsidR="00BD0CE8" w:rsidRPr="00AC5054" w:rsidRDefault="00BD0CE8" w:rsidP="00BD0CE8">
      <w:pPr>
        <w:spacing w:line="360" w:lineRule="auto"/>
        <w:rPr>
          <w:color w:val="FF0000"/>
        </w:rPr>
      </w:pPr>
    </w:p>
    <w:p w14:paraId="0A786B55" w14:textId="77777777" w:rsidR="00BD0CE8" w:rsidRPr="00AC5054" w:rsidRDefault="00BD0CE8" w:rsidP="00BD0CE8">
      <w:pPr>
        <w:spacing w:line="360" w:lineRule="auto"/>
        <w:rPr>
          <w:color w:val="FF0000"/>
        </w:rPr>
      </w:pPr>
    </w:p>
    <w:p w14:paraId="48BA3F78" w14:textId="77777777" w:rsidR="00BD0CE8" w:rsidRPr="00AC5054" w:rsidRDefault="00BD0CE8" w:rsidP="00BD0CE8">
      <w:pPr>
        <w:spacing w:line="360" w:lineRule="auto"/>
        <w:rPr>
          <w:color w:val="FF0000"/>
        </w:rPr>
      </w:pPr>
    </w:p>
    <w:p w14:paraId="20F8A067" w14:textId="77777777" w:rsidR="00BD0CE8" w:rsidRPr="00CA6615" w:rsidRDefault="00BD0CE8" w:rsidP="00BD0CE8">
      <w:pPr>
        <w:spacing w:line="360" w:lineRule="auto"/>
        <w:rPr>
          <w:color w:val="FF0000"/>
        </w:rPr>
      </w:pPr>
    </w:p>
    <w:p w14:paraId="4F513167" w14:textId="77777777" w:rsidR="00BD0CE8" w:rsidRPr="00BD0CE8" w:rsidRDefault="00BD0CE8" w:rsidP="00BD0CE8"/>
    <w:sectPr w:rsidR="00BD0CE8" w:rsidRPr="00BD0CE8" w:rsidSect="00750DE9">
      <w:headerReference w:type="even" r:id="rId8"/>
      <w:headerReference w:type="default" r:id="rId9"/>
      <w:footerReference w:type="even" r:id="rId10"/>
      <w:footerReference w:type="default" r:id="rId11"/>
      <w:headerReference w:type="first" r:id="rId12"/>
      <w:footerReference w:type="first" r:id="rId13"/>
      <w:endnotePr>
        <w:numFmt w:val="decimal"/>
      </w:endnotePr>
      <w:pgSz w:w="11900" w:h="16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80CD5" w14:textId="77777777" w:rsidR="000441D5" w:rsidRDefault="000441D5" w:rsidP="00BD0CE8">
      <w:r>
        <w:separator/>
      </w:r>
    </w:p>
  </w:endnote>
  <w:endnote w:type="continuationSeparator" w:id="0">
    <w:p w14:paraId="27802AA1" w14:textId="77777777" w:rsidR="000441D5" w:rsidRDefault="000441D5" w:rsidP="00BD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5213585"/>
      <w:docPartObj>
        <w:docPartGallery w:val="Page Numbers (Bottom of Page)"/>
        <w:docPartUnique/>
      </w:docPartObj>
    </w:sdtPr>
    <w:sdtEndPr>
      <w:rPr>
        <w:rStyle w:val="PageNumber"/>
      </w:rPr>
    </w:sdtEndPr>
    <w:sdtContent>
      <w:p w14:paraId="23AB813D" w14:textId="77777777" w:rsidR="00484504" w:rsidRDefault="00F36645" w:rsidP="00750D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89CDE4" w14:textId="77777777" w:rsidR="00484504" w:rsidRDefault="00044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7730544"/>
      <w:docPartObj>
        <w:docPartGallery w:val="Page Numbers (Bottom of Page)"/>
        <w:docPartUnique/>
      </w:docPartObj>
    </w:sdtPr>
    <w:sdtEndPr>
      <w:rPr>
        <w:rStyle w:val="PageNumber"/>
      </w:rPr>
    </w:sdtEndPr>
    <w:sdtContent>
      <w:p w14:paraId="789E1D01" w14:textId="77777777" w:rsidR="00484504" w:rsidRDefault="00F36645" w:rsidP="00EE43FA">
        <w:pPr>
          <w:pStyle w:val="Footer"/>
          <w:framePr w:w="267" w:wrap="none" w:vAnchor="text" w:hAnchor="page" w:x="6016" w:y="-47"/>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CBAF1D" w14:textId="77777777" w:rsidR="00484504" w:rsidRDefault="000441D5" w:rsidP="00EE43FA">
    <w:pPr>
      <w:pStyle w:val="Footer"/>
      <w:framePr w:w="267" w:wrap="none" w:vAnchor="text" w:hAnchor="page" w:x="6016" w:y="-4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3F12" w14:textId="77777777" w:rsidR="00484504" w:rsidRDefault="00044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A1028" w14:textId="77777777" w:rsidR="000441D5" w:rsidRDefault="000441D5" w:rsidP="00BD0CE8">
      <w:r>
        <w:separator/>
      </w:r>
    </w:p>
  </w:footnote>
  <w:footnote w:type="continuationSeparator" w:id="0">
    <w:p w14:paraId="27CE60CA" w14:textId="77777777" w:rsidR="000441D5" w:rsidRDefault="000441D5" w:rsidP="00BD0CE8">
      <w:r>
        <w:continuationSeparator/>
      </w:r>
    </w:p>
  </w:footnote>
  <w:footnote w:id="1">
    <w:p w14:paraId="7D2E595E" w14:textId="77777777" w:rsidR="00BD0CE8" w:rsidRPr="00C468B4" w:rsidRDefault="00BD0CE8" w:rsidP="00BD0CE8">
      <w:pPr>
        <w:pStyle w:val="FootnoteText"/>
        <w:rPr>
          <w:lang w:val="en-US"/>
        </w:rPr>
      </w:pPr>
      <w:r>
        <w:rPr>
          <w:rStyle w:val="FootnoteReference"/>
        </w:rPr>
        <w:footnoteRef/>
      </w:r>
      <w:r>
        <w:t xml:space="preserve"> </w:t>
      </w:r>
      <w:r w:rsidRPr="00C468B4">
        <w:rPr>
          <w:lang w:val="en-US"/>
        </w:rPr>
        <w:t xml:space="preserve">Institution of Occupational </w:t>
      </w:r>
      <w:r>
        <w:rPr>
          <w:lang w:val="en-US"/>
        </w:rPr>
        <w:t>S</w:t>
      </w:r>
      <w:r w:rsidRPr="00C468B4">
        <w:rPr>
          <w:lang w:val="en-US"/>
        </w:rPr>
        <w:t>afety and He</w:t>
      </w:r>
      <w:r>
        <w:rPr>
          <w:lang w:val="en-US"/>
        </w:rPr>
        <w:t xml:space="preserve">alth (IOSH)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7610" w14:textId="77777777" w:rsidR="00484504" w:rsidRDefault="000441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2EB9" w14:textId="77777777" w:rsidR="00484504" w:rsidRDefault="000441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AD740" w14:textId="77777777" w:rsidR="00484504" w:rsidRDefault="000441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20157"/>
    <w:multiLevelType w:val="hybridMultilevel"/>
    <w:tmpl w:val="2592B586"/>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 w15:restartNumberingAfterBreak="0">
    <w:nsid w:val="2B4E09D5"/>
    <w:multiLevelType w:val="hybridMultilevel"/>
    <w:tmpl w:val="AB9899A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15:restartNumberingAfterBreak="0">
    <w:nsid w:val="42B73852"/>
    <w:multiLevelType w:val="hybridMultilevel"/>
    <w:tmpl w:val="C4A22CF4"/>
    <w:lvl w:ilvl="0" w:tplc="08090001">
      <w:start w:val="1"/>
      <w:numFmt w:val="bullet"/>
      <w:lvlText w:val=""/>
      <w:lvlJc w:val="left"/>
      <w:pPr>
        <w:ind w:left="720" w:hanging="360"/>
      </w:pPr>
      <w:rPr>
        <w:rFonts w:ascii="Symbol" w:hAnsi="Symbo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8803DD"/>
    <w:multiLevelType w:val="hybridMultilevel"/>
    <w:tmpl w:val="E7787E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EED7578"/>
    <w:multiLevelType w:val="hybridMultilevel"/>
    <w:tmpl w:val="BEA2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79553B"/>
    <w:multiLevelType w:val="hybridMultilevel"/>
    <w:tmpl w:val="04383EE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76E21DF"/>
    <w:multiLevelType w:val="hybridMultilevel"/>
    <w:tmpl w:val="332C9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F579D9"/>
    <w:multiLevelType w:val="hybridMultilevel"/>
    <w:tmpl w:val="B8B47934"/>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15:restartNumberingAfterBreak="0">
    <w:nsid w:val="698F61ED"/>
    <w:multiLevelType w:val="hybridMultilevel"/>
    <w:tmpl w:val="FB76795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6B3193"/>
    <w:multiLevelType w:val="hybridMultilevel"/>
    <w:tmpl w:val="11462F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E1C4F87"/>
    <w:multiLevelType w:val="hybridMultilevel"/>
    <w:tmpl w:val="424CC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E54050"/>
    <w:multiLevelType w:val="hybridMultilevel"/>
    <w:tmpl w:val="E8D0F752"/>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abstractNumId w:val="9"/>
  </w:num>
  <w:num w:numId="2">
    <w:abstractNumId w:val="8"/>
  </w:num>
  <w:num w:numId="3">
    <w:abstractNumId w:val="4"/>
  </w:num>
  <w:num w:numId="4">
    <w:abstractNumId w:val="2"/>
  </w:num>
  <w:num w:numId="5">
    <w:abstractNumId w:val="10"/>
  </w:num>
  <w:num w:numId="6">
    <w:abstractNumId w:val="0"/>
  </w:num>
  <w:num w:numId="7">
    <w:abstractNumId w:val="6"/>
  </w:num>
  <w:num w:numId="8">
    <w:abstractNumId w:val="3"/>
  </w:num>
  <w:num w:numId="9">
    <w:abstractNumId w:val="5"/>
  </w:num>
  <w:num w:numId="10">
    <w:abstractNumId w:val="1"/>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E8"/>
    <w:rsid w:val="000441D5"/>
    <w:rsid w:val="00345294"/>
    <w:rsid w:val="003D5CC4"/>
    <w:rsid w:val="00810154"/>
    <w:rsid w:val="00B94B51"/>
    <w:rsid w:val="00BD0CE8"/>
    <w:rsid w:val="00F36645"/>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6E285342"/>
  <w15:chartTrackingRefBased/>
  <w15:docId w15:val="{65C841CD-3F99-FC49-8AF0-A0A62B58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CE8"/>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0CE8"/>
    <w:rPr>
      <w:color w:val="0563C1" w:themeColor="hyperlink"/>
      <w:u w:val="single"/>
    </w:rPr>
  </w:style>
  <w:style w:type="paragraph" w:styleId="ListParagraph">
    <w:name w:val="List Paragraph"/>
    <w:basedOn w:val="Normal"/>
    <w:uiPriority w:val="34"/>
    <w:qFormat/>
    <w:rsid w:val="00BD0CE8"/>
    <w:pPr>
      <w:ind w:left="720"/>
      <w:contextualSpacing/>
    </w:pPr>
    <w:rPr>
      <w:lang w:val="en-GB"/>
    </w:rPr>
  </w:style>
  <w:style w:type="paragraph" w:styleId="Header">
    <w:name w:val="header"/>
    <w:basedOn w:val="Normal"/>
    <w:link w:val="HeaderChar"/>
    <w:uiPriority w:val="99"/>
    <w:unhideWhenUsed/>
    <w:rsid w:val="00BD0CE8"/>
    <w:pPr>
      <w:tabs>
        <w:tab w:val="center" w:pos="4513"/>
        <w:tab w:val="right" w:pos="9026"/>
      </w:tabs>
    </w:pPr>
    <w:rPr>
      <w:lang w:val="en-GB"/>
    </w:rPr>
  </w:style>
  <w:style w:type="character" w:customStyle="1" w:styleId="HeaderChar">
    <w:name w:val="Header Char"/>
    <w:basedOn w:val="DefaultParagraphFont"/>
    <w:link w:val="Header"/>
    <w:uiPriority w:val="99"/>
    <w:rsid w:val="00BD0CE8"/>
    <w:rPr>
      <w:rFonts w:ascii="Times New Roman" w:eastAsia="Times New Roman" w:hAnsi="Times New Roman" w:cs="Times New Roman"/>
      <w:lang w:val="en-GB" w:eastAsia="en-GB"/>
    </w:rPr>
  </w:style>
  <w:style w:type="paragraph" w:styleId="Footer">
    <w:name w:val="footer"/>
    <w:basedOn w:val="Normal"/>
    <w:link w:val="FooterChar"/>
    <w:uiPriority w:val="99"/>
    <w:unhideWhenUsed/>
    <w:rsid w:val="00BD0CE8"/>
    <w:pPr>
      <w:tabs>
        <w:tab w:val="center" w:pos="4513"/>
        <w:tab w:val="right" w:pos="9026"/>
      </w:tabs>
    </w:pPr>
    <w:rPr>
      <w:lang w:val="en-GB"/>
    </w:rPr>
  </w:style>
  <w:style w:type="character" w:customStyle="1" w:styleId="FooterChar">
    <w:name w:val="Footer Char"/>
    <w:basedOn w:val="DefaultParagraphFont"/>
    <w:link w:val="Footer"/>
    <w:uiPriority w:val="99"/>
    <w:rsid w:val="00BD0CE8"/>
    <w:rPr>
      <w:rFonts w:ascii="Times New Roman" w:eastAsia="Times New Roman" w:hAnsi="Times New Roman" w:cs="Times New Roman"/>
      <w:lang w:val="en-GB" w:eastAsia="en-GB"/>
    </w:rPr>
  </w:style>
  <w:style w:type="paragraph" w:styleId="NormalWeb">
    <w:name w:val="Normal (Web)"/>
    <w:basedOn w:val="Normal"/>
    <w:uiPriority w:val="99"/>
    <w:unhideWhenUsed/>
    <w:rsid w:val="00BD0CE8"/>
    <w:pPr>
      <w:spacing w:before="100" w:beforeAutospacing="1" w:after="100" w:afterAutospacing="1"/>
    </w:pPr>
    <w:rPr>
      <w:lang w:val="en-GB"/>
    </w:rPr>
  </w:style>
  <w:style w:type="paragraph" w:styleId="FootnoteText">
    <w:name w:val="footnote text"/>
    <w:basedOn w:val="Normal"/>
    <w:link w:val="FootnoteTextChar"/>
    <w:uiPriority w:val="99"/>
    <w:semiHidden/>
    <w:unhideWhenUsed/>
    <w:rsid w:val="00BD0CE8"/>
    <w:rPr>
      <w:sz w:val="20"/>
      <w:szCs w:val="20"/>
      <w:lang w:val="en-GB"/>
    </w:rPr>
  </w:style>
  <w:style w:type="character" w:customStyle="1" w:styleId="FootnoteTextChar">
    <w:name w:val="Footnote Text Char"/>
    <w:basedOn w:val="DefaultParagraphFont"/>
    <w:link w:val="FootnoteText"/>
    <w:uiPriority w:val="99"/>
    <w:semiHidden/>
    <w:rsid w:val="00BD0CE8"/>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BD0CE8"/>
    <w:rPr>
      <w:vertAlign w:val="superscript"/>
    </w:rPr>
  </w:style>
  <w:style w:type="table" w:styleId="TableGrid">
    <w:name w:val="Table Grid"/>
    <w:basedOn w:val="TableNormal"/>
    <w:uiPriority w:val="39"/>
    <w:rsid w:val="00BD0CE8"/>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D0CE8"/>
  </w:style>
  <w:style w:type="table" w:customStyle="1" w:styleId="TableGrid1">
    <w:name w:val="Table Grid1"/>
    <w:basedOn w:val="TableNormal"/>
    <w:next w:val="TableGrid"/>
    <w:uiPriority w:val="39"/>
    <w:rsid w:val="00BD0CE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D5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29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ishforum.org.uk/wp-content/uploads/2021/01/INFO-13-COVID19-and-waste-management-activities-issue-9-6-Jan-2021.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3912</Words>
  <Characters>22304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David Gold</dc:creator>
  <cp:keywords/>
  <dc:description/>
  <cp:lastModifiedBy>Dr David Gold</cp:lastModifiedBy>
  <cp:revision>4</cp:revision>
  <dcterms:created xsi:type="dcterms:W3CDTF">2021-10-07T09:15:00Z</dcterms:created>
  <dcterms:modified xsi:type="dcterms:W3CDTF">2021-10-26T18:31:00Z</dcterms:modified>
</cp:coreProperties>
</file>